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color w:val="auto"/>
          <w:sz w:val="44"/>
          <w:szCs w:val="44"/>
          <w:u w:val="none"/>
          <w:shd w:val="clear" w:color="auto" w:fill="FFFFFF"/>
        </w:rPr>
      </w:pPr>
      <w:r>
        <w:rPr>
          <w:rFonts w:hint="eastAsia" w:ascii="方正小标宋简体" w:hAnsi="方正小标宋简体" w:eastAsia="方正小标宋简体" w:cs="方正小标宋简体"/>
          <w:color w:val="auto"/>
          <w:sz w:val="44"/>
          <w:szCs w:val="44"/>
          <w:u w:val="none"/>
          <w:shd w:val="clear" w:color="auto" w:fill="FFFFFF"/>
        </w:rPr>
        <w:t>鄂尔多斯市关于进一步推动招标投标领域高质量发展的若干措施（征求意见稿）</w:t>
      </w:r>
    </w:p>
    <w:p>
      <w:pPr>
        <w:spacing w:line="560" w:lineRule="exact"/>
        <w:jc w:val="center"/>
        <w:rPr>
          <w:rFonts w:ascii="仿宋" w:hAnsi="仿宋" w:eastAsia="仿宋" w:cs="微软雅黑"/>
          <w:color w:val="auto"/>
          <w:sz w:val="44"/>
          <w:szCs w:val="44"/>
          <w:u w:val="none"/>
          <w:shd w:val="clear" w:color="auto" w:fill="FFFFFF"/>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color w:val="auto"/>
          <w:kern w:val="0"/>
          <w:sz w:val="32"/>
          <w:szCs w:val="32"/>
          <w:u w:val="none"/>
          <w:lang w:bidi="ar"/>
        </w:rPr>
      </w:pPr>
      <w:r>
        <w:rPr>
          <w:rFonts w:hint="eastAsia" w:ascii="仿宋" w:hAnsi="仿宋" w:eastAsia="仿宋" w:cs="仿宋_GB2312"/>
          <w:color w:val="auto"/>
          <w:kern w:val="0"/>
          <w:sz w:val="32"/>
          <w:szCs w:val="32"/>
          <w:u w:val="none"/>
          <w:lang w:bidi="ar"/>
        </w:rPr>
        <w:t>为</w:t>
      </w:r>
      <w:r>
        <w:rPr>
          <w:rFonts w:hint="eastAsia" w:ascii="仿宋" w:hAnsi="仿宋" w:eastAsia="仿宋" w:cs="仿宋_GB2312"/>
          <w:color w:val="auto"/>
          <w:kern w:val="0"/>
          <w:sz w:val="32"/>
          <w:szCs w:val="32"/>
          <w:u w:val="none"/>
          <w:lang w:val="en-US" w:eastAsia="zh-CN" w:bidi="ar"/>
        </w:rPr>
        <w:t>全面</w:t>
      </w:r>
      <w:r>
        <w:rPr>
          <w:rFonts w:hint="eastAsia" w:ascii="仿宋" w:hAnsi="仿宋" w:eastAsia="仿宋" w:cs="仿宋_GB2312"/>
          <w:color w:val="auto"/>
          <w:kern w:val="0"/>
          <w:sz w:val="32"/>
          <w:szCs w:val="32"/>
          <w:u w:val="none"/>
          <w:lang w:bidi="ar"/>
        </w:rPr>
        <w:t>落实习近平总书记关于优化营商环境的重要论述和对内蒙古重要讲话重要指示批示精神</w:t>
      </w:r>
      <w:r>
        <w:rPr>
          <w:rFonts w:hint="eastAsia" w:ascii="仿宋" w:hAnsi="仿宋" w:eastAsia="仿宋" w:cs="仿宋_GB2312"/>
          <w:color w:val="auto"/>
          <w:kern w:val="0"/>
          <w:sz w:val="32"/>
          <w:szCs w:val="32"/>
          <w:u w:val="none"/>
          <w:lang w:eastAsia="zh-CN" w:bidi="ar"/>
        </w:rPr>
        <w:t>，认真</w:t>
      </w:r>
      <w:r>
        <w:rPr>
          <w:rFonts w:hint="eastAsia" w:ascii="仿宋" w:hAnsi="仿宋" w:eastAsia="仿宋" w:cs="仿宋_GB2312"/>
          <w:color w:val="auto"/>
          <w:kern w:val="0"/>
          <w:sz w:val="32"/>
          <w:szCs w:val="32"/>
          <w:u w:val="none"/>
          <w:lang w:val="en-US" w:eastAsia="zh-CN" w:bidi="ar"/>
        </w:rPr>
        <w:t>贯彻</w:t>
      </w:r>
      <w:r>
        <w:rPr>
          <w:rFonts w:hint="eastAsia" w:ascii="仿宋" w:hAnsi="仿宋" w:eastAsia="仿宋" w:cs="仿宋_GB2312"/>
          <w:color w:val="auto"/>
          <w:kern w:val="0"/>
          <w:sz w:val="32"/>
          <w:szCs w:val="32"/>
          <w:u w:val="none"/>
          <w:lang w:eastAsia="zh-CN" w:bidi="ar"/>
        </w:rPr>
        <w:t>中央、自治区有关部署要求，</w:t>
      </w:r>
      <w:r>
        <w:rPr>
          <w:rFonts w:hint="eastAsia" w:ascii="仿宋" w:hAnsi="仿宋" w:eastAsia="仿宋" w:cs="仿宋_GB2312"/>
          <w:color w:val="auto"/>
          <w:sz w:val="32"/>
          <w:szCs w:val="32"/>
          <w:u w:val="none"/>
        </w:rPr>
        <w:t>降低</w:t>
      </w:r>
      <w:r>
        <w:rPr>
          <w:rFonts w:hint="eastAsia" w:ascii="仿宋" w:hAnsi="仿宋" w:eastAsia="仿宋" w:cs="仿宋_GB2312"/>
          <w:color w:val="auto"/>
          <w:sz w:val="32"/>
          <w:szCs w:val="32"/>
          <w:u w:val="none"/>
          <w:lang w:val="en-US" w:eastAsia="zh-CN"/>
        </w:rPr>
        <w:t>招标投标</w:t>
      </w:r>
      <w:r>
        <w:rPr>
          <w:rFonts w:hint="eastAsia" w:ascii="仿宋" w:hAnsi="仿宋" w:eastAsia="仿宋" w:cs="仿宋_GB2312"/>
          <w:color w:val="auto"/>
          <w:sz w:val="32"/>
          <w:szCs w:val="32"/>
          <w:u w:val="none"/>
        </w:rPr>
        <w:t>交易成本，</w:t>
      </w:r>
      <w:r>
        <w:rPr>
          <w:rFonts w:hint="eastAsia" w:ascii="仿宋" w:hAnsi="仿宋" w:eastAsia="仿宋" w:cs="仿宋_GB2312"/>
          <w:color w:val="auto"/>
          <w:sz w:val="32"/>
          <w:szCs w:val="32"/>
          <w:u w:val="none"/>
          <w:lang w:val="en-US" w:eastAsia="zh-CN"/>
        </w:rPr>
        <w:t>激发市场活力，</w:t>
      </w:r>
      <w:r>
        <w:rPr>
          <w:rFonts w:hint="eastAsia" w:ascii="仿宋" w:hAnsi="仿宋" w:eastAsia="仿宋" w:cs="仿宋_GB2312"/>
          <w:color w:val="auto"/>
          <w:sz w:val="32"/>
          <w:szCs w:val="32"/>
          <w:u w:val="none"/>
        </w:rPr>
        <w:t>保障各方主体合法权益，</w:t>
      </w:r>
      <w:r>
        <w:rPr>
          <w:rFonts w:hint="eastAsia" w:ascii="仿宋" w:hAnsi="仿宋" w:eastAsia="仿宋" w:cs="仿宋_GB2312"/>
          <w:color w:val="auto"/>
          <w:sz w:val="32"/>
          <w:szCs w:val="32"/>
          <w:u w:val="none"/>
          <w:lang w:val="en-US" w:eastAsia="zh-CN"/>
        </w:rPr>
        <w:t>优化招标投标领域营商环境，</w:t>
      </w:r>
      <w:r>
        <w:rPr>
          <w:rFonts w:hint="eastAsia" w:ascii="仿宋" w:hAnsi="仿宋" w:eastAsia="仿宋" w:cs="仿宋_GB2312"/>
          <w:color w:val="auto"/>
          <w:kern w:val="0"/>
          <w:sz w:val="32"/>
          <w:szCs w:val="32"/>
          <w:u w:val="none"/>
          <w:lang w:bidi="ar"/>
        </w:rPr>
        <w:t>按照《国家发展改革委等部门关于严格执行招标投标法规制度进一步规范招标投标主体行为的若干意见》（发改法规规〔2022〕1117号）《国家发展改革委等部门关于完善招标投标交易担保制度进一步降低招标投标交易成本的通知》（发改法规〔2023〕27号）《内蒙古自治区人民政府办公厅关于促进建筑业高质量发展若干措施的通知》（内政办发〔2022〕58号）</w:t>
      </w:r>
      <w:r>
        <w:rPr>
          <w:rFonts w:hint="eastAsia" w:ascii="仿宋" w:hAnsi="仿宋" w:eastAsia="仿宋" w:cs="仿宋_GB2312"/>
          <w:color w:val="auto"/>
          <w:kern w:val="0"/>
          <w:sz w:val="32"/>
          <w:szCs w:val="32"/>
          <w:u w:val="none"/>
          <w:lang w:eastAsia="zh-CN" w:bidi="ar"/>
        </w:rPr>
        <w:t>《</w:t>
      </w:r>
      <w:r>
        <w:rPr>
          <w:rFonts w:hint="eastAsia" w:ascii="仿宋" w:hAnsi="仿宋" w:eastAsia="仿宋" w:cs="仿宋_GB2312"/>
          <w:color w:val="auto"/>
          <w:kern w:val="0"/>
          <w:sz w:val="32"/>
          <w:szCs w:val="32"/>
          <w:u w:val="none"/>
          <w:lang w:val="en-US" w:eastAsia="zh-CN" w:bidi="ar"/>
        </w:rPr>
        <w:t>鄂尔多斯市人民政府关于印发</w:t>
      </w:r>
      <w:r>
        <w:rPr>
          <w:rFonts w:hint="eastAsia" w:ascii="仿宋" w:hAnsi="仿宋" w:eastAsia="仿宋" w:cs="仿宋_GB2312"/>
          <w:color w:val="auto"/>
          <w:kern w:val="0"/>
          <w:sz w:val="32"/>
          <w:szCs w:val="32"/>
          <w:u w:val="none"/>
          <w:lang w:eastAsia="zh-CN" w:bidi="ar"/>
        </w:rPr>
        <w:t>鄂尔多斯市打造全国一流营商环境实施方案</w:t>
      </w:r>
      <w:r>
        <w:rPr>
          <w:rFonts w:hint="eastAsia" w:ascii="仿宋" w:hAnsi="仿宋" w:eastAsia="仿宋" w:cs="仿宋_GB2312"/>
          <w:color w:val="auto"/>
          <w:kern w:val="0"/>
          <w:sz w:val="32"/>
          <w:szCs w:val="32"/>
          <w:u w:val="none"/>
          <w:lang w:val="en-US" w:eastAsia="zh-CN" w:bidi="ar"/>
        </w:rPr>
        <w:t>的通知</w:t>
      </w:r>
      <w:r>
        <w:rPr>
          <w:rFonts w:hint="eastAsia" w:ascii="仿宋" w:hAnsi="仿宋" w:eastAsia="仿宋" w:cs="仿宋_GB2312"/>
          <w:color w:val="auto"/>
          <w:kern w:val="0"/>
          <w:sz w:val="32"/>
          <w:szCs w:val="32"/>
          <w:u w:val="none"/>
          <w:lang w:eastAsia="zh-CN" w:bidi="ar"/>
        </w:rPr>
        <w:t>》（</w:t>
      </w:r>
      <w:r>
        <w:rPr>
          <w:rFonts w:hint="eastAsia" w:ascii="仿宋" w:hAnsi="仿宋" w:eastAsia="仿宋" w:cs="仿宋_GB2312"/>
          <w:color w:val="auto"/>
          <w:kern w:val="0"/>
          <w:sz w:val="32"/>
          <w:szCs w:val="32"/>
          <w:u w:val="none"/>
          <w:lang w:val="en-US" w:eastAsia="zh-CN" w:bidi="ar"/>
        </w:rPr>
        <w:t>鄂府发</w:t>
      </w:r>
      <w:r>
        <w:rPr>
          <w:rFonts w:hint="eastAsia" w:ascii="仿宋" w:hAnsi="仿宋" w:eastAsia="仿宋" w:cs="仿宋_GB2312"/>
          <w:color w:val="auto"/>
          <w:kern w:val="0"/>
          <w:sz w:val="32"/>
          <w:szCs w:val="32"/>
          <w:u w:val="none"/>
          <w:lang w:bidi="ar"/>
        </w:rPr>
        <w:t>办发〔2022〕</w:t>
      </w:r>
      <w:r>
        <w:rPr>
          <w:rFonts w:hint="eastAsia" w:ascii="仿宋" w:hAnsi="仿宋" w:eastAsia="仿宋" w:cs="仿宋_GB2312"/>
          <w:color w:val="auto"/>
          <w:kern w:val="0"/>
          <w:sz w:val="32"/>
          <w:szCs w:val="32"/>
          <w:u w:val="none"/>
          <w:lang w:val="en-US" w:eastAsia="zh-CN" w:bidi="ar"/>
        </w:rPr>
        <w:t>167</w:t>
      </w:r>
      <w:r>
        <w:rPr>
          <w:rFonts w:hint="eastAsia" w:ascii="仿宋" w:hAnsi="仿宋" w:eastAsia="仿宋" w:cs="仿宋_GB2312"/>
          <w:color w:val="auto"/>
          <w:kern w:val="0"/>
          <w:sz w:val="32"/>
          <w:szCs w:val="32"/>
          <w:u w:val="none"/>
          <w:lang w:bidi="ar"/>
        </w:rPr>
        <w:t>号</w:t>
      </w:r>
      <w:r>
        <w:rPr>
          <w:rFonts w:hint="eastAsia" w:ascii="仿宋" w:hAnsi="仿宋" w:eastAsia="仿宋" w:cs="仿宋_GB2312"/>
          <w:color w:val="auto"/>
          <w:kern w:val="0"/>
          <w:sz w:val="32"/>
          <w:szCs w:val="32"/>
          <w:u w:val="none"/>
          <w:lang w:eastAsia="zh-CN" w:bidi="ar"/>
        </w:rPr>
        <w:t>）</w:t>
      </w:r>
      <w:r>
        <w:rPr>
          <w:rFonts w:hint="eastAsia" w:ascii="仿宋" w:hAnsi="仿宋" w:eastAsia="仿宋" w:cs="仿宋_GB2312"/>
          <w:color w:val="auto"/>
          <w:kern w:val="0"/>
          <w:sz w:val="32"/>
          <w:szCs w:val="32"/>
          <w:u w:val="none"/>
          <w:lang w:val="en-US" w:eastAsia="zh-CN" w:bidi="ar"/>
        </w:rPr>
        <w:t>等</w:t>
      </w:r>
      <w:r>
        <w:rPr>
          <w:rFonts w:hint="eastAsia" w:ascii="仿宋" w:hAnsi="仿宋" w:eastAsia="仿宋" w:cs="仿宋_GB2312"/>
          <w:color w:val="auto"/>
          <w:kern w:val="0"/>
          <w:sz w:val="32"/>
          <w:szCs w:val="32"/>
          <w:u w:val="none"/>
          <w:lang w:bidi="ar"/>
        </w:rPr>
        <w:t>文件</w:t>
      </w:r>
      <w:r>
        <w:rPr>
          <w:rFonts w:hint="eastAsia" w:ascii="仿宋" w:hAnsi="仿宋" w:eastAsia="仿宋" w:cs="仿宋_GB2312"/>
          <w:color w:val="auto"/>
          <w:kern w:val="0"/>
          <w:sz w:val="32"/>
          <w:szCs w:val="32"/>
          <w:u w:val="none"/>
          <w:lang w:val="en-US" w:eastAsia="zh-CN" w:bidi="ar"/>
        </w:rPr>
        <w:t>精神</w:t>
      </w:r>
      <w:r>
        <w:rPr>
          <w:rFonts w:hint="eastAsia" w:ascii="仿宋" w:hAnsi="仿宋" w:eastAsia="仿宋" w:cs="仿宋_GB2312"/>
          <w:color w:val="auto"/>
          <w:kern w:val="0"/>
          <w:sz w:val="32"/>
          <w:szCs w:val="32"/>
          <w:u w:val="none"/>
          <w:lang w:bidi="ar"/>
        </w:rPr>
        <w:t>，结合我市实际，制定以下措施。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kern w:val="0"/>
          <w:sz w:val="32"/>
          <w:szCs w:val="32"/>
          <w:u w:val="none"/>
          <w:lang w:val="en-US" w:eastAsia="zh-CN" w:bidi="ar"/>
        </w:rPr>
      </w:pPr>
      <w:r>
        <w:rPr>
          <w:rFonts w:hint="eastAsia" w:ascii="黑体" w:hAnsi="黑体" w:eastAsia="黑体" w:cs="黑体"/>
          <w:b w:val="0"/>
          <w:bCs w:val="0"/>
          <w:color w:val="auto"/>
          <w:kern w:val="0"/>
          <w:sz w:val="32"/>
          <w:szCs w:val="32"/>
          <w:u w:val="none"/>
          <w:lang w:val="en-US" w:eastAsia="zh-CN" w:bidi="ar"/>
        </w:rPr>
        <w:t>一、进一步</w:t>
      </w:r>
      <w:r>
        <w:rPr>
          <w:rStyle w:val="14"/>
          <w:rFonts w:hint="eastAsia" w:ascii="黑体" w:hAnsi="黑体" w:eastAsia="黑体" w:cs="黑体"/>
          <w:b w:val="0"/>
          <w:bCs w:val="0"/>
          <w:color w:val="auto"/>
          <w:kern w:val="0"/>
          <w:sz w:val="32"/>
          <w:szCs w:val="32"/>
          <w:u w:val="none"/>
        </w:rPr>
        <w:t>强化招标人主体责任</w:t>
      </w:r>
    </w:p>
    <w:p>
      <w:pPr>
        <w:keepNext w:val="0"/>
        <w:keepLines w:val="0"/>
        <w:pageBreakBefore w:val="0"/>
        <w:kinsoku/>
        <w:wordWrap/>
        <w:overflowPunct/>
        <w:topLinePunct w:val="0"/>
        <w:autoSpaceDE/>
        <w:autoSpaceDN/>
        <w:bidi w:val="0"/>
        <w:adjustRightInd/>
        <w:snapToGrid/>
        <w:spacing w:line="560" w:lineRule="exact"/>
        <w:ind w:firstLine="643"/>
        <w:textAlignment w:val="auto"/>
        <w:rPr>
          <w:rStyle w:val="14"/>
          <w:rFonts w:hint="eastAsia" w:ascii="仿宋" w:hAnsi="仿宋" w:eastAsia="仿宋" w:cs="仿宋_GB2312"/>
          <w:color w:val="auto"/>
          <w:kern w:val="0"/>
          <w:sz w:val="32"/>
          <w:szCs w:val="32"/>
          <w:u w:val="none"/>
          <w:lang w:eastAsia="zh-CN"/>
        </w:rPr>
      </w:pPr>
      <w:r>
        <w:rPr>
          <w:rStyle w:val="14"/>
          <w:rFonts w:hint="eastAsia" w:ascii="楷体" w:hAnsi="楷体" w:eastAsia="楷体" w:cs="楷体"/>
          <w:b w:val="0"/>
          <w:bCs/>
          <w:color w:val="auto"/>
          <w:kern w:val="0"/>
          <w:sz w:val="32"/>
          <w:szCs w:val="32"/>
          <w:u w:val="none"/>
          <w:lang w:val="en-US" w:eastAsia="zh-CN"/>
        </w:rPr>
        <w:t>（一）规范招标文件编制和发布</w:t>
      </w:r>
      <w:r>
        <w:rPr>
          <w:rStyle w:val="14"/>
          <w:rFonts w:hint="eastAsia" w:ascii="楷体" w:hAnsi="楷体" w:eastAsia="楷体" w:cs="楷体"/>
          <w:b w:val="0"/>
          <w:bCs/>
          <w:color w:val="auto"/>
          <w:kern w:val="0"/>
          <w:sz w:val="32"/>
          <w:szCs w:val="32"/>
          <w:u w:val="none"/>
        </w:rPr>
        <w:t>。</w:t>
      </w:r>
      <w:r>
        <w:rPr>
          <w:rStyle w:val="14"/>
          <w:rFonts w:hint="eastAsia" w:ascii="仿宋" w:hAnsi="仿宋" w:eastAsia="仿宋" w:cs="仿宋_GB2312"/>
          <w:b w:val="0"/>
          <w:color w:val="auto"/>
          <w:kern w:val="0"/>
          <w:sz w:val="32"/>
          <w:szCs w:val="32"/>
          <w:u w:val="none"/>
        </w:rPr>
        <w:t>督促招标人全面履行项目建设管理职责，规范招标文件编制和发布，招标人应当高质量编制招标文件，鼓励通过市场调研、专家咨询论证等方式，明确招标需求，优化招标方案；对于委托招标代理机构编制的招标文件，应当认真组织审查，确保合法合规、科学合理、符合需求；对于涉及公共利益、社会关注度较高的项目，以及技术复杂、专业性强的项目，鼓励就招标文件征求社会公众或行业意见。</w:t>
      </w:r>
      <w:r>
        <w:rPr>
          <w:rStyle w:val="14"/>
          <w:rFonts w:hint="eastAsia" w:ascii="仿宋" w:hAnsi="仿宋" w:eastAsia="仿宋" w:cs="仿宋_GB2312"/>
          <w:b w:val="0"/>
          <w:color w:val="auto"/>
          <w:kern w:val="0"/>
          <w:sz w:val="32"/>
          <w:szCs w:val="32"/>
          <w:u w:val="none"/>
          <w:lang w:val="en-US" w:eastAsia="zh-CN"/>
        </w:rPr>
        <w:t>上述</w:t>
      </w:r>
      <w:r>
        <w:rPr>
          <w:rStyle w:val="14"/>
          <w:rFonts w:hint="eastAsia" w:ascii="仿宋" w:hAnsi="仿宋" w:eastAsia="仿宋" w:cs="仿宋_GB2312"/>
          <w:b w:val="0"/>
          <w:color w:val="auto"/>
          <w:kern w:val="0"/>
          <w:sz w:val="32"/>
          <w:szCs w:val="32"/>
          <w:u w:val="none"/>
        </w:rPr>
        <w:t>市场调研、专家咨询论证</w:t>
      </w:r>
      <w:r>
        <w:rPr>
          <w:rStyle w:val="14"/>
          <w:rFonts w:hint="eastAsia" w:ascii="仿宋" w:hAnsi="仿宋" w:eastAsia="仿宋" w:cs="仿宋_GB2312"/>
          <w:b w:val="0"/>
          <w:color w:val="auto"/>
          <w:kern w:val="0"/>
          <w:sz w:val="32"/>
          <w:szCs w:val="32"/>
          <w:u w:val="none"/>
          <w:lang w:eastAsia="zh-CN"/>
        </w:rPr>
        <w:t>、</w:t>
      </w:r>
      <w:r>
        <w:rPr>
          <w:rStyle w:val="14"/>
          <w:rFonts w:hint="eastAsia" w:ascii="仿宋" w:hAnsi="仿宋" w:eastAsia="仿宋" w:cs="仿宋_GB2312"/>
          <w:b w:val="0"/>
          <w:color w:val="auto"/>
          <w:kern w:val="0"/>
          <w:sz w:val="32"/>
          <w:szCs w:val="32"/>
          <w:u w:val="none"/>
        </w:rPr>
        <w:t>征求社会公众或行业意见</w:t>
      </w:r>
      <w:r>
        <w:rPr>
          <w:rStyle w:val="14"/>
          <w:rFonts w:hint="eastAsia" w:ascii="仿宋" w:hAnsi="仿宋" w:eastAsia="仿宋" w:cs="仿宋_GB2312"/>
          <w:b w:val="0"/>
          <w:color w:val="auto"/>
          <w:kern w:val="0"/>
          <w:sz w:val="32"/>
          <w:szCs w:val="32"/>
          <w:u w:val="none"/>
          <w:lang w:val="en-US" w:eastAsia="zh-CN"/>
        </w:rPr>
        <w:t>等资料应当在招标文件发布时提交至</w:t>
      </w:r>
      <w:r>
        <w:rPr>
          <w:rFonts w:hint="eastAsia" w:ascii="仿宋" w:hAnsi="仿宋" w:eastAsia="仿宋" w:cs="仿宋_GB2312"/>
          <w:color w:val="auto"/>
          <w:kern w:val="0"/>
          <w:sz w:val="32"/>
          <w:szCs w:val="32"/>
          <w:u w:val="none"/>
          <w:lang w:bidi="ar"/>
        </w:rPr>
        <w:t>本级公共资源交易平台</w:t>
      </w:r>
      <w:r>
        <w:rPr>
          <w:rFonts w:hint="eastAsia" w:ascii="仿宋" w:hAnsi="仿宋" w:eastAsia="仿宋" w:cs="仿宋_GB2312"/>
          <w:color w:val="auto"/>
          <w:kern w:val="0"/>
          <w:sz w:val="32"/>
          <w:szCs w:val="32"/>
          <w:u w:val="none"/>
          <w:lang w:eastAsia="zh-CN" w:bidi="ar"/>
        </w:rPr>
        <w:t>。</w:t>
      </w:r>
      <w:r>
        <w:rPr>
          <w:rStyle w:val="14"/>
          <w:rFonts w:hint="eastAsia" w:ascii="仿宋" w:hAnsi="仿宋" w:eastAsia="仿宋" w:cs="仿宋_GB2312"/>
          <w:b w:val="0"/>
          <w:color w:val="auto"/>
          <w:kern w:val="0"/>
          <w:sz w:val="32"/>
          <w:szCs w:val="32"/>
          <w:u w:val="none"/>
        </w:rPr>
        <w:t>依法必须招标项目的招标文件，应当使用国家规定的标准文本，根据项目的具体特点与实际需要编制。招标文件中资质、业绩等投标人资格条件要求和评标标准应当以符合项目具体特点和满足实际需要为限度审慎设置，不得通过设置不合理条件排斥或者限制潜在投标人。依法必须招标项目不得提出注册地址、所有制性质、市场占有率、特定行政区域或者特定行业业绩、取得非强制资质认证、设立本地分支机构、本地缴纳税收社保等要求，不得套用特定生产供应者的条件设定投标人资格、技术、商务条件</w:t>
      </w:r>
      <w:r>
        <w:rPr>
          <w:rStyle w:val="14"/>
          <w:rFonts w:hint="eastAsia" w:ascii="仿宋" w:hAnsi="仿宋" w:eastAsia="仿宋" w:cs="仿宋_GB2312"/>
          <w:b w:val="0"/>
          <w:color w:val="auto"/>
          <w:kern w:val="0"/>
          <w:sz w:val="32"/>
          <w:szCs w:val="32"/>
          <w:u w:val="none"/>
          <w:lang w:eastAsia="zh-CN"/>
        </w:rPr>
        <w:t>，</w:t>
      </w:r>
      <w:r>
        <w:rPr>
          <w:rStyle w:val="14"/>
          <w:rFonts w:hint="eastAsia" w:ascii="仿宋" w:hAnsi="仿宋" w:eastAsia="仿宋" w:cs="仿宋_GB2312"/>
          <w:b w:val="0"/>
          <w:color w:val="auto"/>
          <w:kern w:val="0"/>
          <w:sz w:val="32"/>
          <w:szCs w:val="32"/>
          <w:u w:val="none"/>
          <w:lang w:val="en-US" w:eastAsia="zh-CN"/>
        </w:rPr>
        <w:t>不得</w:t>
      </w:r>
      <w:r>
        <w:rPr>
          <w:rStyle w:val="14"/>
          <w:rFonts w:hint="eastAsia" w:ascii="仿宋" w:hAnsi="仿宋" w:eastAsia="仿宋" w:cs="仿宋_GB2312"/>
          <w:b w:val="0"/>
          <w:color w:val="auto"/>
          <w:kern w:val="0"/>
          <w:sz w:val="32"/>
          <w:szCs w:val="32"/>
          <w:u w:val="none"/>
          <w:lang w:eastAsia="zh-CN"/>
        </w:rPr>
        <w:t>通过划分企业等级、增设证明事项、设立项目库、注册、认证、认定等非必要条件排除和限制竞争的行为。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_GB2312"/>
          <w:color w:val="auto"/>
          <w:kern w:val="0"/>
          <w:sz w:val="32"/>
          <w:szCs w:val="32"/>
          <w:u w:val="none"/>
          <w:lang w:bidi="ar"/>
        </w:rPr>
      </w:pPr>
      <w:r>
        <w:rPr>
          <w:rStyle w:val="14"/>
          <w:rFonts w:hint="eastAsia" w:ascii="楷体" w:hAnsi="楷体" w:eastAsia="楷体" w:cs="楷体"/>
          <w:b w:val="0"/>
          <w:bCs/>
          <w:color w:val="auto"/>
          <w:kern w:val="0"/>
          <w:sz w:val="32"/>
          <w:szCs w:val="32"/>
          <w:u w:val="none"/>
          <w:lang w:val="en-US" w:eastAsia="zh-CN"/>
        </w:rPr>
        <w:t>（二）落实合同履约管理责任。</w:t>
      </w:r>
      <w:r>
        <w:rPr>
          <w:rFonts w:hint="eastAsia" w:ascii="仿宋" w:hAnsi="仿宋" w:eastAsia="仿宋" w:cs="仿宋_GB2312"/>
          <w:color w:val="auto"/>
          <w:kern w:val="0"/>
          <w:sz w:val="32"/>
          <w:szCs w:val="32"/>
          <w:u w:val="none"/>
          <w:lang w:bidi="ar"/>
        </w:rPr>
        <w:t>招标人应当高度重视合同履约管理，健全管理机制，落实管理责任。依法必须招标项目的招标人应当按照</w:t>
      </w:r>
      <w:r>
        <w:rPr>
          <w:rFonts w:hint="eastAsia" w:ascii="仿宋" w:hAnsi="仿宋" w:eastAsia="仿宋" w:cs="仿宋_GB2312"/>
          <w:color w:val="auto"/>
          <w:kern w:val="0"/>
          <w:sz w:val="32"/>
          <w:szCs w:val="32"/>
          <w:u w:val="none"/>
          <w:lang w:bidi="ar"/>
        </w:rPr>
        <w:t>《鄂尔多斯市公共资源交易领域政务信息主动公开目录2.0》</w:t>
      </w:r>
      <w:r>
        <w:rPr>
          <w:rFonts w:hint="eastAsia" w:ascii="仿宋" w:hAnsi="仿宋" w:eastAsia="仿宋" w:cs="仿宋_GB2312"/>
          <w:color w:val="auto"/>
          <w:kern w:val="0"/>
          <w:sz w:val="32"/>
          <w:szCs w:val="32"/>
          <w:u w:val="none"/>
          <w:lang w:bidi="ar"/>
        </w:rPr>
        <w:t>要求，</w:t>
      </w:r>
      <w:r>
        <w:rPr>
          <w:rFonts w:hint="eastAsia" w:ascii="仿宋" w:hAnsi="仿宋" w:eastAsia="仿宋" w:cs="仿宋_GB2312"/>
          <w:color w:val="auto"/>
          <w:kern w:val="0"/>
          <w:sz w:val="32"/>
          <w:szCs w:val="32"/>
          <w:u w:val="none"/>
          <w:lang w:val="en-US" w:eastAsia="zh-CN" w:bidi="ar"/>
        </w:rPr>
        <w:t>通过</w:t>
      </w:r>
      <w:r>
        <w:rPr>
          <w:rFonts w:hint="eastAsia" w:ascii="仿宋" w:hAnsi="仿宋" w:eastAsia="仿宋" w:cs="仿宋_GB2312"/>
          <w:color w:val="auto"/>
          <w:kern w:val="0"/>
          <w:sz w:val="32"/>
          <w:szCs w:val="32"/>
          <w:u w:val="none"/>
          <w:lang w:bidi="ar"/>
        </w:rPr>
        <w:t>本级公共资源交易平台及时主动公开合同订立信息</w:t>
      </w:r>
      <w:r>
        <w:rPr>
          <w:rFonts w:hint="eastAsia" w:ascii="仿宋" w:hAnsi="仿宋" w:eastAsia="仿宋" w:cs="仿宋_GB2312"/>
          <w:color w:val="auto"/>
          <w:kern w:val="0"/>
          <w:sz w:val="32"/>
          <w:szCs w:val="32"/>
          <w:u w:val="none"/>
          <w:lang w:eastAsia="zh-CN" w:bidi="ar"/>
        </w:rPr>
        <w:t>、</w:t>
      </w:r>
      <w:r>
        <w:rPr>
          <w:rFonts w:hint="eastAsia" w:ascii="仿宋" w:hAnsi="仿宋" w:eastAsia="仿宋" w:cs="仿宋_GB2312"/>
          <w:color w:val="auto"/>
          <w:kern w:val="0"/>
          <w:sz w:val="32"/>
          <w:szCs w:val="32"/>
          <w:u w:val="none"/>
          <w:lang w:bidi="ar"/>
        </w:rPr>
        <w:t>合同履行及变更信息。</w:t>
      </w:r>
      <w:r>
        <w:rPr>
          <w:rFonts w:hint="eastAsia" w:ascii="仿宋" w:hAnsi="仿宋" w:eastAsia="仿宋" w:cs="仿宋_GB2312"/>
          <w:color w:val="auto"/>
          <w:kern w:val="0"/>
          <w:sz w:val="32"/>
          <w:szCs w:val="32"/>
          <w:u w:val="none"/>
          <w:lang w:bidi="ar"/>
        </w:rPr>
        <w:t>各行政监督部门要加强对依法必须招标项目合同订立、履行及变更的行政监督，强化信用管理，防止“阴阳合同”“低中高结”等违法违规行为发生，及时依法查处违法违规行为。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_GB2312"/>
          <w:color w:val="auto"/>
          <w:kern w:val="0"/>
          <w:sz w:val="32"/>
          <w:szCs w:val="32"/>
          <w:u w:val="none"/>
          <w:lang w:bidi="ar"/>
        </w:rPr>
      </w:pPr>
      <w:r>
        <w:rPr>
          <w:rStyle w:val="14"/>
          <w:rFonts w:hint="eastAsia" w:ascii="楷体" w:hAnsi="楷体" w:eastAsia="楷体" w:cs="楷体"/>
          <w:b w:val="0"/>
          <w:bCs/>
          <w:color w:val="auto"/>
          <w:kern w:val="0"/>
          <w:sz w:val="32"/>
          <w:szCs w:val="32"/>
          <w:u w:val="none"/>
          <w:lang w:val="en-US" w:eastAsia="zh-CN"/>
        </w:rPr>
        <w:t>（三）加强招标档案管理。</w:t>
      </w:r>
      <w:r>
        <w:rPr>
          <w:rFonts w:hint="eastAsia" w:ascii="仿宋" w:hAnsi="仿宋" w:eastAsia="仿宋" w:cs="仿宋_GB2312"/>
          <w:color w:val="auto"/>
          <w:kern w:val="0"/>
          <w:sz w:val="32"/>
          <w:szCs w:val="32"/>
          <w:u w:val="none"/>
          <w:lang w:bidi="ar"/>
        </w:rPr>
        <w:t>招标人应当按照有关规定加强招标档案管理，及时收集、整理、归档招标投标交易和合同履行过程中产生的各种文件资料和信息数据，在招标项目评标结束后的</w:t>
      </w:r>
      <w:r>
        <w:rPr>
          <w:rFonts w:hint="eastAsia" w:ascii="仿宋" w:hAnsi="仿宋" w:eastAsia="仿宋" w:cs="仿宋_GB2312"/>
          <w:color w:val="auto"/>
          <w:kern w:val="0"/>
          <w:sz w:val="32"/>
          <w:szCs w:val="32"/>
          <w:u w:val="none"/>
          <w:lang w:val="en-US" w:eastAsia="zh-CN" w:bidi="ar"/>
        </w:rPr>
        <w:t>15个工作</w:t>
      </w:r>
      <w:r>
        <w:rPr>
          <w:rFonts w:hint="eastAsia" w:ascii="仿宋" w:hAnsi="仿宋" w:eastAsia="仿宋" w:cs="仿宋_GB2312"/>
          <w:color w:val="auto"/>
          <w:kern w:val="0"/>
          <w:sz w:val="32"/>
          <w:szCs w:val="32"/>
          <w:u w:val="none"/>
          <w:lang w:bidi="ar"/>
        </w:rPr>
        <w:t>日内到</w:t>
      </w:r>
      <w:r>
        <w:rPr>
          <w:rFonts w:hint="eastAsia" w:ascii="仿宋" w:hAnsi="仿宋" w:eastAsia="仿宋" w:cs="仿宋_GB2312"/>
          <w:color w:val="auto"/>
          <w:kern w:val="0"/>
          <w:sz w:val="32"/>
          <w:szCs w:val="32"/>
          <w:u w:val="none"/>
          <w:lang w:val="en-US" w:eastAsia="zh-CN" w:bidi="ar"/>
        </w:rPr>
        <w:t>本级</w:t>
      </w:r>
      <w:r>
        <w:rPr>
          <w:rFonts w:hint="eastAsia" w:ascii="仿宋" w:hAnsi="仿宋" w:eastAsia="仿宋" w:cs="仿宋_GB2312"/>
          <w:color w:val="auto"/>
          <w:kern w:val="0"/>
          <w:sz w:val="32"/>
          <w:szCs w:val="32"/>
          <w:u w:val="none"/>
          <w:lang w:bidi="ar"/>
        </w:rPr>
        <w:t>公共资源交易平台拷贝开评标音视频资料，其他电子招标档案可以自行登录鄂尔多斯市电子招投标交易平台进行查看、下载，并采取有效措施确保档案的完整和安全。招标人未按照规定进行归档，篡改、损毁、伪造、擅自销毁招标档案，或者在依法开展的监督检查中不如实提供招标档案的，由各行政监督部门责令改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color w:val="auto"/>
          <w:sz w:val="32"/>
          <w:szCs w:val="32"/>
          <w:u w:val="none"/>
        </w:rPr>
      </w:pPr>
      <w:r>
        <w:rPr>
          <w:rStyle w:val="14"/>
          <w:rFonts w:hint="eastAsia" w:ascii="楷体" w:hAnsi="楷体" w:eastAsia="楷体" w:cs="楷体"/>
          <w:b w:val="0"/>
          <w:bCs/>
          <w:color w:val="auto"/>
          <w:kern w:val="0"/>
          <w:sz w:val="32"/>
          <w:szCs w:val="32"/>
          <w:u w:val="none"/>
          <w:lang w:val="en-US" w:eastAsia="zh-CN"/>
        </w:rPr>
        <w:t>（四）强化内部控制管理。</w:t>
      </w:r>
      <w:r>
        <w:rPr>
          <w:rStyle w:val="14"/>
          <w:rFonts w:hint="eastAsia" w:ascii="仿宋" w:hAnsi="仿宋" w:eastAsia="仿宋" w:cs="仿宋_GB2312"/>
          <w:b w:val="0"/>
          <w:color w:val="auto"/>
          <w:kern w:val="0"/>
          <w:sz w:val="32"/>
          <w:szCs w:val="32"/>
          <w:u w:val="none"/>
        </w:rPr>
        <w:t>招标人应当建立健全招标投标事项集体研究、合法合规性审查等议事决策机制，积极发挥内部监督作用；对招标投标事项管理集中的部门和岗位实行分事行权、分岗设权、分级授权，强化内部控制。依法必须招标项目应当在组织招标前，按照权责匹配原则落实主要负责人和相关负责人。鼓励招标人建立招标项目绩效评价机制和招标采购专业化队伍，</w:t>
      </w:r>
      <w:r>
        <w:rPr>
          <w:rFonts w:hint="eastAsia" w:ascii="仿宋" w:hAnsi="仿宋" w:eastAsia="仿宋" w:cs="仿宋_GB2312"/>
          <w:color w:val="auto"/>
          <w:sz w:val="32"/>
          <w:szCs w:val="32"/>
          <w:u w:val="none"/>
        </w:rPr>
        <w:t>加大对招标项目管理人员的问责问效力度，将招标投标活动合法合规性、交易结果和履约绩效与履职评定、奖励惩处挂钩。</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kern w:val="0"/>
          <w:sz w:val="32"/>
          <w:szCs w:val="32"/>
          <w:u w:val="none"/>
          <w:lang w:val="en-US" w:eastAsia="zh-CN" w:bidi="ar"/>
        </w:rPr>
      </w:pPr>
      <w:r>
        <w:rPr>
          <w:rFonts w:hint="eastAsia" w:ascii="黑体" w:hAnsi="黑体" w:eastAsia="黑体" w:cs="黑体"/>
          <w:b w:val="0"/>
          <w:bCs w:val="0"/>
          <w:color w:val="auto"/>
          <w:kern w:val="0"/>
          <w:sz w:val="32"/>
          <w:szCs w:val="32"/>
          <w:u w:val="none"/>
          <w:lang w:val="en-US" w:eastAsia="zh-CN" w:bidi="ar"/>
        </w:rPr>
        <w:t>二、进一步降低招标投标交易成本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_GB2312"/>
          <w:color w:val="auto"/>
          <w:kern w:val="0"/>
          <w:sz w:val="32"/>
          <w:szCs w:val="32"/>
          <w:u w:val="none"/>
          <w:lang w:bidi="ar"/>
        </w:rPr>
      </w:pPr>
      <w:r>
        <w:rPr>
          <w:rStyle w:val="14"/>
          <w:rFonts w:hint="eastAsia" w:ascii="楷体" w:hAnsi="楷体" w:eastAsia="楷体" w:cs="楷体"/>
          <w:b w:val="0"/>
          <w:bCs/>
          <w:color w:val="auto"/>
          <w:kern w:val="0"/>
          <w:sz w:val="32"/>
          <w:szCs w:val="32"/>
          <w:u w:val="none"/>
          <w:lang w:val="en-US" w:eastAsia="zh-CN"/>
        </w:rPr>
        <w:t>（一）分类减免政府投资项目投标保证金。</w:t>
      </w:r>
      <w:r>
        <w:rPr>
          <w:rFonts w:hint="eastAsia" w:ascii="仿宋" w:hAnsi="仿宋" w:eastAsia="仿宋" w:cs="仿宋_GB2312"/>
          <w:color w:val="auto"/>
          <w:kern w:val="0"/>
          <w:sz w:val="32"/>
          <w:szCs w:val="32"/>
          <w:u w:val="none"/>
          <w:lang w:bidi="ar"/>
        </w:rPr>
        <w:t>2023 年7月1 日起，凡进入鄂尔多斯市公共资源交易平台交易的政府投资工程建设项目施工</w:t>
      </w:r>
      <w:r>
        <w:rPr>
          <w:rFonts w:hint="eastAsia" w:ascii="仿宋" w:hAnsi="仿宋" w:eastAsia="仿宋" w:cs="仿宋_GB2312"/>
          <w:color w:val="auto"/>
          <w:kern w:val="0"/>
          <w:sz w:val="32"/>
          <w:szCs w:val="32"/>
          <w:u w:val="none"/>
          <w:lang w:val="en-US" w:eastAsia="zh-CN" w:bidi="ar"/>
        </w:rPr>
        <w:t>标段，</w:t>
      </w:r>
      <w:r>
        <w:rPr>
          <w:rFonts w:hint="eastAsia" w:ascii="仿宋" w:hAnsi="仿宋" w:eastAsia="仿宋" w:cs="仿宋_GB2312"/>
          <w:color w:val="auto"/>
          <w:kern w:val="0"/>
          <w:sz w:val="32"/>
          <w:szCs w:val="32"/>
          <w:u w:val="none"/>
          <w:lang w:bidi="ar"/>
        </w:rPr>
        <w:t>投标保证金不</w:t>
      </w:r>
      <w:r>
        <w:rPr>
          <w:rFonts w:hint="eastAsia" w:ascii="仿宋" w:hAnsi="仿宋" w:eastAsia="仿宋" w:cs="仿宋_GB2312"/>
          <w:color w:val="auto"/>
          <w:kern w:val="0"/>
          <w:sz w:val="32"/>
          <w:szCs w:val="32"/>
          <w:u w:val="none"/>
          <w:lang w:val="en-US" w:eastAsia="zh-CN" w:bidi="ar"/>
        </w:rPr>
        <w:t>得</w:t>
      </w:r>
      <w:r>
        <w:rPr>
          <w:rFonts w:hint="eastAsia" w:ascii="仿宋" w:hAnsi="仿宋" w:eastAsia="仿宋" w:cs="仿宋_GB2312"/>
          <w:color w:val="auto"/>
          <w:kern w:val="0"/>
          <w:sz w:val="32"/>
          <w:szCs w:val="32"/>
          <w:u w:val="none"/>
          <w:lang w:bidi="ar"/>
        </w:rPr>
        <w:t>超过招标项目估算价的</w:t>
      </w:r>
      <w:r>
        <w:rPr>
          <w:rFonts w:hint="eastAsia" w:ascii="仿宋" w:hAnsi="仿宋" w:eastAsia="仿宋" w:cs="仿宋_GB2312"/>
          <w:color w:val="auto"/>
          <w:kern w:val="0"/>
          <w:sz w:val="32"/>
          <w:szCs w:val="32"/>
          <w:u w:val="none"/>
          <w:lang w:val="en-US" w:eastAsia="zh-CN" w:bidi="ar"/>
        </w:rPr>
        <w:t>1%</w:t>
      </w:r>
      <w:r>
        <w:rPr>
          <w:rFonts w:hint="eastAsia" w:ascii="仿宋" w:hAnsi="仿宋" w:eastAsia="仿宋" w:cs="仿宋_GB2312"/>
          <w:color w:val="auto"/>
          <w:kern w:val="0"/>
          <w:sz w:val="32"/>
          <w:szCs w:val="32"/>
          <w:u w:val="none"/>
          <w:lang w:bidi="ar"/>
        </w:rPr>
        <w:t>，最高不</w:t>
      </w:r>
      <w:r>
        <w:rPr>
          <w:rFonts w:hint="eastAsia" w:ascii="仿宋" w:hAnsi="仿宋" w:eastAsia="仿宋" w:cs="仿宋_GB2312"/>
          <w:color w:val="auto"/>
          <w:kern w:val="0"/>
          <w:sz w:val="32"/>
          <w:szCs w:val="32"/>
          <w:u w:val="none"/>
          <w:lang w:val="en-US" w:eastAsia="zh-CN" w:bidi="ar"/>
        </w:rPr>
        <w:t>得</w:t>
      </w:r>
      <w:r>
        <w:rPr>
          <w:rFonts w:hint="eastAsia" w:ascii="仿宋" w:hAnsi="仿宋" w:eastAsia="仿宋" w:cs="仿宋_GB2312"/>
          <w:color w:val="auto"/>
          <w:kern w:val="0"/>
          <w:sz w:val="32"/>
          <w:szCs w:val="32"/>
          <w:u w:val="none"/>
          <w:lang w:bidi="ar"/>
        </w:rPr>
        <w:t>超过</w:t>
      </w:r>
      <w:r>
        <w:rPr>
          <w:rFonts w:hint="eastAsia" w:ascii="仿宋" w:hAnsi="仿宋" w:eastAsia="仿宋" w:cs="仿宋_GB2312"/>
          <w:color w:val="auto"/>
          <w:kern w:val="0"/>
          <w:sz w:val="32"/>
          <w:szCs w:val="32"/>
          <w:u w:val="none"/>
          <w:lang w:val="en-US" w:eastAsia="zh-CN" w:bidi="ar"/>
        </w:rPr>
        <w:t>40万</w:t>
      </w:r>
      <w:r>
        <w:rPr>
          <w:rFonts w:hint="eastAsia" w:ascii="仿宋" w:hAnsi="仿宋" w:eastAsia="仿宋" w:cs="仿宋_GB2312"/>
          <w:color w:val="auto"/>
          <w:kern w:val="0"/>
          <w:sz w:val="32"/>
          <w:szCs w:val="32"/>
          <w:u w:val="none"/>
          <w:lang w:bidi="ar"/>
        </w:rPr>
        <w:t>元人民币</w:t>
      </w:r>
      <w:r>
        <w:rPr>
          <w:rFonts w:hint="eastAsia" w:ascii="仿宋" w:hAnsi="仿宋" w:eastAsia="仿宋" w:cs="仿宋_GB2312"/>
          <w:color w:val="auto"/>
          <w:kern w:val="0"/>
          <w:sz w:val="32"/>
          <w:szCs w:val="32"/>
          <w:u w:val="none"/>
          <w:lang w:eastAsia="zh-CN" w:bidi="ar"/>
        </w:rPr>
        <w:t>；</w:t>
      </w:r>
      <w:r>
        <w:rPr>
          <w:rFonts w:hint="eastAsia" w:ascii="仿宋" w:hAnsi="仿宋" w:eastAsia="仿宋" w:cs="仿宋_GB2312"/>
          <w:color w:val="auto"/>
          <w:kern w:val="0"/>
          <w:sz w:val="32"/>
          <w:szCs w:val="32"/>
          <w:u w:val="none"/>
          <w:lang w:val="en-US" w:eastAsia="zh-CN" w:bidi="ar"/>
        </w:rPr>
        <w:t>重要设备、材料等</w:t>
      </w:r>
      <w:r>
        <w:rPr>
          <w:rFonts w:hint="eastAsia" w:ascii="仿宋" w:hAnsi="仿宋" w:eastAsia="仿宋" w:cs="仿宋_GB2312"/>
          <w:color w:val="auto"/>
          <w:kern w:val="0"/>
          <w:sz w:val="32"/>
          <w:szCs w:val="32"/>
          <w:u w:val="none"/>
          <w:lang w:bidi="ar"/>
        </w:rPr>
        <w:t>货物</w:t>
      </w:r>
      <w:r>
        <w:rPr>
          <w:rFonts w:hint="eastAsia" w:ascii="仿宋" w:hAnsi="仿宋" w:eastAsia="仿宋" w:cs="仿宋_GB2312"/>
          <w:color w:val="auto"/>
          <w:kern w:val="0"/>
          <w:sz w:val="32"/>
          <w:szCs w:val="32"/>
          <w:u w:val="none"/>
          <w:lang w:val="en-US" w:eastAsia="zh-CN" w:bidi="ar"/>
        </w:rPr>
        <w:t>的采购标段，</w:t>
      </w:r>
      <w:r>
        <w:rPr>
          <w:rFonts w:hint="eastAsia" w:ascii="仿宋" w:hAnsi="仿宋" w:eastAsia="仿宋" w:cs="仿宋_GB2312"/>
          <w:color w:val="auto"/>
          <w:kern w:val="0"/>
          <w:sz w:val="32"/>
          <w:szCs w:val="32"/>
          <w:u w:val="none"/>
          <w:lang w:bidi="ar"/>
        </w:rPr>
        <w:t>投标保证金不</w:t>
      </w:r>
      <w:r>
        <w:rPr>
          <w:rFonts w:hint="eastAsia" w:ascii="仿宋" w:hAnsi="仿宋" w:eastAsia="仿宋" w:cs="仿宋_GB2312"/>
          <w:color w:val="auto"/>
          <w:kern w:val="0"/>
          <w:sz w:val="32"/>
          <w:szCs w:val="32"/>
          <w:u w:val="none"/>
          <w:lang w:val="en-US" w:eastAsia="zh-CN" w:bidi="ar"/>
        </w:rPr>
        <w:t>得</w:t>
      </w:r>
      <w:r>
        <w:rPr>
          <w:rFonts w:hint="eastAsia" w:ascii="仿宋" w:hAnsi="仿宋" w:eastAsia="仿宋" w:cs="仿宋_GB2312"/>
          <w:color w:val="auto"/>
          <w:kern w:val="0"/>
          <w:sz w:val="32"/>
          <w:szCs w:val="32"/>
          <w:u w:val="none"/>
          <w:lang w:bidi="ar"/>
        </w:rPr>
        <w:t>超过招标项目估算价的</w:t>
      </w:r>
      <w:r>
        <w:rPr>
          <w:rFonts w:hint="eastAsia" w:ascii="仿宋" w:hAnsi="仿宋" w:eastAsia="仿宋" w:cs="仿宋_GB2312"/>
          <w:color w:val="auto"/>
          <w:kern w:val="0"/>
          <w:sz w:val="32"/>
          <w:szCs w:val="32"/>
          <w:u w:val="none"/>
          <w:lang w:val="en-US" w:eastAsia="zh-CN" w:bidi="ar"/>
        </w:rPr>
        <w:t>1%</w:t>
      </w:r>
      <w:r>
        <w:rPr>
          <w:rFonts w:hint="eastAsia" w:ascii="仿宋" w:hAnsi="仿宋" w:eastAsia="仿宋" w:cs="仿宋_GB2312"/>
          <w:color w:val="auto"/>
          <w:kern w:val="0"/>
          <w:sz w:val="32"/>
          <w:szCs w:val="32"/>
          <w:u w:val="none"/>
          <w:lang w:bidi="ar"/>
        </w:rPr>
        <w:t>，最高不</w:t>
      </w:r>
      <w:r>
        <w:rPr>
          <w:rFonts w:hint="eastAsia" w:ascii="仿宋" w:hAnsi="仿宋" w:eastAsia="仿宋" w:cs="仿宋_GB2312"/>
          <w:color w:val="auto"/>
          <w:kern w:val="0"/>
          <w:sz w:val="32"/>
          <w:szCs w:val="32"/>
          <w:u w:val="none"/>
          <w:lang w:val="en-US" w:eastAsia="zh-CN" w:bidi="ar"/>
        </w:rPr>
        <w:t>得</w:t>
      </w:r>
      <w:r>
        <w:rPr>
          <w:rFonts w:hint="eastAsia" w:ascii="仿宋" w:hAnsi="仿宋" w:eastAsia="仿宋" w:cs="仿宋_GB2312"/>
          <w:color w:val="auto"/>
          <w:kern w:val="0"/>
          <w:sz w:val="32"/>
          <w:szCs w:val="32"/>
          <w:u w:val="none"/>
          <w:lang w:bidi="ar"/>
        </w:rPr>
        <w:t>超过</w:t>
      </w:r>
      <w:r>
        <w:rPr>
          <w:rFonts w:hint="eastAsia" w:ascii="仿宋" w:hAnsi="仿宋" w:eastAsia="仿宋" w:cs="仿宋_GB2312"/>
          <w:color w:val="auto"/>
          <w:kern w:val="0"/>
          <w:sz w:val="32"/>
          <w:szCs w:val="32"/>
          <w:u w:val="none"/>
          <w:lang w:val="en-US" w:eastAsia="zh-CN" w:bidi="ar"/>
        </w:rPr>
        <w:t>25万</w:t>
      </w:r>
      <w:r>
        <w:rPr>
          <w:rFonts w:hint="eastAsia" w:ascii="仿宋" w:hAnsi="仿宋" w:eastAsia="仿宋" w:cs="仿宋_GB2312"/>
          <w:color w:val="auto"/>
          <w:kern w:val="0"/>
          <w:sz w:val="32"/>
          <w:szCs w:val="32"/>
          <w:u w:val="none"/>
          <w:lang w:bidi="ar"/>
        </w:rPr>
        <w:t>元人民币</w:t>
      </w:r>
      <w:r>
        <w:rPr>
          <w:rFonts w:hint="eastAsia" w:ascii="仿宋" w:hAnsi="仿宋" w:eastAsia="仿宋" w:cs="仿宋_GB2312"/>
          <w:color w:val="auto"/>
          <w:kern w:val="0"/>
          <w:sz w:val="32"/>
          <w:szCs w:val="32"/>
          <w:u w:val="none"/>
          <w:lang w:eastAsia="zh-CN" w:bidi="ar"/>
        </w:rPr>
        <w:t>；</w:t>
      </w:r>
      <w:r>
        <w:rPr>
          <w:rFonts w:hint="eastAsia" w:ascii="仿宋" w:hAnsi="仿宋" w:eastAsia="仿宋" w:cs="仿宋_GB2312"/>
          <w:color w:val="auto"/>
          <w:kern w:val="0"/>
          <w:sz w:val="32"/>
          <w:szCs w:val="32"/>
          <w:u w:val="none"/>
          <w:lang w:bidi="ar"/>
        </w:rPr>
        <w:t>勘察、设计、监理等服务</w:t>
      </w:r>
      <w:r>
        <w:rPr>
          <w:rFonts w:hint="eastAsia" w:ascii="仿宋" w:hAnsi="仿宋" w:eastAsia="仿宋" w:cs="仿宋_GB2312"/>
          <w:color w:val="auto"/>
          <w:kern w:val="0"/>
          <w:sz w:val="32"/>
          <w:szCs w:val="32"/>
          <w:u w:val="none"/>
          <w:lang w:val="en-US" w:eastAsia="zh-CN" w:bidi="ar"/>
        </w:rPr>
        <w:t>标段，</w:t>
      </w:r>
      <w:r>
        <w:rPr>
          <w:rFonts w:hint="eastAsia" w:ascii="仿宋" w:hAnsi="仿宋" w:eastAsia="仿宋" w:cs="仿宋_GB2312"/>
          <w:color w:val="auto"/>
          <w:kern w:val="0"/>
          <w:sz w:val="32"/>
          <w:szCs w:val="32"/>
          <w:u w:val="none"/>
          <w:lang w:bidi="ar"/>
        </w:rPr>
        <w:t xml:space="preserve">全面停止收取投标保证金。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color w:val="auto"/>
          <w:kern w:val="0"/>
          <w:sz w:val="32"/>
          <w:szCs w:val="32"/>
          <w:u w:val="none"/>
          <w:lang w:bidi="ar"/>
        </w:rPr>
      </w:pPr>
      <w:r>
        <w:rPr>
          <w:rStyle w:val="14"/>
          <w:rFonts w:hint="eastAsia" w:ascii="楷体" w:hAnsi="楷体" w:eastAsia="楷体" w:cs="楷体"/>
          <w:b w:val="0"/>
          <w:bCs/>
          <w:color w:val="auto"/>
          <w:kern w:val="0"/>
          <w:sz w:val="32"/>
          <w:szCs w:val="32"/>
          <w:u w:val="none"/>
          <w:lang w:val="en-US" w:eastAsia="zh-CN"/>
        </w:rPr>
        <w:t>（二）鼓励实行差异化缴纳投标保证金。</w:t>
      </w:r>
      <w:r>
        <w:rPr>
          <w:rFonts w:hint="eastAsia" w:ascii="仿宋" w:hAnsi="仿宋" w:eastAsia="仿宋" w:cs="仿宋_GB2312"/>
          <w:color w:val="auto"/>
          <w:kern w:val="0"/>
          <w:sz w:val="32"/>
          <w:szCs w:val="32"/>
          <w:u w:val="none"/>
          <w:lang w:bidi="ar"/>
        </w:rPr>
        <w:t>对于政府投资项目以外的依法必须招标项目和非依法必须招标项目，鼓励招标人根据项目特点和投标人诚信状况，在招标文件中明确减免投标保证金的措施。鼓励招标人对无失信记录的中小微企业或信用记录良好的投标人，给予减免投标保证金的优惠待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color w:val="auto"/>
          <w:kern w:val="0"/>
          <w:sz w:val="32"/>
          <w:szCs w:val="32"/>
          <w:u w:val="none"/>
          <w:lang w:bidi="ar"/>
        </w:rPr>
      </w:pPr>
      <w:r>
        <w:rPr>
          <w:rStyle w:val="14"/>
          <w:rFonts w:hint="eastAsia" w:ascii="楷体" w:hAnsi="楷体" w:eastAsia="楷体" w:cs="楷体"/>
          <w:b w:val="0"/>
          <w:bCs/>
          <w:color w:val="auto"/>
          <w:kern w:val="0"/>
          <w:sz w:val="32"/>
          <w:szCs w:val="32"/>
          <w:u w:val="none"/>
          <w:lang w:val="en-US" w:eastAsia="zh-CN"/>
        </w:rPr>
        <w:t>（三）规范招标投标交易担保行为。</w:t>
      </w:r>
      <w:r>
        <w:rPr>
          <w:rFonts w:hint="eastAsia" w:ascii="仿宋" w:hAnsi="仿宋" w:eastAsia="仿宋" w:cs="仿宋_GB2312"/>
          <w:color w:val="auto"/>
          <w:kern w:val="0"/>
          <w:sz w:val="32"/>
          <w:szCs w:val="32"/>
          <w:u w:val="none"/>
          <w:lang w:bidi="ar"/>
        </w:rPr>
        <w:t>招标人应当同时接受现金保证金和银行保函等非现金交易担保方式，在招标文件中规范约定招标投标交易担保形式、金额或比例、收退时间等。依法必须招标项目的招标人不得强制要求投标人、中标人缴纳现金保证金。投标人、中标人在招标文件约定范围内，可以自行选择交易担保方式，招标人、招标代理机构和其他任何单位不得排斥、限制或拒绝。</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color w:val="auto"/>
          <w:kern w:val="0"/>
          <w:sz w:val="32"/>
          <w:szCs w:val="32"/>
          <w:u w:val="none"/>
          <w:lang w:val="en-US" w:eastAsia="zh-CN" w:bidi="ar"/>
        </w:rPr>
      </w:pPr>
      <w:r>
        <w:rPr>
          <w:rStyle w:val="14"/>
          <w:rFonts w:hint="eastAsia" w:ascii="楷体" w:hAnsi="楷体" w:eastAsia="楷体" w:cs="楷体"/>
          <w:b w:val="0"/>
          <w:bCs/>
          <w:color w:val="auto"/>
          <w:kern w:val="0"/>
          <w:sz w:val="32"/>
          <w:szCs w:val="32"/>
          <w:u w:val="none"/>
          <w:lang w:val="en-US" w:eastAsia="zh-CN"/>
        </w:rPr>
        <w:t>（四）规范投标保证金收取和退还。</w:t>
      </w:r>
      <w:r>
        <w:rPr>
          <w:rFonts w:hint="eastAsia" w:ascii="仿宋" w:hAnsi="仿宋" w:eastAsia="仿宋" w:cs="仿宋_GB2312"/>
          <w:color w:val="auto"/>
          <w:kern w:val="0"/>
          <w:sz w:val="32"/>
          <w:szCs w:val="32"/>
          <w:u w:val="none"/>
          <w:lang w:val="en-US" w:eastAsia="zh-CN" w:bidi="ar"/>
        </w:rPr>
        <w:t>各级公共资源交易平台</w:t>
      </w:r>
      <w:r>
        <w:rPr>
          <w:rFonts w:hint="eastAsia" w:ascii="仿宋" w:hAnsi="仿宋" w:eastAsia="仿宋" w:cs="仿宋_GB2312"/>
          <w:color w:val="auto"/>
          <w:kern w:val="0"/>
          <w:sz w:val="32"/>
          <w:szCs w:val="32"/>
          <w:u w:val="none"/>
          <w:lang w:bidi="ar"/>
        </w:rPr>
        <w:t>应当严格按照法律规定、招标文件和合同中明确约定的</w:t>
      </w:r>
      <w:r>
        <w:rPr>
          <w:rFonts w:hint="eastAsia" w:ascii="仿宋" w:hAnsi="仿宋" w:eastAsia="仿宋" w:cs="仿宋_GB2312"/>
          <w:color w:val="auto"/>
          <w:kern w:val="0"/>
          <w:sz w:val="32"/>
          <w:szCs w:val="32"/>
          <w:u w:val="none"/>
          <w:lang w:val="en-US" w:eastAsia="zh-CN" w:bidi="ar"/>
        </w:rPr>
        <w:t>投标</w:t>
      </w:r>
      <w:r>
        <w:rPr>
          <w:rFonts w:hint="eastAsia" w:ascii="仿宋" w:hAnsi="仿宋" w:eastAsia="仿宋" w:cs="仿宋_GB2312"/>
          <w:color w:val="auto"/>
          <w:kern w:val="0"/>
          <w:sz w:val="32"/>
          <w:szCs w:val="32"/>
          <w:u w:val="none"/>
          <w:lang w:bidi="ar"/>
        </w:rPr>
        <w:t>保证金收退的具体方式和期限，及时退还保证金</w:t>
      </w:r>
      <w:r>
        <w:rPr>
          <w:rFonts w:hint="eastAsia" w:ascii="仿宋" w:hAnsi="仿宋" w:eastAsia="仿宋" w:cs="仿宋_GB2312"/>
          <w:color w:val="auto"/>
          <w:kern w:val="0"/>
          <w:sz w:val="32"/>
          <w:szCs w:val="32"/>
          <w:u w:val="none"/>
          <w:lang w:eastAsia="zh-CN" w:bidi="ar"/>
        </w:rPr>
        <w:t>，</w:t>
      </w:r>
      <w:r>
        <w:rPr>
          <w:rFonts w:hint="eastAsia" w:ascii="仿宋" w:hAnsi="仿宋" w:eastAsia="仿宋" w:cs="仿宋_GB2312"/>
          <w:color w:val="auto"/>
          <w:kern w:val="0"/>
          <w:sz w:val="32"/>
          <w:szCs w:val="32"/>
          <w:u w:val="none"/>
          <w:lang w:bidi="ar"/>
        </w:rPr>
        <w:t>不得非法扣押、拖欠、侵占、挪用各类保证金。以现金形式提交保证金的，应当同时退还保证金本金和银行同期存款利息。</w:t>
      </w:r>
      <w:r>
        <w:rPr>
          <w:rFonts w:hint="eastAsia" w:ascii="仿宋" w:hAnsi="仿宋" w:eastAsia="仿宋" w:cs="仿宋_GB2312"/>
          <w:color w:val="auto"/>
          <w:kern w:val="0"/>
          <w:sz w:val="32"/>
          <w:szCs w:val="32"/>
          <w:u w:val="none"/>
          <w:lang w:val="en-US" w:eastAsia="zh-CN" w:bidi="ar"/>
        </w:rPr>
        <w:t>各级公共资源交易平台应当每年定期开展</w:t>
      </w:r>
      <w:r>
        <w:rPr>
          <w:rFonts w:hint="default" w:ascii="仿宋" w:hAnsi="仿宋" w:eastAsia="仿宋" w:cs="仿宋_GB2312"/>
          <w:color w:val="auto"/>
          <w:kern w:val="0"/>
          <w:sz w:val="32"/>
          <w:szCs w:val="32"/>
          <w:u w:val="none"/>
          <w:lang w:val="en-US" w:eastAsia="zh-CN" w:bidi="ar"/>
        </w:rPr>
        <w:t>历史沉淀</w:t>
      </w:r>
      <w:r>
        <w:rPr>
          <w:rFonts w:hint="eastAsia" w:ascii="仿宋" w:hAnsi="仿宋" w:eastAsia="仿宋" w:cs="仿宋_GB2312"/>
          <w:color w:val="auto"/>
          <w:kern w:val="0"/>
          <w:sz w:val="32"/>
          <w:szCs w:val="32"/>
          <w:u w:val="none"/>
          <w:lang w:val="en-US" w:eastAsia="zh-CN" w:bidi="ar"/>
        </w:rPr>
        <w:t>投标</w:t>
      </w:r>
      <w:r>
        <w:rPr>
          <w:rFonts w:hint="default" w:ascii="仿宋" w:hAnsi="仿宋" w:eastAsia="仿宋" w:cs="仿宋_GB2312"/>
          <w:color w:val="auto"/>
          <w:kern w:val="0"/>
          <w:sz w:val="32"/>
          <w:szCs w:val="32"/>
          <w:u w:val="none"/>
          <w:lang w:val="en-US" w:eastAsia="zh-CN" w:bidi="ar"/>
        </w:rPr>
        <w:t>保证金清理工作，并通过门户网站向社会公开清理结果。</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_GB2312"/>
          <w:color w:val="auto"/>
          <w:kern w:val="0"/>
          <w:sz w:val="32"/>
          <w:szCs w:val="32"/>
          <w:u w:val="none"/>
          <w:lang w:bidi="ar"/>
        </w:rPr>
      </w:pPr>
      <w:r>
        <w:rPr>
          <w:rStyle w:val="14"/>
          <w:rFonts w:hint="eastAsia" w:ascii="楷体" w:hAnsi="楷体" w:eastAsia="楷体" w:cs="楷体"/>
          <w:b w:val="0"/>
          <w:bCs/>
          <w:color w:val="auto"/>
          <w:kern w:val="0"/>
          <w:sz w:val="32"/>
          <w:szCs w:val="32"/>
          <w:u w:val="none"/>
          <w:lang w:val="en-US" w:eastAsia="zh-CN"/>
        </w:rPr>
        <w:t>（五）持续降低交易成本。</w:t>
      </w:r>
      <w:r>
        <w:rPr>
          <w:rFonts w:hint="eastAsia" w:ascii="仿宋" w:hAnsi="仿宋" w:eastAsia="仿宋" w:cs="仿宋_GB2312"/>
          <w:color w:val="auto"/>
          <w:kern w:val="0"/>
          <w:sz w:val="32"/>
          <w:szCs w:val="32"/>
          <w:u w:val="none"/>
          <w:lang w:bidi="ar"/>
        </w:rPr>
        <w:t>在工程建设招标投标领域全面推广电子保函的应用</w:t>
      </w:r>
      <w:r>
        <w:rPr>
          <w:rFonts w:hint="eastAsia" w:ascii="仿宋" w:hAnsi="仿宋" w:eastAsia="仿宋" w:cs="仿宋_GB2312"/>
          <w:color w:val="auto"/>
          <w:kern w:val="0"/>
          <w:sz w:val="32"/>
          <w:szCs w:val="32"/>
          <w:u w:val="none"/>
          <w:lang w:eastAsia="zh-CN" w:bidi="ar"/>
        </w:rPr>
        <w:t>，</w:t>
      </w:r>
      <w:r>
        <w:rPr>
          <w:rFonts w:hint="eastAsia" w:ascii="仿宋" w:hAnsi="仿宋" w:eastAsia="仿宋" w:cs="仿宋_GB2312"/>
          <w:color w:val="auto"/>
          <w:kern w:val="0"/>
          <w:sz w:val="32"/>
          <w:szCs w:val="32"/>
          <w:u w:val="none"/>
          <w:lang w:bidi="ar"/>
        </w:rPr>
        <w:t>引导银行、担保和保险机构下调电子保函</w:t>
      </w:r>
      <w:r>
        <w:rPr>
          <w:rFonts w:hint="eastAsia" w:ascii="仿宋" w:hAnsi="仿宋" w:eastAsia="仿宋" w:cs="仿宋_GB2312"/>
          <w:color w:val="auto"/>
          <w:kern w:val="0"/>
          <w:sz w:val="32"/>
          <w:szCs w:val="32"/>
          <w:u w:val="none"/>
          <w:lang w:val="en-US" w:eastAsia="zh-CN" w:bidi="ar"/>
        </w:rPr>
        <w:t>办理费用</w:t>
      </w:r>
      <w:r>
        <w:rPr>
          <w:rFonts w:hint="eastAsia" w:ascii="仿宋" w:hAnsi="仿宋" w:eastAsia="仿宋" w:cs="仿宋_GB2312"/>
          <w:color w:val="auto"/>
          <w:kern w:val="0"/>
          <w:sz w:val="32"/>
          <w:szCs w:val="32"/>
          <w:u w:val="none"/>
          <w:lang w:bidi="ar"/>
        </w:rPr>
        <w:t>。任何单位和个人不得为投标人、中标人指定出具保函、保单的银行、担保机构或保险机构。依法依规对银行、担保机构和保险机构加强信用监管，严格防范并依法惩戒交易担保违法失信行为。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color w:val="auto"/>
          <w:kern w:val="0"/>
          <w:sz w:val="32"/>
          <w:szCs w:val="32"/>
          <w:u w:val="none"/>
          <w:lang w:val="en-US" w:eastAsia="zh-CN" w:bidi="ar"/>
        </w:rPr>
      </w:pPr>
      <w:r>
        <w:rPr>
          <w:rFonts w:hint="eastAsia" w:ascii="黑体" w:hAnsi="黑体" w:eastAsia="黑体" w:cs="黑体"/>
          <w:b w:val="0"/>
          <w:bCs w:val="0"/>
          <w:color w:val="auto"/>
          <w:kern w:val="0"/>
          <w:sz w:val="32"/>
          <w:szCs w:val="32"/>
          <w:u w:val="none"/>
          <w:lang w:val="en-US" w:eastAsia="zh-CN" w:bidi="ar"/>
        </w:rPr>
        <w:t>三、进一步加大创新改革力度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_GB2312"/>
          <w:color w:val="auto"/>
          <w:kern w:val="0"/>
          <w:sz w:val="32"/>
          <w:szCs w:val="32"/>
          <w:u w:val="none"/>
          <w:lang w:bidi="ar"/>
        </w:rPr>
      </w:pPr>
      <w:r>
        <w:rPr>
          <w:rStyle w:val="14"/>
          <w:rFonts w:hint="eastAsia" w:ascii="楷体" w:hAnsi="楷体" w:eastAsia="楷体" w:cs="楷体"/>
          <w:b w:val="0"/>
          <w:bCs/>
          <w:color w:val="auto"/>
          <w:kern w:val="0"/>
          <w:sz w:val="32"/>
          <w:szCs w:val="32"/>
          <w:u w:val="none"/>
          <w:lang w:val="en-US" w:eastAsia="zh-CN"/>
        </w:rPr>
        <w:t>（一）建立工程建设项目招标计划提前发布机制。</w:t>
      </w:r>
      <w:r>
        <w:rPr>
          <w:rFonts w:hint="eastAsia" w:ascii="仿宋" w:hAnsi="仿宋" w:eastAsia="仿宋" w:cs="仿宋_GB2312"/>
          <w:color w:val="auto"/>
          <w:kern w:val="0"/>
          <w:sz w:val="32"/>
          <w:szCs w:val="32"/>
          <w:u w:val="none"/>
          <w:lang w:bidi="ar"/>
        </w:rPr>
        <w:t>对鄂尔多斯市范围内国有资金占控股或主导地位依法必须招标的工程建设项目，鼓励招标人在招标公告发布至少30日</w:t>
      </w:r>
      <w:r>
        <w:rPr>
          <w:rFonts w:hint="eastAsia" w:ascii="仿宋" w:hAnsi="仿宋" w:eastAsia="仿宋" w:cs="仿宋_GB2312"/>
          <w:color w:val="auto"/>
          <w:kern w:val="0"/>
          <w:sz w:val="32"/>
          <w:szCs w:val="32"/>
          <w:u w:val="none"/>
          <w:lang w:val="en-US" w:eastAsia="zh-CN" w:bidi="ar"/>
        </w:rPr>
        <w:t>前</w:t>
      </w:r>
      <w:r>
        <w:rPr>
          <w:rFonts w:hint="eastAsia" w:ascii="仿宋" w:hAnsi="仿宋" w:eastAsia="仿宋" w:cs="仿宋_GB2312"/>
          <w:color w:val="auto"/>
          <w:kern w:val="0"/>
          <w:sz w:val="32"/>
          <w:szCs w:val="32"/>
          <w:u w:val="none"/>
          <w:lang w:bidi="ar"/>
        </w:rPr>
        <w:t>发布招标计划</w:t>
      </w:r>
      <w:r>
        <w:rPr>
          <w:rFonts w:hint="eastAsia" w:ascii="仿宋" w:hAnsi="仿宋" w:eastAsia="仿宋" w:cs="仿宋_GB2312"/>
          <w:color w:val="auto"/>
          <w:kern w:val="0"/>
          <w:sz w:val="32"/>
          <w:szCs w:val="32"/>
          <w:u w:val="none"/>
          <w:lang w:val="en-US" w:eastAsia="zh-CN" w:bidi="ar"/>
        </w:rPr>
        <w:t>公告</w:t>
      </w:r>
      <w:r>
        <w:rPr>
          <w:rFonts w:hint="eastAsia" w:ascii="仿宋" w:hAnsi="仿宋" w:eastAsia="仿宋" w:cs="仿宋_GB2312"/>
          <w:color w:val="auto"/>
          <w:kern w:val="0"/>
          <w:sz w:val="32"/>
          <w:szCs w:val="32"/>
          <w:u w:val="none"/>
          <w:lang w:bidi="ar"/>
        </w:rPr>
        <w:t>，提高工程建设项目招标投标透明度，供潜在投标</w:t>
      </w:r>
      <w:r>
        <w:rPr>
          <w:rFonts w:hint="eastAsia" w:ascii="仿宋" w:hAnsi="仿宋" w:eastAsia="仿宋" w:cs="仿宋_GB2312"/>
          <w:color w:val="auto"/>
          <w:kern w:val="0"/>
          <w:sz w:val="32"/>
          <w:szCs w:val="32"/>
          <w:u w:val="none"/>
          <w:lang w:val="en-US" w:eastAsia="zh-CN" w:bidi="ar"/>
        </w:rPr>
        <w:t>人</w:t>
      </w:r>
      <w:r>
        <w:rPr>
          <w:rFonts w:hint="eastAsia" w:ascii="仿宋" w:hAnsi="仿宋" w:eastAsia="仿宋" w:cs="仿宋_GB2312"/>
          <w:color w:val="auto"/>
          <w:kern w:val="0"/>
          <w:sz w:val="32"/>
          <w:szCs w:val="32"/>
          <w:u w:val="none"/>
          <w:lang w:bidi="ar"/>
        </w:rPr>
        <w:t>知悉和进行投标准备。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_GB2312"/>
          <w:color w:val="auto"/>
          <w:sz w:val="32"/>
          <w:szCs w:val="32"/>
          <w:u w:val="none"/>
        </w:rPr>
      </w:pPr>
      <w:r>
        <w:rPr>
          <w:rStyle w:val="14"/>
          <w:rFonts w:hint="eastAsia" w:ascii="楷体" w:hAnsi="楷体" w:eastAsia="楷体" w:cs="楷体"/>
          <w:b w:val="0"/>
          <w:bCs/>
          <w:color w:val="auto"/>
          <w:kern w:val="0"/>
          <w:sz w:val="32"/>
          <w:szCs w:val="32"/>
          <w:u w:val="none"/>
          <w:lang w:val="en-US" w:eastAsia="zh-CN"/>
        </w:rPr>
        <w:t>（二）鼓励联合体投标。</w:t>
      </w:r>
      <w:r>
        <w:rPr>
          <w:rFonts w:hint="eastAsia" w:ascii="仿宋" w:hAnsi="仿宋" w:eastAsia="仿宋" w:cs="仿宋_GB2312"/>
          <w:color w:val="auto"/>
          <w:sz w:val="32"/>
          <w:szCs w:val="32"/>
          <w:u w:val="none"/>
        </w:rPr>
        <w:t>认真落实促进中小微、民营企业健康发展的扶持政策，</w:t>
      </w:r>
      <w:r>
        <w:rPr>
          <w:rFonts w:hint="eastAsia" w:ascii="仿宋" w:hAnsi="仿宋" w:eastAsia="仿宋" w:cs="仿宋_GB2312"/>
          <w:color w:val="auto"/>
          <w:sz w:val="32"/>
          <w:szCs w:val="32"/>
          <w:u w:val="none"/>
        </w:rPr>
        <w:t>鼓励</w:t>
      </w:r>
      <w:r>
        <w:rPr>
          <w:rFonts w:hint="eastAsia" w:ascii="仿宋" w:hAnsi="仿宋" w:eastAsia="仿宋" w:cs="仿宋_GB2312"/>
          <w:color w:val="auto"/>
          <w:sz w:val="32"/>
          <w:szCs w:val="32"/>
          <w:u w:val="none"/>
          <w:lang w:val="en-US" w:eastAsia="zh-CN"/>
        </w:rPr>
        <w:t>龙头企业、</w:t>
      </w:r>
      <w:r>
        <w:rPr>
          <w:rFonts w:hint="eastAsia" w:ascii="仿宋" w:hAnsi="仿宋" w:eastAsia="仿宋" w:cs="仿宋_GB2312"/>
          <w:color w:val="auto"/>
          <w:sz w:val="32"/>
          <w:szCs w:val="32"/>
          <w:u w:val="none"/>
        </w:rPr>
        <w:t>大型企业</w:t>
      </w:r>
      <w:r>
        <w:rPr>
          <w:rFonts w:hint="eastAsia" w:ascii="仿宋" w:hAnsi="仿宋" w:eastAsia="仿宋" w:cs="仿宋_GB2312"/>
          <w:color w:val="auto"/>
          <w:sz w:val="32"/>
          <w:szCs w:val="32"/>
          <w:u w:val="none"/>
          <w:lang w:val="en-US" w:eastAsia="zh-CN"/>
        </w:rPr>
        <w:t>与</w:t>
      </w:r>
      <w:r>
        <w:rPr>
          <w:rFonts w:hint="eastAsia" w:ascii="仿宋" w:hAnsi="仿宋" w:eastAsia="仿宋" w:cs="仿宋_GB2312"/>
          <w:color w:val="auto"/>
          <w:sz w:val="32"/>
          <w:szCs w:val="32"/>
          <w:u w:val="none"/>
        </w:rPr>
        <w:t>中小微、民营企业组成联合体参与投标，</w:t>
      </w:r>
      <w:r>
        <w:rPr>
          <w:rFonts w:hint="eastAsia" w:ascii="仿宋" w:hAnsi="仿宋" w:eastAsia="仿宋" w:cs="仿宋_GB2312"/>
          <w:color w:val="auto"/>
          <w:sz w:val="32"/>
          <w:szCs w:val="32"/>
          <w:u w:val="none"/>
          <w:lang w:val="en-US" w:eastAsia="zh-CN"/>
        </w:rPr>
        <w:t>可在招标文件中设置加分项，联合体产生的业绩作为今后各方业绩予以认可。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_GB2312"/>
          <w:color w:val="auto"/>
          <w:kern w:val="0"/>
          <w:sz w:val="32"/>
          <w:szCs w:val="32"/>
          <w:u w:val="none"/>
          <w:lang w:bidi="ar"/>
        </w:rPr>
      </w:pPr>
      <w:r>
        <w:rPr>
          <w:rStyle w:val="14"/>
          <w:rFonts w:hint="eastAsia" w:ascii="楷体" w:hAnsi="楷体" w:eastAsia="楷体" w:cs="楷体"/>
          <w:b w:val="0"/>
          <w:bCs/>
          <w:color w:val="auto"/>
          <w:kern w:val="0"/>
          <w:sz w:val="32"/>
          <w:szCs w:val="32"/>
          <w:u w:val="none"/>
          <w:lang w:val="en-US" w:eastAsia="zh-CN"/>
        </w:rPr>
        <w:t>（三）持续推进“评定分离”试点改革。</w:t>
      </w:r>
      <w:r>
        <w:rPr>
          <w:rFonts w:hint="eastAsia" w:ascii="仿宋" w:hAnsi="仿宋" w:eastAsia="仿宋" w:cs="仿宋_GB2312"/>
          <w:color w:val="auto"/>
          <w:kern w:val="0"/>
          <w:sz w:val="32"/>
          <w:szCs w:val="32"/>
          <w:u w:val="none"/>
          <w:lang w:bidi="ar"/>
        </w:rPr>
        <w:t>鼓励房屋建筑和市政基础设施工程建设项目采用“评定分离”方式进行招标，逐步提高“评定分离”应用比例。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_GB2312"/>
          <w:color w:val="auto"/>
          <w:kern w:val="0"/>
          <w:sz w:val="32"/>
          <w:szCs w:val="32"/>
          <w:u w:val="none"/>
          <w:lang w:bidi="ar"/>
        </w:rPr>
      </w:pPr>
      <w:r>
        <w:rPr>
          <w:rStyle w:val="14"/>
          <w:rFonts w:hint="eastAsia" w:ascii="楷体" w:hAnsi="楷体" w:eastAsia="楷体" w:cs="楷体"/>
          <w:b w:val="0"/>
          <w:bCs/>
          <w:color w:val="auto"/>
          <w:kern w:val="0"/>
          <w:sz w:val="32"/>
          <w:szCs w:val="32"/>
          <w:u w:val="none"/>
          <w:lang w:val="en-US" w:eastAsia="zh-CN"/>
        </w:rPr>
        <w:t>（四）深入推进远程评标常态化。</w:t>
      </w:r>
      <w:r>
        <w:rPr>
          <w:rFonts w:hint="eastAsia" w:ascii="仿宋" w:hAnsi="仿宋" w:eastAsia="仿宋" w:cs="仿宋_GB2312"/>
          <w:color w:val="auto"/>
          <w:kern w:val="0"/>
          <w:sz w:val="32"/>
          <w:szCs w:val="32"/>
          <w:u w:val="none"/>
          <w:lang w:bidi="ar"/>
        </w:rPr>
        <w:t>对依法必须招标的项目全面推行全流程电子化，实现“远程异地评标”常态化运行，逐步扩大跨盟市、省跨远程异地评标比例。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_GB2312"/>
          <w:color w:val="auto"/>
          <w:kern w:val="0"/>
          <w:sz w:val="32"/>
          <w:szCs w:val="32"/>
          <w:u w:val="none"/>
          <w:lang w:bidi="ar"/>
        </w:rPr>
      </w:pPr>
      <w:r>
        <w:rPr>
          <w:rStyle w:val="14"/>
          <w:rFonts w:hint="eastAsia" w:ascii="楷体" w:hAnsi="楷体" w:eastAsia="楷体" w:cs="楷体"/>
          <w:b w:val="0"/>
          <w:bCs/>
          <w:color w:val="auto"/>
          <w:kern w:val="0"/>
          <w:sz w:val="32"/>
          <w:szCs w:val="32"/>
          <w:u w:val="none"/>
          <w:lang w:val="en-US" w:eastAsia="zh-CN"/>
        </w:rPr>
        <w:t>（五）加大评标情况公开力度。</w:t>
      </w:r>
      <w:r>
        <w:rPr>
          <w:rFonts w:hint="eastAsia" w:ascii="仿宋" w:hAnsi="仿宋" w:eastAsia="仿宋" w:cs="仿宋_GB2312"/>
          <w:color w:val="auto"/>
          <w:kern w:val="0"/>
          <w:sz w:val="32"/>
          <w:szCs w:val="32"/>
          <w:u w:val="none"/>
          <w:lang w:bidi="ar"/>
        </w:rPr>
        <w:t>2023年7月1日起，凡进入鄂尔多斯市公共资源交易平台交易依法必须招标的工程建设项目，发布中标候选人公示时，将评分情况向社会公开，提高招标投标活动透明度，促进评标过程的公平、公正。</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color w:val="auto"/>
          <w:u w:val="none"/>
          <w:lang w:val="en-US" w:eastAsia="zh-CN"/>
        </w:rPr>
      </w:pPr>
      <w:r>
        <w:rPr>
          <w:rFonts w:hint="eastAsia" w:ascii="黑体" w:hAnsi="黑体" w:eastAsia="黑体" w:cs="黑体"/>
          <w:b w:val="0"/>
          <w:bCs w:val="0"/>
          <w:color w:val="auto"/>
          <w:kern w:val="0"/>
          <w:sz w:val="32"/>
          <w:szCs w:val="32"/>
          <w:u w:val="none"/>
          <w:lang w:val="en-US" w:eastAsia="zh-CN" w:bidi="ar"/>
        </w:rPr>
        <w:t>四</w:t>
      </w:r>
      <w:bookmarkStart w:id="0" w:name="_GoBack"/>
      <w:bookmarkEnd w:id="0"/>
      <w:r>
        <w:rPr>
          <w:rFonts w:hint="eastAsia" w:ascii="黑体" w:hAnsi="黑体" w:eastAsia="黑体" w:cs="黑体"/>
          <w:b w:val="0"/>
          <w:bCs w:val="0"/>
          <w:color w:val="auto"/>
          <w:kern w:val="0"/>
          <w:sz w:val="32"/>
          <w:szCs w:val="32"/>
          <w:u w:val="none"/>
          <w:lang w:val="en-US" w:eastAsia="zh-CN" w:bidi="ar"/>
        </w:rPr>
        <w:t>、进一步落实监督管理职责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color w:val="auto"/>
          <w:kern w:val="0"/>
          <w:sz w:val="32"/>
          <w:szCs w:val="32"/>
          <w:u w:val="none"/>
          <w:lang w:val="en-US" w:eastAsia="zh-CN" w:bidi="ar"/>
        </w:rPr>
      </w:pPr>
      <w:r>
        <w:rPr>
          <w:rStyle w:val="14"/>
          <w:rFonts w:hint="eastAsia" w:ascii="楷体" w:hAnsi="楷体" w:eastAsia="楷体" w:cs="楷体"/>
          <w:b w:val="0"/>
          <w:bCs/>
          <w:color w:val="auto"/>
          <w:kern w:val="0"/>
          <w:sz w:val="32"/>
          <w:szCs w:val="32"/>
          <w:u w:val="none"/>
          <w:lang w:val="en-US" w:eastAsia="zh-CN"/>
        </w:rPr>
        <w:t>（一）促进公平竞争。</w:t>
      </w:r>
      <w:r>
        <w:rPr>
          <w:rFonts w:hint="eastAsia" w:ascii="仿宋" w:hAnsi="仿宋" w:eastAsia="仿宋" w:cs="仿宋_GB2312"/>
          <w:color w:val="auto"/>
          <w:kern w:val="0"/>
          <w:sz w:val="32"/>
          <w:szCs w:val="32"/>
          <w:u w:val="none"/>
          <w:lang w:bidi="ar"/>
        </w:rPr>
        <w:t>各行政监督部门</w:t>
      </w:r>
      <w:r>
        <w:rPr>
          <w:rFonts w:hint="eastAsia" w:ascii="仿宋" w:hAnsi="仿宋" w:eastAsia="仿宋" w:cs="仿宋_GB2312"/>
          <w:color w:val="auto"/>
          <w:kern w:val="0"/>
          <w:sz w:val="32"/>
          <w:szCs w:val="32"/>
          <w:u w:val="none"/>
          <w:lang w:val="en-US" w:eastAsia="zh-CN" w:bidi="ar"/>
        </w:rPr>
        <w:t>应当</w:t>
      </w:r>
      <w:r>
        <w:rPr>
          <w:rFonts w:hint="eastAsia" w:ascii="仿宋" w:hAnsi="仿宋" w:eastAsia="仿宋" w:cs="仿宋_GB2312"/>
          <w:color w:val="auto"/>
          <w:kern w:val="0"/>
          <w:sz w:val="32"/>
          <w:szCs w:val="32"/>
          <w:u w:val="none"/>
          <w:lang w:bidi="ar"/>
        </w:rPr>
        <w:t>参照《</w:t>
      </w:r>
      <w:r>
        <w:rPr>
          <w:rFonts w:hint="eastAsia" w:ascii="仿宋" w:hAnsi="仿宋" w:eastAsia="仿宋" w:cs="仿宋_GB2312"/>
          <w:color w:val="auto"/>
          <w:kern w:val="0"/>
          <w:sz w:val="32"/>
          <w:szCs w:val="32"/>
          <w:u w:val="none"/>
          <w:lang w:val="en-US" w:eastAsia="zh-CN" w:bidi="ar"/>
        </w:rPr>
        <w:t>国家</w:t>
      </w:r>
      <w:r>
        <w:rPr>
          <w:rFonts w:hint="eastAsia" w:ascii="仿宋" w:hAnsi="仿宋" w:eastAsia="仿宋" w:cs="仿宋_GB2312"/>
          <w:color w:val="auto"/>
          <w:kern w:val="0"/>
          <w:sz w:val="32"/>
          <w:szCs w:val="32"/>
          <w:u w:val="none"/>
          <w:lang w:bidi="ar"/>
        </w:rPr>
        <w:t>市场监管总局等五部门关于印发&lt;公平竞争审查制度实施细则&gt;的通知》</w:t>
      </w:r>
      <w:r>
        <w:rPr>
          <w:rFonts w:hint="eastAsia" w:ascii="仿宋" w:hAnsi="仿宋" w:eastAsia="仿宋" w:cs="仿宋_GB2312"/>
          <w:color w:val="auto"/>
          <w:kern w:val="0"/>
          <w:sz w:val="32"/>
          <w:szCs w:val="32"/>
          <w:u w:val="none"/>
          <w:lang w:eastAsia="zh-CN" w:bidi="ar"/>
        </w:rPr>
        <w:t>（国市监反垄规〔2021〕2号）</w:t>
      </w:r>
      <w:r>
        <w:rPr>
          <w:rFonts w:hint="eastAsia" w:ascii="仿宋" w:hAnsi="仿宋" w:eastAsia="仿宋" w:cs="仿宋_GB2312"/>
          <w:color w:val="auto"/>
          <w:kern w:val="0"/>
          <w:sz w:val="32"/>
          <w:szCs w:val="32"/>
          <w:u w:val="none"/>
          <w:lang w:bidi="ar"/>
        </w:rPr>
        <w:t>，建立依法必须招标项目招标文件公平竞争审查机制。</w:t>
      </w:r>
      <w:r>
        <w:rPr>
          <w:rFonts w:hint="eastAsia" w:ascii="仿宋" w:hAnsi="仿宋" w:eastAsia="仿宋" w:cs="仿宋_GB2312"/>
          <w:color w:val="auto"/>
          <w:kern w:val="0"/>
          <w:sz w:val="32"/>
          <w:szCs w:val="32"/>
          <w:u w:val="none"/>
          <w:lang w:bidi="ar"/>
        </w:rPr>
        <w:t>各部门制定有关招标投标制度规则时，</w:t>
      </w:r>
      <w:r>
        <w:rPr>
          <w:rFonts w:hint="eastAsia" w:ascii="仿宋" w:hAnsi="仿宋" w:eastAsia="仿宋" w:cs="仿宋_GB2312"/>
          <w:color w:val="auto"/>
          <w:kern w:val="0"/>
          <w:sz w:val="32"/>
          <w:szCs w:val="32"/>
          <w:u w:val="none"/>
          <w:lang w:val="en-US" w:eastAsia="zh-CN" w:bidi="ar"/>
        </w:rPr>
        <w:t>应</w:t>
      </w:r>
      <w:r>
        <w:rPr>
          <w:rFonts w:hint="eastAsia" w:ascii="仿宋" w:hAnsi="仿宋" w:eastAsia="仿宋" w:cs="仿宋_GB2312"/>
          <w:color w:val="auto"/>
          <w:kern w:val="0"/>
          <w:sz w:val="32"/>
          <w:szCs w:val="32"/>
          <w:u w:val="none"/>
          <w:lang w:bidi="ar"/>
        </w:rPr>
        <w:t>严格落实《优化营商环境条例》</w:t>
      </w:r>
      <w:r>
        <w:rPr>
          <w:rFonts w:hint="eastAsia" w:ascii="仿宋" w:hAnsi="仿宋" w:eastAsia="仿宋" w:cs="仿宋_GB2312"/>
          <w:color w:val="auto"/>
          <w:kern w:val="0"/>
          <w:sz w:val="32"/>
          <w:szCs w:val="32"/>
          <w:u w:val="none"/>
          <w:lang w:eastAsia="zh-CN" w:bidi="ar"/>
        </w:rPr>
        <w:t>（中华人民共和国国务院令第722号）</w:t>
      </w:r>
      <w:r>
        <w:rPr>
          <w:rFonts w:hint="eastAsia" w:ascii="仿宋" w:hAnsi="仿宋" w:eastAsia="仿宋" w:cs="仿宋_GB2312"/>
          <w:color w:val="auto"/>
          <w:kern w:val="0"/>
          <w:sz w:val="32"/>
          <w:szCs w:val="32"/>
          <w:u w:val="none"/>
          <w:lang w:bidi="ar"/>
        </w:rPr>
        <w:t>要求，认真开展公平竞争审查、合法性审核</w:t>
      </w:r>
      <w:r>
        <w:rPr>
          <w:rFonts w:hint="eastAsia" w:ascii="仿宋" w:hAnsi="仿宋" w:eastAsia="仿宋" w:cs="仿宋_GB2312"/>
          <w:color w:val="auto"/>
          <w:kern w:val="0"/>
          <w:sz w:val="32"/>
          <w:szCs w:val="32"/>
          <w:u w:val="none"/>
          <w:lang w:eastAsia="zh-CN" w:bidi="ar"/>
        </w:rPr>
        <w:t>，</w:t>
      </w:r>
      <w:r>
        <w:rPr>
          <w:rFonts w:hint="eastAsia" w:ascii="仿宋" w:hAnsi="仿宋" w:eastAsia="仿宋" w:cs="仿宋_GB2312"/>
          <w:color w:val="auto"/>
          <w:kern w:val="0"/>
          <w:sz w:val="32"/>
          <w:szCs w:val="32"/>
          <w:u w:val="none"/>
          <w:lang w:val="en-US" w:eastAsia="zh-CN" w:bidi="ar"/>
        </w:rPr>
        <w:t>充分听取市场主体、行业协会商会意见，并向社会公开征求意见。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_GB2312"/>
          <w:color w:val="auto"/>
          <w:kern w:val="0"/>
          <w:sz w:val="32"/>
          <w:szCs w:val="32"/>
          <w:u w:val="none"/>
          <w:lang w:bidi="ar"/>
        </w:rPr>
      </w:pPr>
      <w:r>
        <w:rPr>
          <w:rStyle w:val="14"/>
          <w:rFonts w:hint="eastAsia" w:ascii="楷体" w:hAnsi="楷体" w:eastAsia="楷体" w:cs="楷体"/>
          <w:b w:val="0"/>
          <w:bCs/>
          <w:color w:val="auto"/>
          <w:kern w:val="0"/>
          <w:sz w:val="32"/>
          <w:szCs w:val="32"/>
          <w:u w:val="none"/>
          <w:lang w:val="en-US" w:eastAsia="zh-CN"/>
        </w:rPr>
        <w:t>（二）健全监管机制。</w:t>
      </w:r>
      <w:r>
        <w:rPr>
          <w:rFonts w:hint="eastAsia" w:ascii="仿宋" w:hAnsi="仿宋" w:eastAsia="仿宋" w:cs="仿宋_GB2312"/>
          <w:color w:val="auto"/>
          <w:kern w:val="0"/>
          <w:sz w:val="32"/>
          <w:szCs w:val="32"/>
          <w:u w:val="none"/>
          <w:lang w:bidi="ar"/>
        </w:rPr>
        <w:t>各行政监督部门要按照职责分工，畅通投诉渠道，依法处理招标投标违法行为投诉，投诉处理结果反馈当事人的同时按规定向社会公开，接受社会监督；合理利用信访举报及时发现违法问题线索，鼓励建立内部举报人制度，对举报严重违法行为和提供重要线索的有功人员予以奖励和保护；建立投诉举报案件定期统计分析制度，聚焦突出问题，开展专项整治。</w:t>
      </w:r>
      <w:r>
        <w:rPr>
          <w:rFonts w:hint="eastAsia" w:ascii="仿宋" w:hAnsi="仿宋" w:eastAsia="仿宋" w:cs="仿宋_GB2312"/>
          <w:color w:val="auto"/>
          <w:kern w:val="0"/>
          <w:sz w:val="32"/>
          <w:szCs w:val="32"/>
          <w:u w:val="none"/>
          <w:lang w:val="en-US" w:eastAsia="zh-CN" w:bidi="ar"/>
        </w:rPr>
        <w:t>积极</w:t>
      </w:r>
      <w:r>
        <w:rPr>
          <w:rFonts w:hint="eastAsia" w:ascii="仿宋" w:hAnsi="仿宋" w:eastAsia="仿宋" w:cs="仿宋_GB2312"/>
          <w:color w:val="auto"/>
          <w:kern w:val="0"/>
          <w:sz w:val="32"/>
          <w:szCs w:val="32"/>
          <w:u w:val="none"/>
          <w:lang w:bidi="ar"/>
        </w:rPr>
        <w:t>落实《鄂尔多斯市政府投资项目招标投标社会监督员制度》，充分发挥社会监督作用。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color w:val="auto"/>
          <w:kern w:val="0"/>
          <w:sz w:val="32"/>
          <w:szCs w:val="32"/>
          <w:u w:val="none"/>
          <w:lang w:eastAsia="zh-CN" w:bidi="ar"/>
        </w:rPr>
      </w:pPr>
      <w:r>
        <w:rPr>
          <w:rStyle w:val="14"/>
          <w:rFonts w:hint="eastAsia" w:ascii="楷体" w:hAnsi="楷体" w:eastAsia="楷体" w:cs="楷体"/>
          <w:b w:val="0"/>
          <w:bCs/>
          <w:color w:val="auto"/>
          <w:kern w:val="0"/>
          <w:sz w:val="32"/>
          <w:szCs w:val="32"/>
          <w:u w:val="none"/>
          <w:lang w:val="en-US" w:eastAsia="zh-CN"/>
        </w:rPr>
        <w:t>（三）加大监管力度。</w:t>
      </w:r>
      <w:r>
        <w:rPr>
          <w:rFonts w:ascii="仿宋" w:hAnsi="仿宋" w:eastAsia="仿宋" w:cs="仿宋_GB2312"/>
          <w:color w:val="auto"/>
          <w:kern w:val="0"/>
          <w:sz w:val="32"/>
          <w:szCs w:val="32"/>
          <w:u w:val="none"/>
          <w:lang w:bidi="ar"/>
        </w:rPr>
        <w:t>各行政监督部门</w:t>
      </w:r>
      <w:r>
        <w:rPr>
          <w:rFonts w:hint="eastAsia" w:ascii="仿宋" w:hAnsi="仿宋" w:eastAsia="仿宋" w:cs="仿宋_GB2312"/>
          <w:color w:val="auto"/>
          <w:kern w:val="0"/>
          <w:sz w:val="32"/>
          <w:szCs w:val="32"/>
          <w:u w:val="none"/>
          <w:lang w:val="en-US" w:eastAsia="zh-CN" w:bidi="ar"/>
        </w:rPr>
        <w:t>要进一步深化“放管服”改革，</w:t>
      </w:r>
      <w:r>
        <w:rPr>
          <w:rFonts w:hint="eastAsia" w:ascii="仿宋" w:hAnsi="仿宋" w:eastAsia="仿宋" w:cs="仿宋_GB2312"/>
          <w:b w:val="0"/>
          <w:bCs w:val="0"/>
          <w:color w:val="auto"/>
          <w:kern w:val="0"/>
          <w:sz w:val="32"/>
          <w:szCs w:val="32"/>
          <w:u w:val="none"/>
          <w:lang w:bidi="ar"/>
        </w:rPr>
        <w:t>全</w:t>
      </w:r>
      <w:r>
        <w:rPr>
          <w:rFonts w:ascii="仿宋" w:hAnsi="仿宋" w:eastAsia="仿宋" w:cs="仿宋_GB2312"/>
          <w:color w:val="auto"/>
          <w:kern w:val="0"/>
          <w:sz w:val="32"/>
          <w:szCs w:val="32"/>
          <w:u w:val="none"/>
          <w:lang w:bidi="ar"/>
        </w:rPr>
        <w:t>面推行招标投标领域“</w:t>
      </w:r>
      <w:r>
        <w:rPr>
          <w:rFonts w:hint="eastAsia" w:ascii="仿宋" w:hAnsi="仿宋" w:eastAsia="仿宋" w:cs="仿宋_GB2312"/>
          <w:color w:val="auto"/>
          <w:kern w:val="0"/>
          <w:sz w:val="32"/>
          <w:szCs w:val="32"/>
          <w:u w:val="none"/>
          <w:lang w:bidi="ar"/>
        </w:rPr>
        <w:t>双随机、一公开</w:t>
      </w:r>
      <w:r>
        <w:rPr>
          <w:rFonts w:ascii="仿宋" w:hAnsi="仿宋" w:eastAsia="仿宋" w:cs="仿宋_GB2312"/>
          <w:color w:val="auto"/>
          <w:kern w:val="0"/>
          <w:sz w:val="32"/>
          <w:szCs w:val="32"/>
          <w:u w:val="none"/>
          <w:lang w:bidi="ar"/>
        </w:rPr>
        <w:t>”监管和标后评估制度，</w:t>
      </w:r>
      <w:r>
        <w:rPr>
          <w:rFonts w:hint="eastAsia" w:ascii="仿宋" w:hAnsi="仿宋" w:eastAsia="仿宋" w:cs="仿宋_GB2312"/>
          <w:color w:val="auto"/>
          <w:kern w:val="0"/>
          <w:sz w:val="32"/>
          <w:szCs w:val="32"/>
          <w:u w:val="none"/>
          <w:lang w:bidi="ar"/>
        </w:rPr>
        <w:t>抽查检查结果通过有关行政监督部门网站及时向社会公开，接受社会监督，并同步归集至本级公共资源交易平台。充分发挥公共资源交易平台作用，</w:t>
      </w:r>
      <w:r>
        <w:rPr>
          <w:rFonts w:hint="eastAsia" w:ascii="仿宋" w:hAnsi="仿宋" w:eastAsia="仿宋" w:cs="仿宋_GB2312"/>
          <w:color w:val="auto"/>
          <w:kern w:val="0"/>
          <w:sz w:val="32"/>
          <w:szCs w:val="32"/>
          <w:u w:val="none"/>
          <w:lang w:eastAsia="zh-CN" w:bidi="ar"/>
        </w:rPr>
        <w:t>积极配合支持</w:t>
      </w:r>
      <w:r>
        <w:rPr>
          <w:rFonts w:hint="eastAsia" w:ascii="仿宋" w:hAnsi="仿宋" w:eastAsia="仿宋" w:cs="仿宋_GB2312"/>
          <w:color w:val="auto"/>
          <w:kern w:val="0"/>
          <w:sz w:val="32"/>
          <w:szCs w:val="32"/>
          <w:u w:val="none"/>
          <w:lang w:val="en-US" w:eastAsia="zh-CN" w:bidi="ar"/>
        </w:rPr>
        <w:t>各</w:t>
      </w:r>
      <w:r>
        <w:rPr>
          <w:rFonts w:hint="eastAsia" w:ascii="仿宋" w:hAnsi="仿宋" w:eastAsia="仿宋" w:cs="仿宋_GB2312"/>
          <w:color w:val="auto"/>
          <w:kern w:val="0"/>
          <w:sz w:val="32"/>
          <w:szCs w:val="32"/>
          <w:u w:val="none"/>
          <w:lang w:eastAsia="zh-CN" w:bidi="ar"/>
        </w:rPr>
        <w:t>行政监督部门履行职责</w:t>
      </w:r>
      <w:r>
        <w:rPr>
          <w:rFonts w:hint="eastAsia" w:ascii="仿宋" w:hAnsi="仿宋" w:eastAsia="仿宋" w:cs="仿宋_GB2312"/>
          <w:color w:val="auto"/>
          <w:kern w:val="0"/>
          <w:sz w:val="32"/>
          <w:szCs w:val="32"/>
          <w:u w:val="none"/>
          <w:lang w:bidi="ar"/>
        </w:rPr>
        <w:t>，实现交易服务与行政监督的有效衔接</w:t>
      </w:r>
      <w:r>
        <w:rPr>
          <w:rFonts w:hint="eastAsia" w:ascii="仿宋" w:hAnsi="仿宋" w:eastAsia="仿宋" w:cs="仿宋_GB2312"/>
          <w:color w:val="auto"/>
          <w:kern w:val="0"/>
          <w:sz w:val="32"/>
          <w:szCs w:val="32"/>
          <w:u w:val="none"/>
          <w:lang w:eastAsia="zh-CN" w:bidi="ar"/>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_GB2312"/>
          <w:color w:val="auto"/>
          <w:kern w:val="0"/>
          <w:sz w:val="32"/>
          <w:szCs w:val="32"/>
          <w:u w:val="none"/>
          <w:lang w:bidi="ar"/>
        </w:rPr>
      </w:pPr>
      <w:r>
        <w:rPr>
          <w:rStyle w:val="14"/>
          <w:rFonts w:hint="eastAsia" w:ascii="楷体" w:hAnsi="楷体" w:eastAsia="楷体" w:cs="楷体"/>
          <w:b w:val="0"/>
          <w:bCs/>
          <w:color w:val="auto"/>
          <w:kern w:val="0"/>
          <w:sz w:val="32"/>
          <w:szCs w:val="32"/>
          <w:u w:val="none"/>
          <w:lang w:val="en-US" w:eastAsia="zh-CN"/>
        </w:rPr>
        <w:t>（四）强化协同监管。</w:t>
      </w:r>
      <w:r>
        <w:rPr>
          <w:rFonts w:ascii="仿宋" w:hAnsi="仿宋" w:eastAsia="仿宋" w:cs="仿宋_GB2312"/>
          <w:color w:val="auto"/>
          <w:kern w:val="0"/>
          <w:sz w:val="32"/>
          <w:szCs w:val="32"/>
          <w:u w:val="none"/>
          <w:lang w:bidi="ar"/>
        </w:rPr>
        <w:t>健全各行政监督部门</w:t>
      </w:r>
      <w:r>
        <w:rPr>
          <w:rFonts w:hint="eastAsia" w:ascii="仿宋" w:hAnsi="仿宋" w:eastAsia="仿宋" w:cs="仿宋_GB2312"/>
          <w:color w:val="auto"/>
          <w:kern w:val="0"/>
          <w:sz w:val="32"/>
          <w:szCs w:val="32"/>
          <w:u w:val="none"/>
          <w:lang w:bidi="ar"/>
        </w:rPr>
        <w:t>协同监管和信息共享机制，建立各行政监督部门与公安机关有效的协调联动机制，加大对围标串标等违法犯罪行为的打击力度。加强与纪检监察机关、审计机关协作配合，按照规定做好招标投标领域违规违纪违法问题线索移交，对收到的问题线索认真核查处理。</w:t>
      </w:r>
      <w:r>
        <w:rPr>
          <w:rFonts w:hint="eastAsia" w:ascii="仿宋" w:hAnsi="仿宋" w:eastAsia="仿宋" w:cs="仿宋_GB2312"/>
          <w:color w:val="auto"/>
          <w:kern w:val="0"/>
          <w:sz w:val="32"/>
          <w:szCs w:val="32"/>
          <w:u w:val="none"/>
          <w:lang w:bidi="ar"/>
        </w:rPr>
        <w:t>加快推进“互联网＋监管”，不断探索完善智慧监管手段，及时预警、发现和查证违法行为。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_GB2312"/>
          <w:color w:val="auto"/>
          <w:kern w:val="0"/>
          <w:sz w:val="32"/>
          <w:szCs w:val="32"/>
          <w:u w:val="none"/>
          <w:lang w:bidi="ar"/>
        </w:rPr>
      </w:pPr>
      <w:r>
        <w:rPr>
          <w:rFonts w:hint="eastAsia" w:ascii="仿宋" w:hAnsi="仿宋" w:eastAsia="仿宋" w:cs="仿宋_GB2312"/>
          <w:color w:val="auto"/>
          <w:kern w:val="0"/>
          <w:sz w:val="32"/>
          <w:szCs w:val="32"/>
          <w:u w:val="none"/>
          <w:lang w:bidi="ar"/>
        </w:rPr>
        <w:t>本文件自印发之日起施行。各部门要充分</w:t>
      </w:r>
      <w:r>
        <w:rPr>
          <w:rFonts w:hint="eastAsia" w:ascii="仿宋" w:hAnsi="仿宋" w:eastAsia="仿宋" w:cs="仿宋_GB2312"/>
          <w:color w:val="auto"/>
          <w:kern w:val="0"/>
          <w:sz w:val="32"/>
          <w:szCs w:val="32"/>
          <w:u w:val="none"/>
          <w:lang w:val="en-US" w:eastAsia="zh-CN" w:bidi="ar"/>
        </w:rPr>
        <w:t>认识</w:t>
      </w:r>
      <w:r>
        <w:rPr>
          <w:rFonts w:hint="eastAsia" w:ascii="仿宋" w:hAnsi="仿宋" w:eastAsia="仿宋" w:cs="仿宋_GB2312"/>
          <w:color w:val="auto"/>
          <w:kern w:val="0"/>
          <w:sz w:val="32"/>
          <w:szCs w:val="32"/>
          <w:u w:val="none"/>
          <w:lang w:bidi="ar"/>
        </w:rPr>
        <w:t>营造更好营商环境的重要性，认真贯彻落实党中央、国务院决策部署，按照</w:t>
      </w:r>
      <w:r>
        <w:rPr>
          <w:rFonts w:hint="eastAsia" w:ascii="仿宋" w:hAnsi="仿宋" w:eastAsia="仿宋" w:cs="仿宋_GB2312"/>
          <w:color w:val="auto"/>
          <w:kern w:val="0"/>
          <w:sz w:val="32"/>
          <w:szCs w:val="32"/>
          <w:u w:val="none"/>
          <w:lang w:val="en-US" w:eastAsia="zh-CN" w:bidi="ar"/>
        </w:rPr>
        <w:t>自治区、我市</w:t>
      </w:r>
      <w:r>
        <w:rPr>
          <w:rFonts w:hint="eastAsia" w:ascii="仿宋" w:hAnsi="仿宋" w:eastAsia="仿宋" w:cs="仿宋_GB2312"/>
          <w:color w:val="auto"/>
          <w:kern w:val="0"/>
          <w:sz w:val="32"/>
          <w:szCs w:val="32"/>
          <w:u w:val="none"/>
          <w:lang w:bidi="ar"/>
        </w:rPr>
        <w:t>相关工作要求，结合各自实际，完善工作机制，细化支持政策，创新具体举措，确保各项政策措施落地见效。</w:t>
      </w:r>
    </w:p>
    <w:sectPr>
      <w:footerReference r:id="rId3" w:type="default"/>
      <w:pgSz w:w="11906" w:h="16838"/>
      <w:pgMar w:top="1984" w:right="1474" w:bottom="1928"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D6BC073-A05A-43ED-B248-D327B2CB453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2" w:fontKey="{9A4861BE-0E7F-4A9D-BB30-06E776A69110}"/>
  </w:font>
  <w:font w:name="微软雅黑">
    <w:panose1 w:val="020B0503020204020204"/>
    <w:charset w:val="86"/>
    <w:family w:val="auto"/>
    <w:pitch w:val="default"/>
    <w:sig w:usb0="80000287" w:usb1="2ACF3C50" w:usb2="00000016" w:usb3="00000000" w:csb0="0004001F" w:csb1="00000000"/>
    <w:embedRegular r:id="rId3" w:fontKey="{2CC8CB72-7662-474A-87A8-F5622367FF07}"/>
  </w:font>
  <w:font w:name="仿宋_GB2312">
    <w:panose1 w:val="02010609030101010101"/>
    <w:charset w:val="86"/>
    <w:family w:val="modern"/>
    <w:pitch w:val="default"/>
    <w:sig w:usb0="00000001" w:usb1="080E0000" w:usb2="00000000" w:usb3="00000000" w:csb0="00040000" w:csb1="00000000"/>
    <w:embedRegular r:id="rId4" w:fontKey="{BAA2DD2D-C16E-4FF8-B875-C54847E486AA}"/>
  </w:font>
  <w:font w:name="楷体">
    <w:panose1 w:val="02010609060101010101"/>
    <w:charset w:val="86"/>
    <w:family w:val="auto"/>
    <w:pitch w:val="default"/>
    <w:sig w:usb0="800002BF" w:usb1="38CF7CFA" w:usb2="00000016" w:usb3="00000000" w:csb0="00040001" w:csb1="00000000"/>
    <w:embedRegular r:id="rId5" w:fontKey="{AD914081-3757-43A3-9443-38504CAE73A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mZDVkOGI3ZWExZDgzYmUzMWY2YTEzMTRjNGIyYjcifQ=="/>
  </w:docVars>
  <w:rsids>
    <w:rsidRoot w:val="00DD5682"/>
    <w:rsid w:val="00005D72"/>
    <w:rsid w:val="00010739"/>
    <w:rsid w:val="00024A67"/>
    <w:rsid w:val="0004096F"/>
    <w:rsid w:val="000415E0"/>
    <w:rsid w:val="00060085"/>
    <w:rsid w:val="00061A1B"/>
    <w:rsid w:val="0007197E"/>
    <w:rsid w:val="000A2501"/>
    <w:rsid w:val="000A3704"/>
    <w:rsid w:val="000A3815"/>
    <w:rsid w:val="000A6E9F"/>
    <w:rsid w:val="000C4439"/>
    <w:rsid w:val="0010667D"/>
    <w:rsid w:val="0011324A"/>
    <w:rsid w:val="00157E32"/>
    <w:rsid w:val="00177D96"/>
    <w:rsid w:val="0019432F"/>
    <w:rsid w:val="00197A29"/>
    <w:rsid w:val="00197AFC"/>
    <w:rsid w:val="001A1E08"/>
    <w:rsid w:val="001B49A3"/>
    <w:rsid w:val="001D3D68"/>
    <w:rsid w:val="001D463B"/>
    <w:rsid w:val="001E0518"/>
    <w:rsid w:val="001E0EC8"/>
    <w:rsid w:val="001E2B30"/>
    <w:rsid w:val="001F1A30"/>
    <w:rsid w:val="001F23CC"/>
    <w:rsid w:val="0020191D"/>
    <w:rsid w:val="00207569"/>
    <w:rsid w:val="002125E0"/>
    <w:rsid w:val="002165F9"/>
    <w:rsid w:val="002376AA"/>
    <w:rsid w:val="0024259C"/>
    <w:rsid w:val="00243E6F"/>
    <w:rsid w:val="0024783D"/>
    <w:rsid w:val="002503D9"/>
    <w:rsid w:val="00250E82"/>
    <w:rsid w:val="0025523E"/>
    <w:rsid w:val="00264666"/>
    <w:rsid w:val="002654A8"/>
    <w:rsid w:val="00276B34"/>
    <w:rsid w:val="00294C2D"/>
    <w:rsid w:val="002968D9"/>
    <w:rsid w:val="002A5A95"/>
    <w:rsid w:val="002B3200"/>
    <w:rsid w:val="002B42D3"/>
    <w:rsid w:val="002D29A2"/>
    <w:rsid w:val="002D3151"/>
    <w:rsid w:val="002D7874"/>
    <w:rsid w:val="002D7DCE"/>
    <w:rsid w:val="002F5B4C"/>
    <w:rsid w:val="002F734E"/>
    <w:rsid w:val="00300591"/>
    <w:rsid w:val="003027D3"/>
    <w:rsid w:val="00307D5B"/>
    <w:rsid w:val="00325B70"/>
    <w:rsid w:val="0032733B"/>
    <w:rsid w:val="00327582"/>
    <w:rsid w:val="003469B9"/>
    <w:rsid w:val="0036114F"/>
    <w:rsid w:val="00362261"/>
    <w:rsid w:val="003849D8"/>
    <w:rsid w:val="0038549B"/>
    <w:rsid w:val="00391BE0"/>
    <w:rsid w:val="0039762D"/>
    <w:rsid w:val="003A4199"/>
    <w:rsid w:val="003B2594"/>
    <w:rsid w:val="003B275A"/>
    <w:rsid w:val="003B3DC6"/>
    <w:rsid w:val="003B77DA"/>
    <w:rsid w:val="003C5476"/>
    <w:rsid w:val="003E4478"/>
    <w:rsid w:val="003F4C90"/>
    <w:rsid w:val="003F676E"/>
    <w:rsid w:val="0040593D"/>
    <w:rsid w:val="00405EC0"/>
    <w:rsid w:val="00417155"/>
    <w:rsid w:val="00426E68"/>
    <w:rsid w:val="0044161B"/>
    <w:rsid w:val="00444B72"/>
    <w:rsid w:val="00460435"/>
    <w:rsid w:val="004643A3"/>
    <w:rsid w:val="00473308"/>
    <w:rsid w:val="004733CF"/>
    <w:rsid w:val="00474855"/>
    <w:rsid w:val="00475810"/>
    <w:rsid w:val="0048545F"/>
    <w:rsid w:val="00492C39"/>
    <w:rsid w:val="00492D0E"/>
    <w:rsid w:val="004A21BB"/>
    <w:rsid w:val="004B4CD9"/>
    <w:rsid w:val="004C2F65"/>
    <w:rsid w:val="004C561B"/>
    <w:rsid w:val="004C7845"/>
    <w:rsid w:val="004F59F5"/>
    <w:rsid w:val="00507458"/>
    <w:rsid w:val="00510D42"/>
    <w:rsid w:val="00520A4A"/>
    <w:rsid w:val="005265F3"/>
    <w:rsid w:val="0052776C"/>
    <w:rsid w:val="00531B18"/>
    <w:rsid w:val="00540083"/>
    <w:rsid w:val="005453CB"/>
    <w:rsid w:val="00546B15"/>
    <w:rsid w:val="00551B36"/>
    <w:rsid w:val="0057223D"/>
    <w:rsid w:val="00577358"/>
    <w:rsid w:val="005C2C8A"/>
    <w:rsid w:val="005C3A25"/>
    <w:rsid w:val="005C3F7A"/>
    <w:rsid w:val="005E322E"/>
    <w:rsid w:val="005F21E2"/>
    <w:rsid w:val="005F57B6"/>
    <w:rsid w:val="006114AE"/>
    <w:rsid w:val="0061402D"/>
    <w:rsid w:val="006266F0"/>
    <w:rsid w:val="006301AD"/>
    <w:rsid w:val="00632AB6"/>
    <w:rsid w:val="00643A6C"/>
    <w:rsid w:val="00667941"/>
    <w:rsid w:val="006708C3"/>
    <w:rsid w:val="00671C21"/>
    <w:rsid w:val="00671C79"/>
    <w:rsid w:val="00684261"/>
    <w:rsid w:val="0069023B"/>
    <w:rsid w:val="00691720"/>
    <w:rsid w:val="00695863"/>
    <w:rsid w:val="00696992"/>
    <w:rsid w:val="006A15AD"/>
    <w:rsid w:val="006A24A8"/>
    <w:rsid w:val="006A6027"/>
    <w:rsid w:val="006C1F58"/>
    <w:rsid w:val="006E0721"/>
    <w:rsid w:val="006E0DE5"/>
    <w:rsid w:val="006E12B2"/>
    <w:rsid w:val="006F4ADA"/>
    <w:rsid w:val="00711680"/>
    <w:rsid w:val="00714795"/>
    <w:rsid w:val="0071682A"/>
    <w:rsid w:val="007259B1"/>
    <w:rsid w:val="007467F2"/>
    <w:rsid w:val="00757168"/>
    <w:rsid w:val="00776024"/>
    <w:rsid w:val="007845EC"/>
    <w:rsid w:val="00790D58"/>
    <w:rsid w:val="00795162"/>
    <w:rsid w:val="007B31B6"/>
    <w:rsid w:val="007C4BAF"/>
    <w:rsid w:val="007C6E5C"/>
    <w:rsid w:val="007D101C"/>
    <w:rsid w:val="007E1C1C"/>
    <w:rsid w:val="0080156F"/>
    <w:rsid w:val="008024E5"/>
    <w:rsid w:val="00814CFB"/>
    <w:rsid w:val="00834DBD"/>
    <w:rsid w:val="00836410"/>
    <w:rsid w:val="00852F34"/>
    <w:rsid w:val="008545DA"/>
    <w:rsid w:val="00860FD5"/>
    <w:rsid w:val="00866513"/>
    <w:rsid w:val="008665D1"/>
    <w:rsid w:val="00866ABE"/>
    <w:rsid w:val="00867F64"/>
    <w:rsid w:val="0088422C"/>
    <w:rsid w:val="008B59CE"/>
    <w:rsid w:val="0090067F"/>
    <w:rsid w:val="00916140"/>
    <w:rsid w:val="00917773"/>
    <w:rsid w:val="00920F9B"/>
    <w:rsid w:val="00931A1E"/>
    <w:rsid w:val="00947DD1"/>
    <w:rsid w:val="00950455"/>
    <w:rsid w:val="00981663"/>
    <w:rsid w:val="00986CCD"/>
    <w:rsid w:val="00990C39"/>
    <w:rsid w:val="009A5583"/>
    <w:rsid w:val="009B7097"/>
    <w:rsid w:val="009C1D8B"/>
    <w:rsid w:val="009C7A46"/>
    <w:rsid w:val="009E2B01"/>
    <w:rsid w:val="009F2ACF"/>
    <w:rsid w:val="009F4647"/>
    <w:rsid w:val="009F4D15"/>
    <w:rsid w:val="009F7D73"/>
    <w:rsid w:val="00A02373"/>
    <w:rsid w:val="00A235DD"/>
    <w:rsid w:val="00A45456"/>
    <w:rsid w:val="00A522B2"/>
    <w:rsid w:val="00A56122"/>
    <w:rsid w:val="00A5620F"/>
    <w:rsid w:val="00A574BC"/>
    <w:rsid w:val="00A65B70"/>
    <w:rsid w:val="00A708D6"/>
    <w:rsid w:val="00A70C76"/>
    <w:rsid w:val="00A724EC"/>
    <w:rsid w:val="00A7278B"/>
    <w:rsid w:val="00A90673"/>
    <w:rsid w:val="00A9283D"/>
    <w:rsid w:val="00AC431D"/>
    <w:rsid w:val="00AC4E1A"/>
    <w:rsid w:val="00AC4E7B"/>
    <w:rsid w:val="00AD18B3"/>
    <w:rsid w:val="00AD2EEE"/>
    <w:rsid w:val="00AD35AA"/>
    <w:rsid w:val="00B011E5"/>
    <w:rsid w:val="00B050B5"/>
    <w:rsid w:val="00B052D4"/>
    <w:rsid w:val="00B11769"/>
    <w:rsid w:val="00B22BC0"/>
    <w:rsid w:val="00B25547"/>
    <w:rsid w:val="00B274FC"/>
    <w:rsid w:val="00B32F26"/>
    <w:rsid w:val="00B42AC7"/>
    <w:rsid w:val="00B546C4"/>
    <w:rsid w:val="00B63A0A"/>
    <w:rsid w:val="00B646EB"/>
    <w:rsid w:val="00B926A0"/>
    <w:rsid w:val="00B96445"/>
    <w:rsid w:val="00BA0ACB"/>
    <w:rsid w:val="00BA66EE"/>
    <w:rsid w:val="00BA681D"/>
    <w:rsid w:val="00BB282E"/>
    <w:rsid w:val="00BC3B7B"/>
    <w:rsid w:val="00BE2F6E"/>
    <w:rsid w:val="00BE6DE4"/>
    <w:rsid w:val="00BF4416"/>
    <w:rsid w:val="00C02729"/>
    <w:rsid w:val="00C03165"/>
    <w:rsid w:val="00C116DF"/>
    <w:rsid w:val="00C17142"/>
    <w:rsid w:val="00C24FA8"/>
    <w:rsid w:val="00C25CAD"/>
    <w:rsid w:val="00C403B8"/>
    <w:rsid w:val="00C57BB7"/>
    <w:rsid w:val="00C733C1"/>
    <w:rsid w:val="00C7419D"/>
    <w:rsid w:val="00C824B4"/>
    <w:rsid w:val="00C85259"/>
    <w:rsid w:val="00C96BEE"/>
    <w:rsid w:val="00CB3A56"/>
    <w:rsid w:val="00CC40F7"/>
    <w:rsid w:val="00CD6639"/>
    <w:rsid w:val="00CE5F42"/>
    <w:rsid w:val="00CF0465"/>
    <w:rsid w:val="00CF7AE0"/>
    <w:rsid w:val="00D054A4"/>
    <w:rsid w:val="00D06038"/>
    <w:rsid w:val="00D076A7"/>
    <w:rsid w:val="00D13598"/>
    <w:rsid w:val="00D1397D"/>
    <w:rsid w:val="00D179F1"/>
    <w:rsid w:val="00D41A7F"/>
    <w:rsid w:val="00D443AD"/>
    <w:rsid w:val="00D57B76"/>
    <w:rsid w:val="00D63748"/>
    <w:rsid w:val="00D64313"/>
    <w:rsid w:val="00D74D7A"/>
    <w:rsid w:val="00D81765"/>
    <w:rsid w:val="00D83D68"/>
    <w:rsid w:val="00D8528A"/>
    <w:rsid w:val="00D87426"/>
    <w:rsid w:val="00D942D5"/>
    <w:rsid w:val="00D95E3C"/>
    <w:rsid w:val="00D97445"/>
    <w:rsid w:val="00DA4C14"/>
    <w:rsid w:val="00DD1536"/>
    <w:rsid w:val="00DD5682"/>
    <w:rsid w:val="00DD6855"/>
    <w:rsid w:val="00E0114A"/>
    <w:rsid w:val="00E3093C"/>
    <w:rsid w:val="00E33357"/>
    <w:rsid w:val="00E37B0D"/>
    <w:rsid w:val="00E422E6"/>
    <w:rsid w:val="00E45A0E"/>
    <w:rsid w:val="00E6507B"/>
    <w:rsid w:val="00E66A74"/>
    <w:rsid w:val="00E67EA0"/>
    <w:rsid w:val="00E70478"/>
    <w:rsid w:val="00E765EB"/>
    <w:rsid w:val="00EA233A"/>
    <w:rsid w:val="00EB4774"/>
    <w:rsid w:val="00EB7E1B"/>
    <w:rsid w:val="00ED35CB"/>
    <w:rsid w:val="00EE3318"/>
    <w:rsid w:val="00EE6EDF"/>
    <w:rsid w:val="00EF091A"/>
    <w:rsid w:val="00F12755"/>
    <w:rsid w:val="00F156E6"/>
    <w:rsid w:val="00F2033F"/>
    <w:rsid w:val="00F22E8E"/>
    <w:rsid w:val="00F24A22"/>
    <w:rsid w:val="00F27A18"/>
    <w:rsid w:val="00F32530"/>
    <w:rsid w:val="00F34381"/>
    <w:rsid w:val="00F41BCD"/>
    <w:rsid w:val="00F44B53"/>
    <w:rsid w:val="00F474F1"/>
    <w:rsid w:val="00F5176D"/>
    <w:rsid w:val="00F55885"/>
    <w:rsid w:val="00F620BC"/>
    <w:rsid w:val="00F66ED0"/>
    <w:rsid w:val="00F75516"/>
    <w:rsid w:val="00F77C8E"/>
    <w:rsid w:val="00F8783A"/>
    <w:rsid w:val="00FD1FC4"/>
    <w:rsid w:val="00FE44D0"/>
    <w:rsid w:val="00FF6E0C"/>
    <w:rsid w:val="02B24BBC"/>
    <w:rsid w:val="02B564AF"/>
    <w:rsid w:val="02D23086"/>
    <w:rsid w:val="038C76EB"/>
    <w:rsid w:val="05793C8D"/>
    <w:rsid w:val="07E07FF3"/>
    <w:rsid w:val="08296EA9"/>
    <w:rsid w:val="09373D98"/>
    <w:rsid w:val="0B495539"/>
    <w:rsid w:val="0D4B23AD"/>
    <w:rsid w:val="0E1A1D85"/>
    <w:rsid w:val="0EDE1004"/>
    <w:rsid w:val="0EEC47D6"/>
    <w:rsid w:val="0F0948F1"/>
    <w:rsid w:val="0F5E07FD"/>
    <w:rsid w:val="10E2669D"/>
    <w:rsid w:val="114109CA"/>
    <w:rsid w:val="130C44A2"/>
    <w:rsid w:val="159D5775"/>
    <w:rsid w:val="1602382A"/>
    <w:rsid w:val="160C26C2"/>
    <w:rsid w:val="16E25F62"/>
    <w:rsid w:val="17985817"/>
    <w:rsid w:val="19091AA9"/>
    <w:rsid w:val="19B60BB4"/>
    <w:rsid w:val="19C154A9"/>
    <w:rsid w:val="1B696DAE"/>
    <w:rsid w:val="1B813443"/>
    <w:rsid w:val="1BC118D5"/>
    <w:rsid w:val="1CD35F20"/>
    <w:rsid w:val="1E6102B9"/>
    <w:rsid w:val="1E7E0E69"/>
    <w:rsid w:val="2059673D"/>
    <w:rsid w:val="21823618"/>
    <w:rsid w:val="21B0348F"/>
    <w:rsid w:val="21B522D0"/>
    <w:rsid w:val="22346FB7"/>
    <w:rsid w:val="225472EC"/>
    <w:rsid w:val="226450B8"/>
    <w:rsid w:val="229B58DF"/>
    <w:rsid w:val="22B16E19"/>
    <w:rsid w:val="23751ADF"/>
    <w:rsid w:val="23BC14BC"/>
    <w:rsid w:val="23E66539"/>
    <w:rsid w:val="23FC1889"/>
    <w:rsid w:val="2460453E"/>
    <w:rsid w:val="24D26ABE"/>
    <w:rsid w:val="25494FD2"/>
    <w:rsid w:val="25CC0F82"/>
    <w:rsid w:val="25E847EB"/>
    <w:rsid w:val="27075482"/>
    <w:rsid w:val="271D5449"/>
    <w:rsid w:val="280451E0"/>
    <w:rsid w:val="28B373A9"/>
    <w:rsid w:val="293D1F9C"/>
    <w:rsid w:val="2A8D5961"/>
    <w:rsid w:val="2B4713D7"/>
    <w:rsid w:val="2DAD137C"/>
    <w:rsid w:val="2F1C5505"/>
    <w:rsid w:val="31077640"/>
    <w:rsid w:val="322C29D4"/>
    <w:rsid w:val="32537490"/>
    <w:rsid w:val="32BA12BD"/>
    <w:rsid w:val="33370B5F"/>
    <w:rsid w:val="344B020D"/>
    <w:rsid w:val="357C00DE"/>
    <w:rsid w:val="359A2503"/>
    <w:rsid w:val="36527B36"/>
    <w:rsid w:val="36A22794"/>
    <w:rsid w:val="37B35818"/>
    <w:rsid w:val="37C14E9C"/>
    <w:rsid w:val="381C01A8"/>
    <w:rsid w:val="3A0F3DB9"/>
    <w:rsid w:val="3AD066F6"/>
    <w:rsid w:val="3EA95E5F"/>
    <w:rsid w:val="40722652"/>
    <w:rsid w:val="408178BE"/>
    <w:rsid w:val="411029F0"/>
    <w:rsid w:val="43104F29"/>
    <w:rsid w:val="438C2802"/>
    <w:rsid w:val="43DC5964"/>
    <w:rsid w:val="441337C7"/>
    <w:rsid w:val="44AB18A9"/>
    <w:rsid w:val="44CE3C33"/>
    <w:rsid w:val="46244F73"/>
    <w:rsid w:val="483B47FA"/>
    <w:rsid w:val="487C138D"/>
    <w:rsid w:val="4A4060F4"/>
    <w:rsid w:val="4BE331DB"/>
    <w:rsid w:val="4BEB1017"/>
    <w:rsid w:val="4C926E25"/>
    <w:rsid w:val="4D023B34"/>
    <w:rsid w:val="4D6F00D0"/>
    <w:rsid w:val="4ECA6DE3"/>
    <w:rsid w:val="507C141B"/>
    <w:rsid w:val="50C716FE"/>
    <w:rsid w:val="51C12734"/>
    <w:rsid w:val="51C95B83"/>
    <w:rsid w:val="522A69DB"/>
    <w:rsid w:val="5237546C"/>
    <w:rsid w:val="52435A37"/>
    <w:rsid w:val="5251717C"/>
    <w:rsid w:val="529A036B"/>
    <w:rsid w:val="531E355E"/>
    <w:rsid w:val="53217C98"/>
    <w:rsid w:val="53B10F44"/>
    <w:rsid w:val="54244390"/>
    <w:rsid w:val="54867195"/>
    <w:rsid w:val="55A0038E"/>
    <w:rsid w:val="56503B63"/>
    <w:rsid w:val="572D5C52"/>
    <w:rsid w:val="57324A08"/>
    <w:rsid w:val="578E7C59"/>
    <w:rsid w:val="57E26A3C"/>
    <w:rsid w:val="580469B3"/>
    <w:rsid w:val="58692CBA"/>
    <w:rsid w:val="594A1EE8"/>
    <w:rsid w:val="596077B9"/>
    <w:rsid w:val="5A861BE0"/>
    <w:rsid w:val="5CF35248"/>
    <w:rsid w:val="5DF82358"/>
    <w:rsid w:val="5EE81253"/>
    <w:rsid w:val="5FA665A1"/>
    <w:rsid w:val="604007A4"/>
    <w:rsid w:val="60465F69"/>
    <w:rsid w:val="608368E3"/>
    <w:rsid w:val="62D60D85"/>
    <w:rsid w:val="62D72229"/>
    <w:rsid w:val="62E2255F"/>
    <w:rsid w:val="6358013A"/>
    <w:rsid w:val="64874BF3"/>
    <w:rsid w:val="656C1E37"/>
    <w:rsid w:val="666D3AFB"/>
    <w:rsid w:val="673821D5"/>
    <w:rsid w:val="68FE5BD9"/>
    <w:rsid w:val="696E467C"/>
    <w:rsid w:val="69794D27"/>
    <w:rsid w:val="69E803A9"/>
    <w:rsid w:val="6A5A6C66"/>
    <w:rsid w:val="6C0B435C"/>
    <w:rsid w:val="6CF62EDC"/>
    <w:rsid w:val="6DFC0282"/>
    <w:rsid w:val="6E7E3088"/>
    <w:rsid w:val="6F1E743A"/>
    <w:rsid w:val="6FA33BDE"/>
    <w:rsid w:val="6FD4200F"/>
    <w:rsid w:val="71494FDF"/>
    <w:rsid w:val="7284181A"/>
    <w:rsid w:val="72BD5C84"/>
    <w:rsid w:val="732170E5"/>
    <w:rsid w:val="739F7F9D"/>
    <w:rsid w:val="756920F3"/>
    <w:rsid w:val="77BF3969"/>
    <w:rsid w:val="77F20F68"/>
    <w:rsid w:val="797401F8"/>
    <w:rsid w:val="7ACD2060"/>
    <w:rsid w:val="7B430CF1"/>
    <w:rsid w:val="7C410D44"/>
    <w:rsid w:val="7C8F535E"/>
    <w:rsid w:val="7CD67C72"/>
    <w:rsid w:val="7EA53A8B"/>
    <w:rsid w:val="7F3D5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unhideWhenUsed/>
    <w:qFormat/>
    <w:uiPriority w:val="0"/>
    <w:pPr>
      <w:keepNext/>
      <w:keepLines/>
      <w:widowControl w:val="0"/>
      <w:suppressLineNumbers w:val="0"/>
      <w:spacing w:before="0" w:beforeAutospacing="0" w:after="0" w:afterAutospacing="0" w:line="560" w:lineRule="exact"/>
      <w:ind w:left="0" w:right="0"/>
      <w:jc w:val="center"/>
      <w:outlineLvl w:val="1"/>
    </w:pPr>
    <w:rPr>
      <w:rFonts w:hint="default" w:ascii="Arial" w:hAnsi="Arial" w:eastAsia="方正小标宋简体" w:cs="Times New Roman"/>
      <w:b/>
      <w:bCs/>
      <w:kern w:val="2"/>
      <w:sz w:val="44"/>
      <w:szCs w:val="44"/>
      <w:lang w:val="en-US" w:eastAsia="zh-CN" w:bidi="ar"/>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567"/>
    </w:pPr>
  </w:style>
  <w:style w:type="paragraph" w:styleId="5">
    <w:name w:val="Body Text"/>
    <w:basedOn w:val="1"/>
    <w:link w:val="20"/>
    <w:semiHidden/>
    <w:unhideWhenUsed/>
    <w:qFormat/>
    <w:uiPriority w:val="99"/>
    <w:pPr>
      <w:spacing w:after="120"/>
    </w:pPr>
  </w:style>
  <w:style w:type="paragraph" w:styleId="6">
    <w:name w:val="Date"/>
    <w:basedOn w:val="1"/>
    <w:next w:val="1"/>
    <w:link w:val="19"/>
    <w:semiHidden/>
    <w:unhideWhenUsed/>
    <w:qFormat/>
    <w:uiPriority w:val="99"/>
    <w:pPr>
      <w:ind w:left="100" w:leftChars="2500"/>
    </w:pPr>
  </w:style>
  <w:style w:type="paragraph" w:styleId="7">
    <w:name w:val="Balloon Text"/>
    <w:basedOn w:val="1"/>
    <w:link w:val="18"/>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Body Text First Indent"/>
    <w:basedOn w:val="1"/>
    <w:link w:val="21"/>
    <w:qFormat/>
    <w:uiPriority w:val="0"/>
    <w:pPr>
      <w:ind w:firstLine="420" w:firstLineChars="100"/>
    </w:pPr>
    <w:rPr>
      <w:rFonts w:ascii="Calibri" w:hAnsi="Calibri" w:eastAsia="宋体" w:cs="Times New Roman"/>
      <w:sz w:val="32"/>
      <w:szCs w:val="24"/>
    </w:rPr>
  </w:style>
  <w:style w:type="character" w:styleId="14">
    <w:name w:val="Strong"/>
    <w:qFormat/>
    <w:uiPriority w:val="22"/>
    <w:rPr>
      <w:b/>
      <w:bCs/>
    </w:rPr>
  </w:style>
  <w:style w:type="paragraph" w:styleId="15">
    <w:name w:val="List Paragraph"/>
    <w:basedOn w:val="1"/>
    <w:qFormat/>
    <w:uiPriority w:val="34"/>
    <w:pPr>
      <w:ind w:firstLine="420" w:firstLineChars="200"/>
    </w:pPr>
  </w:style>
  <w:style w:type="character" w:customStyle="1" w:styleId="16">
    <w:name w:val="页眉 Char"/>
    <w:basedOn w:val="13"/>
    <w:link w:val="9"/>
    <w:qFormat/>
    <w:uiPriority w:val="99"/>
    <w:rPr>
      <w:sz w:val="18"/>
      <w:szCs w:val="18"/>
    </w:rPr>
  </w:style>
  <w:style w:type="character" w:customStyle="1" w:styleId="17">
    <w:name w:val="页脚 Char"/>
    <w:basedOn w:val="13"/>
    <w:link w:val="8"/>
    <w:qFormat/>
    <w:uiPriority w:val="99"/>
    <w:rPr>
      <w:sz w:val="18"/>
      <w:szCs w:val="18"/>
    </w:rPr>
  </w:style>
  <w:style w:type="character" w:customStyle="1" w:styleId="18">
    <w:name w:val="批注框文本 Char"/>
    <w:basedOn w:val="13"/>
    <w:link w:val="7"/>
    <w:semiHidden/>
    <w:qFormat/>
    <w:uiPriority w:val="99"/>
    <w:rPr>
      <w:sz w:val="18"/>
      <w:szCs w:val="18"/>
    </w:rPr>
  </w:style>
  <w:style w:type="character" w:customStyle="1" w:styleId="19">
    <w:name w:val="日期 Char"/>
    <w:basedOn w:val="13"/>
    <w:link w:val="6"/>
    <w:semiHidden/>
    <w:qFormat/>
    <w:uiPriority w:val="99"/>
  </w:style>
  <w:style w:type="character" w:customStyle="1" w:styleId="20">
    <w:name w:val="正文文本 Char"/>
    <w:basedOn w:val="13"/>
    <w:link w:val="5"/>
    <w:semiHidden/>
    <w:qFormat/>
    <w:uiPriority w:val="99"/>
    <w:rPr>
      <w:kern w:val="2"/>
      <w:sz w:val="21"/>
      <w:szCs w:val="22"/>
    </w:rPr>
  </w:style>
  <w:style w:type="character" w:customStyle="1" w:styleId="21">
    <w:name w:val="正文首行缩进 Char"/>
    <w:basedOn w:val="20"/>
    <w:link w:val="11"/>
    <w:qFormat/>
    <w:uiPriority w:val="0"/>
    <w:rPr>
      <w:rFonts w:ascii="Calibri" w:hAnsi="Calibri" w:eastAsia="宋体" w:cs="Times New Roman"/>
      <w:kern w:val="2"/>
      <w:sz w:val="32"/>
      <w:szCs w:val="24"/>
    </w:rPr>
  </w:style>
  <w:style w:type="paragraph" w:customStyle="1" w:styleId="22">
    <w:name w:val="正文2"/>
    <w:basedOn w:val="1"/>
    <w:qFormat/>
    <w:uiPriority w:val="0"/>
    <w:pPr>
      <w:spacing w:line="360" w:lineRule="auto"/>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7</Pages>
  <Words>3668</Words>
  <Characters>3706</Characters>
  <Lines>19</Lines>
  <Paragraphs>5</Paragraphs>
  <TotalTime>2</TotalTime>
  <ScaleCrop>false</ScaleCrop>
  <LinksUpToDate>false</LinksUpToDate>
  <CharactersWithSpaces>3709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2023-04-27T06:49:00Z</dcterms:created>
  <dc:creator>HP</dc:creator>
  <cp:lastModifiedBy>NTKO</cp:lastModifiedBy>
  <cp:lastPrinted>2023-05-26T11:51:00Z</cp:lastPrinted>
  <dcterms:modified xsi:type="dcterms:W3CDTF">2023-05-26T12:11:31Z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856DE8FEECD74E6C88340B464E0A0A65</vt:lpwstr>
  </property>
</Properties>
</file>