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rPr>
          <w:rFonts w:hint="default" w:ascii="宋体" w:hAnsi="宋体" w:cs="宋体"/>
          <w:b/>
          <w:color w:val="000000"/>
          <w:kern w:val="0"/>
          <w:sz w:val="24"/>
          <w:szCs w:val="24"/>
        </w:rPr>
      </w:pPr>
      <w:r>
        <w:rPr>
          <w:rFonts w:hint="default" w:ascii="宋体" w:hAnsi="宋体" w:cs="宋体"/>
          <w:b/>
          <w:color w:val="000000"/>
          <w:kern w:val="0"/>
          <w:sz w:val="24"/>
          <w:szCs w:val="24"/>
        </w:rPr>
        <w:t xml:space="preserve"> </w:t>
      </w:r>
      <w:r>
        <w:rPr>
          <w:rFonts w:ascii="宋体" w:hAnsi="宋体" w:cs="宋体"/>
          <w:b/>
          <w:kern w:val="0"/>
          <w:sz w:val="24"/>
          <w:lang w:bidi="ar"/>
        </w:rPr>
        <w:t>附表</w:t>
      </w:r>
      <w:bookmarkStart w:id="0" w:name="_GoBack"/>
      <w:r>
        <w:rPr>
          <w:rFonts w:ascii="宋体" w:hAnsi="宋体" w:cs="宋体"/>
          <w:b/>
          <w:kern w:val="0"/>
          <w:sz w:val="24"/>
          <w:lang w:bidi="ar"/>
        </w:rPr>
        <w:t>3综合评价表</w:t>
      </w:r>
      <w:bookmarkEnd w:id="0"/>
      <w:r>
        <w:rPr>
          <w:rFonts w:ascii="宋体" w:hAnsi="宋体" w:cs="宋体"/>
          <w:b/>
          <w:kern w:val="0"/>
          <w:sz w:val="24"/>
          <w:lang w:bidi="ar"/>
        </w:rPr>
        <w:t>：</w:t>
      </w:r>
    </w:p>
    <w:tbl>
      <w:tblPr>
        <w:tblStyle w:val="4"/>
        <w:tblW w:w="10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605"/>
        <w:gridCol w:w="954"/>
        <w:gridCol w:w="7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340" w:lineRule="exact"/>
              <w:ind w:left="105" w:leftChars="50"/>
              <w:jc w:val="center"/>
              <w:rPr>
                <w:rFonts w:hint="default" w:ascii="等线" w:hAnsi="等线" w:eastAsia="等线" w:cs="等线"/>
                <w:b/>
                <w:szCs w:val="21"/>
              </w:rPr>
            </w:pPr>
            <w:r>
              <w:rPr>
                <w:rFonts w:ascii="等线" w:hAnsi="等线" w:eastAsia="等线" w:cs="等线"/>
                <w:b/>
                <w:szCs w:val="21"/>
              </w:rPr>
              <w:t>评审</w:t>
            </w:r>
          </w:p>
          <w:p>
            <w:pPr>
              <w:pStyle w:val="6"/>
              <w:keepNext w:val="0"/>
              <w:widowControl/>
              <w:spacing w:line="340" w:lineRule="exact"/>
              <w:ind w:left="105" w:leftChars="50"/>
              <w:jc w:val="center"/>
              <w:rPr>
                <w:rFonts w:hint="default" w:ascii="等线" w:hAnsi="等线" w:eastAsia="等线" w:cs="等线"/>
                <w:b/>
                <w:szCs w:val="21"/>
              </w:rPr>
            </w:pPr>
            <w:r>
              <w:rPr>
                <w:rFonts w:ascii="等线" w:hAnsi="等线" w:eastAsia="等线" w:cs="等线"/>
                <w:b/>
                <w:szCs w:val="21"/>
              </w:rPr>
              <w:t>因素</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340" w:lineRule="exact"/>
              <w:ind w:left="105" w:leftChars="50"/>
              <w:jc w:val="center"/>
              <w:rPr>
                <w:rFonts w:hint="default" w:ascii="等线" w:hAnsi="等线" w:eastAsia="等线" w:cs="等线"/>
                <w:b/>
                <w:szCs w:val="21"/>
              </w:rPr>
            </w:pPr>
            <w:r>
              <w:rPr>
                <w:rFonts w:ascii="等线" w:hAnsi="等线" w:eastAsia="等线" w:cs="等线"/>
                <w:b/>
                <w:szCs w:val="21"/>
              </w:rPr>
              <w:t>评审项目</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等线" w:hAnsi="等线" w:cs="等线"/>
                <w:b/>
                <w:szCs w:val="21"/>
              </w:rPr>
            </w:pPr>
            <w:r>
              <w:rPr>
                <w:rFonts w:hint="eastAsia" w:ascii="等线" w:hAnsi="等线" w:eastAsia="等线" w:cs="等线"/>
                <w:b/>
                <w:szCs w:val="21"/>
                <w:lang w:bidi="ar"/>
              </w:rPr>
              <w:t>分值</w:t>
            </w:r>
          </w:p>
        </w:tc>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等线" w:hAnsi="等线" w:cs="等线"/>
                <w:b/>
                <w:szCs w:val="21"/>
              </w:rPr>
            </w:pPr>
            <w:r>
              <w:rPr>
                <w:rFonts w:hint="eastAsia" w:ascii="等线" w:hAnsi="等线" w:eastAsia="等线" w:cs="等线"/>
                <w:b/>
                <w:szCs w:val="21"/>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104" w:type="dxa"/>
            <w:vMerge w:val="restart"/>
            <w:tcBorders>
              <w:top w:val="single" w:color="auto" w:sz="4" w:space="0"/>
              <w:left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报价得分（10）</w:t>
            </w:r>
          </w:p>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p>
          <w:p>
            <w:pPr>
              <w:pStyle w:val="6"/>
              <w:spacing w:line="340" w:lineRule="exact"/>
              <w:ind w:left="105" w:leftChars="50"/>
              <w:jc w:val="center"/>
              <w:rPr>
                <w:rFonts w:hint="default" w:ascii="等线" w:hAnsi="等线" w:eastAsia="等线" w:cs="等线"/>
                <w:b/>
                <w:szCs w:val="21"/>
              </w:rPr>
            </w:pP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评标基准价计算方法</w:t>
            </w:r>
          </w:p>
        </w:tc>
        <w:tc>
          <w:tcPr>
            <w:tcW w:w="954" w:type="dxa"/>
            <w:vMerge w:val="restart"/>
            <w:tcBorders>
              <w:top w:val="single" w:color="auto" w:sz="4" w:space="0"/>
              <w:left w:val="single" w:color="auto" w:sz="4" w:space="0"/>
              <w:right w:val="single" w:color="auto" w:sz="4" w:space="0"/>
            </w:tcBorders>
            <w:shd w:val="clear" w:color="auto" w:fill="auto"/>
            <w:vAlign w:val="center"/>
          </w:tcPr>
          <w:p>
            <w:pPr>
              <w:spacing w:line="260" w:lineRule="exact"/>
              <w:jc w:val="center"/>
              <w:rPr>
                <w:rFonts w:cs="等线" w:asciiTheme="minorEastAsia" w:hAnsiTheme="minorEastAsia"/>
                <w:color w:val="000000"/>
                <w:kern w:val="0"/>
                <w:szCs w:val="21"/>
                <w:lang w:bidi="ar"/>
              </w:rPr>
            </w:pPr>
            <w:r>
              <w:rPr>
                <w:rFonts w:hint="eastAsia" w:cs="等线" w:asciiTheme="minorEastAsia" w:hAnsiTheme="minorEastAsia"/>
                <w:color w:val="000000"/>
                <w:kern w:val="0"/>
                <w:szCs w:val="21"/>
                <w:lang w:bidi="ar"/>
              </w:rPr>
              <w:t>10分</w:t>
            </w:r>
          </w:p>
        </w:tc>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left"/>
              <w:rPr>
                <w:rFonts w:cs="等线" w:asciiTheme="minorEastAsia" w:hAnsiTheme="minorEastAsia"/>
                <w:color w:val="000000"/>
                <w:kern w:val="0"/>
                <w:szCs w:val="21"/>
                <w:lang w:bidi="ar"/>
              </w:rPr>
            </w:pPr>
            <w:r>
              <w:rPr>
                <w:rFonts w:hint="eastAsia" w:cs="等线" w:asciiTheme="minorEastAsia" w:hAnsiTheme="minorEastAsia"/>
                <w:color w:val="000000"/>
                <w:kern w:val="0"/>
                <w:szCs w:val="21"/>
                <w:lang w:bidi="ar"/>
              </w:rPr>
              <w:t>评标基准价的计算方法如下：</w:t>
            </w:r>
          </w:p>
          <w:p>
            <w:pPr>
              <w:spacing w:line="260" w:lineRule="exact"/>
              <w:jc w:val="left"/>
              <w:rPr>
                <w:rFonts w:cs="等线" w:asciiTheme="minorEastAsia" w:hAnsiTheme="minorEastAsia"/>
                <w:color w:val="000000"/>
                <w:kern w:val="0"/>
                <w:szCs w:val="21"/>
                <w:lang w:bidi="ar"/>
              </w:rPr>
            </w:pPr>
            <w:r>
              <w:rPr>
                <w:rFonts w:hint="eastAsia" w:cs="等线" w:asciiTheme="minorEastAsia" w:hAnsiTheme="minorEastAsia"/>
                <w:color w:val="000000"/>
                <w:kern w:val="0"/>
                <w:szCs w:val="21"/>
                <w:lang w:bidi="ar"/>
              </w:rPr>
              <w:t>（1）当有效投标人数量≤7家时，计算所有有效投标人投标报价的算术平均值；</w:t>
            </w:r>
          </w:p>
          <w:p>
            <w:pPr>
              <w:spacing w:line="260" w:lineRule="exact"/>
              <w:jc w:val="left"/>
              <w:rPr>
                <w:rFonts w:cs="等线" w:asciiTheme="minorEastAsia" w:hAnsiTheme="minorEastAsia"/>
                <w:color w:val="000000"/>
                <w:kern w:val="0"/>
                <w:szCs w:val="21"/>
                <w:lang w:bidi="ar"/>
              </w:rPr>
            </w:pPr>
            <w:r>
              <w:rPr>
                <w:rFonts w:hint="eastAsia" w:cs="等线" w:asciiTheme="minorEastAsia" w:hAnsiTheme="minorEastAsia"/>
                <w:color w:val="000000"/>
                <w:kern w:val="0"/>
                <w:szCs w:val="21"/>
                <w:lang w:bidi="ar"/>
              </w:rPr>
              <w:t>（2）当有效投标人数量&gt;7家时，去掉1个最高和1个最低的有效投标人投标报价后，再计算其余有效投标人投标报价的算术平均值。</w:t>
            </w:r>
          </w:p>
          <w:p>
            <w:pPr>
              <w:spacing w:line="260" w:lineRule="exact"/>
              <w:jc w:val="left"/>
              <w:rPr>
                <w:rFonts w:cs="等线" w:asciiTheme="minorEastAsia" w:hAnsiTheme="minorEastAsia"/>
                <w:color w:val="000000"/>
                <w:kern w:val="0"/>
                <w:szCs w:val="21"/>
                <w:lang w:bidi="ar"/>
              </w:rPr>
            </w:pPr>
            <w:r>
              <w:rPr>
                <w:rFonts w:hint="eastAsia" w:cs="等线" w:asciiTheme="minorEastAsia" w:hAnsiTheme="minorEastAsia"/>
                <w:color w:val="000000"/>
                <w:kern w:val="0"/>
                <w:szCs w:val="21"/>
                <w:lang w:bidi="ar"/>
              </w:rPr>
              <w:t>注：有效投标人是指通过初步评审和未被评标委员会否决其投标的投标人。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04" w:type="dxa"/>
            <w:vMerge w:val="continue"/>
            <w:tcBorders>
              <w:left w:val="single" w:color="auto" w:sz="4" w:space="0"/>
              <w:right w:val="single" w:color="auto" w:sz="4" w:space="0"/>
            </w:tcBorders>
            <w:shd w:val="clear" w:color="auto" w:fill="auto"/>
            <w:vAlign w:val="center"/>
          </w:tcPr>
          <w:p>
            <w:pPr>
              <w:pStyle w:val="6"/>
              <w:keepNext w:val="0"/>
              <w:widowControl/>
              <w:spacing w:line="340" w:lineRule="exact"/>
              <w:ind w:left="105" w:leftChars="50"/>
              <w:jc w:val="center"/>
              <w:rPr>
                <w:rFonts w:hint="default" w:ascii="等线" w:hAnsi="等线" w:eastAsia="等线" w:cs="等线"/>
                <w:b/>
                <w:szCs w:val="21"/>
              </w:rPr>
            </w:pP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投标报价偏差率p计算公式</w:t>
            </w:r>
          </w:p>
        </w:tc>
        <w:tc>
          <w:tcPr>
            <w:tcW w:w="954" w:type="dxa"/>
            <w:vMerge w:val="continue"/>
            <w:tcBorders>
              <w:left w:val="single" w:color="auto" w:sz="4" w:space="0"/>
              <w:right w:val="single" w:color="auto" w:sz="4" w:space="0"/>
            </w:tcBorders>
            <w:shd w:val="clear" w:color="auto" w:fill="auto"/>
            <w:vAlign w:val="center"/>
          </w:tcPr>
          <w:p>
            <w:pPr>
              <w:spacing w:line="260" w:lineRule="exact"/>
              <w:jc w:val="center"/>
              <w:rPr>
                <w:rFonts w:cs="等线" w:asciiTheme="minorEastAsia" w:hAnsiTheme="minorEastAsia"/>
                <w:b/>
                <w:szCs w:val="21"/>
                <w:lang w:bidi="ar"/>
              </w:rPr>
            </w:pPr>
          </w:p>
        </w:tc>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left"/>
              <w:rPr>
                <w:rFonts w:cs="等线" w:asciiTheme="minorEastAsia" w:hAnsiTheme="minorEastAsia"/>
                <w:color w:val="000000"/>
                <w:kern w:val="0"/>
                <w:szCs w:val="21"/>
                <w:lang w:bidi="ar"/>
              </w:rPr>
            </w:pPr>
            <w:r>
              <w:rPr>
                <w:rFonts w:hint="eastAsia" w:cs="等线" w:asciiTheme="minorEastAsia" w:hAnsiTheme="minorEastAsia"/>
                <w:color w:val="000000"/>
                <w:kern w:val="0"/>
                <w:szCs w:val="21"/>
                <w:lang w:bidi="ar"/>
              </w:rPr>
              <w:t>p（偏差率）= 有效投标人的投标报价-评标基准价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104" w:type="dxa"/>
            <w:vMerge w:val="continue"/>
            <w:tcBorders>
              <w:left w:val="single" w:color="auto" w:sz="4" w:space="0"/>
              <w:bottom w:val="single" w:color="auto" w:sz="4" w:space="0"/>
              <w:right w:val="single" w:color="auto" w:sz="4" w:space="0"/>
            </w:tcBorders>
            <w:shd w:val="clear" w:color="auto" w:fill="auto"/>
            <w:vAlign w:val="center"/>
          </w:tcPr>
          <w:p>
            <w:pPr>
              <w:pStyle w:val="6"/>
              <w:keepNext w:val="0"/>
              <w:widowControl/>
              <w:spacing w:line="340" w:lineRule="exact"/>
              <w:ind w:left="105" w:leftChars="50"/>
              <w:jc w:val="center"/>
              <w:rPr>
                <w:rFonts w:hint="default" w:ascii="等线" w:hAnsi="等线" w:eastAsia="等线" w:cs="等线"/>
                <w:b/>
                <w:szCs w:val="21"/>
              </w:rPr>
            </w:pP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cs="等线" w:asciiTheme="minorEastAsia" w:hAnsiTheme="minorEastAsia"/>
                <w:color w:val="000000"/>
                <w:kern w:val="0"/>
                <w:szCs w:val="21"/>
                <w:lang w:bidi="ar"/>
              </w:rPr>
            </w:pPr>
            <w:r>
              <w:rPr>
                <w:rFonts w:hint="eastAsia" w:cs="等线" w:asciiTheme="minorEastAsia" w:hAnsiTheme="minorEastAsia"/>
                <w:color w:val="000000"/>
                <w:kern w:val="0"/>
                <w:szCs w:val="21"/>
                <w:lang w:bidi="ar"/>
              </w:rPr>
              <w:t>报价得分</w:t>
            </w:r>
          </w:p>
        </w:tc>
        <w:tc>
          <w:tcPr>
            <w:tcW w:w="954" w:type="dxa"/>
            <w:vMerge w:val="continue"/>
            <w:tcBorders>
              <w:left w:val="single" w:color="auto" w:sz="4" w:space="0"/>
              <w:bottom w:val="single" w:color="auto" w:sz="4" w:space="0"/>
              <w:right w:val="single" w:color="auto" w:sz="4" w:space="0"/>
            </w:tcBorders>
            <w:shd w:val="clear" w:color="auto" w:fill="auto"/>
            <w:vAlign w:val="center"/>
          </w:tcPr>
          <w:p>
            <w:pPr>
              <w:spacing w:line="260" w:lineRule="exact"/>
              <w:jc w:val="left"/>
              <w:rPr>
                <w:rFonts w:cs="等线" w:asciiTheme="minorEastAsia" w:hAnsiTheme="minorEastAsia"/>
                <w:color w:val="000000"/>
                <w:kern w:val="0"/>
                <w:szCs w:val="21"/>
                <w:lang w:bidi="ar"/>
              </w:rPr>
            </w:pPr>
          </w:p>
        </w:tc>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left"/>
              <w:rPr>
                <w:rFonts w:cs="等线" w:asciiTheme="minorEastAsia" w:hAnsiTheme="minorEastAsia"/>
                <w:color w:val="000000"/>
                <w:kern w:val="0"/>
                <w:szCs w:val="21"/>
                <w:lang w:bidi="ar"/>
              </w:rPr>
            </w:pPr>
            <w:r>
              <w:rPr>
                <w:rFonts w:hint="eastAsia" w:cs="等线" w:asciiTheme="minorEastAsia" w:hAnsiTheme="minorEastAsia"/>
                <w:color w:val="000000"/>
                <w:kern w:val="0"/>
                <w:szCs w:val="21"/>
                <w:lang w:bidi="ar"/>
              </w:rPr>
              <w:t>（1）当P=0时，投标人的投标报价得分为10分；</w:t>
            </w:r>
          </w:p>
          <w:p>
            <w:pPr>
              <w:spacing w:line="260" w:lineRule="exact"/>
              <w:jc w:val="left"/>
              <w:rPr>
                <w:rFonts w:cs="等线" w:asciiTheme="minorEastAsia" w:hAnsiTheme="minorEastAsia"/>
                <w:color w:val="000000"/>
                <w:kern w:val="0"/>
                <w:szCs w:val="21"/>
                <w:lang w:bidi="ar"/>
              </w:rPr>
            </w:pPr>
            <w:r>
              <w:rPr>
                <w:rFonts w:hint="eastAsia" w:cs="等线" w:asciiTheme="minorEastAsia" w:hAnsiTheme="minorEastAsia"/>
                <w:color w:val="000000"/>
                <w:kern w:val="0"/>
                <w:szCs w:val="21"/>
                <w:lang w:bidi="ar"/>
              </w:rPr>
              <w:t>（2）当P＜0时，偏差率每有-1%减1分，从10分减起，减完为止；</w:t>
            </w:r>
          </w:p>
          <w:p>
            <w:pPr>
              <w:spacing w:line="260" w:lineRule="exact"/>
              <w:jc w:val="left"/>
              <w:rPr>
                <w:rFonts w:cs="等线" w:asciiTheme="minorEastAsia" w:hAnsiTheme="minorEastAsia"/>
                <w:color w:val="000000"/>
                <w:kern w:val="0"/>
                <w:szCs w:val="21"/>
                <w:lang w:bidi="ar"/>
              </w:rPr>
            </w:pPr>
            <w:r>
              <w:rPr>
                <w:rFonts w:hint="eastAsia" w:cs="等线" w:asciiTheme="minorEastAsia" w:hAnsiTheme="minorEastAsia"/>
                <w:color w:val="000000"/>
                <w:kern w:val="0"/>
                <w:szCs w:val="21"/>
                <w:lang w:bidi="ar"/>
              </w:rPr>
              <w:t>（3）当P＞0时，偏差率每有+1%减2分，从10分减起，减完为止。</w:t>
            </w:r>
          </w:p>
          <w:p>
            <w:pPr>
              <w:spacing w:line="260" w:lineRule="exact"/>
              <w:jc w:val="left"/>
              <w:rPr>
                <w:rFonts w:cs="等线" w:asciiTheme="minorEastAsia" w:hAnsiTheme="minorEastAsia"/>
                <w:color w:val="000000"/>
                <w:kern w:val="0"/>
                <w:szCs w:val="21"/>
                <w:lang w:bidi="ar"/>
              </w:rPr>
            </w:pPr>
            <w:r>
              <w:rPr>
                <w:rFonts w:hint="eastAsia" w:cs="等线" w:asciiTheme="minorEastAsia" w:hAnsiTheme="minorEastAsia"/>
                <w:color w:val="000000"/>
                <w:kern w:val="0"/>
                <w:szCs w:val="21"/>
                <w:lang w:bidi="ar"/>
              </w:rPr>
              <w:t>（注：得分按两位小数进行四舍五入）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1104" w:type="dxa"/>
            <w:vMerge w:val="restart"/>
            <w:tcBorders>
              <w:top w:val="single" w:color="auto" w:sz="4" w:space="0"/>
              <w:left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商务</w:t>
            </w:r>
          </w:p>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部分</w:t>
            </w:r>
          </w:p>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（16分）</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业绩</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8</w:t>
            </w:r>
          </w:p>
        </w:tc>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left"/>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根据响应征集单位项目的业绩情况做出评价。每提供一项类似业绩，得2分，最高得8分；</w:t>
            </w:r>
          </w:p>
          <w:p>
            <w:pPr>
              <w:pStyle w:val="6"/>
              <w:keepNext w:val="0"/>
              <w:widowControl/>
              <w:spacing w:line="260" w:lineRule="exact"/>
              <w:ind w:left="105" w:leftChars="50"/>
              <w:jc w:val="left"/>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类似业绩指：与公共资源交易机构对接实施的全流程电子保单保函成功案例。（业绩以合同或协议复印件或其他证明材料）。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104" w:type="dxa"/>
            <w:vMerge w:val="continue"/>
            <w:tcBorders>
              <w:left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财务状况</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2</w:t>
            </w:r>
          </w:p>
        </w:tc>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left"/>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根据响应征集单位2019年度或2020年度的审计报告或财务报表的盈利情况进行评价，按照由高到低的顺序依次递减，递减幅度为1分，最高得2分，减完为止。（自行提供相关说明材料，未提供不得分）。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04" w:type="dxa"/>
            <w:vMerge w:val="continue"/>
            <w:tcBorders>
              <w:left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人员要求</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3</w:t>
            </w:r>
          </w:p>
        </w:tc>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left"/>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工作经验两年工作人员得1分，工作经验三年（含以上）工作人员得2分，最高得3分。（工作年限以签订入职正式合同时间为准，响应征集文件须附入职合同复印件）。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104" w:type="dxa"/>
            <w:vMerge w:val="continue"/>
            <w:tcBorders>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响应征集文件制作</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3</w:t>
            </w:r>
          </w:p>
        </w:tc>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left"/>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1．响应征集文件</w:t>
            </w:r>
            <w:r>
              <w:rPr>
                <w:rFonts w:ascii="等线" w:hAnsi="等线" w:eastAsia="等线" w:cs="等线"/>
                <w:szCs w:val="21"/>
                <w:lang w:bidi="ar"/>
              </w:rPr>
              <w:t>电子文件</w:t>
            </w:r>
            <w:r>
              <w:rPr>
                <w:rFonts w:cs="等线" w:asciiTheme="minorEastAsia" w:hAnsiTheme="minorEastAsia" w:eastAsiaTheme="minorEastAsia"/>
                <w:bCs w:val="0"/>
                <w:kern w:val="0"/>
                <w:szCs w:val="21"/>
                <w:lang w:bidi="ar"/>
              </w:rPr>
              <w:t>编制完成、格式规范、装订整齐、符合征集文件要求的，得3分。</w:t>
            </w:r>
          </w:p>
          <w:p>
            <w:pPr>
              <w:pStyle w:val="6"/>
              <w:keepNext w:val="0"/>
              <w:widowControl/>
              <w:spacing w:line="260" w:lineRule="exact"/>
              <w:ind w:left="105" w:leftChars="50"/>
              <w:jc w:val="left"/>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2．响应征集文件内容前后矛盾、电子文件相关内容模糊不清、编排混乱的，不得分。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04" w:type="dxa"/>
            <w:vMerge w:val="restart"/>
            <w:tcBorders>
              <w:top w:val="single" w:color="auto" w:sz="4" w:space="0"/>
              <w:left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p>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p>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p>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p>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p>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服务方案（74分）</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基本服务方案</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8</w:t>
            </w:r>
          </w:p>
        </w:tc>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left"/>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具备开具或组织开具电子保单保函的能力，具备完善的技术团队；具备自有的电子保函业务系统，能实现投标人全流程网上申请办理电子保单保函业务，并符合电子招投标相关安全、保密要求，遇到问题及时在规定期限内解决、专人上门服务等配套基本服务方案全面得4-8分；一般得1-3分。无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4" w:type="dxa"/>
            <w:vMerge w:val="continue"/>
            <w:tcBorders>
              <w:left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保密要求</w:t>
            </w:r>
          </w:p>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（安全性）</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8</w:t>
            </w:r>
          </w:p>
        </w:tc>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left"/>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提供保密方案较好的得5-8分；一般的得1-4分。无方案不得分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4" w:type="dxa"/>
            <w:vMerge w:val="continue"/>
            <w:tcBorders>
              <w:left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紧急事项业务处理方案</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8</w:t>
            </w:r>
          </w:p>
        </w:tc>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left"/>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提供应急方案，避免报文丢失、通讯故障等因素影响正常业务的开展；可行性较好的得5-8分，可行性一般的得1-4分，无方案不得分。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4" w:type="dxa"/>
            <w:vMerge w:val="continue"/>
            <w:tcBorders>
              <w:left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增值服务</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6</w:t>
            </w:r>
          </w:p>
        </w:tc>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left"/>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响应征集单位可根据项目特点提供实质性业务类增值服务。</w:t>
            </w:r>
          </w:p>
          <w:p>
            <w:pPr>
              <w:pStyle w:val="6"/>
              <w:keepNext w:val="0"/>
              <w:widowControl/>
              <w:spacing w:line="260" w:lineRule="exact"/>
              <w:ind w:left="105" w:leftChars="50"/>
              <w:jc w:val="left"/>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每提供一项得2分，最高得6分。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104" w:type="dxa"/>
            <w:vMerge w:val="continue"/>
            <w:tcBorders>
              <w:left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人员配备</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2</w:t>
            </w:r>
          </w:p>
        </w:tc>
        <w:tc>
          <w:tcPr>
            <w:tcW w:w="7225" w:type="dxa"/>
            <w:tcBorders>
              <w:top w:val="single" w:color="auto" w:sz="4" w:space="0"/>
              <w:left w:val="single" w:color="auto" w:sz="4" w:space="0"/>
              <w:bottom w:val="single" w:color="auto" w:sz="4" w:space="0"/>
              <w:right w:val="single" w:color="auto" w:sz="4" w:space="0"/>
            </w:tcBorders>
            <w:shd w:val="clear" w:color="auto" w:fill="auto"/>
          </w:tcPr>
          <w:p>
            <w:pPr>
              <w:pStyle w:val="6"/>
              <w:keepNext w:val="0"/>
              <w:widowControl/>
              <w:spacing w:line="260" w:lineRule="exact"/>
              <w:ind w:left="105" w:leftChars="50"/>
              <w:jc w:val="left"/>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拟提供人员配备管理方案、政策及业务培训方案；可行性较好的得2分，可行性一般的得1分，未提供不得分。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104" w:type="dxa"/>
            <w:vMerge w:val="continue"/>
            <w:tcBorders>
              <w:left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单子保函业务和技术实现方案</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8</w:t>
            </w:r>
          </w:p>
        </w:tc>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left"/>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提供子保单、保函和技术实现方案较好的得5-8分；一般的得1-4分。无方案不得分。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104" w:type="dxa"/>
            <w:vMerge w:val="continue"/>
            <w:tcBorders>
              <w:left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p>
        </w:tc>
        <w:tc>
          <w:tcPr>
            <w:tcW w:w="1605" w:type="dxa"/>
            <w:vMerge w:val="restart"/>
            <w:tcBorders>
              <w:top w:val="single" w:color="auto" w:sz="4" w:space="0"/>
              <w:left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赔偿服务</w:t>
            </w:r>
          </w:p>
        </w:tc>
        <w:tc>
          <w:tcPr>
            <w:tcW w:w="954" w:type="dxa"/>
            <w:vMerge w:val="restart"/>
            <w:tcBorders>
              <w:top w:val="single" w:color="auto" w:sz="4" w:space="0"/>
              <w:left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10</w:t>
            </w:r>
          </w:p>
        </w:tc>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left"/>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电子保函出具机构在收到索赔书及相关证明材料后，属于保函约定应承担保证责任情形的，应在收到索赔材料（以送达时间为准）10个工作日内无条件地将索赔的款项一次性支付到受益人在索赔书中指定的账户得 1分，7个工作日内无条件地将索赔的款项一次性支付到受益人在索赔书中指定的账户得3 分，5个工作日内无条件地将索赔的款项一次性支付到受益人在索赔书中指定的账户得5分。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104" w:type="dxa"/>
            <w:vMerge w:val="continue"/>
            <w:tcBorders>
              <w:left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p>
        </w:tc>
        <w:tc>
          <w:tcPr>
            <w:tcW w:w="1605" w:type="dxa"/>
            <w:vMerge w:val="continue"/>
            <w:tcBorders>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p>
        </w:tc>
        <w:tc>
          <w:tcPr>
            <w:tcW w:w="954" w:type="dxa"/>
            <w:vMerge w:val="continue"/>
            <w:tcBorders>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p>
        </w:tc>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left"/>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保函出具机构收到书面函告之日起10日内，完成审核并将预赔偿款汇入交易中心指定的账户。预赔偿款高于投标保证金保险（担保）金额的80%得5分，预赔偿款高于投标保证金保险（担保）金额的60%得3分。预赔偿款高于投标保证金保险（担保）金额的49%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104" w:type="dxa"/>
            <w:vMerge w:val="continue"/>
            <w:tcBorders>
              <w:left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整体方案</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15</w:t>
            </w:r>
          </w:p>
        </w:tc>
        <w:tc>
          <w:tcPr>
            <w:tcW w:w="7225" w:type="dxa"/>
            <w:tcBorders>
              <w:top w:val="single" w:color="auto" w:sz="4" w:space="0"/>
              <w:left w:val="single" w:color="auto" w:sz="4" w:space="0"/>
              <w:bottom w:val="single" w:color="auto" w:sz="4" w:space="0"/>
              <w:right w:val="single" w:color="auto" w:sz="4" w:space="0"/>
            </w:tcBorders>
            <w:shd w:val="clear" w:color="auto" w:fill="auto"/>
          </w:tcPr>
          <w:p>
            <w:pPr>
              <w:pStyle w:val="6"/>
              <w:keepNext w:val="0"/>
              <w:widowControl/>
              <w:spacing w:line="260" w:lineRule="exact"/>
              <w:ind w:left="105" w:leftChars="50"/>
              <w:jc w:val="left"/>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根据响应征集单位的技术响应情况及子保单、保函管理方案优劣进行分档打分：</w:t>
            </w:r>
          </w:p>
          <w:p>
            <w:pPr>
              <w:pStyle w:val="6"/>
              <w:keepNext w:val="0"/>
              <w:widowControl/>
              <w:spacing w:line="260" w:lineRule="exact"/>
              <w:ind w:left="105" w:leftChars="50"/>
              <w:jc w:val="left"/>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1.提供整体方案要求，电子保单、保函安全性较高、稳定性较好、操作性较强的，得8-15分；</w:t>
            </w:r>
          </w:p>
          <w:p>
            <w:pPr>
              <w:pStyle w:val="6"/>
              <w:keepNext w:val="0"/>
              <w:widowControl/>
              <w:spacing w:line="260" w:lineRule="exact"/>
              <w:ind w:left="105" w:leftChars="50"/>
              <w:jc w:val="left"/>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2.提供整体方案基本满足要求，电子保单、保函安全性一般、稳定性一般、操作性一般的，得1-7分；</w:t>
            </w:r>
          </w:p>
          <w:p>
            <w:pPr>
              <w:pStyle w:val="6"/>
              <w:keepNext w:val="0"/>
              <w:widowControl/>
              <w:spacing w:line="260" w:lineRule="exact"/>
              <w:ind w:left="105" w:leftChars="50"/>
              <w:jc w:val="left"/>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无方案或方案不满足要求的不得分。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104" w:type="dxa"/>
            <w:vMerge w:val="continue"/>
            <w:tcBorders>
              <w:left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承诺书</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9</w:t>
            </w:r>
          </w:p>
        </w:tc>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left"/>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1.保障电子保单、保函安全、并提供保密承诺（格式自拟）得3分；</w:t>
            </w:r>
          </w:p>
          <w:p>
            <w:pPr>
              <w:pStyle w:val="6"/>
              <w:keepNext w:val="0"/>
              <w:widowControl/>
              <w:spacing w:line="260" w:lineRule="exact"/>
              <w:ind w:left="105" w:leftChars="50"/>
              <w:jc w:val="left"/>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2.提供自身保密承诺的（格式自拟）得3分；</w:t>
            </w:r>
          </w:p>
          <w:p>
            <w:pPr>
              <w:pStyle w:val="6"/>
              <w:keepNext w:val="0"/>
              <w:widowControl/>
              <w:spacing w:line="260" w:lineRule="exact"/>
              <w:ind w:left="105" w:leftChars="50"/>
              <w:jc w:val="left"/>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3.提供驻场人员保密承诺的（格式自拟）得3分；</w:t>
            </w:r>
          </w:p>
          <w:p>
            <w:pPr>
              <w:pStyle w:val="6"/>
              <w:keepNext w:val="0"/>
              <w:widowControl/>
              <w:spacing w:line="260" w:lineRule="exact"/>
              <w:ind w:left="105" w:leftChars="50"/>
              <w:jc w:val="left"/>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注：响应征集文件所提供的承诺书须加盖单位公章且清晰可辨，未提供承诺书的不得分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总分</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r>
              <w:rPr>
                <w:rFonts w:cs="等线" w:asciiTheme="minorEastAsia" w:hAnsiTheme="minorEastAsia" w:eastAsiaTheme="minorEastAsia"/>
                <w:bCs w:val="0"/>
                <w:kern w:val="0"/>
                <w:szCs w:val="21"/>
                <w:lang w:bidi="ar"/>
              </w:rPr>
              <w:t>100</w:t>
            </w:r>
          </w:p>
        </w:tc>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widowControl/>
              <w:spacing w:line="260" w:lineRule="exact"/>
              <w:ind w:left="105" w:leftChars="50"/>
              <w:jc w:val="center"/>
              <w:rPr>
                <w:rFonts w:hint="default" w:cs="等线" w:asciiTheme="minorEastAsia" w:hAnsiTheme="minorEastAsia" w:eastAsiaTheme="minorEastAsia"/>
                <w:bCs w:val="0"/>
                <w:kern w:val="0"/>
                <w:szCs w:val="21"/>
                <w:lang w:bidi="ar"/>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62594"/>
    <w:rsid w:val="2A262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2"/>
    <w:basedOn w:val="1"/>
    <w:qFormat/>
    <w:uiPriority w:val="0"/>
    <w:pPr>
      <w:spacing w:after="120" w:line="480" w:lineRule="auto"/>
    </w:pPr>
    <w:rPr>
      <w:rFonts w:hint="eastAsia" w:ascii="等线" w:hAnsi="等线" w:eastAsia="等线" w:cs="Times New Roman"/>
      <w:szCs w:val="22"/>
    </w:rPr>
  </w:style>
  <w:style w:type="paragraph" w:customStyle="1" w:styleId="6">
    <w:name w:val="保留正文"/>
    <w:basedOn w:val="2"/>
    <w:qFormat/>
    <w:uiPriority w:val="0"/>
    <w:pPr>
      <w:keepNext/>
      <w:spacing w:after="0" w:line="540" w:lineRule="exact"/>
      <w:ind w:right="180"/>
    </w:pPr>
    <w:rPr>
      <w:rFonts w:hint="eastAsia" w:ascii="楷体_GB2312" w:hAnsi="宋体" w:eastAsia="楷体_GB2312" w:cs="Times New Roman"/>
      <w:bCs/>
      <w:color w:val="000000"/>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2021-02-08T03:55:00Z</dcterms:created>
  <dc:creator>牧羊人</dc:creator>
  <cp:lastModifiedBy>牧羊人</cp:lastModifiedBy>
  <dcterms:modified xsi:type="dcterms:W3CDTF">2021-02-08T03:55:57Z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