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9" w:lineRule="auto"/>
        <w:jc w:val="center"/>
        <w:rPr>
          <w:rFonts w:hint="eastAsia"/>
          <w:b/>
          <w:bCs/>
          <w:sz w:val="32"/>
          <w:szCs w:val="40"/>
          <w:lang w:eastAsia="zh-CN"/>
        </w:rPr>
      </w:pPr>
      <w:r>
        <w:rPr>
          <w:rFonts w:hint="eastAsia"/>
          <w:b/>
          <w:bCs/>
          <w:sz w:val="32"/>
          <w:szCs w:val="40"/>
          <w:lang w:eastAsia="zh-CN"/>
        </w:rPr>
        <w:t>鄂托克前旗</w:t>
      </w:r>
      <w:r>
        <w:rPr>
          <w:rFonts w:hint="eastAsia"/>
          <w:b/>
          <w:bCs/>
          <w:sz w:val="32"/>
          <w:szCs w:val="40"/>
          <w:lang w:val="en-US" w:eastAsia="zh-CN"/>
        </w:rPr>
        <w:t>第三</w:t>
      </w:r>
      <w:r>
        <w:rPr>
          <w:rFonts w:hint="eastAsia"/>
          <w:b/>
          <w:bCs/>
          <w:sz w:val="32"/>
          <w:szCs w:val="40"/>
          <w:lang w:eastAsia="zh-CN"/>
        </w:rPr>
        <w:t>幼儿园</w:t>
      </w:r>
      <w:r>
        <w:rPr>
          <w:rFonts w:hint="eastAsia"/>
          <w:b/>
          <w:bCs/>
          <w:sz w:val="32"/>
          <w:szCs w:val="40"/>
        </w:rPr>
        <w:t>户外</w:t>
      </w:r>
      <w:r>
        <w:rPr>
          <w:rFonts w:hint="eastAsia"/>
          <w:b/>
          <w:bCs/>
          <w:sz w:val="32"/>
          <w:szCs w:val="40"/>
          <w:lang w:eastAsia="zh-CN"/>
        </w:rPr>
        <w:t>运动</w:t>
      </w:r>
      <w:r>
        <w:rPr>
          <w:rFonts w:hint="eastAsia"/>
          <w:b/>
          <w:bCs/>
          <w:sz w:val="32"/>
          <w:szCs w:val="40"/>
        </w:rPr>
        <w:t>游戏</w:t>
      </w:r>
      <w:r>
        <w:rPr>
          <w:rFonts w:hint="eastAsia"/>
          <w:b/>
          <w:bCs/>
          <w:sz w:val="32"/>
          <w:szCs w:val="40"/>
          <w:lang w:val="en-US" w:eastAsia="zh-CN"/>
        </w:rPr>
        <w:t>及班级区域材料</w:t>
      </w:r>
      <w:r>
        <w:rPr>
          <w:rFonts w:hint="eastAsia"/>
          <w:b/>
          <w:bCs/>
          <w:sz w:val="32"/>
          <w:szCs w:val="40"/>
          <w:lang w:eastAsia="zh-CN"/>
        </w:rPr>
        <w:t>整体项目介绍</w:t>
      </w:r>
    </w:p>
    <w:p>
      <w:pPr>
        <w:spacing w:line="329" w:lineRule="auto"/>
        <w:jc w:val="center"/>
        <w:rPr>
          <w:rFonts w:hint="eastAsia"/>
          <w:b/>
          <w:bCs/>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default"/>
          <w:sz w:val="21"/>
          <w:szCs w:val="21"/>
          <w:lang w:val="en-US" w:eastAsia="zh-CN"/>
        </w:rPr>
      </w:pPr>
      <w:r>
        <w:rPr>
          <w:rFonts w:hint="eastAsia" w:ascii="Times New Roman" w:hAnsi="Times New Roman" w:eastAsia="宋体" w:cs="Times New Roman"/>
          <w:b w:val="0"/>
          <w:bCs w:val="0"/>
          <w:kern w:val="2"/>
          <w:sz w:val="21"/>
          <w:szCs w:val="21"/>
          <w:lang w:val="en-US" w:eastAsia="zh-CN" w:bidi="ar-SA"/>
        </w:rPr>
        <w:t>《3-6岁儿童学习与发展指南》</w:t>
      </w:r>
      <w:r>
        <w:rPr>
          <w:rFonts w:hint="eastAsia" w:cs="Times New Roman"/>
          <w:b w:val="0"/>
          <w:bCs w:val="0"/>
          <w:kern w:val="2"/>
          <w:sz w:val="21"/>
          <w:szCs w:val="21"/>
          <w:lang w:val="en-US" w:eastAsia="zh-CN" w:bidi="ar-SA"/>
        </w:rPr>
        <w:t>中明确指出“</w:t>
      </w:r>
      <w:r>
        <w:rPr>
          <w:rFonts w:hint="eastAsia" w:ascii="Times New Roman" w:hAnsi="Times New Roman" w:eastAsia="宋体" w:cs="Times New Roman"/>
          <w:b w:val="0"/>
          <w:bCs w:val="0"/>
          <w:kern w:val="2"/>
          <w:sz w:val="21"/>
          <w:szCs w:val="21"/>
          <w:lang w:val="en-US" w:eastAsia="zh-CN" w:bidi="ar-SA"/>
        </w:rPr>
        <w:t>游戏是促进幼儿学习和发展的重要途径</w:t>
      </w:r>
      <w:r>
        <w:rPr>
          <w:rFonts w:hint="eastAsia" w:cs="Times New Roman"/>
          <w:b w:val="0"/>
          <w:bCs w:val="0"/>
          <w:kern w:val="2"/>
          <w:sz w:val="21"/>
          <w:szCs w:val="21"/>
          <w:lang w:val="en-US" w:eastAsia="zh-CN" w:bidi="ar-SA"/>
        </w:rPr>
        <w:t>”，</w:t>
      </w:r>
      <w:r>
        <w:rPr>
          <w:rFonts w:hint="eastAsia" w:asciiTheme="minorEastAsia" w:hAnsiTheme="minorEastAsia" w:eastAsiaTheme="minorEastAsia" w:cstheme="minorEastAsia"/>
        </w:rPr>
        <w:t>“幼儿每</w:t>
      </w:r>
      <w:bookmarkStart w:id="10" w:name="_GoBack"/>
      <w:bookmarkEnd w:id="10"/>
      <w:r>
        <w:rPr>
          <w:rFonts w:hint="eastAsia" w:asciiTheme="minorEastAsia" w:hAnsiTheme="minorEastAsia" w:eastAsiaTheme="minorEastAsia" w:cstheme="minorEastAsia"/>
        </w:rPr>
        <w:t>天的户外活动时间不少于2小时。幼儿园应开展丰富多彩的户外游戏和体育活动。”</w:t>
      </w:r>
      <w:r>
        <w:rPr>
          <w:rFonts w:hint="eastAsia"/>
          <w:sz w:val="21"/>
          <w:szCs w:val="21"/>
          <w:lang w:val="en-US" w:eastAsia="zh-CN"/>
        </w:rPr>
        <w:t>《幼儿园工作规程》中也同样要求“幼儿园以游戏为基本活动，寓教育于各项活动之中”，一系列的政策文件都在强调着幼儿园要坚持以游戏为基本活动，时刻防止和纠正幼儿园教育的“小学化”倾向。建构游戏是幼儿园室内游戏课程中的重要一环，</w:t>
      </w:r>
      <w:r>
        <w:rPr>
          <w:rFonts w:hint="eastAsia" w:asciiTheme="minorEastAsia" w:hAnsiTheme="minorEastAsia" w:eastAsiaTheme="minorEastAsia" w:cstheme="minorEastAsia"/>
        </w:rPr>
        <w:t>户外游戏</w:t>
      </w:r>
      <w:r>
        <w:rPr>
          <w:rFonts w:hint="eastAsia" w:asciiTheme="minorEastAsia" w:hAnsiTheme="minorEastAsia" w:eastAsiaTheme="minorEastAsia" w:cstheme="minorEastAsia"/>
          <w:lang w:val="en-US" w:eastAsia="zh-CN"/>
        </w:rPr>
        <w:t>则</w:t>
      </w:r>
      <w:r>
        <w:rPr>
          <w:rFonts w:hint="eastAsia" w:asciiTheme="minorEastAsia" w:hAnsiTheme="minorEastAsia" w:eastAsiaTheme="minorEastAsia" w:cstheme="minorEastAsia"/>
        </w:rPr>
        <w:t>作为幼儿一日生活必不可少的一部分，而且户外游戏的趣味性和多样性可以有效激发幼儿的兴趣爱好和探究的愿望，对发展幼儿的整体素质有关键性作用。</w:t>
      </w:r>
    </w:p>
    <w:p>
      <w:pPr>
        <w:spacing w:line="300" w:lineRule="auto"/>
        <w:ind w:firstLine="420" w:firstLineChars="200"/>
        <w:jc w:val="left"/>
        <w:rPr>
          <w:rFonts w:asciiTheme="minorEastAsia" w:hAnsiTheme="minorEastAsia" w:eastAsiaTheme="minorEastAsia" w:cstheme="minorEastAsia"/>
        </w:rPr>
      </w:pPr>
      <w:r>
        <w:rPr>
          <w:rFonts w:hint="eastAsia" w:cs="Times New Roman"/>
          <w:kern w:val="2"/>
          <w:sz w:val="21"/>
          <w:szCs w:val="21"/>
          <w:lang w:val="en-US" w:eastAsia="zh-CN" w:bidi="ar-SA"/>
        </w:rPr>
        <w:t>然而</w:t>
      </w:r>
      <w:r>
        <w:rPr>
          <w:rFonts w:hint="eastAsia" w:ascii="Times New Roman" w:hAnsi="Times New Roman" w:eastAsia="宋体" w:cs="Times New Roman"/>
          <w:kern w:val="2"/>
          <w:sz w:val="21"/>
          <w:szCs w:val="21"/>
          <w:lang w:val="en-US" w:eastAsia="zh-CN" w:bidi="ar-SA"/>
        </w:rPr>
        <w:t>受传统教育思想影响，</w:t>
      </w:r>
      <w:r>
        <w:rPr>
          <w:rFonts w:hint="eastAsia" w:cs="Times New Roman"/>
          <w:kern w:val="2"/>
          <w:sz w:val="21"/>
          <w:szCs w:val="21"/>
          <w:lang w:val="en-US" w:eastAsia="zh-CN" w:bidi="ar-SA"/>
        </w:rPr>
        <w:t>很多园所的</w:t>
      </w:r>
      <w:r>
        <w:rPr>
          <w:rFonts w:hint="eastAsia" w:ascii="Times New Roman" w:hAnsi="Times New Roman" w:eastAsia="宋体" w:cs="Times New Roman"/>
          <w:kern w:val="2"/>
          <w:sz w:val="21"/>
          <w:szCs w:val="21"/>
          <w:lang w:val="en-US" w:eastAsia="zh-CN" w:bidi="ar-SA"/>
        </w:rPr>
        <w:t>教育只重视知识传授，忽视</w:t>
      </w:r>
      <w:r>
        <w:rPr>
          <w:rFonts w:hint="eastAsia" w:cs="Times New Roman"/>
          <w:kern w:val="2"/>
          <w:sz w:val="21"/>
          <w:szCs w:val="21"/>
          <w:lang w:val="en-US" w:eastAsia="zh-CN" w:bidi="ar-SA"/>
        </w:rPr>
        <w:t>了</w:t>
      </w:r>
      <w:r>
        <w:rPr>
          <w:rFonts w:hint="eastAsia" w:ascii="Times New Roman" w:hAnsi="Times New Roman" w:eastAsia="宋体" w:cs="Times New Roman"/>
          <w:kern w:val="2"/>
          <w:sz w:val="21"/>
          <w:szCs w:val="21"/>
          <w:lang w:val="en-US" w:eastAsia="zh-CN" w:bidi="ar-SA"/>
        </w:rPr>
        <w:t>能力培养</w:t>
      </w:r>
      <w:r>
        <w:rPr>
          <w:rFonts w:hint="eastAsia" w:cs="Times New Roman"/>
          <w:kern w:val="2"/>
          <w:sz w:val="21"/>
          <w:szCs w:val="21"/>
          <w:lang w:val="en-US" w:eastAsia="zh-CN" w:bidi="ar-SA"/>
        </w:rPr>
        <w:t>，严重</w:t>
      </w:r>
      <w:r>
        <w:rPr>
          <w:rFonts w:hint="eastAsia" w:ascii="Times New Roman" w:hAnsi="Times New Roman" w:eastAsia="宋体" w:cs="Times New Roman"/>
          <w:kern w:val="2"/>
          <w:sz w:val="21"/>
          <w:szCs w:val="21"/>
          <w:lang w:val="en-US" w:eastAsia="zh-CN" w:bidi="ar-SA"/>
        </w:rPr>
        <w:t>打击了幼儿学习</w:t>
      </w:r>
      <w:r>
        <w:rPr>
          <w:rFonts w:hint="eastAsia" w:cs="Times New Roman"/>
          <w:kern w:val="2"/>
          <w:sz w:val="21"/>
          <w:szCs w:val="21"/>
          <w:lang w:val="en-US" w:eastAsia="zh-CN" w:bidi="ar-SA"/>
        </w:rPr>
        <w:t>的</w:t>
      </w:r>
      <w:r>
        <w:rPr>
          <w:rFonts w:hint="eastAsia" w:ascii="Times New Roman" w:hAnsi="Times New Roman" w:eastAsia="宋体" w:cs="Times New Roman"/>
          <w:kern w:val="2"/>
          <w:sz w:val="21"/>
          <w:szCs w:val="21"/>
          <w:lang w:val="en-US" w:eastAsia="zh-CN" w:bidi="ar-SA"/>
        </w:rPr>
        <w:t>积极性和主动性。而现代教育理论认为游戏是幼儿学习和发展的主要载体，</w:t>
      </w:r>
      <w:r>
        <w:rPr>
          <w:rFonts w:hint="eastAsia" w:cs="Times New Roman"/>
          <w:kern w:val="2"/>
          <w:sz w:val="21"/>
          <w:szCs w:val="21"/>
          <w:lang w:val="en-US" w:eastAsia="zh-CN" w:bidi="ar-SA"/>
        </w:rPr>
        <w:t>通过</w:t>
      </w:r>
      <w:r>
        <w:rPr>
          <w:rFonts w:hint="eastAsia" w:ascii="Times New Roman" w:hAnsi="Times New Roman" w:eastAsia="宋体" w:cs="Times New Roman"/>
          <w:kern w:val="2"/>
          <w:sz w:val="21"/>
          <w:szCs w:val="21"/>
          <w:lang w:val="en-US" w:eastAsia="zh-CN" w:bidi="ar-SA"/>
        </w:rPr>
        <w:t>寓教于乐</w:t>
      </w:r>
      <w:r>
        <w:rPr>
          <w:rFonts w:hint="eastAsia" w:cs="Times New Roman"/>
          <w:kern w:val="2"/>
          <w:sz w:val="21"/>
          <w:szCs w:val="21"/>
          <w:lang w:val="en-US" w:eastAsia="zh-CN" w:bidi="ar-SA"/>
        </w:rPr>
        <w:t>的方式</w:t>
      </w:r>
      <w:r>
        <w:rPr>
          <w:rFonts w:hint="eastAsia" w:ascii="Times New Roman" w:hAnsi="Times New Roman" w:eastAsia="宋体" w:cs="Times New Roman"/>
          <w:kern w:val="2"/>
          <w:sz w:val="21"/>
          <w:szCs w:val="21"/>
          <w:lang w:val="en-US" w:eastAsia="zh-CN" w:bidi="ar-SA"/>
        </w:rPr>
        <w:t>，提供一个平等表现自我的机会，使幼儿的兴趣、天赋、能力得到充分展现，在游戏中促进幼儿各方面能力的发展，开启愉悦的成长大门。</w:t>
      </w:r>
      <w:r>
        <w:rPr>
          <w:rFonts w:hint="eastAsia" w:cs="Times New Roman"/>
          <w:kern w:val="2"/>
          <w:sz w:val="21"/>
          <w:szCs w:val="21"/>
          <w:lang w:val="en-US" w:eastAsia="zh-CN" w:bidi="ar-SA"/>
        </w:rPr>
        <w:t>所以</w:t>
      </w:r>
      <w:r>
        <w:rPr>
          <w:rFonts w:hint="eastAsia" w:asciiTheme="minorEastAsia" w:hAnsiTheme="minorEastAsia" w:eastAsiaTheme="minorEastAsia" w:cstheme="minorEastAsia"/>
        </w:rPr>
        <w:t>近年来，幼儿园户外游戏活动对于幼儿发展的意义和价值逐渐被园所重视。教育要发展，园所要发展，都需要顺应政策导向、适应社会发展，全力保障每位幼儿都能获得优质且平等的教育，而</w:t>
      </w:r>
      <w:r>
        <w:rPr>
          <w:rFonts w:hint="eastAsia" w:asciiTheme="minorEastAsia" w:hAnsiTheme="minorEastAsia" w:eastAsiaTheme="minorEastAsia" w:cstheme="minorEastAsia"/>
          <w:lang w:eastAsia="zh-CN"/>
        </w:rPr>
        <w:t>户外运动游戏整体项目</w:t>
      </w:r>
      <w:r>
        <w:rPr>
          <w:rFonts w:hint="eastAsia" w:asciiTheme="minorEastAsia" w:hAnsiTheme="minorEastAsia" w:eastAsiaTheme="minorEastAsia" w:cstheme="minorEastAsia"/>
        </w:rPr>
        <w:t>可以帮助园所在已有基础上持续提升、突破自我，从而实现</w:t>
      </w:r>
      <w:r>
        <w:rPr>
          <w:rFonts w:hint="eastAsia" w:asciiTheme="minorEastAsia" w:hAnsiTheme="minorEastAsia" w:eastAsiaTheme="minorEastAsia" w:cstheme="minorEastAsia"/>
          <w:lang w:eastAsia="zh-CN"/>
        </w:rPr>
        <w:t>幼儿园户外活动的全面提升</w:t>
      </w:r>
      <w:r>
        <w:rPr>
          <w:rFonts w:hint="eastAsia" w:asciiTheme="minorEastAsia" w:hAnsiTheme="minorEastAsia" w:eastAsiaTheme="minorEastAsia" w:cstheme="minorEastAsia"/>
        </w:rPr>
        <w:t>。</w:t>
      </w:r>
    </w:p>
    <w:p>
      <w:pPr>
        <w:spacing w:line="300" w:lineRule="auto"/>
        <w:ind w:firstLine="420" w:firstLineChars="200"/>
        <w:rPr>
          <w:rFonts w:hint="eastAsia" w:ascii="宋体" w:hAnsi="宋体" w:cs="仿宋"/>
          <w:szCs w:val="21"/>
          <w:lang w:eastAsia="zh-CN"/>
        </w:rPr>
      </w:pPr>
      <w:r>
        <w:rPr>
          <w:rFonts w:hint="eastAsia" w:asciiTheme="minorEastAsia" w:hAnsiTheme="minorEastAsia" w:eastAsiaTheme="minorEastAsia" w:cstheme="minorEastAsia"/>
          <w:lang w:eastAsia="zh-CN"/>
        </w:rPr>
        <w:t>因此鄂托克前旗</w:t>
      </w:r>
      <w:r>
        <w:rPr>
          <w:rFonts w:hint="eastAsia" w:asciiTheme="minorEastAsia" w:hAnsiTheme="minorEastAsia" w:eastAsiaTheme="minorEastAsia" w:cstheme="minorEastAsia"/>
          <w:lang w:val="en-US" w:eastAsia="zh-CN"/>
        </w:rPr>
        <w:t>第三</w:t>
      </w:r>
      <w:r>
        <w:rPr>
          <w:rFonts w:hint="eastAsia" w:asciiTheme="minorEastAsia" w:hAnsiTheme="minorEastAsia" w:eastAsiaTheme="minorEastAsia" w:cstheme="minorEastAsia"/>
          <w:lang w:eastAsia="zh-CN"/>
        </w:rPr>
        <w:t>幼儿园计划采购 户外运动游戏整体项目</w:t>
      </w:r>
      <w:r>
        <w:rPr>
          <w:rFonts w:hint="eastAsia" w:asciiTheme="minorEastAsia" w:hAnsiTheme="minorEastAsia" w:eastAsiaTheme="minorEastAsia" w:cstheme="minorEastAsia"/>
          <w:lang w:val="en-US" w:eastAsia="zh-CN"/>
        </w:rPr>
        <w:t>和室内游戏活动整体项目，</w:t>
      </w:r>
      <w:r>
        <w:rPr>
          <w:rFonts w:hint="eastAsia" w:asciiTheme="minorEastAsia" w:hAnsiTheme="minorEastAsia" w:eastAsiaTheme="minorEastAsia" w:cstheme="minorEastAsia"/>
        </w:rPr>
        <w:t>旨在帮助幼儿园丰富户外活动类型</w:t>
      </w:r>
      <w:r>
        <w:rPr>
          <w:rFonts w:hint="eastAsia" w:asciiTheme="minorEastAsia" w:hAnsiTheme="minorEastAsia" w:eastAsiaTheme="minorEastAsia" w:cstheme="minorEastAsia"/>
          <w:lang w:val="en-US" w:eastAsia="zh-CN"/>
        </w:rPr>
        <w:t>和室内活动区域</w:t>
      </w:r>
      <w:r>
        <w:rPr>
          <w:rFonts w:hint="eastAsia" w:asciiTheme="minorEastAsia" w:hAnsiTheme="minorEastAsia" w:eastAsiaTheme="minorEastAsia" w:cstheme="minorEastAsia"/>
        </w:rPr>
        <w:t>，包括全面解决园所户外</w:t>
      </w:r>
      <w:r>
        <w:rPr>
          <w:rFonts w:hint="eastAsia" w:asciiTheme="minorEastAsia" w:hAnsiTheme="minorEastAsia" w:eastAsiaTheme="minorEastAsia" w:cstheme="minorEastAsia"/>
          <w:lang w:eastAsia="zh-CN"/>
        </w:rPr>
        <w:t>活动</w:t>
      </w: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小时的问题</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通过室内游戏促进幼儿自主发展和自主培养的能力，</w:t>
      </w:r>
      <w:r>
        <w:rPr>
          <w:rFonts w:hint="eastAsia" w:ascii="宋体" w:hAnsi="宋体" w:cs="仿宋"/>
          <w:szCs w:val="21"/>
        </w:rPr>
        <w:t>针对</w:t>
      </w:r>
      <w:r>
        <w:rPr>
          <w:rFonts w:hint="eastAsia" w:ascii="宋体" w:hAnsi="宋体" w:cs="仿宋"/>
          <w:szCs w:val="21"/>
          <w:lang w:eastAsia="zh-CN"/>
        </w:rPr>
        <w:t>幼儿园</w:t>
      </w:r>
      <w:r>
        <w:rPr>
          <w:rFonts w:hint="eastAsia" w:ascii="宋体" w:hAnsi="宋体" w:cs="仿宋"/>
          <w:szCs w:val="21"/>
        </w:rPr>
        <w:t>户外</w:t>
      </w:r>
      <w:r>
        <w:rPr>
          <w:rFonts w:hint="eastAsia" w:ascii="宋体" w:hAnsi="宋体" w:cs="仿宋"/>
          <w:szCs w:val="21"/>
          <w:lang w:val="en-US" w:eastAsia="zh-CN"/>
        </w:rPr>
        <w:t>活动和室内活动</w:t>
      </w:r>
      <w:r>
        <w:rPr>
          <w:rFonts w:hint="eastAsia" w:ascii="宋体" w:hAnsi="宋体" w:cs="仿宋"/>
          <w:szCs w:val="21"/>
          <w:lang w:eastAsia="zh-CN"/>
        </w:rPr>
        <w:t>的课程</w:t>
      </w:r>
      <w:r>
        <w:rPr>
          <w:rFonts w:hint="eastAsia" w:ascii="宋体" w:hAnsi="宋体" w:cs="仿宋"/>
          <w:szCs w:val="21"/>
        </w:rPr>
        <w:t>实际要求，通过三年时间，</w:t>
      </w:r>
      <w:r>
        <w:rPr>
          <w:rFonts w:hint="eastAsia" w:ascii="宋体" w:hAnsi="宋体" w:cs="仿宋"/>
          <w:szCs w:val="21"/>
          <w:lang w:eastAsia="zh-CN"/>
        </w:rPr>
        <w:t>全面提升幼儿园的活动质量及师资水平。</w:t>
      </w:r>
    </w:p>
    <w:p>
      <w:pPr>
        <w:spacing w:line="300" w:lineRule="auto"/>
        <w:ind w:firstLine="420" w:firstLineChars="200"/>
        <w:rPr>
          <w:rFonts w:hint="eastAsia" w:ascii="宋体" w:hAnsi="宋体" w:cs="仿宋"/>
          <w:szCs w:val="21"/>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2" w:firstLineChars="200"/>
        <w:jc w:val="left"/>
        <w:textAlignment w:val="auto"/>
        <w:outlineLvl w:val="9"/>
        <w:rPr>
          <w:rFonts w:hint="eastAsia" w:cs="Times New Roman"/>
          <w:b/>
          <w:bCs/>
          <w:kern w:val="2"/>
          <w:sz w:val="24"/>
          <w:szCs w:val="24"/>
          <w:lang w:val="en-US" w:eastAsia="zh-CN" w:bidi="ar-SA"/>
        </w:rPr>
      </w:pPr>
      <w:r>
        <w:rPr>
          <w:rFonts w:hint="eastAsia" w:cs="Times New Roman"/>
          <w:b/>
          <w:bCs/>
          <w:kern w:val="2"/>
          <w:sz w:val="24"/>
          <w:szCs w:val="24"/>
          <w:lang w:val="en-US" w:eastAsia="zh-CN" w:bidi="ar-SA"/>
        </w:rPr>
        <w:t>室内建构游戏项目的教育功能</w:t>
      </w:r>
      <w:bookmarkStart w:id="0" w:name="_Toc26095_WPSOffice_Level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30" w:firstLineChars="300"/>
        <w:jc w:val="left"/>
        <w:textAlignment w:val="auto"/>
        <w:outlineLvl w:val="9"/>
        <w:rPr>
          <w:rFonts w:hint="eastAsia" w:ascii="宋体" w:hAnsi="宋体" w:eastAsia="宋体" w:cs="宋体"/>
          <w:sz w:val="21"/>
          <w:szCs w:val="21"/>
        </w:rPr>
      </w:pPr>
      <w:r>
        <w:rPr>
          <w:rFonts w:hint="eastAsia" w:ascii="宋体" w:hAnsi="宋体" w:cs="宋体"/>
          <w:color w:val="000000"/>
          <w:spacing w:val="0"/>
          <w:w w:val="100"/>
          <w:position w:val="0"/>
          <w:sz w:val="21"/>
          <w:szCs w:val="21"/>
          <w:lang w:val="en-US" w:eastAsia="zh-CN" w:bidi="zh-CN"/>
        </w:rPr>
        <w:t xml:space="preserve"> </w:t>
      </w:r>
      <w:r>
        <w:rPr>
          <w:rFonts w:hint="eastAsia" w:ascii="宋体" w:hAnsi="宋体" w:eastAsia="宋体" w:cs="宋体"/>
          <w:color w:val="000000"/>
          <w:spacing w:val="0"/>
          <w:w w:val="100"/>
          <w:position w:val="0"/>
          <w:sz w:val="21"/>
          <w:szCs w:val="21"/>
          <w:lang w:val="en-US" w:eastAsia="zh-CN" w:bidi="zh-CN"/>
        </w:rPr>
        <w:t>幼儿园室内建</w:t>
      </w:r>
      <w:r>
        <w:rPr>
          <w:rFonts w:hint="eastAsia" w:ascii="宋体" w:hAnsi="宋体" w:eastAsia="宋体" w:cs="宋体"/>
          <w:color w:val="000000"/>
          <w:spacing w:val="0"/>
          <w:w w:val="100"/>
          <w:position w:val="0"/>
          <w:sz w:val="21"/>
          <w:szCs w:val="21"/>
          <w:lang w:val="zh-CN" w:eastAsia="zh-CN" w:bidi="zh-CN"/>
        </w:rPr>
        <w:t>构</w:t>
      </w:r>
      <w:r>
        <w:rPr>
          <w:rFonts w:hint="eastAsia" w:ascii="宋体" w:hAnsi="宋体" w:eastAsia="宋体" w:cs="宋体"/>
          <w:color w:val="000000"/>
          <w:spacing w:val="0"/>
          <w:w w:val="100"/>
          <w:position w:val="0"/>
          <w:sz w:val="21"/>
          <w:szCs w:val="21"/>
          <w:lang w:val="en-US" w:eastAsia="zh-CN" w:bidi="zh-CN"/>
        </w:rPr>
        <w:t>游戏项目</w:t>
      </w:r>
      <w:r>
        <w:rPr>
          <w:rFonts w:hint="eastAsia" w:ascii="宋体" w:hAnsi="宋体" w:eastAsia="宋体" w:cs="宋体"/>
          <w:color w:val="000000"/>
          <w:spacing w:val="0"/>
          <w:w w:val="100"/>
          <w:position w:val="0"/>
          <w:sz w:val="21"/>
          <w:szCs w:val="21"/>
          <w:lang w:val="zh-CN" w:eastAsia="zh-CN" w:bidi="zh-CN"/>
        </w:rPr>
        <w:t>具有丰富的教育功能，主要体现在以下四个方面。</w:t>
      </w:r>
    </w:p>
    <w:p>
      <w:pPr>
        <w:pStyle w:val="42"/>
        <w:keepNext/>
        <w:keepLines/>
        <w:pageBreakBefore w:val="0"/>
        <w:widowControl w:val="0"/>
        <w:shd w:val="clear" w:color="auto" w:fill="auto"/>
        <w:kinsoku/>
        <w:wordWrap/>
        <w:overflowPunct/>
        <w:topLinePunct w:val="0"/>
        <w:autoSpaceDE/>
        <w:autoSpaceDN/>
        <w:bidi w:val="0"/>
        <w:adjustRightInd/>
        <w:snapToGrid/>
        <w:spacing w:before="0" w:after="60" w:line="360" w:lineRule="auto"/>
        <w:ind w:left="560" w:right="0" w:firstLine="0"/>
        <w:jc w:val="left"/>
        <w:textAlignment w:val="auto"/>
        <w:rPr>
          <w:rFonts w:hint="eastAsia" w:ascii="宋体" w:hAnsi="宋体" w:eastAsia="宋体" w:cs="宋体"/>
          <w:sz w:val="21"/>
          <w:szCs w:val="21"/>
        </w:rPr>
      </w:pPr>
      <w:bookmarkStart w:id="1" w:name="bookmark2"/>
      <w:r>
        <w:rPr>
          <w:rFonts w:hint="eastAsia" w:ascii="宋体" w:hAnsi="宋体" w:eastAsia="宋体" w:cs="宋体"/>
          <w:color w:val="000000"/>
          <w:w w:val="100"/>
          <w:position w:val="0"/>
          <w:sz w:val="21"/>
          <w:szCs w:val="21"/>
          <w:lang w:val="en-US" w:eastAsia="zh-CN" w:bidi="zh-CN"/>
        </w:rPr>
        <w:t>（一）</w:t>
      </w:r>
      <w:r>
        <w:rPr>
          <w:rFonts w:hint="eastAsia" w:ascii="宋体" w:hAnsi="宋体" w:eastAsia="宋体" w:cs="宋体"/>
          <w:color w:val="000000"/>
          <w:w w:val="100"/>
          <w:position w:val="0"/>
          <w:sz w:val="21"/>
          <w:szCs w:val="21"/>
          <w:lang w:val="zh-CN" w:eastAsia="zh-CN" w:bidi="zh-CN"/>
        </w:rPr>
        <w:t>课程支撑功能</w:t>
      </w:r>
      <w:bookmarkEnd w:id="1"/>
    </w:p>
    <w:p>
      <w:pPr>
        <w:pStyle w:val="41"/>
        <w:keepNext w:val="0"/>
        <w:keepLines w:val="0"/>
        <w:pageBreakBefore w:val="0"/>
        <w:widowControl w:val="0"/>
        <w:shd w:val="clear" w:color="auto" w:fill="auto"/>
        <w:kinsoku/>
        <w:wordWrap/>
        <w:overflowPunct/>
        <w:topLinePunct w:val="0"/>
        <w:autoSpaceDE/>
        <w:autoSpaceDN/>
        <w:bidi w:val="0"/>
        <w:adjustRightInd/>
        <w:snapToGrid/>
        <w:spacing w:before="0" w:after="240" w:line="360" w:lineRule="auto"/>
        <w:ind w:left="0" w:right="0" w:firstLine="440"/>
        <w:textAlignment w:val="auto"/>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lang w:val="zh-CN" w:eastAsia="zh-CN" w:bidi="zh-CN"/>
        </w:rPr>
        <w:t>作为幼儿园课程的有机组成部分，建构游戏项目及其活动主要具有三个方面的课程支撑 功能：</w:t>
      </w:r>
      <w:r>
        <w:rPr>
          <w:rFonts w:hint="eastAsia" w:ascii="宋体" w:hAnsi="宋体" w:eastAsia="宋体" w:cs="宋体"/>
          <w:color w:val="000000"/>
          <w:spacing w:val="0"/>
          <w:w w:val="100"/>
          <w:position w:val="0"/>
          <w:sz w:val="21"/>
          <w:szCs w:val="21"/>
          <w:lang w:val="en-US" w:eastAsia="en-US" w:bidi="en-US"/>
        </w:rPr>
        <w:t>（1）</w:t>
      </w:r>
      <w:r>
        <w:rPr>
          <w:rFonts w:hint="eastAsia" w:ascii="宋体" w:hAnsi="宋体" w:eastAsia="宋体" w:cs="宋体"/>
          <w:color w:val="000000"/>
          <w:spacing w:val="0"/>
          <w:w w:val="100"/>
          <w:position w:val="0"/>
          <w:sz w:val="21"/>
          <w:szCs w:val="21"/>
          <w:lang w:val="zh-CN" w:eastAsia="zh-CN" w:bidi="zh-CN"/>
        </w:rPr>
        <w:t>在建构游戏项目中，幼儿可以自由选择、探索与运用建构活动材料，进行主动的 建构与探索活动。在此过程中，可以促进幼儿科学、社会、语言等多领域的发展，这有助 于幼儿园课程目标的落实。同时，幼儿在建构游戏项目中获得的知识经验与能力发展，又有 助于幼儿在更高水平上参与幼儿园其他教育活动。</w:t>
      </w:r>
      <w:r>
        <w:rPr>
          <w:rFonts w:hint="eastAsia" w:ascii="宋体" w:hAnsi="宋体" w:eastAsia="宋体" w:cs="宋体"/>
          <w:color w:val="000000"/>
          <w:spacing w:val="0"/>
          <w:w w:val="100"/>
          <w:position w:val="0"/>
          <w:sz w:val="21"/>
          <w:szCs w:val="21"/>
          <w:lang w:val="en-US" w:eastAsia="en-US" w:bidi="en-US"/>
        </w:rPr>
        <w:t>（2）</w:t>
      </w:r>
      <w:r>
        <w:rPr>
          <w:rFonts w:hint="eastAsia" w:ascii="宋体" w:hAnsi="宋体" w:eastAsia="宋体" w:cs="宋体"/>
          <w:color w:val="000000"/>
          <w:spacing w:val="0"/>
          <w:w w:val="100"/>
          <w:position w:val="0"/>
          <w:sz w:val="21"/>
          <w:szCs w:val="21"/>
          <w:lang w:val="zh-CN" w:eastAsia="zh-CN" w:bidi="zh-CN"/>
        </w:rPr>
        <w:t>在建构游戏项目活动过程中，幼儿经 常会体验到惊喜、惊奇、困惑、兴趣等，从而激发幼儿进一步探究的欲望。这些都可能成 为生成有价值教育活动（包括主题活动、集体教学、班级建构活动等）的重要生长点，可 能会催生一系列有价值的探究活动。同时，幼儿在建构游戏项目中建构的一些作品，也可能 会成为生成教育活动的契机。</w:t>
      </w:r>
      <w:r>
        <w:rPr>
          <w:rFonts w:hint="eastAsia" w:ascii="宋体" w:hAnsi="宋体" w:eastAsia="宋体" w:cs="宋体"/>
          <w:color w:val="000000"/>
          <w:spacing w:val="0"/>
          <w:w w:val="100"/>
          <w:position w:val="0"/>
          <w:sz w:val="21"/>
          <w:szCs w:val="21"/>
          <w:lang w:val="en-US" w:eastAsia="en-US" w:bidi="en-US"/>
        </w:rPr>
        <w:t>（3）</w:t>
      </w:r>
      <w:r>
        <w:rPr>
          <w:rFonts w:hint="eastAsia" w:ascii="宋体" w:hAnsi="宋体" w:eastAsia="宋体" w:cs="宋体"/>
          <w:color w:val="000000"/>
          <w:spacing w:val="0"/>
          <w:w w:val="100"/>
          <w:position w:val="0"/>
          <w:sz w:val="21"/>
          <w:szCs w:val="21"/>
          <w:lang w:val="zh-CN" w:eastAsia="zh-CN" w:bidi="zh-CN"/>
        </w:rPr>
        <w:t>建构游戏项目也可以成为一个幼儿围绕自己正在开展的主 题活动进行建构的场所。在此过程中，幼儿可以根据自己正在开展的主题活动确定建构的 主题，进而在建构游戏项目中集中展示、呈现自己主题活动的成果。</w:t>
      </w:r>
    </w:p>
    <w:p>
      <w:pPr>
        <w:pStyle w:val="42"/>
        <w:keepNext/>
        <w:keepLines/>
        <w:pageBreakBefore w:val="0"/>
        <w:widowControl w:val="0"/>
        <w:shd w:val="clear" w:color="auto" w:fill="auto"/>
        <w:tabs>
          <w:tab w:val="left" w:pos="1209"/>
        </w:tabs>
        <w:kinsoku/>
        <w:wordWrap/>
        <w:overflowPunct/>
        <w:topLinePunct w:val="0"/>
        <w:autoSpaceDE/>
        <w:autoSpaceDN/>
        <w:bidi w:val="0"/>
        <w:adjustRightInd/>
        <w:snapToGrid/>
        <w:spacing w:before="0" w:after="80" w:line="360" w:lineRule="auto"/>
        <w:ind w:left="560" w:right="0" w:firstLine="0"/>
        <w:jc w:val="left"/>
        <w:textAlignment w:val="auto"/>
        <w:rPr>
          <w:rFonts w:hint="eastAsia" w:ascii="宋体" w:hAnsi="宋体" w:eastAsia="宋体" w:cs="宋体"/>
          <w:sz w:val="21"/>
          <w:szCs w:val="21"/>
        </w:rPr>
      </w:pPr>
      <w:bookmarkStart w:id="2" w:name="bookmark3"/>
      <w:r>
        <w:rPr>
          <w:rFonts w:hint="eastAsia" w:ascii="宋体" w:hAnsi="宋体" w:eastAsia="宋体" w:cs="宋体"/>
          <w:color w:val="000000"/>
          <w:w w:val="100"/>
          <w:position w:val="0"/>
          <w:sz w:val="21"/>
          <w:szCs w:val="21"/>
          <w:lang w:val="zh-CN" w:eastAsia="zh-CN" w:bidi="zh-CN"/>
        </w:rPr>
        <w:t>（二）环境创设功能</w:t>
      </w:r>
      <w:bookmarkEnd w:id="2"/>
    </w:p>
    <w:p>
      <w:pPr>
        <w:pStyle w:val="41"/>
        <w:keepNext w:val="0"/>
        <w:keepLines w:val="0"/>
        <w:pageBreakBefore w:val="0"/>
        <w:widowControl w:val="0"/>
        <w:shd w:val="clear" w:color="auto" w:fill="auto"/>
        <w:kinsoku/>
        <w:wordWrap/>
        <w:overflowPunct/>
        <w:topLinePunct w:val="0"/>
        <w:autoSpaceDE/>
        <w:autoSpaceDN/>
        <w:bidi w:val="0"/>
        <w:adjustRightInd/>
        <w:snapToGrid/>
        <w:spacing w:before="0" w:after="240" w:line="360" w:lineRule="auto"/>
        <w:ind w:left="0" w:right="0" w:firstLine="420"/>
        <w:textAlignment w:val="auto"/>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lang w:val="zh-CN" w:eastAsia="zh-CN" w:bidi="zh-CN"/>
        </w:rPr>
        <w:t>建构游戏项目中丰富多彩的活动材料以及造型各异的建构作品，本身就体现了对环境的 创设功能。此外，建构游戏项目中的活动材料以及建构的作品也可以用于幼儿园教育环境的 创设之中，同时还可以根据环境创设的需要由幼儿、教师等在建构游戏项目中利用活动材料 建构相应作品进而用于环境创设。这些都体现了建构游戏项目的环境创设功能。</w:t>
      </w:r>
    </w:p>
    <w:p>
      <w:pPr>
        <w:pStyle w:val="42"/>
        <w:keepNext/>
        <w:keepLines/>
        <w:pageBreakBefore w:val="0"/>
        <w:widowControl w:val="0"/>
        <w:shd w:val="clear" w:color="auto" w:fill="auto"/>
        <w:tabs>
          <w:tab w:val="left" w:pos="1209"/>
        </w:tabs>
        <w:kinsoku/>
        <w:wordWrap/>
        <w:overflowPunct/>
        <w:topLinePunct w:val="0"/>
        <w:autoSpaceDE/>
        <w:autoSpaceDN/>
        <w:bidi w:val="0"/>
        <w:adjustRightInd/>
        <w:snapToGrid/>
        <w:spacing w:before="0" w:after="80" w:line="360" w:lineRule="auto"/>
        <w:ind w:left="560" w:right="0" w:firstLine="0"/>
        <w:jc w:val="both"/>
        <w:textAlignment w:val="auto"/>
        <w:rPr>
          <w:rFonts w:hint="eastAsia" w:ascii="宋体" w:hAnsi="宋体" w:eastAsia="宋体" w:cs="宋体"/>
          <w:sz w:val="21"/>
          <w:szCs w:val="21"/>
        </w:rPr>
      </w:pPr>
      <w:bookmarkStart w:id="3" w:name="bookmark4"/>
      <w:r>
        <w:rPr>
          <w:rFonts w:hint="eastAsia" w:ascii="宋体" w:hAnsi="宋体" w:eastAsia="宋体" w:cs="宋体"/>
          <w:color w:val="000000"/>
          <w:w w:val="100"/>
          <w:position w:val="0"/>
          <w:sz w:val="21"/>
          <w:szCs w:val="21"/>
          <w:lang w:val="zh-CN" w:eastAsia="zh-CN" w:bidi="zh-CN"/>
        </w:rPr>
        <w:t>（三）建构游戏功能</w:t>
      </w:r>
      <w:bookmarkEnd w:id="3"/>
    </w:p>
    <w:p>
      <w:pPr>
        <w:pStyle w:val="41"/>
        <w:keepNext w:val="0"/>
        <w:keepLines w:val="0"/>
        <w:pageBreakBefore w:val="0"/>
        <w:widowControl w:val="0"/>
        <w:shd w:val="clear" w:color="auto" w:fill="auto"/>
        <w:kinsoku/>
        <w:wordWrap/>
        <w:overflowPunct/>
        <w:topLinePunct w:val="0"/>
        <w:autoSpaceDE/>
        <w:autoSpaceDN/>
        <w:bidi w:val="0"/>
        <w:adjustRightInd/>
        <w:snapToGrid/>
        <w:spacing w:before="0" w:after="240" w:line="360" w:lineRule="auto"/>
        <w:ind w:left="0" w:right="0" w:firstLine="420"/>
        <w:textAlignment w:val="auto"/>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lang w:val="zh-CN" w:eastAsia="zh-CN" w:bidi="zh-CN"/>
        </w:rPr>
        <w:t>建构游戏项目作为一个幼儿集中进行主动建构与探索的专用活动室，其基本功能便是为 幼儿提供了一个集中进行建构游戏的空间。这也为班级没有建构区的幼儿提供了一个开展 自由建构游戏的建构。此外，教师甚至家长、社区居民等其他“利益相关者”也可以在建 构功能室开展自由建构游戏。这些便是建构游戏项目建构游戏功能的重要体现。</w:t>
      </w:r>
    </w:p>
    <w:p>
      <w:pPr>
        <w:pStyle w:val="42"/>
        <w:keepNext/>
        <w:keepLines/>
        <w:pageBreakBefore w:val="0"/>
        <w:widowControl w:val="0"/>
        <w:shd w:val="clear" w:color="auto" w:fill="auto"/>
        <w:tabs>
          <w:tab w:val="left" w:pos="1209"/>
        </w:tabs>
        <w:kinsoku/>
        <w:wordWrap/>
        <w:overflowPunct/>
        <w:topLinePunct w:val="0"/>
        <w:autoSpaceDE/>
        <w:autoSpaceDN/>
        <w:bidi w:val="0"/>
        <w:adjustRightInd/>
        <w:snapToGrid/>
        <w:spacing w:before="0" w:after="80" w:line="360" w:lineRule="auto"/>
        <w:ind w:left="560" w:right="0" w:firstLine="0"/>
        <w:jc w:val="both"/>
        <w:textAlignment w:val="auto"/>
        <w:rPr>
          <w:rFonts w:hint="eastAsia" w:ascii="宋体" w:hAnsi="宋体" w:eastAsia="宋体" w:cs="宋体"/>
          <w:sz w:val="21"/>
          <w:szCs w:val="21"/>
        </w:rPr>
      </w:pPr>
      <w:bookmarkStart w:id="4" w:name="bookmark5"/>
      <w:r>
        <w:rPr>
          <w:rFonts w:hint="eastAsia" w:ascii="宋体" w:hAnsi="宋体" w:eastAsia="宋体" w:cs="宋体"/>
          <w:color w:val="000000"/>
          <w:w w:val="100"/>
          <w:position w:val="0"/>
          <w:sz w:val="21"/>
          <w:szCs w:val="21"/>
          <w:lang w:val="zh-CN" w:eastAsia="zh-CN" w:bidi="zh-CN"/>
        </w:rPr>
        <w:t>（四）家园互动功能</w:t>
      </w:r>
      <w:bookmarkEnd w:id="4"/>
    </w:p>
    <w:p>
      <w:pPr>
        <w:pStyle w:val="4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textAlignment w:val="auto"/>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lang w:val="zh-CN" w:eastAsia="zh-CN" w:bidi="zh-CN"/>
        </w:rPr>
        <w:t>建构游戏项目为家园互动提供了一个空间与平台。在这里，家长可以参与孩子的建构活 动，开展亲子建构活动，参观自己孩子的建构作品展，还可以开展家园建构活动。在此过 程中，家长可以感受到建构活动的发展价值，进而能更好地理解与支持孩子的建构活动, 由此更乐意和积极参与建构游戏项目活动材料（尤其是拓展材料）的选择与提供以及活动空 间的设置。此外，为了更好实现家园互动功能，教师还需为家长提供必要的支持，尤其是 关于建构活动材料以及建构技能等方面的专业支持，以此不断提高家长在参与过程中的专 业自信心与能力。“随着家长自信心的增长，基于相互尊重与信任的家长参与程度也相应 增长”。由此便可以形成一个良性循环，使基于建构游戏项目的家园互动不断跃上新的水平。</w:t>
      </w:r>
    </w:p>
    <w:p>
      <w:pPr>
        <w:pageBreakBefore w:val="0"/>
        <w:numPr>
          <w:ilvl w:val="0"/>
          <w:numId w:val="0"/>
        </w:numPr>
        <w:kinsoku/>
        <w:wordWrap/>
        <w:overflowPunct/>
        <w:topLinePunct w:val="0"/>
        <w:autoSpaceDE/>
        <w:autoSpaceDN/>
        <w:bidi w:val="0"/>
        <w:adjustRightInd/>
        <w:snapToGrid/>
        <w:spacing w:line="360" w:lineRule="auto"/>
        <w:ind w:leftChars="0" w:firstLine="482" w:firstLineChars="200"/>
        <w:jc w:val="left"/>
        <w:rPr>
          <w:rFonts w:hint="eastAsia"/>
          <w:b/>
          <w:bCs/>
          <w:sz w:val="24"/>
          <w:szCs w:val="24"/>
          <w:lang w:val="en-US" w:eastAsia="zh-CN"/>
        </w:rPr>
      </w:pPr>
    </w:p>
    <w:p>
      <w:pPr>
        <w:pageBreakBefore w:val="0"/>
        <w:numPr>
          <w:ilvl w:val="0"/>
          <w:numId w:val="0"/>
        </w:numPr>
        <w:kinsoku/>
        <w:wordWrap/>
        <w:overflowPunct/>
        <w:topLinePunct w:val="0"/>
        <w:autoSpaceDE/>
        <w:autoSpaceDN/>
        <w:bidi w:val="0"/>
        <w:adjustRightInd/>
        <w:snapToGrid/>
        <w:spacing w:line="360" w:lineRule="auto"/>
        <w:ind w:leftChars="0" w:firstLine="482" w:firstLineChars="200"/>
        <w:jc w:val="left"/>
        <w:rPr>
          <w:rFonts w:hint="eastAsia" w:eastAsia="宋体"/>
          <w:b/>
          <w:bCs/>
          <w:sz w:val="24"/>
          <w:szCs w:val="24"/>
          <w:lang w:val="en-US" w:eastAsia="zh-CN"/>
        </w:rPr>
      </w:pPr>
      <w:r>
        <w:rPr>
          <w:rFonts w:hint="eastAsia"/>
          <w:b/>
          <w:bCs/>
          <w:sz w:val="24"/>
          <w:szCs w:val="24"/>
          <w:lang w:val="en-US" w:eastAsia="zh-CN"/>
        </w:rPr>
        <w:t>二、</w:t>
      </w:r>
      <w:r>
        <w:rPr>
          <w:rFonts w:hint="eastAsia" w:ascii="宋体" w:hAnsi="宋体" w:cs="宋体"/>
          <w:b/>
          <w:bCs/>
          <w:sz w:val="24"/>
          <w:szCs w:val="24"/>
          <w:lang w:eastAsia="zh-CN"/>
        </w:rPr>
        <w:t xml:space="preserve"> 室内游戏课程</w:t>
      </w:r>
      <w:r>
        <w:rPr>
          <w:rFonts w:hint="eastAsia" w:ascii="Times New Roman" w:hAnsi="Times New Roman" w:eastAsia="宋体" w:cs="Times New Roman"/>
          <w:b/>
          <w:bCs/>
          <w:sz w:val="24"/>
          <w:szCs w:val="24"/>
        </w:rPr>
        <w:t>产品构成</w:t>
      </w:r>
      <w:bookmarkEnd w:id="0"/>
      <w:r>
        <w:rPr>
          <w:rFonts w:hint="eastAsia" w:cs="Times New Roman"/>
          <w:b/>
          <w:bCs/>
          <w:sz w:val="24"/>
          <w:szCs w:val="24"/>
          <w:lang w:eastAsia="zh-CN"/>
        </w:rPr>
        <w:t>与优势</w:t>
      </w:r>
    </w:p>
    <w:p>
      <w:pPr>
        <w:pageBreakBefore w:val="0"/>
        <w:kinsoku/>
        <w:wordWrap/>
        <w:overflowPunct/>
        <w:topLinePunct w:val="0"/>
        <w:autoSpaceDE/>
        <w:autoSpaceDN/>
        <w:bidi w:val="0"/>
        <w:adjustRightInd/>
        <w:snapToGrid/>
        <w:spacing w:line="360" w:lineRule="auto"/>
        <w:ind w:firstLine="422" w:firstLineChars="200"/>
        <w:rPr>
          <w:rFonts w:hint="eastAsia" w:ascii="宋体" w:hAnsi="宋体" w:cs="宋体"/>
          <w:b/>
          <w:bCs/>
          <w:color w:val="000000"/>
          <w:szCs w:val="21"/>
        </w:rPr>
      </w:pPr>
      <w:r>
        <w:rPr>
          <w:rFonts w:hint="eastAsia" w:cs="Times New Roman"/>
          <w:b/>
          <w:bCs/>
          <w:kern w:val="2"/>
          <w:sz w:val="21"/>
          <w:szCs w:val="21"/>
          <w:lang w:val="en-US" w:eastAsia="zh-CN" w:bidi="ar-SA"/>
        </w:rPr>
        <w:t xml:space="preserve"> 扭扭建构</w:t>
      </w:r>
    </w:p>
    <w:p>
      <w:pPr>
        <w:pageBreakBefore w:val="0"/>
        <w:kinsoku/>
        <w:wordWrap/>
        <w:overflowPunct/>
        <w:topLinePunct w:val="0"/>
        <w:autoSpaceDE/>
        <w:autoSpaceDN/>
        <w:bidi w:val="0"/>
        <w:adjustRightInd/>
        <w:snapToGrid/>
        <w:spacing w:line="360" w:lineRule="auto"/>
        <w:ind w:firstLine="422" w:firstLineChars="200"/>
        <w:rPr>
          <w:rFonts w:hint="eastAsia" w:ascii="宋体" w:hAnsi="宋体" w:cs="宋体"/>
          <w:b/>
          <w:bCs/>
          <w:color w:val="000000"/>
          <w:szCs w:val="21"/>
          <w:lang w:val="en-US" w:eastAsia="zh-CN"/>
        </w:rPr>
      </w:pPr>
      <w:r>
        <w:rPr>
          <w:rFonts w:hint="eastAsia" w:ascii="宋体" w:hAnsi="宋体" w:cs="宋体"/>
          <w:b/>
          <w:bCs/>
          <w:color w:val="000000"/>
          <w:szCs w:val="21"/>
          <w:lang w:val="en-US" w:eastAsia="zh-CN"/>
        </w:rPr>
        <w:t>1. 扭扭建构产品构成</w:t>
      </w:r>
    </w:p>
    <w:p>
      <w:pPr>
        <w:pageBreakBefore w:val="0"/>
        <w:kinsoku/>
        <w:wordWrap/>
        <w:overflowPunct/>
        <w:topLinePunct w:val="0"/>
        <w:autoSpaceDE/>
        <w:autoSpaceDN/>
        <w:bidi w:val="0"/>
        <w:adjustRightInd/>
        <w:snapToGrid/>
        <w:spacing w:line="360" w:lineRule="auto"/>
        <w:ind w:firstLine="420" w:firstLineChars="200"/>
        <w:rPr>
          <w:rFonts w:hint="eastAsia" w:ascii="宋体" w:hAnsi="宋体" w:cs="宋体"/>
          <w:b w:val="0"/>
          <w:bCs w:val="0"/>
          <w:color w:val="000000"/>
          <w:szCs w:val="21"/>
          <w:lang w:eastAsia="zh-CN"/>
        </w:rPr>
      </w:pPr>
      <w:r>
        <w:rPr>
          <w:rFonts w:hint="eastAsia" w:ascii="宋体" w:hAnsi="宋体" w:cs="宋体"/>
          <w:b w:val="0"/>
          <w:bCs w:val="0"/>
          <w:color w:val="000000"/>
          <w:szCs w:val="21"/>
          <w:lang w:eastAsia="zh-CN"/>
        </w:rPr>
        <w:t xml:space="preserve"> 扭扭建构以《幼儿园教育指导纲要（试行）》和《3-6岁儿童学习与发展指南》为基础，遵循幼儿的认知发展规律，从生活主题出发创设建构游戏情境，不仅为园所提供了指导手册、情境挂图、游戏图册等方案类材料，还提供了挖掘幼儿建构潜能的建构主材、丰富幼儿象征性游戏的辅助材料及人偶道具、搭建建构活动发展支架的电子课件。引导幼儿在建构活动中乐于建构、主动探索、快乐游戏，提升建构与创造性水平，促进与提升五大领域关键经验的达成。</w:t>
      </w:r>
    </w:p>
    <w:p>
      <w:pPr>
        <w:pageBreakBefore w:val="0"/>
        <w:kinsoku/>
        <w:wordWrap/>
        <w:overflowPunct/>
        <w:topLinePunct w:val="0"/>
        <w:autoSpaceDE/>
        <w:autoSpaceDN/>
        <w:bidi w:val="0"/>
        <w:adjustRightInd/>
        <w:snapToGrid/>
        <w:spacing w:line="360" w:lineRule="auto"/>
        <w:ind w:firstLine="420" w:firstLineChars="200"/>
        <w:rPr>
          <w:rFonts w:hint="eastAsia" w:ascii="宋体" w:hAnsi="宋体" w:cs="宋体"/>
          <w:b w:val="0"/>
          <w:bCs w:val="0"/>
          <w:color w:val="000000"/>
          <w:szCs w:val="21"/>
          <w:lang w:eastAsia="zh-CN"/>
        </w:rPr>
      </w:pPr>
      <w:r>
        <w:rPr>
          <w:rFonts w:hint="eastAsia" w:ascii="宋体" w:hAnsi="宋体" w:cs="宋体"/>
          <w:b w:val="0"/>
          <w:bCs w:val="0"/>
          <w:color w:val="000000"/>
          <w:szCs w:val="21"/>
          <w:lang w:val="en-US" w:eastAsia="zh-CN"/>
        </w:rPr>
        <w:t>具体材料结构如下：</w:t>
      </w:r>
    </w:p>
    <w:p>
      <w:pPr>
        <w:pageBreakBefore w:val="0"/>
        <w:kinsoku/>
        <w:wordWrap/>
        <w:overflowPunct/>
        <w:topLinePunct w:val="0"/>
        <w:autoSpaceDE/>
        <w:autoSpaceDN/>
        <w:bidi w:val="0"/>
        <w:adjustRightInd/>
        <w:snapToGrid/>
        <w:spacing w:line="360" w:lineRule="auto"/>
        <w:ind w:firstLine="420" w:firstLineChars="200"/>
        <w:rPr>
          <w:rFonts w:hint="eastAsia" w:ascii="宋体" w:hAnsi="宋体" w:cs="宋体"/>
          <w:b w:val="0"/>
          <w:bCs w:val="0"/>
          <w:color w:val="000000"/>
          <w:szCs w:val="21"/>
          <w:lang w:eastAsia="zh-CN"/>
        </w:rPr>
      </w:pPr>
    </w:p>
    <w:p>
      <w:pPr>
        <w:pageBreakBefore w:val="0"/>
        <w:kinsoku/>
        <w:wordWrap/>
        <w:overflowPunct/>
        <w:topLinePunct w:val="0"/>
        <w:autoSpaceDE/>
        <w:autoSpaceDN/>
        <w:bidi w:val="0"/>
        <w:adjustRightInd/>
        <w:snapToGrid/>
        <w:spacing w:line="360" w:lineRule="auto"/>
        <w:rPr>
          <w:rFonts w:hint="eastAsia" w:ascii="宋体" w:hAnsi="宋体" w:cs="宋体"/>
          <w:b/>
          <w:bCs/>
          <w:color w:val="000000"/>
          <w:szCs w:val="21"/>
          <w:lang w:eastAsia="zh-CN"/>
        </w:rPr>
      </w:pPr>
    </w:p>
    <w:tbl>
      <w:tblPr>
        <w:tblStyle w:val="17"/>
        <w:tblpPr w:leftFromText="180" w:rightFromText="180" w:vertAnchor="text" w:horzAnchor="page" w:tblpX="696" w:tblpY="-554"/>
        <w:tblOverlap w:val="never"/>
        <w:tblW w:w="10500" w:type="dxa"/>
        <w:tblCellSpacing w:w="0" w:type="dxa"/>
        <w:tblInd w:w="0" w:type="dxa"/>
        <w:shd w:val="clear" w:color="auto" w:fill="auto"/>
        <w:tblLayout w:type="fixed"/>
        <w:tblCellMar>
          <w:top w:w="0" w:type="dxa"/>
          <w:left w:w="0" w:type="dxa"/>
          <w:bottom w:w="0" w:type="dxa"/>
          <w:right w:w="0" w:type="dxa"/>
        </w:tblCellMar>
      </w:tblPr>
      <w:tblGrid>
        <w:gridCol w:w="1243"/>
        <w:gridCol w:w="1244"/>
        <w:gridCol w:w="1616"/>
        <w:gridCol w:w="1551"/>
        <w:gridCol w:w="4846"/>
      </w:tblGrid>
      <w:tr>
        <w:tblPrEx>
          <w:shd w:val="clear" w:color="auto" w:fill="auto"/>
          <w:tblLayout w:type="fixed"/>
          <w:tblCellMar>
            <w:top w:w="0" w:type="dxa"/>
            <w:left w:w="0" w:type="dxa"/>
            <w:bottom w:w="0" w:type="dxa"/>
            <w:right w:w="0" w:type="dxa"/>
          </w:tblCellMar>
        </w:tblPrEx>
        <w:trPr>
          <w:trHeight w:val="1000" w:hRule="atLeast"/>
          <w:tblCellSpacing w:w="0" w:type="dxa"/>
        </w:trPr>
        <w:tc>
          <w:tcPr>
            <w:tcW w:w="248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pStyle w:val="11"/>
              <w:keepNext w:val="0"/>
              <w:keepLines w:val="0"/>
              <w:widowControl/>
              <w:suppressLineNumbers w:val="0"/>
              <w:rPr>
                <w:rFonts w:hint="eastAsia" w:ascii="宋体" w:hAnsi="宋体" w:eastAsia="宋体" w:cs="宋体"/>
                <w:sz w:val="21"/>
                <w:szCs w:val="21"/>
              </w:rPr>
            </w:pPr>
            <w:r>
              <w:rPr>
                <w:rFonts w:hint="eastAsia" w:ascii="宋体" w:hAnsi="宋体" w:eastAsia="宋体" w:cs="宋体"/>
                <w:b/>
                <w:color w:val="000000"/>
                <w:sz w:val="21"/>
                <w:szCs w:val="21"/>
              </w:rPr>
              <w:t>类别</w:t>
            </w:r>
          </w:p>
        </w:tc>
        <w:tc>
          <w:tcPr>
            <w:tcW w:w="161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pStyle w:val="11"/>
              <w:keepNext w:val="0"/>
              <w:keepLines w:val="0"/>
              <w:widowControl/>
              <w:suppressLineNumbers w:val="0"/>
              <w:rPr>
                <w:rFonts w:hint="eastAsia" w:ascii="宋体" w:hAnsi="宋体" w:eastAsia="宋体" w:cs="宋体"/>
                <w:sz w:val="21"/>
                <w:szCs w:val="21"/>
              </w:rPr>
            </w:pPr>
            <w:r>
              <w:rPr>
                <w:rFonts w:hint="eastAsia" w:ascii="宋体" w:hAnsi="宋体" w:eastAsia="宋体" w:cs="宋体"/>
                <w:b/>
                <w:color w:val="000000"/>
                <w:sz w:val="21"/>
                <w:szCs w:val="21"/>
              </w:rPr>
              <w:t>名称</w:t>
            </w:r>
          </w:p>
        </w:tc>
        <w:tc>
          <w:tcPr>
            <w:tcW w:w="155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pStyle w:val="11"/>
              <w:keepNext w:val="0"/>
              <w:keepLines w:val="0"/>
              <w:widowControl/>
              <w:suppressLineNumbers w:val="0"/>
              <w:rPr>
                <w:rFonts w:hint="eastAsia" w:ascii="宋体" w:hAnsi="宋体" w:eastAsia="宋体" w:cs="宋体"/>
                <w:sz w:val="21"/>
                <w:szCs w:val="21"/>
              </w:rPr>
            </w:pPr>
            <w:r>
              <w:rPr>
                <w:rFonts w:hint="eastAsia" w:ascii="宋体" w:hAnsi="宋体" w:eastAsia="宋体" w:cs="宋体"/>
                <w:b/>
                <w:color w:val="000000"/>
                <w:sz w:val="21"/>
                <w:szCs w:val="21"/>
              </w:rPr>
              <w:t>数量</w:t>
            </w:r>
          </w:p>
        </w:tc>
        <w:tc>
          <w:tcPr>
            <w:tcW w:w="484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pStyle w:val="11"/>
              <w:keepNext w:val="0"/>
              <w:keepLines w:val="0"/>
              <w:widowControl/>
              <w:suppressLineNumbers w:val="0"/>
              <w:rPr>
                <w:rFonts w:hint="eastAsia" w:ascii="宋体" w:hAnsi="宋体" w:eastAsia="宋体" w:cs="宋体"/>
                <w:sz w:val="21"/>
                <w:szCs w:val="21"/>
              </w:rPr>
            </w:pPr>
            <w:r>
              <w:rPr>
                <w:rFonts w:hint="eastAsia" w:ascii="宋体" w:hAnsi="宋体" w:eastAsia="宋体" w:cs="宋体"/>
                <w:b/>
                <w:color w:val="000000"/>
                <w:sz w:val="21"/>
                <w:szCs w:val="21"/>
              </w:rPr>
              <w:t>说明</w:t>
            </w:r>
          </w:p>
        </w:tc>
      </w:tr>
      <w:tr>
        <w:tblPrEx>
          <w:tblLayout w:type="fixed"/>
          <w:tblCellMar>
            <w:top w:w="0" w:type="dxa"/>
            <w:left w:w="0" w:type="dxa"/>
            <w:bottom w:w="0" w:type="dxa"/>
            <w:right w:w="0" w:type="dxa"/>
          </w:tblCellMar>
        </w:tblPrEx>
        <w:trPr>
          <w:trHeight w:val="620" w:hRule="atLeast"/>
          <w:tblCellSpacing w:w="0" w:type="dxa"/>
        </w:trPr>
        <w:tc>
          <w:tcPr>
            <w:tcW w:w="1243" w:type="dxa"/>
            <w:vMerge w:val="restart"/>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pStyle w:val="11"/>
              <w:keepNext w:val="0"/>
              <w:keepLines w:val="0"/>
              <w:widowControl/>
              <w:suppressLineNumbers w:val="0"/>
              <w:rPr>
                <w:rFonts w:hint="eastAsia" w:ascii="宋体" w:hAnsi="宋体" w:eastAsia="宋体" w:cs="宋体"/>
                <w:sz w:val="21"/>
                <w:szCs w:val="21"/>
              </w:rPr>
            </w:pPr>
            <w:r>
              <w:rPr>
                <w:rFonts w:hint="eastAsia" w:cs="宋体"/>
                <w:b/>
                <w:color w:val="000000"/>
                <w:sz w:val="21"/>
                <w:szCs w:val="21"/>
                <w:lang w:eastAsia="zh-CN"/>
              </w:rPr>
              <w:t xml:space="preserve"> </w:t>
            </w:r>
            <w:r>
              <w:rPr>
                <w:rFonts w:hint="eastAsia" w:ascii="宋体" w:hAnsi="宋体" w:eastAsia="宋体" w:cs="宋体"/>
                <w:b/>
                <w:color w:val="000000"/>
                <w:sz w:val="21"/>
                <w:szCs w:val="21"/>
              </w:rPr>
              <w:t>扭扭建构</w:t>
            </w:r>
          </w:p>
        </w:tc>
        <w:tc>
          <w:tcPr>
            <w:tcW w:w="1244" w:type="dxa"/>
            <w:vMerge w:val="restart"/>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pStyle w:val="11"/>
              <w:keepNext w:val="0"/>
              <w:keepLines w:val="0"/>
              <w:widowControl/>
              <w:suppressLineNumbers w:val="0"/>
              <w:rPr>
                <w:rFonts w:hint="eastAsia" w:ascii="宋体" w:hAnsi="宋体" w:eastAsia="宋体" w:cs="宋体"/>
                <w:sz w:val="21"/>
                <w:szCs w:val="21"/>
              </w:rPr>
            </w:pPr>
            <w:r>
              <w:rPr>
                <w:rFonts w:hint="eastAsia" w:ascii="宋体" w:hAnsi="宋体" w:eastAsia="宋体" w:cs="宋体"/>
                <w:color w:val="000000"/>
                <w:sz w:val="21"/>
                <w:szCs w:val="21"/>
              </w:rPr>
              <w:t>方案类材料</w:t>
            </w:r>
          </w:p>
        </w:tc>
        <w:tc>
          <w:tcPr>
            <w:tcW w:w="161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pStyle w:val="11"/>
              <w:keepNext w:val="0"/>
              <w:keepLines w:val="0"/>
              <w:widowControl/>
              <w:suppressLineNumbers w:val="0"/>
              <w:rPr>
                <w:rFonts w:hint="eastAsia" w:ascii="宋体" w:hAnsi="宋体" w:eastAsia="宋体" w:cs="宋体"/>
                <w:sz w:val="21"/>
                <w:szCs w:val="21"/>
              </w:rPr>
            </w:pPr>
            <w:r>
              <w:rPr>
                <w:rFonts w:hint="eastAsia" w:ascii="宋体" w:hAnsi="宋体" w:eastAsia="宋体" w:cs="宋体"/>
                <w:color w:val="000000"/>
                <w:sz w:val="21"/>
                <w:szCs w:val="21"/>
              </w:rPr>
              <w:t>指导手册</w:t>
            </w:r>
          </w:p>
        </w:tc>
        <w:tc>
          <w:tcPr>
            <w:tcW w:w="155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pStyle w:val="11"/>
              <w:keepNext w:val="0"/>
              <w:keepLines w:val="0"/>
              <w:widowControl/>
              <w:suppressLineNumbers w:val="0"/>
              <w:rPr>
                <w:rFonts w:hint="eastAsia" w:ascii="宋体" w:hAnsi="宋体" w:eastAsia="宋体" w:cs="宋体"/>
                <w:sz w:val="21"/>
                <w:szCs w:val="21"/>
              </w:rPr>
            </w:pPr>
            <w:r>
              <w:rPr>
                <w:rFonts w:hint="eastAsia" w:ascii="宋体" w:hAnsi="宋体" w:eastAsia="宋体" w:cs="宋体"/>
                <w:color w:val="000000"/>
                <w:sz w:val="21"/>
                <w:szCs w:val="21"/>
              </w:rPr>
              <w:t>3册</w:t>
            </w:r>
          </w:p>
        </w:tc>
        <w:tc>
          <w:tcPr>
            <w:tcW w:w="484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pStyle w:val="11"/>
              <w:keepNext w:val="0"/>
              <w:keepLines w:val="0"/>
              <w:widowControl/>
              <w:suppressLineNumbers w:val="0"/>
              <w:rPr>
                <w:rFonts w:hint="eastAsia" w:ascii="宋体" w:hAnsi="宋体" w:eastAsia="宋体" w:cs="宋体"/>
                <w:sz w:val="21"/>
                <w:szCs w:val="21"/>
              </w:rPr>
            </w:pPr>
            <w:r>
              <w:rPr>
                <w:rFonts w:hint="eastAsia" w:ascii="宋体" w:hAnsi="宋体" w:eastAsia="宋体" w:cs="宋体"/>
                <w:color w:val="000000"/>
                <w:sz w:val="21"/>
                <w:szCs w:val="21"/>
              </w:rPr>
              <w:t>小中大班各1册</w:t>
            </w:r>
          </w:p>
        </w:tc>
      </w:tr>
      <w:tr>
        <w:tblPrEx>
          <w:tblLayout w:type="fixed"/>
          <w:tblCellMar>
            <w:top w:w="0" w:type="dxa"/>
            <w:left w:w="0" w:type="dxa"/>
            <w:bottom w:w="0" w:type="dxa"/>
            <w:right w:w="0" w:type="dxa"/>
          </w:tblCellMar>
        </w:tblPrEx>
        <w:trPr>
          <w:trHeight w:val="620" w:hRule="atLeast"/>
          <w:tblCellSpacing w:w="0" w:type="dxa"/>
        </w:trPr>
        <w:tc>
          <w:tcPr>
            <w:tcW w:w="1243" w:type="dxa"/>
            <w:vMerge w:val="continue"/>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rPr>
                <w:rFonts w:hint="eastAsia" w:ascii="宋体" w:hAnsi="宋体" w:eastAsia="宋体" w:cs="宋体"/>
                <w:sz w:val="21"/>
                <w:szCs w:val="21"/>
              </w:rPr>
            </w:pPr>
          </w:p>
        </w:tc>
        <w:tc>
          <w:tcPr>
            <w:tcW w:w="1244" w:type="dxa"/>
            <w:vMerge w:val="continue"/>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rPr>
                <w:rFonts w:hint="eastAsia" w:ascii="宋体" w:hAnsi="宋体" w:eastAsia="宋体" w:cs="宋体"/>
                <w:sz w:val="21"/>
                <w:szCs w:val="21"/>
              </w:rPr>
            </w:pPr>
          </w:p>
        </w:tc>
        <w:tc>
          <w:tcPr>
            <w:tcW w:w="161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pStyle w:val="11"/>
              <w:keepNext w:val="0"/>
              <w:keepLines w:val="0"/>
              <w:widowControl/>
              <w:suppressLineNumbers w:val="0"/>
              <w:rPr>
                <w:rFonts w:hint="eastAsia" w:ascii="宋体" w:hAnsi="宋体" w:eastAsia="宋体" w:cs="宋体"/>
                <w:sz w:val="21"/>
                <w:szCs w:val="21"/>
              </w:rPr>
            </w:pPr>
            <w:r>
              <w:rPr>
                <w:rFonts w:hint="eastAsia" w:ascii="宋体" w:hAnsi="宋体" w:eastAsia="宋体" w:cs="宋体"/>
                <w:color w:val="000000"/>
                <w:sz w:val="21"/>
                <w:szCs w:val="21"/>
              </w:rPr>
              <w:t>情境挂图</w:t>
            </w:r>
          </w:p>
        </w:tc>
        <w:tc>
          <w:tcPr>
            <w:tcW w:w="155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pStyle w:val="11"/>
              <w:keepNext w:val="0"/>
              <w:keepLines w:val="0"/>
              <w:widowControl/>
              <w:suppressLineNumbers w:val="0"/>
              <w:rPr>
                <w:rFonts w:hint="eastAsia" w:ascii="宋体" w:hAnsi="宋体" w:eastAsia="宋体" w:cs="宋体"/>
                <w:sz w:val="21"/>
                <w:szCs w:val="21"/>
              </w:rPr>
            </w:pPr>
            <w:r>
              <w:rPr>
                <w:rFonts w:hint="eastAsia" w:ascii="宋体" w:hAnsi="宋体" w:eastAsia="宋体" w:cs="宋体"/>
                <w:color w:val="000000"/>
                <w:sz w:val="21"/>
                <w:szCs w:val="21"/>
              </w:rPr>
              <w:t>3套</w:t>
            </w:r>
          </w:p>
        </w:tc>
        <w:tc>
          <w:tcPr>
            <w:tcW w:w="484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pStyle w:val="11"/>
              <w:keepNext w:val="0"/>
              <w:keepLines w:val="0"/>
              <w:widowControl/>
              <w:suppressLineNumbers w:val="0"/>
              <w:rPr>
                <w:rFonts w:hint="eastAsia" w:ascii="宋体" w:hAnsi="宋体" w:eastAsia="宋体" w:cs="宋体"/>
                <w:sz w:val="21"/>
                <w:szCs w:val="21"/>
              </w:rPr>
            </w:pPr>
            <w:r>
              <w:rPr>
                <w:rFonts w:hint="eastAsia" w:ascii="宋体" w:hAnsi="宋体" w:eastAsia="宋体" w:cs="宋体"/>
                <w:color w:val="000000"/>
                <w:sz w:val="21"/>
                <w:szCs w:val="21"/>
              </w:rPr>
              <w:t>小中大班各1套</w:t>
            </w:r>
          </w:p>
        </w:tc>
      </w:tr>
      <w:tr>
        <w:tblPrEx>
          <w:tblLayout w:type="fixed"/>
          <w:tblCellMar>
            <w:top w:w="0" w:type="dxa"/>
            <w:left w:w="0" w:type="dxa"/>
            <w:bottom w:w="0" w:type="dxa"/>
            <w:right w:w="0" w:type="dxa"/>
          </w:tblCellMar>
        </w:tblPrEx>
        <w:trPr>
          <w:trHeight w:val="620" w:hRule="atLeast"/>
          <w:tblCellSpacing w:w="0" w:type="dxa"/>
        </w:trPr>
        <w:tc>
          <w:tcPr>
            <w:tcW w:w="1243" w:type="dxa"/>
            <w:vMerge w:val="continue"/>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rPr>
                <w:rFonts w:hint="eastAsia" w:ascii="宋体" w:hAnsi="宋体" w:eastAsia="宋体" w:cs="宋体"/>
                <w:sz w:val="21"/>
                <w:szCs w:val="21"/>
              </w:rPr>
            </w:pPr>
          </w:p>
        </w:tc>
        <w:tc>
          <w:tcPr>
            <w:tcW w:w="1244" w:type="dxa"/>
            <w:vMerge w:val="continue"/>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rPr>
                <w:rFonts w:hint="eastAsia" w:ascii="宋体" w:hAnsi="宋体" w:eastAsia="宋体" w:cs="宋体"/>
                <w:sz w:val="21"/>
                <w:szCs w:val="21"/>
              </w:rPr>
            </w:pPr>
          </w:p>
        </w:tc>
        <w:tc>
          <w:tcPr>
            <w:tcW w:w="161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pStyle w:val="11"/>
              <w:keepNext w:val="0"/>
              <w:keepLines w:val="0"/>
              <w:widowControl/>
              <w:suppressLineNumbers w:val="0"/>
              <w:rPr>
                <w:rFonts w:hint="eastAsia" w:ascii="宋体" w:hAnsi="宋体" w:eastAsia="宋体" w:cs="宋体"/>
                <w:sz w:val="21"/>
                <w:szCs w:val="21"/>
              </w:rPr>
            </w:pPr>
            <w:r>
              <w:rPr>
                <w:rFonts w:hint="eastAsia" w:ascii="宋体" w:hAnsi="宋体" w:eastAsia="宋体" w:cs="宋体"/>
                <w:color w:val="000000"/>
                <w:sz w:val="21"/>
                <w:szCs w:val="21"/>
              </w:rPr>
              <w:t>游戏图册</w:t>
            </w:r>
          </w:p>
        </w:tc>
        <w:tc>
          <w:tcPr>
            <w:tcW w:w="155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pStyle w:val="11"/>
              <w:keepNext w:val="0"/>
              <w:keepLines w:val="0"/>
              <w:widowControl/>
              <w:suppressLineNumbers w:val="0"/>
              <w:rPr>
                <w:rFonts w:hint="eastAsia" w:ascii="宋体" w:hAnsi="宋体" w:eastAsia="宋体" w:cs="宋体"/>
                <w:sz w:val="21"/>
                <w:szCs w:val="21"/>
              </w:rPr>
            </w:pPr>
            <w:r>
              <w:rPr>
                <w:rFonts w:hint="eastAsia" w:ascii="宋体" w:hAnsi="宋体" w:eastAsia="宋体" w:cs="宋体"/>
                <w:color w:val="000000"/>
                <w:sz w:val="21"/>
                <w:szCs w:val="21"/>
              </w:rPr>
              <w:t>3册</w:t>
            </w:r>
          </w:p>
        </w:tc>
        <w:tc>
          <w:tcPr>
            <w:tcW w:w="484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pStyle w:val="11"/>
              <w:keepNext w:val="0"/>
              <w:keepLines w:val="0"/>
              <w:widowControl/>
              <w:suppressLineNumbers w:val="0"/>
              <w:rPr>
                <w:rFonts w:hint="eastAsia" w:ascii="宋体" w:hAnsi="宋体" w:eastAsia="宋体" w:cs="宋体"/>
                <w:sz w:val="21"/>
                <w:szCs w:val="21"/>
              </w:rPr>
            </w:pPr>
            <w:r>
              <w:rPr>
                <w:rFonts w:hint="eastAsia" w:ascii="宋体" w:hAnsi="宋体" w:eastAsia="宋体" w:cs="宋体"/>
                <w:color w:val="000000"/>
                <w:sz w:val="21"/>
                <w:szCs w:val="21"/>
              </w:rPr>
              <w:t>小中大班各1册</w:t>
            </w:r>
          </w:p>
        </w:tc>
      </w:tr>
      <w:tr>
        <w:tblPrEx>
          <w:tblLayout w:type="fixed"/>
          <w:tblCellMar>
            <w:top w:w="0" w:type="dxa"/>
            <w:left w:w="0" w:type="dxa"/>
            <w:bottom w:w="0" w:type="dxa"/>
            <w:right w:w="0" w:type="dxa"/>
          </w:tblCellMar>
        </w:tblPrEx>
        <w:trPr>
          <w:trHeight w:val="1300" w:hRule="atLeast"/>
          <w:tblCellSpacing w:w="0" w:type="dxa"/>
        </w:trPr>
        <w:tc>
          <w:tcPr>
            <w:tcW w:w="1243" w:type="dxa"/>
            <w:vMerge w:val="continue"/>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rPr>
                <w:rFonts w:hint="eastAsia" w:ascii="宋体" w:hAnsi="宋体" w:eastAsia="宋体" w:cs="宋体"/>
                <w:sz w:val="21"/>
                <w:szCs w:val="21"/>
              </w:rPr>
            </w:pPr>
          </w:p>
        </w:tc>
        <w:tc>
          <w:tcPr>
            <w:tcW w:w="1244" w:type="dxa"/>
            <w:vMerge w:val="restart"/>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pStyle w:val="11"/>
              <w:keepNext w:val="0"/>
              <w:keepLines w:val="0"/>
              <w:widowControl/>
              <w:suppressLineNumbers w:val="0"/>
              <w:rPr>
                <w:rFonts w:hint="eastAsia" w:ascii="宋体" w:hAnsi="宋体" w:eastAsia="宋体" w:cs="宋体"/>
                <w:sz w:val="21"/>
                <w:szCs w:val="21"/>
              </w:rPr>
            </w:pPr>
            <w:r>
              <w:rPr>
                <w:rFonts w:hint="eastAsia" w:ascii="宋体" w:hAnsi="宋体" w:eastAsia="宋体" w:cs="宋体"/>
                <w:color w:val="000000"/>
                <w:sz w:val="21"/>
                <w:szCs w:val="21"/>
              </w:rPr>
              <w:t>建构材料</w:t>
            </w:r>
          </w:p>
        </w:tc>
        <w:tc>
          <w:tcPr>
            <w:tcW w:w="161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pStyle w:val="11"/>
              <w:keepNext w:val="0"/>
              <w:keepLines w:val="0"/>
              <w:widowControl/>
              <w:suppressLineNumbers w:val="0"/>
              <w:rPr>
                <w:rFonts w:hint="eastAsia" w:ascii="宋体" w:hAnsi="宋体" w:eastAsia="宋体" w:cs="宋体"/>
                <w:sz w:val="21"/>
                <w:szCs w:val="21"/>
              </w:rPr>
            </w:pPr>
            <w:r>
              <w:rPr>
                <w:rFonts w:hint="eastAsia" w:ascii="宋体" w:hAnsi="宋体" w:eastAsia="宋体" w:cs="宋体"/>
                <w:color w:val="000000"/>
                <w:sz w:val="21"/>
                <w:szCs w:val="21"/>
              </w:rPr>
              <w:t>建构主材</w:t>
            </w:r>
          </w:p>
        </w:tc>
        <w:tc>
          <w:tcPr>
            <w:tcW w:w="155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pStyle w:val="11"/>
              <w:keepNext w:val="0"/>
              <w:keepLines w:val="0"/>
              <w:widowControl/>
              <w:suppressLineNumbers w:val="0"/>
              <w:rPr>
                <w:rFonts w:hint="eastAsia" w:ascii="宋体" w:hAnsi="宋体" w:eastAsia="宋体" w:cs="宋体"/>
                <w:sz w:val="21"/>
                <w:szCs w:val="21"/>
              </w:rPr>
            </w:pPr>
            <w:r>
              <w:rPr>
                <w:rFonts w:hint="eastAsia" w:ascii="宋体" w:hAnsi="宋体" w:eastAsia="宋体" w:cs="宋体"/>
                <w:color w:val="000000"/>
                <w:sz w:val="21"/>
                <w:szCs w:val="21"/>
              </w:rPr>
              <w:t>856片</w:t>
            </w:r>
          </w:p>
        </w:tc>
        <w:tc>
          <w:tcPr>
            <w:tcW w:w="484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pStyle w:val="11"/>
              <w:keepNext w:val="0"/>
              <w:keepLines w:val="0"/>
              <w:widowControl/>
              <w:suppressLineNumbers w:val="0"/>
              <w:rPr>
                <w:rFonts w:hint="eastAsia" w:ascii="宋体" w:hAnsi="宋体" w:eastAsia="宋体" w:cs="宋体"/>
                <w:sz w:val="21"/>
                <w:szCs w:val="21"/>
              </w:rPr>
            </w:pPr>
            <w:r>
              <w:rPr>
                <w:rFonts w:hint="eastAsia" w:ascii="宋体" w:hAnsi="宋体" w:eastAsia="宋体" w:cs="宋体"/>
                <w:color w:val="000000"/>
                <w:sz w:val="21"/>
                <w:szCs w:val="21"/>
              </w:rPr>
              <w:t>含长条形、弧形、正方形、三角形、转角件、合页、方块等拼搭部件</w:t>
            </w:r>
          </w:p>
        </w:tc>
      </w:tr>
      <w:tr>
        <w:tblPrEx>
          <w:tblLayout w:type="fixed"/>
          <w:tblCellMar>
            <w:top w:w="0" w:type="dxa"/>
            <w:left w:w="0" w:type="dxa"/>
            <w:bottom w:w="0" w:type="dxa"/>
            <w:right w:w="0" w:type="dxa"/>
          </w:tblCellMar>
        </w:tblPrEx>
        <w:trPr>
          <w:trHeight w:val="620" w:hRule="atLeast"/>
          <w:tblCellSpacing w:w="0" w:type="dxa"/>
        </w:trPr>
        <w:tc>
          <w:tcPr>
            <w:tcW w:w="1243" w:type="dxa"/>
            <w:vMerge w:val="continue"/>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rPr>
                <w:rFonts w:hint="eastAsia" w:ascii="宋体" w:hAnsi="宋体" w:eastAsia="宋体" w:cs="宋体"/>
                <w:sz w:val="21"/>
                <w:szCs w:val="21"/>
              </w:rPr>
            </w:pPr>
          </w:p>
        </w:tc>
        <w:tc>
          <w:tcPr>
            <w:tcW w:w="1244" w:type="dxa"/>
            <w:vMerge w:val="continue"/>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rPr>
                <w:rFonts w:hint="eastAsia" w:ascii="宋体" w:hAnsi="宋体" w:eastAsia="宋体" w:cs="宋体"/>
                <w:sz w:val="21"/>
                <w:szCs w:val="21"/>
              </w:rPr>
            </w:pPr>
          </w:p>
        </w:tc>
        <w:tc>
          <w:tcPr>
            <w:tcW w:w="161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pStyle w:val="11"/>
              <w:keepNext w:val="0"/>
              <w:keepLines w:val="0"/>
              <w:widowControl/>
              <w:suppressLineNumbers w:val="0"/>
              <w:rPr>
                <w:rFonts w:hint="eastAsia" w:ascii="宋体" w:hAnsi="宋体" w:eastAsia="宋体" w:cs="宋体"/>
                <w:sz w:val="21"/>
                <w:szCs w:val="21"/>
              </w:rPr>
            </w:pPr>
            <w:r>
              <w:rPr>
                <w:rFonts w:hint="eastAsia" w:ascii="宋体" w:hAnsi="宋体" w:eastAsia="宋体" w:cs="宋体"/>
                <w:color w:val="000000"/>
                <w:sz w:val="21"/>
                <w:szCs w:val="21"/>
              </w:rPr>
              <w:t>连接材料</w:t>
            </w:r>
          </w:p>
        </w:tc>
        <w:tc>
          <w:tcPr>
            <w:tcW w:w="155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pStyle w:val="11"/>
              <w:keepNext w:val="0"/>
              <w:keepLines w:val="0"/>
              <w:widowControl/>
              <w:suppressLineNumbers w:val="0"/>
              <w:rPr>
                <w:rFonts w:hint="eastAsia" w:ascii="宋体" w:hAnsi="宋体" w:eastAsia="宋体" w:cs="宋体"/>
                <w:sz w:val="21"/>
                <w:szCs w:val="21"/>
              </w:rPr>
            </w:pPr>
            <w:r>
              <w:rPr>
                <w:rFonts w:hint="eastAsia" w:ascii="宋体" w:hAnsi="宋体" w:eastAsia="宋体" w:cs="宋体"/>
                <w:color w:val="000000"/>
                <w:sz w:val="21"/>
                <w:szCs w:val="21"/>
              </w:rPr>
              <w:t>1500个</w:t>
            </w:r>
          </w:p>
        </w:tc>
        <w:tc>
          <w:tcPr>
            <w:tcW w:w="484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pStyle w:val="11"/>
              <w:keepNext w:val="0"/>
              <w:keepLines w:val="0"/>
              <w:widowControl/>
              <w:suppressLineNumbers w:val="0"/>
              <w:rPr>
                <w:rFonts w:hint="eastAsia" w:ascii="宋体" w:hAnsi="宋体" w:eastAsia="宋体" w:cs="宋体"/>
                <w:sz w:val="21"/>
                <w:szCs w:val="21"/>
              </w:rPr>
            </w:pPr>
            <w:r>
              <w:rPr>
                <w:rFonts w:hint="eastAsia" w:ascii="宋体" w:hAnsi="宋体" w:eastAsia="宋体" w:cs="宋体"/>
                <w:color w:val="000000"/>
                <w:sz w:val="21"/>
                <w:szCs w:val="21"/>
              </w:rPr>
              <w:t>含螺丝、螺帽</w:t>
            </w:r>
          </w:p>
        </w:tc>
      </w:tr>
      <w:tr>
        <w:tblPrEx>
          <w:tblLayout w:type="fixed"/>
          <w:tblCellMar>
            <w:top w:w="0" w:type="dxa"/>
            <w:left w:w="0" w:type="dxa"/>
            <w:bottom w:w="0" w:type="dxa"/>
            <w:right w:w="0" w:type="dxa"/>
          </w:tblCellMar>
        </w:tblPrEx>
        <w:trPr>
          <w:trHeight w:val="860" w:hRule="atLeast"/>
          <w:tblCellSpacing w:w="0" w:type="dxa"/>
        </w:trPr>
        <w:tc>
          <w:tcPr>
            <w:tcW w:w="1243" w:type="dxa"/>
            <w:vMerge w:val="continue"/>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rPr>
                <w:rFonts w:hint="eastAsia" w:ascii="宋体" w:hAnsi="宋体" w:eastAsia="宋体" w:cs="宋体"/>
                <w:sz w:val="21"/>
                <w:szCs w:val="21"/>
              </w:rPr>
            </w:pPr>
          </w:p>
        </w:tc>
        <w:tc>
          <w:tcPr>
            <w:tcW w:w="1244" w:type="dxa"/>
            <w:vMerge w:val="continue"/>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rPr>
                <w:rFonts w:hint="eastAsia" w:ascii="宋体" w:hAnsi="宋体" w:eastAsia="宋体" w:cs="宋体"/>
                <w:sz w:val="21"/>
                <w:szCs w:val="21"/>
              </w:rPr>
            </w:pPr>
          </w:p>
        </w:tc>
        <w:tc>
          <w:tcPr>
            <w:tcW w:w="161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pStyle w:val="11"/>
              <w:keepNext w:val="0"/>
              <w:keepLines w:val="0"/>
              <w:widowControl/>
              <w:suppressLineNumbers w:val="0"/>
              <w:rPr>
                <w:rFonts w:hint="eastAsia" w:ascii="宋体" w:hAnsi="宋体" w:eastAsia="宋体" w:cs="宋体"/>
                <w:sz w:val="21"/>
                <w:szCs w:val="21"/>
              </w:rPr>
            </w:pPr>
            <w:r>
              <w:rPr>
                <w:rFonts w:hint="eastAsia" w:ascii="宋体" w:hAnsi="宋体" w:eastAsia="宋体" w:cs="宋体"/>
                <w:color w:val="000000"/>
                <w:sz w:val="21"/>
                <w:szCs w:val="21"/>
              </w:rPr>
              <w:t>辅助材料</w:t>
            </w:r>
          </w:p>
        </w:tc>
        <w:tc>
          <w:tcPr>
            <w:tcW w:w="155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pStyle w:val="11"/>
              <w:keepNext w:val="0"/>
              <w:keepLines w:val="0"/>
              <w:widowControl/>
              <w:suppressLineNumbers w:val="0"/>
              <w:rPr>
                <w:rFonts w:hint="eastAsia" w:ascii="宋体" w:hAnsi="宋体" w:eastAsia="宋体" w:cs="宋体"/>
                <w:sz w:val="21"/>
                <w:szCs w:val="21"/>
              </w:rPr>
            </w:pPr>
            <w:r>
              <w:rPr>
                <w:rFonts w:hint="eastAsia" w:ascii="宋体" w:hAnsi="宋体" w:eastAsia="宋体" w:cs="宋体"/>
                <w:color w:val="000000"/>
                <w:sz w:val="21"/>
                <w:szCs w:val="21"/>
              </w:rPr>
              <w:t>24片</w:t>
            </w:r>
          </w:p>
        </w:tc>
        <w:tc>
          <w:tcPr>
            <w:tcW w:w="484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pStyle w:val="11"/>
              <w:keepNext w:val="0"/>
              <w:keepLines w:val="0"/>
              <w:widowControl/>
              <w:suppressLineNumbers w:val="0"/>
              <w:rPr>
                <w:rFonts w:hint="eastAsia" w:ascii="宋体" w:hAnsi="宋体" w:eastAsia="宋体" w:cs="宋体"/>
                <w:sz w:val="21"/>
                <w:szCs w:val="21"/>
              </w:rPr>
            </w:pPr>
            <w:r>
              <w:rPr>
                <w:rFonts w:hint="eastAsia" w:ascii="宋体" w:hAnsi="宋体" w:eastAsia="宋体" w:cs="宋体"/>
                <w:color w:val="000000"/>
                <w:sz w:val="21"/>
                <w:szCs w:val="21"/>
              </w:rPr>
              <w:t>含条形和正方形EVA软性拼搭材料</w:t>
            </w:r>
          </w:p>
        </w:tc>
      </w:tr>
      <w:tr>
        <w:tblPrEx>
          <w:tblLayout w:type="fixed"/>
          <w:tblCellMar>
            <w:top w:w="0" w:type="dxa"/>
            <w:left w:w="0" w:type="dxa"/>
            <w:bottom w:w="0" w:type="dxa"/>
            <w:right w:w="0" w:type="dxa"/>
          </w:tblCellMar>
        </w:tblPrEx>
        <w:trPr>
          <w:trHeight w:val="620" w:hRule="atLeast"/>
          <w:tblCellSpacing w:w="0" w:type="dxa"/>
        </w:trPr>
        <w:tc>
          <w:tcPr>
            <w:tcW w:w="1243" w:type="dxa"/>
            <w:vMerge w:val="continue"/>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rPr>
                <w:rFonts w:hint="eastAsia" w:ascii="宋体" w:hAnsi="宋体" w:eastAsia="宋体" w:cs="宋体"/>
                <w:sz w:val="21"/>
                <w:szCs w:val="21"/>
              </w:rPr>
            </w:pPr>
          </w:p>
        </w:tc>
        <w:tc>
          <w:tcPr>
            <w:tcW w:w="1244" w:type="dxa"/>
            <w:vMerge w:val="continue"/>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rPr>
                <w:rFonts w:hint="eastAsia" w:ascii="宋体" w:hAnsi="宋体" w:eastAsia="宋体" w:cs="宋体"/>
                <w:sz w:val="21"/>
                <w:szCs w:val="21"/>
              </w:rPr>
            </w:pPr>
          </w:p>
        </w:tc>
        <w:tc>
          <w:tcPr>
            <w:tcW w:w="161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pStyle w:val="11"/>
              <w:keepNext w:val="0"/>
              <w:keepLines w:val="0"/>
              <w:widowControl/>
              <w:suppressLineNumbers w:val="0"/>
              <w:rPr>
                <w:rFonts w:hint="eastAsia" w:ascii="宋体" w:hAnsi="宋体" w:eastAsia="宋体" w:cs="宋体"/>
                <w:sz w:val="21"/>
                <w:szCs w:val="21"/>
              </w:rPr>
            </w:pPr>
            <w:r>
              <w:rPr>
                <w:rFonts w:hint="eastAsia" w:ascii="宋体" w:hAnsi="宋体" w:eastAsia="宋体" w:cs="宋体"/>
                <w:color w:val="000000"/>
                <w:sz w:val="21"/>
                <w:szCs w:val="21"/>
              </w:rPr>
              <w:t>人偶道具</w:t>
            </w:r>
          </w:p>
        </w:tc>
        <w:tc>
          <w:tcPr>
            <w:tcW w:w="155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pStyle w:val="11"/>
              <w:keepNext w:val="0"/>
              <w:keepLines w:val="0"/>
              <w:widowControl/>
              <w:suppressLineNumbers w:val="0"/>
              <w:rPr>
                <w:rFonts w:hint="eastAsia" w:ascii="宋体" w:hAnsi="宋体" w:eastAsia="宋体" w:cs="宋体"/>
                <w:sz w:val="21"/>
                <w:szCs w:val="21"/>
              </w:rPr>
            </w:pPr>
            <w:r>
              <w:rPr>
                <w:rFonts w:hint="eastAsia" w:ascii="宋体" w:hAnsi="宋体" w:eastAsia="宋体" w:cs="宋体"/>
                <w:color w:val="000000"/>
                <w:sz w:val="21"/>
                <w:szCs w:val="21"/>
              </w:rPr>
              <w:t>20款</w:t>
            </w:r>
          </w:p>
        </w:tc>
        <w:tc>
          <w:tcPr>
            <w:tcW w:w="484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pStyle w:val="11"/>
              <w:keepNext w:val="0"/>
              <w:keepLines w:val="0"/>
              <w:widowControl/>
              <w:suppressLineNumbers w:val="0"/>
              <w:rPr>
                <w:rFonts w:hint="eastAsia" w:ascii="宋体" w:hAnsi="宋体" w:eastAsia="宋体" w:cs="宋体"/>
                <w:sz w:val="21"/>
                <w:szCs w:val="21"/>
              </w:rPr>
            </w:pPr>
            <w:r>
              <w:rPr>
                <w:rFonts w:hint="eastAsia" w:ascii="宋体" w:hAnsi="宋体" w:eastAsia="宋体" w:cs="宋体"/>
                <w:color w:val="000000"/>
                <w:sz w:val="21"/>
                <w:szCs w:val="21"/>
              </w:rPr>
              <w:t>含人脸、服饰、头饰</w:t>
            </w:r>
          </w:p>
        </w:tc>
      </w:tr>
      <w:tr>
        <w:tblPrEx>
          <w:tblLayout w:type="fixed"/>
          <w:tblCellMar>
            <w:top w:w="0" w:type="dxa"/>
            <w:left w:w="0" w:type="dxa"/>
            <w:bottom w:w="0" w:type="dxa"/>
            <w:right w:w="0" w:type="dxa"/>
          </w:tblCellMar>
        </w:tblPrEx>
        <w:trPr>
          <w:trHeight w:val="620" w:hRule="atLeast"/>
          <w:tblCellSpacing w:w="0" w:type="dxa"/>
        </w:trPr>
        <w:tc>
          <w:tcPr>
            <w:tcW w:w="1243" w:type="dxa"/>
            <w:vMerge w:val="continue"/>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rPr>
                <w:rFonts w:hint="eastAsia" w:ascii="宋体" w:hAnsi="宋体" w:eastAsia="宋体" w:cs="宋体"/>
                <w:sz w:val="21"/>
                <w:szCs w:val="21"/>
              </w:rPr>
            </w:pPr>
          </w:p>
        </w:tc>
        <w:tc>
          <w:tcPr>
            <w:tcW w:w="1244" w:type="dxa"/>
            <w:vMerge w:val="continue"/>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rPr>
                <w:rFonts w:hint="eastAsia" w:ascii="宋体" w:hAnsi="宋体" w:eastAsia="宋体" w:cs="宋体"/>
                <w:sz w:val="21"/>
                <w:szCs w:val="21"/>
              </w:rPr>
            </w:pPr>
          </w:p>
        </w:tc>
        <w:tc>
          <w:tcPr>
            <w:tcW w:w="161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pStyle w:val="11"/>
              <w:keepNext w:val="0"/>
              <w:keepLines w:val="0"/>
              <w:widowControl/>
              <w:suppressLineNumbers w:val="0"/>
              <w:rPr>
                <w:rFonts w:hint="eastAsia" w:ascii="宋体" w:hAnsi="宋体" w:eastAsia="宋体" w:cs="宋体"/>
                <w:sz w:val="21"/>
                <w:szCs w:val="21"/>
              </w:rPr>
            </w:pPr>
            <w:r>
              <w:rPr>
                <w:rFonts w:hint="eastAsia" w:ascii="宋体" w:hAnsi="宋体" w:eastAsia="宋体" w:cs="宋体"/>
                <w:color w:val="000000"/>
                <w:sz w:val="21"/>
                <w:szCs w:val="21"/>
              </w:rPr>
              <w:t>工具</w:t>
            </w:r>
          </w:p>
        </w:tc>
        <w:tc>
          <w:tcPr>
            <w:tcW w:w="155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pStyle w:val="11"/>
              <w:keepNext w:val="0"/>
              <w:keepLines w:val="0"/>
              <w:widowControl/>
              <w:suppressLineNumbers w:val="0"/>
              <w:rPr>
                <w:rFonts w:hint="eastAsia" w:ascii="宋体" w:hAnsi="宋体" w:eastAsia="宋体" w:cs="宋体"/>
                <w:sz w:val="21"/>
                <w:szCs w:val="21"/>
              </w:rPr>
            </w:pPr>
            <w:r>
              <w:rPr>
                <w:rFonts w:hint="eastAsia" w:ascii="宋体" w:hAnsi="宋体" w:eastAsia="宋体" w:cs="宋体"/>
                <w:color w:val="000000"/>
                <w:sz w:val="21"/>
                <w:szCs w:val="21"/>
              </w:rPr>
              <w:t>30把</w:t>
            </w:r>
          </w:p>
        </w:tc>
        <w:tc>
          <w:tcPr>
            <w:tcW w:w="484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pStyle w:val="11"/>
              <w:keepNext w:val="0"/>
              <w:keepLines w:val="0"/>
              <w:widowControl/>
              <w:suppressLineNumbers w:val="0"/>
              <w:rPr>
                <w:rFonts w:hint="eastAsia" w:ascii="宋体" w:hAnsi="宋体" w:eastAsia="宋体" w:cs="宋体"/>
                <w:sz w:val="21"/>
                <w:szCs w:val="21"/>
              </w:rPr>
            </w:pPr>
            <w:r>
              <w:rPr>
                <w:rFonts w:hint="eastAsia" w:ascii="宋体" w:hAnsi="宋体" w:eastAsia="宋体" w:cs="宋体"/>
                <w:color w:val="000000"/>
                <w:sz w:val="21"/>
                <w:szCs w:val="21"/>
              </w:rPr>
              <w:t>起子</w:t>
            </w:r>
          </w:p>
        </w:tc>
      </w:tr>
      <w:tr>
        <w:tblPrEx>
          <w:tblLayout w:type="fixed"/>
          <w:tblCellMar>
            <w:top w:w="0" w:type="dxa"/>
            <w:left w:w="0" w:type="dxa"/>
            <w:bottom w:w="0" w:type="dxa"/>
            <w:right w:w="0" w:type="dxa"/>
          </w:tblCellMar>
        </w:tblPrEx>
        <w:trPr>
          <w:trHeight w:val="860" w:hRule="atLeast"/>
          <w:tblCellSpacing w:w="0" w:type="dxa"/>
        </w:trPr>
        <w:tc>
          <w:tcPr>
            <w:tcW w:w="1243" w:type="dxa"/>
            <w:vMerge w:val="continue"/>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rPr>
                <w:rFonts w:hint="eastAsia" w:ascii="宋体" w:hAnsi="宋体" w:eastAsia="宋体" w:cs="宋体"/>
                <w:sz w:val="21"/>
                <w:szCs w:val="21"/>
              </w:rPr>
            </w:pPr>
          </w:p>
        </w:tc>
        <w:tc>
          <w:tcPr>
            <w:tcW w:w="1244"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pStyle w:val="11"/>
              <w:keepNext w:val="0"/>
              <w:keepLines w:val="0"/>
              <w:widowControl/>
              <w:suppressLineNumbers w:val="0"/>
              <w:rPr>
                <w:rFonts w:hint="eastAsia" w:ascii="宋体" w:hAnsi="宋体" w:eastAsia="宋体" w:cs="宋体"/>
                <w:sz w:val="21"/>
                <w:szCs w:val="21"/>
              </w:rPr>
            </w:pPr>
            <w:r>
              <w:rPr>
                <w:rFonts w:hint="eastAsia" w:ascii="宋体" w:hAnsi="宋体" w:eastAsia="宋体" w:cs="宋体"/>
                <w:color w:val="000000"/>
                <w:sz w:val="21"/>
                <w:szCs w:val="21"/>
              </w:rPr>
              <w:t>收纳材料</w:t>
            </w:r>
          </w:p>
        </w:tc>
        <w:tc>
          <w:tcPr>
            <w:tcW w:w="161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pStyle w:val="11"/>
              <w:keepNext w:val="0"/>
              <w:keepLines w:val="0"/>
              <w:widowControl/>
              <w:suppressLineNumbers w:val="0"/>
              <w:rPr>
                <w:rFonts w:hint="eastAsia" w:ascii="宋体" w:hAnsi="宋体" w:eastAsia="宋体" w:cs="宋体"/>
                <w:sz w:val="21"/>
                <w:szCs w:val="21"/>
              </w:rPr>
            </w:pPr>
            <w:r>
              <w:rPr>
                <w:rFonts w:hint="eastAsia" w:ascii="宋体" w:hAnsi="宋体" w:eastAsia="宋体" w:cs="宋体"/>
                <w:color w:val="000000"/>
                <w:sz w:val="21"/>
                <w:szCs w:val="21"/>
              </w:rPr>
              <w:t>收纳套装</w:t>
            </w:r>
          </w:p>
        </w:tc>
        <w:tc>
          <w:tcPr>
            <w:tcW w:w="155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pStyle w:val="11"/>
              <w:keepNext w:val="0"/>
              <w:keepLines w:val="0"/>
              <w:widowControl/>
              <w:suppressLineNumbers w:val="0"/>
              <w:rPr>
                <w:rFonts w:hint="eastAsia" w:ascii="宋体" w:hAnsi="宋体" w:eastAsia="宋体" w:cs="宋体"/>
                <w:sz w:val="21"/>
                <w:szCs w:val="21"/>
              </w:rPr>
            </w:pPr>
            <w:r>
              <w:rPr>
                <w:rFonts w:hint="eastAsia" w:ascii="宋体" w:hAnsi="宋体" w:eastAsia="宋体" w:cs="宋体"/>
                <w:color w:val="000000"/>
                <w:sz w:val="21"/>
                <w:szCs w:val="21"/>
              </w:rPr>
              <w:t>1套</w:t>
            </w:r>
          </w:p>
        </w:tc>
        <w:tc>
          <w:tcPr>
            <w:tcW w:w="484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pStyle w:val="11"/>
              <w:keepNext w:val="0"/>
              <w:keepLines w:val="0"/>
              <w:widowControl/>
              <w:suppressLineNumbers w:val="0"/>
              <w:rPr>
                <w:rFonts w:hint="eastAsia" w:ascii="宋体" w:hAnsi="宋体" w:eastAsia="宋体" w:cs="宋体"/>
                <w:sz w:val="21"/>
                <w:szCs w:val="21"/>
              </w:rPr>
            </w:pPr>
            <w:r>
              <w:rPr>
                <w:rFonts w:hint="eastAsia" w:ascii="宋体" w:hAnsi="宋体" w:eastAsia="宋体" w:cs="宋体"/>
                <w:color w:val="000000"/>
                <w:sz w:val="21"/>
                <w:szCs w:val="21"/>
              </w:rPr>
              <w:t>含收纳柜2个，收纳标签1套</w:t>
            </w:r>
          </w:p>
        </w:tc>
      </w:tr>
    </w:tbl>
    <w:p>
      <w:pPr>
        <w:pageBreakBefore w:val="0"/>
        <w:kinsoku/>
        <w:wordWrap/>
        <w:overflowPunct/>
        <w:topLinePunct w:val="0"/>
        <w:autoSpaceDE/>
        <w:autoSpaceDN/>
        <w:bidi w:val="0"/>
        <w:adjustRightInd/>
        <w:snapToGrid/>
        <w:spacing w:line="360" w:lineRule="auto"/>
        <w:rPr>
          <w:rFonts w:hint="eastAsia" w:ascii="宋体" w:hAnsi="宋体" w:cs="宋体"/>
          <w:b w:val="0"/>
          <w:bCs w:val="0"/>
          <w:color w:val="000000"/>
          <w:szCs w:val="21"/>
          <w:lang w:eastAsia="zh-CN"/>
        </w:rPr>
      </w:pPr>
    </w:p>
    <w:p>
      <w:pPr>
        <w:pStyle w:val="5"/>
        <w:pageBreakBefore w:val="0"/>
        <w:kinsoku/>
        <w:wordWrap/>
        <w:overflowPunct/>
        <w:topLinePunct w:val="0"/>
        <w:autoSpaceDE/>
        <w:autoSpaceDN/>
        <w:bidi w:val="0"/>
        <w:adjustRightInd/>
        <w:snapToGrid/>
        <w:spacing w:line="360" w:lineRule="auto"/>
        <w:ind w:firstLine="422" w:firstLineChars="200"/>
        <w:rPr>
          <w:rFonts w:hint="eastAsia" w:ascii="宋体" w:hAnsi="宋体" w:eastAsia="宋体" w:cs="宋体"/>
          <w:b w:val="0"/>
          <w:bCs w:val="0"/>
          <w:color w:val="000000"/>
          <w:kern w:val="2"/>
          <w:sz w:val="21"/>
          <w:szCs w:val="21"/>
          <w:lang w:val="en-US" w:eastAsia="zh-CN"/>
        </w:rPr>
      </w:pPr>
      <w:r>
        <w:rPr>
          <w:rFonts w:hint="eastAsia" w:ascii="宋体" w:hAnsi="宋体" w:eastAsia="宋体" w:cs="宋体"/>
          <w:b/>
          <w:bCs/>
          <w:color w:val="000000"/>
          <w:kern w:val="2"/>
          <w:sz w:val="21"/>
          <w:szCs w:val="21"/>
          <w:lang w:val="en-US" w:eastAsia="zh-CN"/>
        </w:rPr>
        <w:t>2.</w:t>
      </w:r>
      <w:r>
        <w:rPr>
          <w:rFonts w:hint="eastAsia" w:hAnsi="宋体" w:cs="宋体"/>
          <w:b/>
          <w:bCs/>
          <w:color w:val="000000"/>
          <w:kern w:val="2"/>
          <w:sz w:val="21"/>
          <w:szCs w:val="21"/>
          <w:lang w:val="en-US" w:eastAsia="zh-CN"/>
        </w:rPr>
        <w:t xml:space="preserve"> </w:t>
      </w:r>
      <w:r>
        <w:rPr>
          <w:rFonts w:hint="eastAsia" w:ascii="宋体" w:hAnsi="宋体" w:eastAsia="宋体" w:cs="宋体"/>
          <w:b/>
          <w:bCs/>
          <w:color w:val="000000"/>
          <w:kern w:val="2"/>
          <w:sz w:val="21"/>
          <w:szCs w:val="21"/>
          <w:lang w:val="en-US" w:eastAsia="zh-CN"/>
        </w:rPr>
        <w:t>扭扭建构产品优势</w:t>
      </w:r>
      <w:r>
        <w:rPr>
          <w:rFonts w:hint="eastAsia" w:hAnsi="宋体" w:cs="宋体"/>
          <w:b w:val="0"/>
          <w:bCs w:val="0"/>
          <w:color w:val="000000"/>
          <w:kern w:val="2"/>
          <w:sz w:val="21"/>
          <w:szCs w:val="21"/>
          <w:lang w:val="en-US" w:eastAsia="zh-CN"/>
        </w:rPr>
        <w:t xml:space="preserve"> </w:t>
      </w:r>
    </w:p>
    <w:p>
      <w:pPr>
        <w:pStyle w:val="5"/>
        <w:pageBreakBefore w:val="0"/>
        <w:kinsoku/>
        <w:wordWrap/>
        <w:overflowPunct/>
        <w:topLinePunct w:val="0"/>
        <w:autoSpaceDE/>
        <w:autoSpaceDN/>
        <w:bidi w:val="0"/>
        <w:adjustRightInd/>
        <w:snapToGrid/>
        <w:spacing w:line="360" w:lineRule="auto"/>
        <w:ind w:firstLine="422" w:firstLineChars="200"/>
        <w:rPr>
          <w:rFonts w:hint="eastAsia" w:hAnsi="宋体" w:cs="宋体"/>
          <w:b/>
          <w:bCs w:val="0"/>
          <w:color w:val="000000"/>
          <w:sz w:val="21"/>
          <w:szCs w:val="22"/>
          <w:lang w:val="en-US" w:eastAsia="zh-CN"/>
        </w:rPr>
      </w:pPr>
      <w:r>
        <w:rPr>
          <w:rFonts w:hint="eastAsia" w:hAnsi="宋体" w:cs="宋体"/>
          <w:b/>
          <w:bCs w:val="0"/>
          <w:color w:val="000000"/>
          <w:sz w:val="21"/>
          <w:szCs w:val="22"/>
          <w:lang w:val="en-US" w:eastAsia="zh-CN"/>
        </w:rPr>
        <w:t>（1）低结构化的材料，建构具有无限可能</w:t>
      </w:r>
    </w:p>
    <w:p>
      <w:pPr>
        <w:pStyle w:val="5"/>
        <w:pageBreakBefore w:val="0"/>
        <w:kinsoku/>
        <w:wordWrap/>
        <w:overflowPunct/>
        <w:topLinePunct w:val="0"/>
        <w:autoSpaceDE/>
        <w:autoSpaceDN/>
        <w:bidi w:val="0"/>
        <w:adjustRightInd/>
        <w:snapToGrid/>
        <w:spacing w:line="360" w:lineRule="auto"/>
        <w:ind w:firstLine="422" w:firstLineChars="200"/>
        <w:rPr>
          <w:rFonts w:hint="eastAsia" w:hAnsi="宋体" w:cs="宋体"/>
          <w:b/>
          <w:bCs w:val="0"/>
          <w:color w:val="000000"/>
          <w:sz w:val="21"/>
          <w:szCs w:val="22"/>
          <w:lang w:val="en-US" w:eastAsia="zh-CN"/>
        </w:rPr>
      </w:pPr>
      <w:r>
        <w:rPr>
          <w:rFonts w:hint="eastAsia" w:hAnsi="宋体" w:cs="宋体"/>
          <w:b/>
          <w:bCs w:val="0"/>
          <w:color w:val="000000"/>
          <w:sz w:val="21"/>
          <w:szCs w:val="22"/>
          <w:lang w:val="en-US" w:eastAsia="zh-CN"/>
        </w:rPr>
        <w:t>（2）科学系统的方案引领，内化幼儿发展关键</w:t>
      </w:r>
    </w:p>
    <w:p>
      <w:pPr>
        <w:pStyle w:val="5"/>
        <w:pageBreakBefore w:val="0"/>
        <w:kinsoku/>
        <w:wordWrap/>
        <w:overflowPunct/>
        <w:topLinePunct w:val="0"/>
        <w:autoSpaceDE/>
        <w:autoSpaceDN/>
        <w:bidi w:val="0"/>
        <w:adjustRightInd/>
        <w:snapToGrid/>
        <w:spacing w:line="360" w:lineRule="auto"/>
        <w:ind w:firstLine="422" w:firstLineChars="200"/>
        <w:rPr>
          <w:rFonts w:hint="eastAsia" w:hAnsi="宋体" w:cs="宋体"/>
          <w:b/>
          <w:bCs w:val="0"/>
          <w:color w:val="0000FF"/>
          <w:sz w:val="21"/>
          <w:szCs w:val="22"/>
          <w:lang w:val="en-US" w:eastAsia="zh-CN"/>
        </w:rPr>
      </w:pPr>
      <w:r>
        <w:rPr>
          <w:rFonts w:hint="eastAsia" w:hAnsi="宋体" w:cs="宋体"/>
          <w:b/>
          <w:bCs w:val="0"/>
          <w:color w:val="000000"/>
          <w:sz w:val="21"/>
          <w:szCs w:val="22"/>
          <w:lang w:val="en-US" w:eastAsia="zh-CN"/>
        </w:rPr>
        <w:t>（3）适宜的支架性材料，提升幼儿建构水平</w:t>
      </w:r>
    </w:p>
    <w:p>
      <w:pPr>
        <w:pageBreakBefore w:val="0"/>
        <w:kinsoku/>
        <w:wordWrap/>
        <w:overflowPunct/>
        <w:topLinePunct w:val="0"/>
        <w:autoSpaceDE/>
        <w:autoSpaceDN/>
        <w:bidi w:val="0"/>
        <w:adjustRightInd/>
        <w:snapToGrid/>
        <w:spacing w:line="360" w:lineRule="auto"/>
        <w:ind w:firstLine="422" w:firstLineChars="200"/>
        <w:jc w:val="left"/>
        <w:rPr>
          <w:rFonts w:hint="default" w:eastAsia="宋体"/>
          <w:b/>
          <w:bCs/>
          <w:lang w:val="en-US" w:eastAsia="zh-CN"/>
        </w:rPr>
      </w:pPr>
      <w:r>
        <w:rPr>
          <w:rFonts w:hint="eastAsia"/>
          <w:b/>
          <w:bCs/>
          <w:lang w:val="en-US" w:eastAsia="zh-CN"/>
        </w:rPr>
        <w:t>室内活动区</w:t>
      </w:r>
    </w:p>
    <w:p>
      <w:pPr>
        <w:pStyle w:val="5"/>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default" w:hAnsi="宋体" w:cs="宋体"/>
          <w:b/>
          <w:bCs/>
          <w:szCs w:val="22"/>
          <w:lang w:val="en-US" w:eastAsia="zh-CN"/>
        </w:rPr>
      </w:pPr>
      <w:r>
        <w:rPr>
          <w:rFonts w:hint="eastAsia" w:hAnsi="宋体" w:cs="宋体"/>
          <w:b/>
          <w:bCs/>
          <w:szCs w:val="22"/>
          <w:lang w:val="en-US" w:eastAsia="zh-CN"/>
        </w:rPr>
        <w:t>1.活动区产品特点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b w:val="0"/>
          <w:bCs w:val="0"/>
          <w:lang w:val="en-US" w:eastAsia="zh-CN"/>
        </w:rPr>
      </w:pPr>
      <w:r>
        <w:rPr>
          <w:rFonts w:hint="eastAsia"/>
          <w:b w:val="0"/>
          <w:bCs w:val="0"/>
          <w:lang w:val="en-US" w:eastAsia="zh-CN"/>
        </w:rPr>
        <w:t>游戏是幼儿的天性，课程游戏化是幼儿园教育发展的必然趋势和要求，创设多种区域活动空间，配备丰富的玩具、游戏材料和幼儿读物，为幼儿自主游戏和学习探索提供机会和条件。活动区包含《幼儿园室内区域活动整体方案》和《活动区使用手册》，提供了系统全面的理论指导和案例解析，让教师轻松指导、有效实施区域活动。为幼儿提供了室内七区分龄分级、体系科学、覆盖全面的材料，让幼儿获得身体、认知、情感、个性与社会性四个维度的全面发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b w:val="0"/>
          <w:bCs w:val="0"/>
          <w:lang w:val="en-US" w:eastAsia="zh-CN"/>
        </w:rPr>
      </w:pPr>
      <w:r>
        <w:rPr>
          <w:rFonts w:hint="eastAsia"/>
          <w:b w:val="0"/>
          <w:bCs w:val="0"/>
          <w:lang w:val="en-US" w:eastAsia="zh-CN"/>
        </w:rPr>
        <w:t>活动区，对于幼儿来说，也是有很多好处的，首先，短期的学习效应，可以通过刻意的训练获得，而游戏对于幼儿的价值却可以影响幼儿一生，并在幼儿成长过程中逐步体现，为幼儿的长期发展奠定坚实的基础。这种关注幼儿天性及长期发展的游戏学习方式，既能满足幼儿自主活动的愿望，又能实现幼儿全面发展的需要。其次，幼儿活动区七个区域全面覆盖健康、语言、社会、科学、艺术五大领域，能让幼儿获得全面发展，自由自主的活动形式，又能让幼儿自由、自主、愉快的学习，活动区产品差异化的设计，也能满足幼儿个性化的发展需求。再次，丰富的材料，多样的游戏，安全环保的材料，科学的目标体系，能让幼儿在愉快的游戏中习得知识与技能。</w:t>
      </w:r>
    </w:p>
    <w:p>
      <w:pPr>
        <w:pStyle w:val="5"/>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hAnsi="宋体" w:cs="宋体"/>
          <w:b/>
          <w:bCs/>
          <w:szCs w:val="22"/>
          <w:lang w:eastAsia="zh-CN"/>
        </w:rPr>
      </w:pPr>
      <w:r>
        <w:rPr>
          <w:rFonts w:hint="eastAsia" w:hAnsi="宋体" w:cs="宋体"/>
          <w:b/>
          <w:bCs/>
          <w:szCs w:val="22"/>
          <w:lang w:val="en-US" w:eastAsia="zh-CN"/>
        </w:rPr>
        <w:t>2</w:t>
      </w:r>
      <w:r>
        <w:rPr>
          <w:rFonts w:hint="eastAsia" w:hAnsi="宋体" w:cs="宋体"/>
          <w:b/>
          <w:bCs/>
          <w:szCs w:val="22"/>
          <w:lang w:eastAsia="zh-CN"/>
        </w:rPr>
        <w:t>. 活动区产品优势</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b w:val="0"/>
          <w:bCs w:val="0"/>
          <w:szCs w:val="21"/>
        </w:rPr>
      </w:pPr>
      <w:r>
        <w:rPr>
          <w:rFonts w:hint="eastAsia" w:ascii="宋体" w:hAnsi="宋体" w:cs="宋体"/>
          <w:b w:val="0"/>
          <w:bCs w:val="0"/>
          <w:szCs w:val="21"/>
        </w:rPr>
        <w:t>（1）五</w:t>
      </w:r>
      <w:r>
        <w:rPr>
          <w:rFonts w:hint="eastAsia"/>
          <w:b w:val="0"/>
          <w:bCs w:val="0"/>
          <w:szCs w:val="21"/>
        </w:rPr>
        <w:t>大领域全覆盖，全面发展有保障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b w:val="0"/>
          <w:bCs w:val="0"/>
          <w:szCs w:val="21"/>
        </w:rPr>
      </w:pPr>
      <w:r>
        <w:rPr>
          <w:rFonts w:hint="eastAsia"/>
          <w:b w:val="0"/>
          <w:bCs w:val="0"/>
          <w:szCs w:val="21"/>
        </w:rPr>
        <w:t>活动区包括角色区、表演区、美工区、阅读区、科学区、智力游戏区、建构区和积塑区，8个区方案和手册从课程理论、目标体系、课程结构设计到课程安排等多个方面，为园所全方位建构室内区域活动，完善园所课程体系。活动区涵盖三大功能区域，分别为表现性活动区（以角色区、表演区等为代表），探索性活动区（以智力游戏区、科学区为代表）和欣赏性活动区（以阅读区为代表），全面覆盖五大领域，保障幼儿全面协调发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b w:val="0"/>
          <w:bCs w:val="0"/>
          <w:szCs w:val="21"/>
        </w:rPr>
      </w:pPr>
      <w:r>
        <w:rPr>
          <w:rFonts w:hint="eastAsia" w:ascii="宋体" w:hAnsi="宋体" w:cs="宋体"/>
          <w:b w:val="0"/>
          <w:bCs w:val="0"/>
          <w:szCs w:val="21"/>
        </w:rPr>
        <w:t>（2）材</w:t>
      </w:r>
      <w:r>
        <w:rPr>
          <w:rFonts w:hint="eastAsia"/>
          <w:b w:val="0"/>
          <w:bCs w:val="0"/>
          <w:szCs w:val="21"/>
        </w:rPr>
        <w:t>料丰富分层级，方案引领强指导</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b w:val="0"/>
          <w:bCs w:val="0"/>
          <w:szCs w:val="21"/>
        </w:rPr>
      </w:pPr>
      <w:r>
        <w:rPr>
          <w:rFonts w:hint="eastAsia"/>
          <w:b w:val="0"/>
          <w:bCs w:val="0"/>
          <w:szCs w:val="21"/>
        </w:rPr>
        <w:t>活动区材料均分为小、中、大三个年龄段，每区的材料设计都遵循幼儿的年龄特点与发展规律，并借助方案让教师能科学的有层次的投放材料，从而有效开展室内活动。三大区域均有理论有案例，有方法有策略，配合丰富的材料供给，有效引导幼儿开发不同玩法，发挥无限创意，拓展幼儿游戏情节，增强自主游戏能力、动手能力、逻辑思维能力等各项能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b w:val="0"/>
          <w:bCs w:val="0"/>
          <w:szCs w:val="21"/>
        </w:rPr>
      </w:pPr>
      <w:r>
        <w:rPr>
          <w:rFonts w:hint="eastAsia" w:ascii="宋体" w:hAnsi="宋体" w:cs="宋体"/>
          <w:b w:val="0"/>
          <w:bCs w:val="0"/>
          <w:szCs w:val="21"/>
        </w:rPr>
        <w:t>（3）主</w:t>
      </w:r>
      <w:r>
        <w:rPr>
          <w:rFonts w:hint="eastAsia"/>
          <w:b w:val="0"/>
          <w:bCs w:val="0"/>
          <w:szCs w:val="21"/>
        </w:rPr>
        <w:t>题内容多样化，游戏探索促发展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b w:val="0"/>
          <w:bCs w:val="0"/>
          <w:szCs w:val="21"/>
        </w:rPr>
      </w:pPr>
      <w:r>
        <w:rPr>
          <w:rFonts w:hint="eastAsia"/>
          <w:b w:val="0"/>
          <w:bCs w:val="0"/>
          <w:szCs w:val="21"/>
        </w:rPr>
        <w:t>活动区每区都设有配有主题材料和相应课程主题，根据每个年龄段幼儿的发展特征和需求，制定系统的教育目标体系，提供适宜的活动材料和内容多样的主题。从生活、认知、创新等多方面激发幼儿的技能和创造性，让幼儿在获得全方位发展的同时，在趣味的游戏中习得丰富的知识和经验，健康快乐的成长。</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cs="宋体"/>
          <w:b/>
          <w:bCs/>
          <w:color w:val="000000"/>
          <w:szCs w:val="21"/>
          <w:lang w:bidi="ar"/>
        </w:rPr>
      </w:pPr>
      <w:r>
        <w:rPr>
          <w:rFonts w:hint="eastAsia" w:ascii="宋体" w:hAnsi="宋体" w:cs="宋体"/>
          <w:b/>
          <w:bCs/>
          <w:color w:val="000000"/>
          <w:szCs w:val="21"/>
          <w:lang w:val="en-US" w:eastAsia="zh-CN" w:bidi="ar"/>
        </w:rPr>
        <w:t>3</w:t>
      </w:r>
      <w:r>
        <w:rPr>
          <w:rFonts w:hint="eastAsia" w:ascii="宋体" w:hAnsi="宋体" w:cs="宋体"/>
          <w:b/>
          <w:bCs/>
          <w:color w:val="000000"/>
          <w:szCs w:val="21"/>
          <w:lang w:bidi="ar"/>
        </w:rPr>
        <w:t>.语言区产品优势</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 w:val="0"/>
          <w:bCs w:val="0"/>
          <w:color w:val="000000"/>
          <w:szCs w:val="21"/>
          <w:lang w:bidi="ar"/>
        </w:rPr>
      </w:pPr>
      <w:r>
        <w:rPr>
          <w:rFonts w:hint="eastAsia" w:ascii="宋体" w:hAnsi="宋体" w:cs="宋体"/>
          <w:b w:val="0"/>
          <w:bCs w:val="0"/>
          <w:color w:val="000000"/>
          <w:szCs w:val="21"/>
          <w:lang w:bidi="ar"/>
        </w:rPr>
        <w:t>（1）目标全覆盖，听说读写齐发展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 w:val="0"/>
          <w:bCs w:val="0"/>
          <w:color w:val="000000"/>
          <w:szCs w:val="21"/>
          <w:lang w:bidi="ar"/>
        </w:rPr>
      </w:pPr>
      <w:r>
        <w:rPr>
          <w:rFonts w:hint="eastAsia" w:ascii="宋体" w:hAnsi="宋体" w:cs="宋体"/>
          <w:b w:val="0"/>
          <w:bCs w:val="0"/>
          <w:color w:val="000000"/>
          <w:szCs w:val="21"/>
          <w:lang w:bidi="ar"/>
        </w:rPr>
        <w:t>《指南》将幼儿语言领域分为两大板块：“倾听与表达”“阅读与书写准备”。语言区既提供了剧本类表演材料，又提供了游戏化、情景化的语言讲述材料和书写材料，促进幼儿听说读写齐发展。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 w:val="0"/>
          <w:bCs w:val="0"/>
          <w:color w:val="000000"/>
          <w:szCs w:val="21"/>
          <w:lang w:bidi="ar"/>
        </w:rPr>
      </w:pPr>
      <w:r>
        <w:rPr>
          <w:rFonts w:hint="eastAsia" w:ascii="宋体" w:hAnsi="宋体" w:cs="宋体"/>
          <w:b w:val="0"/>
          <w:bCs w:val="0"/>
          <w:color w:val="000000"/>
          <w:szCs w:val="21"/>
          <w:lang w:bidi="ar"/>
        </w:rPr>
        <w:t>（2）材料重设计，丰富有趣玩法多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 w:val="0"/>
          <w:bCs w:val="0"/>
          <w:color w:val="000000"/>
          <w:szCs w:val="21"/>
          <w:lang w:bidi="ar"/>
        </w:rPr>
      </w:pPr>
      <w:r>
        <w:rPr>
          <w:rFonts w:hint="eastAsia" w:ascii="宋体" w:hAnsi="宋体" w:cs="宋体"/>
          <w:b w:val="0"/>
          <w:bCs w:val="0"/>
          <w:color w:val="000000"/>
          <w:szCs w:val="21"/>
          <w:lang w:bidi="ar"/>
        </w:rPr>
        <w:t>语言区中提供了大量游戏化、情景化的语言讲述材料和书写材料，让幼儿在丰富有趣的游戏材料中，与同伴有话题说、有兴趣说、有素材说、有思路说，引导幼儿在游戏中创造性运用所学的口头语言和书面语言进行表达，体验语言交流的乐趣。</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 w:val="0"/>
          <w:bCs w:val="0"/>
          <w:color w:val="000000"/>
          <w:szCs w:val="21"/>
          <w:lang w:bidi="ar"/>
        </w:rPr>
      </w:pPr>
      <w:r>
        <w:rPr>
          <w:rFonts w:hint="eastAsia" w:ascii="宋体" w:hAnsi="宋体" w:cs="宋体"/>
          <w:b w:val="0"/>
          <w:bCs w:val="0"/>
          <w:color w:val="000000"/>
          <w:szCs w:val="21"/>
          <w:lang w:bidi="ar"/>
        </w:rPr>
        <w:t>（3）内容相关联，学习、游戏多互动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 w:val="0"/>
          <w:bCs w:val="0"/>
          <w:color w:val="000000"/>
          <w:szCs w:val="21"/>
          <w:lang w:bidi="ar"/>
        </w:rPr>
      </w:pPr>
      <w:r>
        <w:rPr>
          <w:rFonts w:hint="eastAsia" w:ascii="宋体" w:hAnsi="宋体" w:cs="宋体"/>
          <w:b w:val="0"/>
          <w:bCs w:val="0"/>
          <w:color w:val="000000"/>
          <w:szCs w:val="21"/>
          <w:lang w:bidi="ar"/>
        </w:rPr>
        <w:t>语言区故事舞台与迷你剧场选用了部分《分级阅读2019版》中的故事，幼儿在集体学习活动中获得的经验可以与区角游戏材料互相作用，充分激发幼儿的表演兴趣，提高游戏水平。</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cs="宋体"/>
          <w:b/>
          <w:bCs/>
          <w:color w:val="000000"/>
          <w:kern w:val="0"/>
          <w:szCs w:val="21"/>
        </w:rPr>
      </w:pPr>
      <w:r>
        <w:rPr>
          <w:rFonts w:hint="eastAsia" w:ascii="宋体" w:hAnsi="宋体" w:cs="宋体"/>
          <w:b/>
          <w:bCs/>
          <w:color w:val="000000"/>
          <w:kern w:val="0"/>
          <w:szCs w:val="21"/>
          <w:lang w:val="en-US" w:eastAsia="zh-CN"/>
        </w:rPr>
        <w:t>4</w:t>
      </w:r>
      <w:r>
        <w:rPr>
          <w:rFonts w:hint="eastAsia" w:ascii="宋体" w:hAnsi="宋体" w:cs="宋体"/>
          <w:b/>
          <w:bCs/>
          <w:color w:val="000000"/>
          <w:kern w:val="0"/>
          <w:szCs w:val="21"/>
        </w:rPr>
        <w:t>.数学区产品优势</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 w:val="0"/>
          <w:bCs w:val="0"/>
          <w:color w:val="000000"/>
          <w:szCs w:val="21"/>
          <w:lang w:bidi="ar"/>
        </w:rPr>
      </w:pPr>
      <w:r>
        <w:rPr>
          <w:rFonts w:hint="eastAsia" w:ascii="宋体" w:hAnsi="宋体" w:cs="宋体"/>
          <w:b w:val="0"/>
          <w:bCs w:val="0"/>
          <w:color w:val="000000"/>
          <w:szCs w:val="21"/>
          <w:lang w:bidi="ar"/>
        </w:rPr>
        <w:t>（1）材料低结构，操作中渗透数学目标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 w:val="0"/>
          <w:bCs w:val="0"/>
          <w:color w:val="000000"/>
          <w:szCs w:val="21"/>
          <w:lang w:bidi="ar"/>
        </w:rPr>
      </w:pPr>
      <w:r>
        <w:rPr>
          <w:rFonts w:hint="eastAsia" w:ascii="宋体" w:hAnsi="宋体" w:cs="宋体"/>
          <w:b w:val="0"/>
          <w:bCs w:val="0"/>
          <w:color w:val="000000"/>
          <w:szCs w:val="21"/>
          <w:lang w:bidi="ar"/>
        </w:rPr>
        <w:t>一套材料，多种玩法。提供操作图卡及操作步骤图，完善的纠错功能，让幼儿在反复操作、探索中提升数学经验。同时，渗透与集体活动相融的目标，将集体学习与区域活动有机整合，深度挖掘课程目标，多方面促进幼儿数学能力的发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 w:val="0"/>
          <w:bCs w:val="0"/>
          <w:color w:val="000000"/>
          <w:szCs w:val="21"/>
          <w:lang w:bidi="ar"/>
        </w:rPr>
      </w:pPr>
      <w:r>
        <w:rPr>
          <w:rFonts w:hint="eastAsia" w:ascii="宋体" w:hAnsi="宋体" w:cs="宋体"/>
          <w:b w:val="0"/>
          <w:bCs w:val="0"/>
          <w:color w:val="000000"/>
          <w:szCs w:val="21"/>
          <w:lang w:bidi="ar"/>
        </w:rPr>
        <w:t>（2）投放分层次，探索中助个性化发展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 w:val="0"/>
          <w:bCs w:val="0"/>
          <w:color w:val="000000"/>
          <w:szCs w:val="21"/>
          <w:lang w:bidi="ar"/>
        </w:rPr>
      </w:pPr>
      <w:r>
        <w:rPr>
          <w:rFonts w:hint="eastAsia" w:ascii="宋体" w:hAnsi="宋体" w:cs="宋体"/>
          <w:b w:val="0"/>
          <w:bCs w:val="0"/>
          <w:color w:val="000000"/>
          <w:szCs w:val="21"/>
          <w:lang w:bidi="ar"/>
        </w:rPr>
        <w:t>每套材料都设置由简入难的游戏玩法，教师可分层分级地在区域中投放不同难易程度的游戏图卡，让幼儿的学习循序渐进。同时，一个目标对应多套游戏材料，让幼儿的游戏不再单一、枯燥。</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cs="宋体"/>
          <w:b/>
          <w:bCs/>
          <w:color w:val="000000"/>
          <w:kern w:val="0"/>
          <w:szCs w:val="21"/>
        </w:rPr>
      </w:pPr>
      <w:r>
        <w:rPr>
          <w:rFonts w:hint="eastAsia" w:ascii="宋体" w:hAnsi="宋体" w:cs="宋体"/>
          <w:b/>
          <w:bCs/>
          <w:color w:val="000000"/>
          <w:kern w:val="0"/>
          <w:szCs w:val="21"/>
          <w:lang w:val="en-US" w:eastAsia="zh-CN"/>
        </w:rPr>
        <w:t>5</w:t>
      </w:r>
      <w:r>
        <w:rPr>
          <w:rFonts w:hint="eastAsia" w:ascii="宋体" w:hAnsi="宋体" w:cs="宋体"/>
          <w:b/>
          <w:bCs/>
          <w:color w:val="000000"/>
          <w:kern w:val="0"/>
          <w:szCs w:val="21"/>
        </w:rPr>
        <w:t>.音乐区产品优势</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 w:val="0"/>
          <w:bCs w:val="0"/>
          <w:color w:val="000000"/>
          <w:szCs w:val="21"/>
          <w:lang w:bidi="ar"/>
        </w:rPr>
      </w:pPr>
      <w:r>
        <w:rPr>
          <w:rFonts w:hint="eastAsia" w:ascii="宋体" w:hAnsi="宋体" w:cs="宋体"/>
          <w:b w:val="0"/>
          <w:bCs w:val="0"/>
          <w:color w:val="000000"/>
          <w:szCs w:val="21"/>
          <w:lang w:bidi="ar"/>
        </w:rPr>
        <w:t>（1）丰富的表演材料，支持幼儿个性化学习与发展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 w:val="0"/>
          <w:bCs w:val="0"/>
          <w:color w:val="000000"/>
          <w:szCs w:val="21"/>
          <w:lang w:bidi="ar"/>
        </w:rPr>
      </w:pPr>
      <w:r>
        <w:rPr>
          <w:rFonts w:hint="eastAsia" w:ascii="宋体" w:hAnsi="宋体" w:cs="宋体"/>
          <w:b w:val="0"/>
          <w:bCs w:val="0"/>
          <w:color w:val="000000"/>
          <w:szCs w:val="21"/>
          <w:lang w:bidi="ar"/>
        </w:rPr>
        <w:t>32个音乐剧绘本及表演材料、32张节奏图谱及打击乐器，丰富的表演材料、更多样的表现形式，支持幼儿个性化学习与发展。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 w:val="0"/>
          <w:bCs w:val="0"/>
          <w:color w:val="000000"/>
          <w:szCs w:val="21"/>
          <w:lang w:bidi="ar"/>
        </w:rPr>
      </w:pPr>
      <w:r>
        <w:rPr>
          <w:rFonts w:hint="eastAsia" w:ascii="宋体" w:hAnsi="宋体" w:cs="宋体"/>
          <w:b w:val="0"/>
          <w:bCs w:val="0"/>
          <w:color w:val="000000"/>
          <w:szCs w:val="21"/>
          <w:lang w:bidi="ar"/>
        </w:rPr>
        <w:t>（2）海量的音像资源，激发幼儿创意表达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 w:val="0"/>
          <w:bCs w:val="0"/>
          <w:color w:val="000000"/>
          <w:szCs w:val="21"/>
          <w:lang w:bidi="ar"/>
        </w:rPr>
      </w:pPr>
      <w:r>
        <w:rPr>
          <w:rFonts w:hint="eastAsia" w:ascii="宋体" w:hAnsi="宋体" w:cs="宋体"/>
          <w:b w:val="0"/>
          <w:bCs w:val="0"/>
          <w:color w:val="000000"/>
          <w:szCs w:val="21"/>
          <w:lang w:bidi="ar"/>
        </w:rPr>
        <w:t>可听、可视的音像资源，给幼儿提供直观的表演支架，激发幼儿创意表达。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 w:val="0"/>
          <w:bCs w:val="0"/>
          <w:color w:val="000000"/>
          <w:szCs w:val="21"/>
          <w:lang w:bidi="ar"/>
        </w:rPr>
      </w:pPr>
      <w:r>
        <w:rPr>
          <w:rFonts w:hint="eastAsia" w:ascii="宋体" w:hAnsi="宋体" w:cs="宋体"/>
          <w:b w:val="0"/>
          <w:bCs w:val="0"/>
          <w:color w:val="000000"/>
          <w:szCs w:val="21"/>
          <w:lang w:bidi="ar"/>
        </w:rPr>
        <w:t>（3）经验与材料的碰撞，挖掘幼儿音乐潜能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 w:val="0"/>
          <w:bCs w:val="0"/>
          <w:color w:val="000000"/>
          <w:szCs w:val="21"/>
          <w:lang w:bidi="ar"/>
        </w:rPr>
      </w:pPr>
      <w:r>
        <w:rPr>
          <w:rFonts w:hint="eastAsia" w:ascii="宋体" w:hAnsi="宋体" w:cs="宋体"/>
          <w:b w:val="0"/>
          <w:bCs w:val="0"/>
          <w:color w:val="000000"/>
          <w:szCs w:val="21"/>
          <w:lang w:bidi="ar"/>
        </w:rPr>
        <w:t>音乐区中主题音乐剧的音乐素材大部分来源于玩创音乐课程，有了集体活动的经验，幼儿的游戏水平能得到更有效、快速的发展，课程材料加上音乐区的材料共同使用，能充分挖掘幼儿的音乐潜能，提升音乐素养。</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cs="宋体"/>
          <w:b/>
          <w:bCs/>
          <w:color w:val="000000"/>
          <w:szCs w:val="21"/>
          <w:lang w:bidi="ar"/>
        </w:rPr>
      </w:pPr>
      <w:r>
        <w:rPr>
          <w:rFonts w:hint="eastAsia" w:ascii="宋体" w:hAnsi="宋体" w:cs="宋体"/>
          <w:b/>
          <w:bCs/>
          <w:color w:val="000000"/>
          <w:szCs w:val="21"/>
          <w:lang w:val="en-US" w:eastAsia="zh-CN" w:bidi="ar"/>
        </w:rPr>
        <w:t>6</w:t>
      </w:r>
      <w:r>
        <w:rPr>
          <w:rFonts w:hint="eastAsia" w:ascii="宋体" w:hAnsi="宋体" w:cs="宋体"/>
          <w:b/>
          <w:bCs/>
          <w:color w:val="000000"/>
          <w:szCs w:val="21"/>
          <w:lang w:bidi="ar"/>
        </w:rPr>
        <w:t>.美术区产品优势</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 w:val="0"/>
          <w:bCs w:val="0"/>
          <w:color w:val="000000"/>
          <w:szCs w:val="21"/>
          <w:lang w:bidi="ar"/>
        </w:rPr>
      </w:pPr>
      <w:r>
        <w:rPr>
          <w:rFonts w:hint="eastAsia" w:ascii="宋体" w:hAnsi="宋体" w:cs="宋体"/>
          <w:b w:val="0"/>
          <w:bCs w:val="0"/>
          <w:color w:val="000000"/>
          <w:szCs w:val="21"/>
          <w:lang w:bidi="ar"/>
        </w:rPr>
        <w:t>（1）材料多元，玩法多变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 w:val="0"/>
          <w:bCs w:val="0"/>
          <w:color w:val="000000"/>
          <w:szCs w:val="21"/>
          <w:lang w:bidi="ar"/>
        </w:rPr>
      </w:pPr>
      <w:r>
        <w:rPr>
          <w:rFonts w:hint="eastAsia" w:ascii="宋体" w:hAnsi="宋体" w:cs="宋体"/>
          <w:b w:val="0"/>
          <w:bCs w:val="0"/>
          <w:color w:val="000000"/>
          <w:szCs w:val="21"/>
          <w:lang w:bidi="ar"/>
        </w:rPr>
        <w:t>每个年龄段提供8盒美术游戏材料，带领幼儿探索绘画、雕塑、工艺美术、建筑等不同类型的美术活动。每种材料有不同的玩法，可供幼儿反复探索，一物多玩；更能将教师从繁琐的材料准备中解脱出来。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 w:val="0"/>
          <w:bCs w:val="0"/>
          <w:color w:val="000000"/>
          <w:szCs w:val="21"/>
          <w:lang w:bidi="ar"/>
        </w:rPr>
      </w:pPr>
      <w:r>
        <w:rPr>
          <w:rFonts w:hint="eastAsia" w:ascii="宋体" w:hAnsi="宋体" w:cs="宋体"/>
          <w:b w:val="0"/>
          <w:bCs w:val="0"/>
          <w:color w:val="000000"/>
          <w:szCs w:val="21"/>
          <w:lang w:bidi="ar"/>
        </w:rPr>
        <w:t>（2）手脑并用，创意无限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 w:val="0"/>
          <w:bCs w:val="0"/>
          <w:color w:val="000000"/>
          <w:szCs w:val="21"/>
          <w:lang w:bidi="ar"/>
        </w:rPr>
      </w:pPr>
      <w:r>
        <w:rPr>
          <w:rFonts w:hint="eastAsia" w:ascii="宋体" w:hAnsi="宋体" w:cs="宋体"/>
          <w:b w:val="0"/>
          <w:bCs w:val="0"/>
          <w:color w:val="000000"/>
          <w:szCs w:val="21"/>
          <w:lang w:bidi="ar"/>
        </w:rPr>
        <w:t>著名教育家陶行知曾说：“手脑一块儿干是创造力教育的开始，手脑双全是创造教育的目的。”美术区减少耗材，通过提供可多次探索的半立体、立体材料，让幼儿的手眼脑都动起来，不同年龄段的幼儿根据自己的经验，轻松玩艺术，借助耐用件和耗材一起创作出创意无限的作品。</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outlineLvl w:val="9"/>
        <w:rPr>
          <w:rFonts w:hint="eastAsia" w:cs="Times New Roman"/>
          <w:b/>
          <w:bCs/>
          <w:kern w:val="2"/>
          <w:sz w:val="24"/>
          <w:szCs w:val="24"/>
          <w:lang w:val="en-US" w:eastAsia="zh-CN" w:bidi="ar-SA"/>
        </w:rPr>
      </w:pPr>
      <w:bookmarkStart w:id="5" w:name="_Toc11678_WPSOffice_Level1"/>
      <w:r>
        <w:rPr>
          <w:rFonts w:hint="eastAsia" w:cs="Times New Roman"/>
          <w:b/>
          <w:bCs/>
          <w:kern w:val="2"/>
          <w:sz w:val="24"/>
          <w:szCs w:val="24"/>
          <w:lang w:val="en-US" w:eastAsia="zh-CN" w:bidi="ar-SA"/>
        </w:rPr>
        <w:t>三、</w:t>
      </w:r>
      <w:bookmarkEnd w:id="5"/>
      <w:r>
        <w:rPr>
          <w:rFonts w:hint="eastAsia" w:ascii="宋体" w:hAnsi="宋体" w:cs="宋体"/>
          <w:b/>
          <w:bCs/>
          <w:sz w:val="24"/>
          <w:szCs w:val="24"/>
          <w:lang w:eastAsia="zh-CN"/>
        </w:rPr>
        <w:t xml:space="preserve"> 室内建构游戏</w:t>
      </w:r>
      <w:r>
        <w:rPr>
          <w:rFonts w:hint="eastAsia"/>
          <w:b/>
          <w:bCs/>
          <w:sz w:val="24"/>
        </w:rPr>
        <w:t>培训服务</w:t>
      </w:r>
    </w:p>
    <w:p>
      <w:pPr>
        <w:pageBreakBefore w:val="0"/>
        <w:kinsoku/>
        <w:wordWrap/>
        <w:overflowPunct/>
        <w:topLinePunct w:val="0"/>
        <w:autoSpaceDE/>
        <w:autoSpaceDN/>
        <w:bidi w:val="0"/>
        <w:adjustRightInd/>
        <w:snapToGrid/>
        <w:spacing w:line="360" w:lineRule="auto"/>
        <w:ind w:firstLine="420" w:firstLineChars="200"/>
        <w:jc w:val="left"/>
        <w:rPr>
          <w:rFonts w:hint="eastAsia" w:ascii="宋体" w:hAnsi="宋体" w:cs="宋体"/>
          <w:b w:val="0"/>
          <w:bCs w:val="0"/>
          <w:color w:val="000000"/>
          <w:szCs w:val="21"/>
          <w:lang w:bidi="ar"/>
        </w:rPr>
      </w:pPr>
      <w:r>
        <w:rPr>
          <w:rFonts w:hint="eastAsia"/>
        </w:rPr>
        <w:t>在与园所合作期间，</w:t>
      </w:r>
      <w:r>
        <w:rPr>
          <w:rFonts w:hint="eastAsia"/>
          <w:lang w:eastAsia="zh-CN"/>
        </w:rPr>
        <w:t xml:space="preserve"> </w:t>
      </w:r>
      <w:r>
        <w:rPr>
          <w:rFonts w:hint="eastAsia"/>
        </w:rPr>
        <w:t>公司将提供内容丰富、形式多样的</w:t>
      </w:r>
      <w:r>
        <w:rPr>
          <w:rFonts w:hint="eastAsia"/>
          <w:lang w:eastAsia="zh-CN"/>
        </w:rPr>
        <w:t>师资</w:t>
      </w:r>
      <w:r>
        <w:rPr>
          <w:rFonts w:hint="eastAsia"/>
        </w:rPr>
        <w:t>培训</w:t>
      </w:r>
      <w:r>
        <w:rPr>
          <w:rFonts w:hint="eastAsia"/>
          <w:lang w:eastAsia="zh-CN"/>
        </w:rPr>
        <w:t>服务，</w:t>
      </w:r>
      <w:r>
        <w:rPr>
          <w:rFonts w:hint="eastAsia"/>
        </w:rPr>
        <w:t>旨在手把手帮助园所</w:t>
      </w:r>
      <w:r>
        <w:rPr>
          <w:rFonts w:hint="eastAsia"/>
          <w:lang w:eastAsia="zh-CN"/>
        </w:rPr>
        <w:t>教师熟练掌握开展室内游戏活动的理念、目标、材料、方法和评价，提升师资专业化水平，助力园所</w:t>
      </w:r>
      <w:r>
        <w:rPr>
          <w:rFonts w:hint="eastAsia"/>
        </w:rPr>
        <w:t>成功打造</w:t>
      </w:r>
      <w:r>
        <w:rPr>
          <w:rFonts w:hint="eastAsia"/>
          <w:lang w:eastAsia="zh-CN"/>
        </w:rPr>
        <w:t>室内</w:t>
      </w:r>
      <w:r>
        <w:rPr>
          <w:rFonts w:hint="eastAsia"/>
        </w:rPr>
        <w:t>游戏课程特色，有效促进园所</w:t>
      </w:r>
      <w:r>
        <w:rPr>
          <w:rFonts w:hint="eastAsia"/>
          <w:lang w:eastAsia="zh-CN"/>
        </w:rPr>
        <w:t>办园质量</w:t>
      </w:r>
      <w:r>
        <w:rPr>
          <w:rFonts w:hint="eastAsia"/>
        </w:rPr>
        <w:t>的进一步提升。</w:t>
      </w:r>
    </w:p>
    <w:p>
      <w:pPr>
        <w:pageBreakBefore w:val="0"/>
        <w:numPr>
          <w:ilvl w:val="0"/>
          <w:numId w:val="0"/>
        </w:numPr>
        <w:kinsoku/>
        <w:wordWrap/>
        <w:overflowPunct/>
        <w:topLinePunct w:val="0"/>
        <w:autoSpaceDE/>
        <w:autoSpaceDN/>
        <w:bidi w:val="0"/>
        <w:adjustRightInd/>
        <w:snapToGrid/>
        <w:spacing w:line="360" w:lineRule="auto"/>
        <w:ind w:firstLine="422" w:firstLineChars="200"/>
        <w:jc w:val="left"/>
        <w:rPr>
          <w:rFonts w:hint="eastAsia"/>
          <w:b/>
          <w:bCs/>
          <w:sz w:val="21"/>
          <w:szCs w:val="21"/>
        </w:rPr>
      </w:pPr>
      <w:r>
        <w:rPr>
          <w:rFonts w:hint="eastAsia"/>
          <w:b/>
          <w:bCs/>
          <w:sz w:val="21"/>
          <w:szCs w:val="21"/>
          <w:lang w:eastAsia="zh-CN"/>
        </w:rPr>
        <w:t>（一）线下</w:t>
      </w:r>
      <w:r>
        <w:rPr>
          <w:rFonts w:hint="eastAsia"/>
          <w:b/>
          <w:bCs/>
          <w:sz w:val="21"/>
          <w:szCs w:val="21"/>
        </w:rPr>
        <w:t>培训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eastAsia="宋体"/>
          <w:b w:val="0"/>
          <w:bCs w:val="0"/>
          <w:sz w:val="21"/>
          <w:szCs w:val="21"/>
          <w:lang w:val="en-US" w:eastAsia="zh-CN"/>
        </w:rPr>
      </w:pPr>
      <w:r>
        <w:rPr>
          <w:rFonts w:hint="eastAsia"/>
          <w:b w:val="0"/>
          <w:bCs w:val="0"/>
          <w:sz w:val="21"/>
          <w:szCs w:val="21"/>
          <w:lang w:eastAsia="zh-CN"/>
        </w:rPr>
        <w:t xml:space="preserve"> 线下培训包括基础培训、专项集训、观摩展示等</w:t>
      </w:r>
      <w:r>
        <w:rPr>
          <w:rFonts w:hint="eastAsia"/>
          <w:b w:val="0"/>
          <w:bCs w:val="0"/>
          <w:sz w:val="21"/>
          <w:szCs w:val="21"/>
          <w:lang w:val="en-US" w:eastAsia="zh-CN"/>
        </w:rPr>
        <w:t>3大类别，</w:t>
      </w:r>
      <w:r>
        <w:rPr>
          <w:rFonts w:hint="eastAsia" w:cs="Times New Roman"/>
          <w:b w:val="0"/>
          <w:bCs w:val="0"/>
          <w:kern w:val="2"/>
          <w:sz w:val="21"/>
          <w:szCs w:val="21"/>
          <w:lang w:val="en-US" w:eastAsia="zh-CN" w:bidi="ar-SA"/>
        </w:rPr>
        <w:t>面向园长、教师、家长等开展培训服务和成果展示。</w:t>
      </w:r>
    </w:p>
    <w:tbl>
      <w:tblPr>
        <w:tblStyle w:val="18"/>
        <w:tblW w:w="9686" w:type="dxa"/>
        <w:tblInd w:w="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1160"/>
        <w:gridCol w:w="2537"/>
        <w:gridCol w:w="3463"/>
        <w:gridCol w:w="1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1949"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b/>
                <w:bCs/>
                <w:sz w:val="21"/>
                <w:szCs w:val="24"/>
                <w:vertAlign w:val="baseline"/>
                <w:lang w:val="en-US" w:eastAsia="zh-CN"/>
              </w:rPr>
            </w:pPr>
            <w:r>
              <w:rPr>
                <w:rFonts w:hint="eastAsia"/>
                <w:b/>
                <w:bCs/>
                <w:sz w:val="21"/>
                <w:szCs w:val="24"/>
                <w:vertAlign w:val="baseline"/>
                <w:lang w:val="en-US" w:eastAsia="zh-CN"/>
              </w:rPr>
              <w:t>培训类型</w:t>
            </w:r>
          </w:p>
        </w:tc>
        <w:tc>
          <w:tcPr>
            <w:tcW w:w="600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b/>
                <w:bCs/>
                <w:sz w:val="21"/>
                <w:szCs w:val="21"/>
                <w:vertAlign w:val="baseline"/>
                <w:lang w:val="en-US" w:eastAsia="zh-CN"/>
              </w:rPr>
            </w:pPr>
            <w:r>
              <w:rPr>
                <w:rFonts w:hint="eastAsia"/>
                <w:b/>
                <w:bCs/>
                <w:sz w:val="21"/>
                <w:szCs w:val="21"/>
                <w:vertAlign w:val="baseline"/>
                <w:lang w:val="en-US" w:eastAsia="zh-CN"/>
              </w:rPr>
              <w:t>培训内容</w:t>
            </w:r>
          </w:p>
        </w:tc>
        <w:tc>
          <w:tcPr>
            <w:tcW w:w="17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b/>
                <w:bCs/>
                <w:sz w:val="21"/>
                <w:szCs w:val="21"/>
                <w:vertAlign w:val="baseline"/>
                <w:lang w:val="en-US" w:eastAsia="zh-CN"/>
              </w:rPr>
            </w:pPr>
            <w:r>
              <w:rPr>
                <w:rFonts w:hint="eastAsia"/>
                <w:b/>
                <w:bCs/>
                <w:sz w:val="21"/>
                <w:szCs w:val="21"/>
                <w:vertAlign w:val="baseline"/>
                <w:lang w:val="en-US" w:eastAsia="zh-CN"/>
              </w:rPr>
              <w:t>培训频次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89"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b/>
                <w:bCs/>
                <w:sz w:val="21"/>
                <w:szCs w:val="24"/>
                <w:vertAlign w:val="baseline"/>
                <w:lang w:val="en-US" w:eastAsia="zh-CN"/>
              </w:rPr>
            </w:pPr>
            <w:r>
              <w:rPr>
                <w:rFonts w:hint="eastAsia"/>
                <w:b/>
                <w:bCs/>
                <w:sz w:val="21"/>
                <w:szCs w:val="24"/>
                <w:vertAlign w:val="baseline"/>
                <w:lang w:val="en-US" w:eastAsia="zh-CN"/>
              </w:rPr>
              <w:t>线下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b w:val="0"/>
                <w:bCs w:val="0"/>
                <w:sz w:val="21"/>
                <w:szCs w:val="24"/>
                <w:vertAlign w:val="baseline"/>
                <w:lang w:val="en-US" w:eastAsia="zh-CN"/>
              </w:rPr>
            </w:pPr>
            <w:r>
              <w:rPr>
                <w:rFonts w:hint="eastAsia"/>
                <w:b/>
                <w:bCs/>
                <w:sz w:val="21"/>
                <w:szCs w:val="24"/>
                <w:vertAlign w:val="baseline"/>
                <w:lang w:val="en-US" w:eastAsia="zh-CN"/>
              </w:rPr>
              <w:t>培训</w:t>
            </w:r>
          </w:p>
        </w:tc>
        <w:tc>
          <w:tcPr>
            <w:tcW w:w="11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b/>
                <w:bCs/>
                <w:sz w:val="21"/>
                <w:szCs w:val="24"/>
                <w:vertAlign w:val="baseline"/>
                <w:lang w:val="en-US" w:eastAsia="zh-CN"/>
              </w:rPr>
            </w:pPr>
            <w:r>
              <w:rPr>
                <w:rFonts w:hint="eastAsia"/>
                <w:b/>
                <w:bCs/>
                <w:sz w:val="21"/>
                <w:szCs w:val="24"/>
                <w:vertAlign w:val="baseline"/>
                <w:lang w:val="en-US" w:eastAsia="zh-CN"/>
              </w:rPr>
              <w:t>基础培训</w:t>
            </w:r>
          </w:p>
        </w:tc>
        <w:tc>
          <w:tcPr>
            <w:tcW w:w="25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入园培训或集中培训</w:t>
            </w:r>
          </w:p>
        </w:tc>
        <w:tc>
          <w:tcPr>
            <w:tcW w:w="346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室内游戏活动相关递进式专题</w:t>
            </w:r>
          </w:p>
        </w:tc>
        <w:tc>
          <w:tcPr>
            <w:tcW w:w="17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1次/学期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trPr>
        <w:tc>
          <w:tcPr>
            <w:tcW w:w="78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b/>
                <w:bCs/>
                <w:sz w:val="21"/>
                <w:szCs w:val="24"/>
                <w:vertAlign w:val="baseline"/>
                <w:lang w:val="en-US" w:eastAsia="zh-CN"/>
              </w:rPr>
            </w:pPr>
          </w:p>
        </w:tc>
        <w:tc>
          <w:tcPr>
            <w:tcW w:w="116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b/>
                <w:bCs/>
                <w:sz w:val="21"/>
                <w:szCs w:val="24"/>
                <w:vertAlign w:val="baseline"/>
                <w:lang w:val="en-US" w:eastAsia="zh-CN"/>
              </w:rPr>
            </w:pPr>
            <w:r>
              <w:rPr>
                <w:rFonts w:hint="eastAsia"/>
                <w:b/>
                <w:bCs/>
                <w:sz w:val="21"/>
                <w:szCs w:val="24"/>
                <w:vertAlign w:val="baseline"/>
                <w:lang w:val="en-US" w:eastAsia="zh-CN"/>
              </w:rPr>
              <w:t>专项集训</w:t>
            </w:r>
          </w:p>
        </w:tc>
        <w:tc>
          <w:tcPr>
            <w:tcW w:w="25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 xml:space="preserve"> 魅力教师训练营</w:t>
            </w:r>
          </w:p>
        </w:tc>
        <w:tc>
          <w:tcPr>
            <w:tcW w:w="346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室内游戏活动组织技能，班级工作技能，专业发展技能等。</w:t>
            </w:r>
          </w:p>
        </w:tc>
        <w:tc>
          <w:tcPr>
            <w:tcW w:w="1737"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1次/学期/区县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8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b/>
                <w:bCs/>
                <w:sz w:val="21"/>
                <w:szCs w:val="24"/>
                <w:vertAlign w:val="baseline"/>
                <w:lang w:val="en-US" w:eastAsia="zh-CN"/>
              </w:rPr>
            </w:pPr>
          </w:p>
        </w:tc>
        <w:tc>
          <w:tcPr>
            <w:tcW w:w="116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b/>
                <w:bCs/>
                <w:sz w:val="21"/>
                <w:szCs w:val="24"/>
                <w:vertAlign w:val="baseline"/>
                <w:lang w:val="en-US" w:eastAsia="zh-CN"/>
              </w:rPr>
            </w:pPr>
          </w:p>
        </w:tc>
        <w:tc>
          <w:tcPr>
            <w:tcW w:w="25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 xml:space="preserve"> 骨干教师训练班</w:t>
            </w:r>
          </w:p>
        </w:tc>
        <w:tc>
          <w:tcPr>
            <w:tcW w:w="346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 xml:space="preserve"> 室内游戏课程实施策略；课例展示与研讨。</w:t>
            </w:r>
          </w:p>
        </w:tc>
        <w:tc>
          <w:tcPr>
            <w:tcW w:w="1737"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78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b/>
                <w:bCs/>
                <w:sz w:val="21"/>
                <w:szCs w:val="24"/>
                <w:vertAlign w:val="baseline"/>
                <w:lang w:val="en-US" w:eastAsia="zh-CN"/>
              </w:rPr>
            </w:pPr>
          </w:p>
        </w:tc>
        <w:tc>
          <w:tcPr>
            <w:tcW w:w="116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b/>
                <w:bCs/>
                <w:sz w:val="21"/>
                <w:szCs w:val="24"/>
                <w:vertAlign w:val="baseline"/>
                <w:lang w:val="en-US" w:eastAsia="zh-CN"/>
              </w:rPr>
            </w:pPr>
            <w:r>
              <w:rPr>
                <w:rFonts w:hint="eastAsia"/>
                <w:b/>
                <w:bCs/>
                <w:sz w:val="21"/>
                <w:szCs w:val="24"/>
                <w:vertAlign w:val="baseline"/>
                <w:lang w:val="en-US" w:eastAsia="zh-CN"/>
              </w:rPr>
              <w:t>观摩展示</w:t>
            </w:r>
          </w:p>
        </w:tc>
        <w:tc>
          <w:tcPr>
            <w:tcW w:w="25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 xml:space="preserve"> 课程观摩研讨会</w:t>
            </w:r>
          </w:p>
        </w:tc>
        <w:tc>
          <w:tcPr>
            <w:tcW w:w="346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展示、观摩室内游戏活动部分材料和成果，并进行研讨、交流；专家现场点评及颁奖。</w:t>
            </w:r>
          </w:p>
        </w:tc>
        <w:tc>
          <w:tcPr>
            <w:tcW w:w="1737"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1次/学期或根据实际情况开展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8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b/>
                <w:bCs/>
                <w:sz w:val="21"/>
                <w:szCs w:val="24"/>
                <w:vertAlign w:val="baseline"/>
                <w:lang w:val="en-US" w:eastAsia="zh-CN"/>
              </w:rPr>
            </w:pPr>
          </w:p>
        </w:tc>
        <w:tc>
          <w:tcPr>
            <w:tcW w:w="116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b w:val="0"/>
                <w:bCs w:val="0"/>
                <w:sz w:val="21"/>
                <w:szCs w:val="24"/>
                <w:vertAlign w:val="baseline"/>
                <w:lang w:val="en-US" w:eastAsia="zh-CN"/>
              </w:rPr>
            </w:pPr>
          </w:p>
        </w:tc>
        <w:tc>
          <w:tcPr>
            <w:tcW w:w="25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观摩展示入园指导</w:t>
            </w:r>
          </w:p>
        </w:tc>
        <w:tc>
          <w:tcPr>
            <w:tcW w:w="346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 xml:space="preserve"> 室内游戏课程观摩研讨会指导</w:t>
            </w:r>
          </w:p>
        </w:tc>
        <w:tc>
          <w:tcPr>
            <w:tcW w:w="1737"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b w:val="0"/>
                <w:bCs w:val="0"/>
                <w:sz w:val="21"/>
                <w:szCs w:val="21"/>
                <w:vertAlign w:val="baseline"/>
                <w:lang w:val="en-US" w:eastAsia="zh-CN"/>
              </w:rPr>
            </w:pPr>
          </w:p>
        </w:tc>
      </w:tr>
    </w:tbl>
    <w:p>
      <w:pPr>
        <w:pageBreakBefore w:val="0"/>
        <w:kinsoku/>
        <w:wordWrap/>
        <w:overflowPunct/>
        <w:topLinePunct w:val="0"/>
        <w:autoSpaceDE/>
        <w:autoSpaceDN/>
        <w:bidi w:val="0"/>
        <w:adjustRightInd/>
        <w:snapToGrid/>
        <w:spacing w:line="360" w:lineRule="auto"/>
        <w:ind w:firstLine="422" w:firstLineChars="200"/>
        <w:jc w:val="left"/>
        <w:rPr>
          <w:rFonts w:hint="eastAsia" w:eastAsia="宋体"/>
          <w:b/>
          <w:bCs/>
          <w:lang w:eastAsia="zh-CN"/>
        </w:rPr>
      </w:pPr>
      <w:r>
        <w:rPr>
          <w:rFonts w:hint="eastAsia"/>
          <w:b/>
          <w:bCs/>
          <w:lang w:eastAsia="zh-CN"/>
        </w:rPr>
        <w:t>（二）线上培训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cs="Times New Roman"/>
          <w:b w:val="0"/>
          <w:bCs w:val="0"/>
          <w:kern w:val="2"/>
          <w:sz w:val="21"/>
          <w:szCs w:val="21"/>
          <w:lang w:val="en-US" w:eastAsia="zh-CN" w:bidi="ar-SA"/>
        </w:rPr>
      </w:pPr>
      <w:r>
        <w:rPr>
          <w:rFonts w:hint="eastAsia" w:cs="Times New Roman"/>
          <w:b w:val="0"/>
          <w:bCs w:val="0"/>
          <w:kern w:val="2"/>
          <w:sz w:val="21"/>
          <w:szCs w:val="21"/>
          <w:lang w:val="en-US" w:eastAsia="zh-CN" w:bidi="ar-SA"/>
        </w:rPr>
        <w:t xml:space="preserve"> 线上培训服务主要通过 幼师网校APP进行，包括管理培训、课程培训、酷直播三个方面内容。园所可以通过下载并注册认证幼师网校（并申请VIP园所），来参加线上培训。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cs="Times New Roman"/>
          <w:b w:val="0"/>
          <w:bCs w:val="0"/>
          <w:kern w:val="2"/>
          <w:sz w:val="21"/>
          <w:szCs w:val="21"/>
          <w:lang w:val="en-US" w:eastAsia="zh-CN" w:bidi="ar-SA"/>
        </w:rPr>
      </w:pPr>
    </w:p>
    <w:tbl>
      <w:tblPr>
        <w:tblStyle w:val="18"/>
        <w:tblW w:w="9699" w:type="dxa"/>
        <w:tblInd w:w="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1747"/>
        <w:gridCol w:w="5088"/>
        <w:gridCol w:w="2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536"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b/>
                <w:bCs/>
                <w:sz w:val="21"/>
                <w:szCs w:val="24"/>
                <w:vertAlign w:val="baseline"/>
                <w:lang w:val="en-US" w:eastAsia="zh-CN"/>
              </w:rPr>
            </w:pPr>
            <w:r>
              <w:rPr>
                <w:rFonts w:hint="eastAsia"/>
                <w:b/>
                <w:bCs/>
                <w:sz w:val="21"/>
                <w:szCs w:val="24"/>
                <w:vertAlign w:val="baseline"/>
                <w:lang w:val="en-US" w:eastAsia="zh-CN"/>
              </w:rPr>
              <w:t>培训类型</w:t>
            </w:r>
          </w:p>
        </w:tc>
        <w:tc>
          <w:tcPr>
            <w:tcW w:w="50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b/>
                <w:bCs/>
                <w:sz w:val="21"/>
                <w:szCs w:val="24"/>
                <w:vertAlign w:val="baseline"/>
                <w:lang w:val="en-US" w:eastAsia="zh-CN"/>
              </w:rPr>
            </w:pPr>
            <w:r>
              <w:rPr>
                <w:rFonts w:hint="eastAsia"/>
                <w:b/>
                <w:bCs/>
                <w:sz w:val="21"/>
                <w:szCs w:val="24"/>
                <w:vertAlign w:val="baseline"/>
                <w:lang w:val="en-US" w:eastAsia="zh-CN"/>
              </w:rPr>
              <w:t>培训内容</w:t>
            </w:r>
          </w:p>
        </w:tc>
        <w:tc>
          <w:tcPr>
            <w:tcW w:w="20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b/>
                <w:bCs/>
                <w:sz w:val="21"/>
                <w:szCs w:val="24"/>
                <w:vertAlign w:val="baseline"/>
                <w:lang w:val="en-US" w:eastAsia="zh-CN"/>
              </w:rPr>
            </w:pPr>
            <w:r>
              <w:rPr>
                <w:rFonts w:hint="eastAsia"/>
                <w:b/>
                <w:bCs/>
                <w:sz w:val="21"/>
                <w:szCs w:val="24"/>
                <w:vertAlign w:val="baseline"/>
                <w:lang w:val="en-US" w:eastAsia="zh-CN"/>
              </w:rPr>
              <w:t>培训频次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789"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
                <w:bCs/>
                <w:sz w:val="21"/>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b/>
                <w:bCs/>
                <w:sz w:val="21"/>
                <w:szCs w:val="24"/>
                <w:vertAlign w:val="baseline"/>
                <w:lang w:val="en-US" w:eastAsia="zh-CN"/>
              </w:rPr>
            </w:pPr>
            <w:r>
              <w:rPr>
                <w:rFonts w:hint="eastAsia"/>
                <w:b/>
                <w:bCs/>
                <w:sz w:val="21"/>
                <w:szCs w:val="24"/>
                <w:vertAlign w:val="baseline"/>
                <w:lang w:val="en-US" w:eastAsia="zh-CN"/>
              </w:rPr>
              <w:t>线上培训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b/>
                <w:bCs/>
                <w:sz w:val="21"/>
                <w:szCs w:val="24"/>
                <w:vertAlign w:val="baseline"/>
                <w:lang w:val="en-US" w:eastAsia="zh-CN"/>
              </w:rPr>
            </w:pPr>
          </w:p>
        </w:tc>
        <w:tc>
          <w:tcPr>
            <w:tcW w:w="17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b/>
                <w:bCs/>
                <w:sz w:val="21"/>
                <w:szCs w:val="24"/>
                <w:vertAlign w:val="baseline"/>
                <w:lang w:val="en-US" w:eastAsia="zh-CN"/>
              </w:rPr>
            </w:pPr>
            <w:r>
              <w:rPr>
                <w:rFonts w:hint="eastAsia"/>
                <w:b/>
                <w:bCs/>
                <w:sz w:val="21"/>
                <w:szCs w:val="24"/>
                <w:vertAlign w:val="baseline"/>
                <w:lang w:val="en-US" w:eastAsia="zh-CN"/>
              </w:rPr>
              <w:t xml:space="preserve"> 公开课</w:t>
            </w:r>
          </w:p>
        </w:tc>
        <w:tc>
          <w:tcPr>
            <w:tcW w:w="50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b w:val="0"/>
                <w:bCs w:val="0"/>
                <w:sz w:val="19"/>
                <w:szCs w:val="19"/>
                <w:vertAlign w:val="baseline"/>
                <w:lang w:val="en-US" w:eastAsia="zh-CN"/>
              </w:rPr>
            </w:pPr>
            <w:r>
              <w:rPr>
                <w:rFonts w:hint="eastAsia"/>
                <w:b w:val="0"/>
                <w:bCs w:val="0"/>
                <w:sz w:val="19"/>
                <w:szCs w:val="19"/>
                <w:vertAlign w:val="baseline"/>
                <w:lang w:val="en-US" w:eastAsia="zh-CN"/>
              </w:rPr>
              <w:t>名园长名师分享室内游戏活动开展策略</w:t>
            </w:r>
          </w:p>
        </w:tc>
        <w:tc>
          <w:tcPr>
            <w:tcW w:w="20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b w:val="0"/>
                <w:bCs w:val="0"/>
                <w:sz w:val="19"/>
                <w:szCs w:val="19"/>
                <w:vertAlign w:val="baseline"/>
                <w:lang w:val="en-US" w:eastAsia="zh-CN"/>
              </w:rPr>
            </w:pPr>
            <w:r>
              <w:rPr>
                <w:rFonts w:hint="eastAsia"/>
                <w:b w:val="0"/>
                <w:bCs w:val="0"/>
                <w:sz w:val="19"/>
                <w:szCs w:val="19"/>
                <w:vertAlign w:val="baseline"/>
                <w:lang w:val="en-US" w:eastAsia="zh-CN"/>
              </w:rPr>
              <w:t>1次/周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8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b w:val="0"/>
                <w:bCs w:val="0"/>
                <w:sz w:val="21"/>
                <w:szCs w:val="24"/>
                <w:vertAlign w:val="baseline"/>
                <w:lang w:val="en-US" w:eastAsia="zh-CN"/>
              </w:rPr>
            </w:pPr>
          </w:p>
        </w:tc>
        <w:tc>
          <w:tcPr>
            <w:tcW w:w="17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b/>
                <w:bCs/>
                <w:sz w:val="21"/>
                <w:szCs w:val="24"/>
                <w:vertAlign w:val="baseline"/>
                <w:lang w:val="en-US" w:eastAsia="zh-CN"/>
              </w:rPr>
            </w:pPr>
            <w:r>
              <w:rPr>
                <w:rFonts w:hint="eastAsia"/>
                <w:b/>
                <w:bCs/>
                <w:sz w:val="21"/>
                <w:szCs w:val="24"/>
                <w:vertAlign w:val="baseline"/>
                <w:lang w:val="en-US" w:eastAsia="zh-CN"/>
              </w:rPr>
              <w:t xml:space="preserve"> 课程集锦</w:t>
            </w:r>
          </w:p>
        </w:tc>
        <w:tc>
          <w:tcPr>
            <w:tcW w:w="50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b w:val="0"/>
                <w:bCs w:val="0"/>
                <w:sz w:val="19"/>
                <w:szCs w:val="19"/>
                <w:vertAlign w:val="baseline"/>
                <w:lang w:val="en-US" w:eastAsia="zh-CN"/>
              </w:rPr>
            </w:pPr>
            <w:r>
              <w:rPr>
                <w:rFonts w:hint="eastAsia"/>
                <w:b w:val="0"/>
                <w:bCs w:val="0"/>
                <w:sz w:val="19"/>
                <w:szCs w:val="19"/>
                <w:vertAlign w:val="baseline"/>
                <w:lang w:val="en-US" w:eastAsia="zh-CN"/>
              </w:rPr>
              <w:t>通过游戏板块的课程培训，提升教师室内游戏开展能力。</w:t>
            </w:r>
          </w:p>
        </w:tc>
        <w:tc>
          <w:tcPr>
            <w:tcW w:w="20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b w:val="0"/>
                <w:bCs w:val="0"/>
                <w:sz w:val="19"/>
                <w:szCs w:val="19"/>
                <w:vertAlign w:val="baseline"/>
                <w:lang w:val="en-US" w:eastAsia="zh-CN"/>
              </w:rPr>
            </w:pPr>
            <w:r>
              <w:rPr>
                <w:rFonts w:hint="eastAsia"/>
                <w:b w:val="0"/>
                <w:bCs w:val="0"/>
                <w:sz w:val="19"/>
                <w:szCs w:val="19"/>
                <w:vertAlign w:val="baseline"/>
                <w:lang w:val="en-US" w:eastAsia="zh-CN"/>
              </w:rPr>
              <w:t>5-15分钟/个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78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b w:val="0"/>
                <w:bCs w:val="0"/>
                <w:sz w:val="21"/>
                <w:szCs w:val="24"/>
                <w:vertAlign w:val="baseline"/>
                <w:lang w:val="en-US" w:eastAsia="zh-CN"/>
              </w:rPr>
            </w:pPr>
          </w:p>
        </w:tc>
        <w:tc>
          <w:tcPr>
            <w:tcW w:w="17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b/>
                <w:bCs/>
                <w:sz w:val="21"/>
                <w:szCs w:val="24"/>
                <w:vertAlign w:val="baseline"/>
                <w:lang w:val="en-US" w:eastAsia="zh-CN"/>
              </w:rPr>
            </w:pPr>
            <w:r>
              <w:rPr>
                <w:rFonts w:hint="eastAsia"/>
                <w:b/>
                <w:bCs/>
                <w:sz w:val="21"/>
                <w:szCs w:val="24"/>
                <w:vertAlign w:val="baseline"/>
                <w:lang w:val="en-US" w:eastAsia="zh-CN"/>
              </w:rPr>
              <w:t xml:space="preserve"> 课程一对多</w:t>
            </w:r>
          </w:p>
        </w:tc>
        <w:tc>
          <w:tcPr>
            <w:tcW w:w="5088"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b w:val="0"/>
                <w:bCs w:val="0"/>
                <w:sz w:val="19"/>
                <w:szCs w:val="19"/>
                <w:vertAlign w:val="baseline"/>
                <w:lang w:val="en-US" w:eastAsia="zh-CN"/>
              </w:rPr>
            </w:pPr>
            <w:r>
              <w:rPr>
                <w:rFonts w:hint="eastAsia"/>
                <w:b w:val="0"/>
                <w:bCs w:val="0"/>
                <w:sz w:val="19"/>
                <w:szCs w:val="19"/>
                <w:vertAlign w:val="baseline"/>
                <w:lang w:val="en-US" w:eastAsia="zh-CN"/>
              </w:rPr>
              <w:t>培训师指导教师学会使用 室内游戏课程，对课程的理念、目标、流程、材料进行解读并同步指导示范</w:t>
            </w:r>
          </w:p>
        </w:tc>
        <w:tc>
          <w:tcPr>
            <w:tcW w:w="20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b w:val="0"/>
                <w:bCs w:val="0"/>
                <w:sz w:val="19"/>
                <w:szCs w:val="19"/>
                <w:vertAlign w:val="baseline"/>
                <w:lang w:val="en-US" w:eastAsia="zh-CN"/>
              </w:rPr>
            </w:pPr>
            <w:r>
              <w:rPr>
                <w:rFonts w:hint="eastAsia"/>
                <w:b w:val="0"/>
                <w:bCs w:val="0"/>
                <w:sz w:val="19"/>
                <w:szCs w:val="19"/>
                <w:vertAlign w:val="baseline"/>
                <w:lang w:val="en-US" w:eastAsia="zh-CN"/>
              </w:rPr>
              <w:t>4课时，16场/学期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78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b w:val="0"/>
                <w:bCs w:val="0"/>
                <w:sz w:val="21"/>
                <w:szCs w:val="24"/>
                <w:vertAlign w:val="baseline"/>
                <w:lang w:val="en-US" w:eastAsia="zh-CN"/>
              </w:rPr>
            </w:pPr>
          </w:p>
        </w:tc>
        <w:tc>
          <w:tcPr>
            <w:tcW w:w="17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b/>
                <w:bCs/>
                <w:sz w:val="21"/>
                <w:szCs w:val="24"/>
                <w:vertAlign w:val="baseline"/>
                <w:lang w:val="en-US" w:eastAsia="zh-CN"/>
              </w:rPr>
            </w:pPr>
            <w:r>
              <w:rPr>
                <w:rFonts w:hint="eastAsia"/>
                <w:b/>
                <w:bCs/>
                <w:sz w:val="21"/>
                <w:szCs w:val="24"/>
                <w:vertAlign w:val="baseline"/>
                <w:lang w:val="en-US" w:eastAsia="zh-CN"/>
              </w:rPr>
              <w:t xml:space="preserve"> 课程一对一</w:t>
            </w:r>
          </w:p>
        </w:tc>
        <w:tc>
          <w:tcPr>
            <w:tcW w:w="508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b w:val="0"/>
                <w:bCs w:val="0"/>
                <w:sz w:val="19"/>
                <w:szCs w:val="19"/>
                <w:vertAlign w:val="baseline"/>
                <w:lang w:val="en-US" w:eastAsia="zh-CN"/>
              </w:rPr>
            </w:pPr>
          </w:p>
        </w:tc>
        <w:tc>
          <w:tcPr>
            <w:tcW w:w="20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b w:val="0"/>
                <w:bCs w:val="0"/>
                <w:sz w:val="19"/>
                <w:szCs w:val="19"/>
                <w:vertAlign w:val="baseline"/>
                <w:lang w:val="en-US" w:eastAsia="zh-CN"/>
              </w:rPr>
            </w:pPr>
            <w:r>
              <w:rPr>
                <w:rFonts w:hint="eastAsia"/>
                <w:b w:val="0"/>
                <w:bCs w:val="0"/>
                <w:sz w:val="19"/>
                <w:szCs w:val="19"/>
                <w:vertAlign w:val="baseline"/>
                <w:lang w:val="en-US" w:eastAsia="zh-CN"/>
              </w:rPr>
              <w:t>根据需求开展</w:t>
            </w:r>
          </w:p>
        </w:tc>
      </w:tr>
    </w:tbl>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2" w:firstLineChars="200"/>
        <w:jc w:val="left"/>
        <w:textAlignment w:val="auto"/>
        <w:rPr>
          <w:rFonts w:hint="eastAsia"/>
          <w:b/>
          <w:bCs/>
          <w:sz w:val="24"/>
          <w:szCs w:val="24"/>
          <w:lang w:val="en-US" w:eastAsia="zh-CN"/>
        </w:rPr>
      </w:pPr>
      <w:r>
        <w:rPr>
          <w:rFonts w:hint="eastAsia"/>
          <w:b/>
          <w:bCs/>
          <w:sz w:val="24"/>
          <w:szCs w:val="24"/>
          <w:lang w:val="en-US" w:eastAsia="zh-CN"/>
        </w:rPr>
        <w:t>具体培训计划</w:t>
      </w:r>
    </w:p>
    <w:tbl>
      <w:tblPr>
        <w:tblStyle w:val="17"/>
        <w:tblpPr w:leftFromText="180" w:rightFromText="180" w:vertAnchor="text" w:horzAnchor="margin" w:tblpXSpec="center" w:tblpY="552"/>
        <w:tblW w:w="10999" w:type="dxa"/>
        <w:tblInd w:w="0" w:type="dxa"/>
        <w:tblLayout w:type="fixed"/>
        <w:tblCellMar>
          <w:top w:w="0" w:type="dxa"/>
          <w:left w:w="108" w:type="dxa"/>
          <w:bottom w:w="0" w:type="dxa"/>
          <w:right w:w="108" w:type="dxa"/>
        </w:tblCellMar>
      </w:tblPr>
      <w:tblGrid>
        <w:gridCol w:w="427"/>
        <w:gridCol w:w="879"/>
        <w:gridCol w:w="2204"/>
        <w:gridCol w:w="3236"/>
        <w:gridCol w:w="3285"/>
        <w:gridCol w:w="968"/>
      </w:tblGrid>
      <w:tr>
        <w:tblPrEx>
          <w:tblLayout w:type="fixed"/>
          <w:tblCellMar>
            <w:top w:w="0" w:type="dxa"/>
            <w:left w:w="108" w:type="dxa"/>
            <w:bottom w:w="0" w:type="dxa"/>
            <w:right w:w="108" w:type="dxa"/>
          </w:tblCellMar>
        </w:tblPrEx>
        <w:trPr>
          <w:trHeight w:val="561" w:hRule="atLeast"/>
        </w:trPr>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line="0" w:lineRule="atLeast"/>
              <w:jc w:val="center"/>
              <w:rPr>
                <w:rFonts w:ascii="宋体" w:hAnsi="宋体" w:cs="宋体"/>
                <w:b/>
                <w:bCs/>
                <w:color w:val="000000"/>
                <w:kern w:val="0"/>
                <w:sz w:val="18"/>
                <w:szCs w:val="18"/>
              </w:rPr>
            </w:pPr>
            <w:r>
              <w:rPr>
                <w:rFonts w:hint="eastAsia" w:ascii="宋体" w:hAnsi="宋体" w:cs="宋体"/>
                <w:b/>
                <w:bCs/>
                <w:color w:val="000000"/>
                <w:kern w:val="0"/>
                <w:sz w:val="18"/>
                <w:szCs w:val="18"/>
              </w:rPr>
              <w:t>序号</w:t>
            </w:r>
          </w:p>
        </w:tc>
        <w:tc>
          <w:tcPr>
            <w:tcW w:w="879" w:type="dxa"/>
            <w:tcBorders>
              <w:top w:val="single" w:color="auto" w:sz="4" w:space="0"/>
              <w:left w:val="nil"/>
              <w:bottom w:val="single" w:color="auto" w:sz="4" w:space="0"/>
              <w:right w:val="single" w:color="auto" w:sz="4" w:space="0"/>
            </w:tcBorders>
            <w:shd w:val="clear" w:color="auto" w:fill="auto"/>
            <w:vAlign w:val="center"/>
          </w:tcPr>
          <w:p>
            <w:pPr>
              <w:widowControl/>
              <w:spacing w:before="120" w:after="120" w:line="0" w:lineRule="atLeast"/>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培训</w:t>
            </w:r>
          </w:p>
          <w:p>
            <w:pPr>
              <w:widowControl/>
              <w:spacing w:before="120" w:after="120" w:line="0" w:lineRule="atLeast"/>
              <w:jc w:val="center"/>
              <w:rPr>
                <w:rFonts w:ascii="宋体" w:hAnsi="宋体" w:cs="宋体"/>
                <w:b/>
                <w:bCs/>
                <w:color w:val="000000"/>
                <w:kern w:val="0"/>
                <w:sz w:val="18"/>
                <w:szCs w:val="18"/>
              </w:rPr>
            </w:pPr>
            <w:r>
              <w:rPr>
                <w:rFonts w:hint="eastAsia" w:ascii="宋体" w:hAnsi="宋体" w:cs="宋体"/>
                <w:b/>
                <w:bCs/>
                <w:color w:val="000000"/>
                <w:kern w:val="0"/>
                <w:sz w:val="18"/>
                <w:szCs w:val="18"/>
              </w:rPr>
              <w:t>模块</w:t>
            </w:r>
          </w:p>
        </w:tc>
        <w:tc>
          <w:tcPr>
            <w:tcW w:w="2204" w:type="dxa"/>
            <w:tcBorders>
              <w:top w:val="single" w:color="auto" w:sz="4" w:space="0"/>
              <w:left w:val="nil"/>
              <w:bottom w:val="single" w:color="auto" w:sz="4" w:space="0"/>
              <w:right w:val="single" w:color="auto" w:sz="4" w:space="0"/>
            </w:tcBorders>
            <w:shd w:val="clear" w:color="auto" w:fill="auto"/>
            <w:vAlign w:val="center"/>
          </w:tcPr>
          <w:p>
            <w:pPr>
              <w:widowControl/>
              <w:spacing w:before="120" w:after="120" w:line="0" w:lineRule="atLeast"/>
              <w:jc w:val="center"/>
              <w:rPr>
                <w:rFonts w:ascii="宋体" w:hAnsi="宋体" w:cs="宋体"/>
                <w:b/>
                <w:bCs/>
                <w:color w:val="000000"/>
                <w:kern w:val="0"/>
                <w:sz w:val="18"/>
                <w:szCs w:val="18"/>
              </w:rPr>
            </w:pPr>
            <w:r>
              <w:rPr>
                <w:rFonts w:hint="eastAsia" w:ascii="宋体" w:hAnsi="宋体" w:cs="宋体"/>
                <w:b/>
                <w:bCs/>
                <w:color w:val="000000"/>
                <w:kern w:val="0"/>
                <w:sz w:val="18"/>
                <w:szCs w:val="18"/>
              </w:rPr>
              <w:t>培训专题</w:t>
            </w:r>
          </w:p>
        </w:tc>
        <w:tc>
          <w:tcPr>
            <w:tcW w:w="3236" w:type="dxa"/>
            <w:tcBorders>
              <w:top w:val="single" w:color="auto" w:sz="4" w:space="0"/>
              <w:left w:val="nil"/>
              <w:bottom w:val="single" w:color="auto" w:sz="4" w:space="0"/>
              <w:right w:val="single" w:color="auto" w:sz="4" w:space="0"/>
            </w:tcBorders>
            <w:shd w:val="clear" w:color="auto" w:fill="auto"/>
            <w:vAlign w:val="center"/>
          </w:tcPr>
          <w:p>
            <w:pPr>
              <w:widowControl/>
              <w:spacing w:before="120" w:after="120" w:line="0" w:lineRule="atLeast"/>
              <w:jc w:val="center"/>
              <w:rPr>
                <w:rFonts w:ascii="宋体" w:hAnsi="宋体" w:cs="宋体"/>
                <w:b/>
                <w:bCs/>
                <w:color w:val="000000"/>
                <w:kern w:val="0"/>
                <w:sz w:val="18"/>
                <w:szCs w:val="18"/>
              </w:rPr>
            </w:pPr>
            <w:r>
              <w:rPr>
                <w:rFonts w:hint="eastAsia" w:ascii="宋体" w:hAnsi="宋体" w:cs="宋体"/>
                <w:b/>
                <w:bCs/>
                <w:color w:val="000000"/>
                <w:kern w:val="0"/>
                <w:sz w:val="18"/>
                <w:szCs w:val="18"/>
              </w:rPr>
              <w:t>培训目标</w:t>
            </w:r>
          </w:p>
        </w:tc>
        <w:tc>
          <w:tcPr>
            <w:tcW w:w="3285" w:type="dxa"/>
            <w:tcBorders>
              <w:top w:val="single" w:color="auto" w:sz="4" w:space="0"/>
              <w:left w:val="nil"/>
              <w:bottom w:val="single" w:color="auto" w:sz="4" w:space="0"/>
              <w:right w:val="single" w:color="auto" w:sz="4" w:space="0"/>
            </w:tcBorders>
            <w:shd w:val="clear" w:color="auto" w:fill="auto"/>
            <w:vAlign w:val="center"/>
          </w:tcPr>
          <w:p>
            <w:pPr>
              <w:widowControl/>
              <w:spacing w:before="120" w:after="120" w:line="0" w:lineRule="atLeast"/>
              <w:jc w:val="center"/>
              <w:rPr>
                <w:rFonts w:ascii="宋体" w:hAnsi="宋体" w:cs="宋体"/>
                <w:b/>
                <w:bCs/>
                <w:color w:val="000000"/>
                <w:kern w:val="0"/>
                <w:sz w:val="18"/>
                <w:szCs w:val="18"/>
              </w:rPr>
            </w:pPr>
            <w:r>
              <w:rPr>
                <w:rFonts w:hint="eastAsia" w:ascii="宋体" w:hAnsi="宋体" w:cs="宋体"/>
                <w:b/>
                <w:bCs/>
                <w:color w:val="000000"/>
                <w:kern w:val="0"/>
                <w:sz w:val="18"/>
                <w:szCs w:val="18"/>
              </w:rPr>
              <w:t>内容要点</w:t>
            </w:r>
          </w:p>
        </w:tc>
        <w:tc>
          <w:tcPr>
            <w:tcW w:w="968" w:type="dxa"/>
            <w:tcBorders>
              <w:top w:val="single" w:color="auto" w:sz="4" w:space="0"/>
              <w:left w:val="nil"/>
              <w:bottom w:val="single" w:color="auto" w:sz="4" w:space="0"/>
              <w:right w:val="single" w:color="auto" w:sz="4" w:space="0"/>
            </w:tcBorders>
            <w:shd w:val="clear" w:color="auto" w:fill="auto"/>
            <w:vAlign w:val="center"/>
          </w:tcPr>
          <w:p>
            <w:pPr>
              <w:widowControl/>
              <w:spacing w:before="120" w:after="120" w:line="0" w:lineRule="atLeast"/>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培训</w:t>
            </w:r>
          </w:p>
          <w:p>
            <w:pPr>
              <w:widowControl/>
              <w:spacing w:before="120" w:after="120" w:line="0" w:lineRule="atLeast"/>
              <w:jc w:val="center"/>
              <w:rPr>
                <w:rFonts w:ascii="宋体" w:hAnsi="宋体" w:cs="宋体"/>
                <w:b/>
                <w:bCs/>
                <w:color w:val="000000"/>
                <w:kern w:val="0"/>
                <w:sz w:val="18"/>
                <w:szCs w:val="18"/>
              </w:rPr>
            </w:pPr>
            <w:r>
              <w:rPr>
                <w:rFonts w:hint="eastAsia" w:ascii="宋体" w:hAnsi="宋体" w:cs="宋体"/>
                <w:b/>
                <w:bCs/>
                <w:color w:val="000000"/>
                <w:kern w:val="0"/>
                <w:sz w:val="18"/>
                <w:szCs w:val="18"/>
              </w:rPr>
              <w:t>形式</w:t>
            </w:r>
          </w:p>
        </w:tc>
      </w:tr>
      <w:tr>
        <w:tblPrEx>
          <w:tblLayout w:type="fixed"/>
          <w:tblCellMar>
            <w:top w:w="0" w:type="dxa"/>
            <w:left w:w="108" w:type="dxa"/>
            <w:bottom w:w="0" w:type="dxa"/>
            <w:right w:w="108" w:type="dxa"/>
          </w:tblCellMar>
        </w:tblPrEx>
        <w:trPr>
          <w:trHeight w:val="864" w:hRule="atLeast"/>
        </w:trPr>
        <w:tc>
          <w:tcPr>
            <w:tcW w:w="427" w:type="dxa"/>
            <w:tcBorders>
              <w:top w:val="nil"/>
              <w:left w:val="single" w:color="auto" w:sz="4" w:space="0"/>
              <w:bottom w:val="single" w:color="auto" w:sz="4" w:space="0"/>
              <w:right w:val="single" w:color="auto" w:sz="4" w:space="0"/>
            </w:tcBorders>
            <w:shd w:val="clear" w:color="auto" w:fill="auto"/>
            <w:vAlign w:val="center"/>
          </w:tcPr>
          <w:p>
            <w:pPr>
              <w:widowControl/>
              <w:spacing w:before="120" w:after="120" w:line="0" w:lineRule="atLeast"/>
              <w:jc w:val="center"/>
              <w:rPr>
                <w:rFonts w:ascii="宋体" w:hAnsi="宋体" w:cs="宋体"/>
                <w:b/>
                <w:bCs/>
                <w:color w:val="000000"/>
                <w:kern w:val="0"/>
                <w:sz w:val="18"/>
                <w:szCs w:val="18"/>
              </w:rPr>
            </w:pPr>
            <w:r>
              <w:rPr>
                <w:rFonts w:hint="eastAsia" w:ascii="宋体" w:hAnsi="宋体" w:cs="宋体"/>
                <w:b/>
                <w:bCs/>
                <w:color w:val="000000"/>
                <w:kern w:val="0"/>
                <w:sz w:val="18"/>
                <w:szCs w:val="18"/>
              </w:rPr>
              <w:t>1</w:t>
            </w:r>
          </w:p>
        </w:tc>
        <w:tc>
          <w:tcPr>
            <w:tcW w:w="879" w:type="dxa"/>
            <w:tcBorders>
              <w:top w:val="nil"/>
              <w:left w:val="nil"/>
              <w:bottom w:val="single" w:color="auto" w:sz="4" w:space="0"/>
              <w:right w:val="single" w:color="auto" w:sz="4" w:space="0"/>
            </w:tcBorders>
            <w:shd w:val="clear" w:color="auto" w:fill="auto"/>
            <w:vAlign w:val="center"/>
          </w:tcPr>
          <w:p>
            <w:pPr>
              <w:widowControl/>
              <w:spacing w:before="120" w:after="120" w:line="0" w:lineRule="atLeast"/>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基本</w:t>
            </w:r>
          </w:p>
          <w:p>
            <w:pPr>
              <w:widowControl/>
              <w:spacing w:before="120" w:after="120" w:line="0" w:lineRule="atLeast"/>
              <w:jc w:val="center"/>
              <w:rPr>
                <w:rFonts w:ascii="宋体" w:hAnsi="宋体" w:cs="宋体"/>
                <w:b/>
                <w:bCs/>
                <w:color w:val="000000"/>
                <w:kern w:val="0"/>
                <w:sz w:val="18"/>
                <w:szCs w:val="18"/>
              </w:rPr>
            </w:pPr>
            <w:r>
              <w:rPr>
                <w:rFonts w:hint="eastAsia" w:ascii="宋体" w:hAnsi="宋体" w:cs="宋体"/>
                <w:b/>
                <w:bCs/>
                <w:color w:val="000000"/>
                <w:kern w:val="0"/>
                <w:sz w:val="18"/>
                <w:szCs w:val="18"/>
              </w:rPr>
              <w:t>理论</w:t>
            </w:r>
          </w:p>
        </w:tc>
        <w:tc>
          <w:tcPr>
            <w:tcW w:w="2204" w:type="dxa"/>
            <w:tcBorders>
              <w:top w:val="nil"/>
              <w:left w:val="nil"/>
              <w:bottom w:val="single" w:color="auto" w:sz="4" w:space="0"/>
              <w:right w:val="single" w:color="auto" w:sz="4" w:space="0"/>
            </w:tcBorders>
            <w:shd w:val="clear" w:color="auto" w:fill="auto"/>
            <w:vAlign w:val="center"/>
          </w:tcPr>
          <w:p>
            <w:pPr>
              <w:widowControl/>
              <w:spacing w:before="120" w:after="120" w:line="0" w:lineRule="atLeast"/>
              <w:jc w:val="left"/>
              <w:rPr>
                <w:rFonts w:ascii="宋体" w:hAnsi="宋体" w:cs="宋体"/>
                <w:color w:val="000000"/>
                <w:kern w:val="0"/>
                <w:sz w:val="18"/>
                <w:szCs w:val="18"/>
              </w:rPr>
            </w:pPr>
            <w:r>
              <w:rPr>
                <w:rFonts w:hint="eastAsia" w:ascii="宋体" w:hAnsi="宋体" w:cs="宋体"/>
                <w:color w:val="000000"/>
                <w:kern w:val="0"/>
                <w:sz w:val="18"/>
                <w:szCs w:val="18"/>
              </w:rPr>
              <w:t>《幼儿园</w:t>
            </w:r>
            <w:r>
              <w:rPr>
                <w:rFonts w:hint="eastAsia" w:ascii="宋体" w:hAnsi="宋体" w:cs="宋体"/>
                <w:color w:val="000000"/>
                <w:kern w:val="0"/>
                <w:sz w:val="18"/>
                <w:szCs w:val="18"/>
                <w:lang w:val="en-US" w:eastAsia="zh-CN"/>
              </w:rPr>
              <w:t>建构</w:t>
            </w:r>
            <w:r>
              <w:rPr>
                <w:rFonts w:hint="eastAsia" w:ascii="宋体" w:hAnsi="宋体" w:cs="宋体"/>
                <w:color w:val="000000"/>
                <w:kern w:val="0"/>
                <w:sz w:val="18"/>
                <w:szCs w:val="18"/>
              </w:rPr>
              <w:t>游戏基本理论》</w:t>
            </w:r>
          </w:p>
        </w:tc>
        <w:tc>
          <w:tcPr>
            <w:tcW w:w="3236" w:type="dxa"/>
            <w:tcBorders>
              <w:top w:val="nil"/>
              <w:left w:val="nil"/>
              <w:bottom w:val="single" w:color="auto" w:sz="4" w:space="0"/>
              <w:right w:val="single" w:color="auto" w:sz="4" w:space="0"/>
            </w:tcBorders>
            <w:shd w:val="clear" w:color="auto" w:fill="auto"/>
            <w:vAlign w:val="center"/>
          </w:tcPr>
          <w:p>
            <w:pPr>
              <w:widowControl/>
              <w:spacing w:before="120" w:after="120" w:line="0" w:lineRule="atLeast"/>
              <w:jc w:val="left"/>
              <w:rPr>
                <w:rFonts w:ascii="宋体" w:hAnsi="宋体" w:cs="宋体"/>
                <w:color w:val="000000"/>
                <w:kern w:val="0"/>
                <w:sz w:val="18"/>
                <w:szCs w:val="18"/>
              </w:rPr>
            </w:pPr>
            <w:r>
              <w:rPr>
                <w:rFonts w:hint="eastAsia" w:ascii="宋体" w:hAnsi="宋体" w:cs="宋体"/>
                <w:color w:val="000000"/>
                <w:kern w:val="0"/>
                <w:sz w:val="18"/>
                <w:szCs w:val="18"/>
              </w:rPr>
              <w:t>1.理解</w:t>
            </w:r>
            <w:r>
              <w:rPr>
                <w:rFonts w:hint="eastAsia" w:ascii="宋体" w:hAnsi="宋体" w:cs="宋体"/>
                <w:color w:val="000000"/>
                <w:kern w:val="0"/>
                <w:sz w:val="18"/>
                <w:szCs w:val="18"/>
                <w:lang w:eastAsia="zh-CN"/>
              </w:rPr>
              <w:t>建构</w:t>
            </w:r>
            <w:r>
              <w:rPr>
                <w:rFonts w:hint="eastAsia" w:ascii="宋体" w:hAnsi="宋体" w:cs="宋体"/>
                <w:color w:val="000000"/>
                <w:kern w:val="0"/>
                <w:sz w:val="18"/>
                <w:szCs w:val="18"/>
              </w:rPr>
              <w:t>游戏的本质；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2.理解</w:t>
            </w:r>
            <w:r>
              <w:rPr>
                <w:rFonts w:hint="eastAsia" w:ascii="宋体" w:hAnsi="宋体" w:cs="宋体"/>
                <w:color w:val="000000"/>
                <w:kern w:val="0"/>
                <w:sz w:val="18"/>
                <w:szCs w:val="18"/>
                <w:lang w:eastAsia="zh-CN"/>
              </w:rPr>
              <w:t>建构</w:t>
            </w:r>
            <w:r>
              <w:rPr>
                <w:rFonts w:hint="eastAsia" w:ascii="宋体" w:hAnsi="宋体" w:cs="宋体"/>
                <w:color w:val="000000"/>
                <w:kern w:val="0"/>
                <w:sz w:val="18"/>
                <w:szCs w:val="18"/>
              </w:rPr>
              <w:t>游戏的功能定位；</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3.理解</w:t>
            </w:r>
            <w:r>
              <w:rPr>
                <w:rFonts w:hint="eastAsia" w:ascii="宋体" w:hAnsi="宋体" w:cs="宋体"/>
                <w:color w:val="000000"/>
                <w:kern w:val="0"/>
                <w:sz w:val="18"/>
                <w:szCs w:val="18"/>
                <w:lang w:eastAsia="zh-CN"/>
              </w:rPr>
              <w:t>建构</w:t>
            </w:r>
            <w:r>
              <w:rPr>
                <w:rFonts w:hint="eastAsia" w:ascii="宋体" w:hAnsi="宋体" w:cs="宋体"/>
                <w:color w:val="000000"/>
                <w:kern w:val="0"/>
                <w:sz w:val="18"/>
                <w:szCs w:val="18"/>
              </w:rPr>
              <w:t>的类型及其特点。</w:t>
            </w:r>
          </w:p>
        </w:tc>
        <w:tc>
          <w:tcPr>
            <w:tcW w:w="3285" w:type="dxa"/>
            <w:tcBorders>
              <w:top w:val="nil"/>
              <w:left w:val="nil"/>
              <w:bottom w:val="single" w:color="auto" w:sz="4" w:space="0"/>
              <w:right w:val="single" w:color="auto" w:sz="4" w:space="0"/>
            </w:tcBorders>
            <w:shd w:val="clear" w:color="auto" w:fill="auto"/>
            <w:vAlign w:val="center"/>
          </w:tcPr>
          <w:p>
            <w:pPr>
              <w:widowControl/>
              <w:spacing w:before="120" w:after="120" w:line="0" w:lineRule="atLeast"/>
              <w:jc w:val="left"/>
              <w:rPr>
                <w:rFonts w:ascii="宋体" w:hAnsi="宋体" w:cs="宋体"/>
                <w:color w:val="000000"/>
                <w:kern w:val="0"/>
                <w:sz w:val="18"/>
                <w:szCs w:val="18"/>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建构</w:t>
            </w:r>
            <w:r>
              <w:rPr>
                <w:rFonts w:hint="eastAsia" w:ascii="宋体" w:hAnsi="宋体" w:cs="宋体"/>
                <w:color w:val="000000"/>
                <w:kern w:val="0"/>
                <w:sz w:val="18"/>
                <w:szCs w:val="18"/>
              </w:rPr>
              <w:t>游戏的概念解析；</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w:t>
            </w:r>
            <w:r>
              <w:rPr>
                <w:rFonts w:hint="eastAsia" w:ascii="宋体" w:hAnsi="宋体" w:cs="宋体"/>
                <w:color w:val="000000"/>
                <w:kern w:val="0"/>
                <w:sz w:val="18"/>
                <w:szCs w:val="18"/>
                <w:lang w:eastAsia="zh-CN"/>
              </w:rPr>
              <w:t>建构</w:t>
            </w:r>
            <w:r>
              <w:rPr>
                <w:rFonts w:hint="eastAsia" w:ascii="宋体" w:hAnsi="宋体" w:cs="宋体"/>
                <w:color w:val="000000"/>
                <w:kern w:val="0"/>
                <w:sz w:val="18"/>
                <w:szCs w:val="18"/>
              </w:rPr>
              <w:t>游戏的功能定位；</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w:t>
            </w:r>
            <w:r>
              <w:rPr>
                <w:rFonts w:hint="eastAsia" w:ascii="宋体" w:hAnsi="宋体" w:cs="宋体"/>
                <w:color w:val="000000"/>
                <w:kern w:val="0"/>
                <w:sz w:val="18"/>
                <w:szCs w:val="18"/>
                <w:lang w:eastAsia="zh-CN"/>
              </w:rPr>
              <w:t>建构</w:t>
            </w:r>
            <w:r>
              <w:rPr>
                <w:rFonts w:hint="eastAsia" w:ascii="宋体" w:hAnsi="宋体" w:cs="宋体"/>
                <w:color w:val="000000"/>
                <w:kern w:val="0"/>
                <w:sz w:val="18"/>
                <w:szCs w:val="18"/>
              </w:rPr>
              <w:t>游戏的类型及其特点。</w:t>
            </w:r>
          </w:p>
        </w:tc>
        <w:tc>
          <w:tcPr>
            <w:tcW w:w="968" w:type="dxa"/>
            <w:tcBorders>
              <w:top w:val="nil"/>
              <w:left w:val="nil"/>
              <w:bottom w:val="single" w:color="auto" w:sz="4" w:space="0"/>
              <w:right w:val="single" w:color="auto" w:sz="4" w:space="0"/>
            </w:tcBorders>
            <w:shd w:val="clear" w:color="auto" w:fill="auto"/>
            <w:vAlign w:val="center"/>
          </w:tcPr>
          <w:p>
            <w:pPr>
              <w:widowControl/>
              <w:spacing w:before="120" w:after="120"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专题讲解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案例分析</w:t>
            </w:r>
          </w:p>
        </w:tc>
      </w:tr>
      <w:tr>
        <w:tblPrEx>
          <w:tblLayout w:type="fixed"/>
          <w:tblCellMar>
            <w:top w:w="0" w:type="dxa"/>
            <w:left w:w="108" w:type="dxa"/>
            <w:bottom w:w="0" w:type="dxa"/>
            <w:right w:w="108" w:type="dxa"/>
          </w:tblCellMar>
        </w:tblPrEx>
        <w:trPr>
          <w:trHeight w:val="763" w:hRule="atLeast"/>
        </w:trPr>
        <w:tc>
          <w:tcPr>
            <w:tcW w:w="427"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before="120" w:after="120" w:line="0" w:lineRule="atLeast"/>
              <w:jc w:val="center"/>
              <w:rPr>
                <w:rFonts w:ascii="宋体" w:hAnsi="宋体" w:cs="宋体"/>
                <w:b/>
                <w:bCs/>
                <w:color w:val="000000"/>
                <w:kern w:val="0"/>
                <w:sz w:val="18"/>
                <w:szCs w:val="18"/>
              </w:rPr>
            </w:pPr>
            <w:r>
              <w:rPr>
                <w:rFonts w:hint="eastAsia" w:ascii="宋体" w:hAnsi="宋体" w:cs="宋体"/>
                <w:b/>
                <w:bCs/>
                <w:color w:val="000000"/>
                <w:kern w:val="0"/>
                <w:sz w:val="18"/>
                <w:szCs w:val="18"/>
              </w:rPr>
              <w:t>2</w:t>
            </w:r>
          </w:p>
        </w:tc>
        <w:tc>
          <w:tcPr>
            <w:tcW w:w="879"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before="120" w:after="120" w:line="0" w:lineRule="atLeast"/>
              <w:jc w:val="center"/>
              <w:rPr>
                <w:rFonts w:ascii="宋体" w:hAnsi="宋体" w:cs="宋体"/>
                <w:b/>
                <w:bCs/>
                <w:color w:val="000000"/>
                <w:kern w:val="0"/>
                <w:sz w:val="18"/>
                <w:szCs w:val="18"/>
              </w:rPr>
            </w:pPr>
            <w:r>
              <w:rPr>
                <w:rFonts w:hint="eastAsia" w:ascii="宋体" w:hAnsi="宋体" w:cs="宋体"/>
                <w:b/>
                <w:bCs/>
                <w:color w:val="000000"/>
                <w:kern w:val="0"/>
                <w:sz w:val="18"/>
                <w:szCs w:val="18"/>
              </w:rPr>
              <w:t>活动区建设</w:t>
            </w:r>
          </w:p>
        </w:tc>
        <w:tc>
          <w:tcPr>
            <w:tcW w:w="2204" w:type="dxa"/>
            <w:tcBorders>
              <w:top w:val="nil"/>
              <w:left w:val="nil"/>
              <w:bottom w:val="single" w:color="auto" w:sz="4" w:space="0"/>
              <w:right w:val="single" w:color="auto" w:sz="4" w:space="0"/>
            </w:tcBorders>
            <w:shd w:val="clear" w:color="auto" w:fill="auto"/>
            <w:vAlign w:val="center"/>
          </w:tcPr>
          <w:p>
            <w:pPr>
              <w:widowControl/>
              <w:spacing w:before="120" w:after="120" w:line="0" w:lineRule="atLeast"/>
              <w:jc w:val="left"/>
              <w:rPr>
                <w:rFonts w:ascii="宋体" w:hAnsi="宋体" w:cs="宋体"/>
                <w:color w:val="000000"/>
                <w:kern w:val="0"/>
                <w:sz w:val="18"/>
                <w:szCs w:val="18"/>
              </w:rPr>
            </w:pPr>
            <w:r>
              <w:rPr>
                <w:rFonts w:hint="eastAsia" w:ascii="宋体" w:hAnsi="宋体" w:cs="宋体"/>
                <w:color w:val="000000"/>
                <w:kern w:val="0"/>
                <w:sz w:val="18"/>
                <w:szCs w:val="18"/>
              </w:rPr>
              <w:t>《科学建设活动区，促进</w:t>
            </w:r>
            <w:r>
              <w:rPr>
                <w:rFonts w:hint="eastAsia" w:ascii="宋体" w:hAnsi="宋体" w:cs="宋体"/>
                <w:color w:val="000000"/>
                <w:kern w:val="0"/>
                <w:sz w:val="18"/>
                <w:szCs w:val="18"/>
                <w:lang w:eastAsia="zh-CN"/>
              </w:rPr>
              <w:t>建构</w:t>
            </w:r>
            <w:r>
              <w:rPr>
                <w:rFonts w:hint="eastAsia" w:ascii="宋体" w:hAnsi="宋体" w:cs="宋体"/>
                <w:color w:val="000000"/>
                <w:kern w:val="0"/>
                <w:sz w:val="18"/>
                <w:szCs w:val="18"/>
              </w:rPr>
              <w:t>游戏有效开展》</w:t>
            </w:r>
          </w:p>
        </w:tc>
        <w:tc>
          <w:tcPr>
            <w:tcW w:w="3236" w:type="dxa"/>
            <w:tcBorders>
              <w:top w:val="nil"/>
              <w:left w:val="nil"/>
              <w:bottom w:val="single" w:color="auto" w:sz="4" w:space="0"/>
              <w:right w:val="single" w:color="auto" w:sz="4" w:space="0"/>
            </w:tcBorders>
            <w:shd w:val="clear" w:color="auto" w:fill="auto"/>
            <w:vAlign w:val="center"/>
          </w:tcPr>
          <w:p>
            <w:pPr>
              <w:widowControl/>
              <w:spacing w:before="120" w:after="120" w:line="0" w:lineRule="atLeast"/>
              <w:jc w:val="left"/>
              <w:rPr>
                <w:rFonts w:ascii="宋体" w:hAnsi="宋体" w:cs="宋体"/>
                <w:color w:val="000000"/>
                <w:kern w:val="0"/>
                <w:sz w:val="18"/>
                <w:szCs w:val="18"/>
              </w:rPr>
            </w:pPr>
            <w:r>
              <w:rPr>
                <w:rFonts w:hint="eastAsia" w:ascii="宋体" w:hAnsi="宋体" w:cs="宋体"/>
                <w:color w:val="000000"/>
                <w:kern w:val="0"/>
                <w:sz w:val="18"/>
                <w:szCs w:val="18"/>
              </w:rPr>
              <w:t>1.掌握活动区空间布局规划；</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2.初步掌握活动区环境创设；</w:t>
            </w:r>
          </w:p>
        </w:tc>
        <w:tc>
          <w:tcPr>
            <w:tcW w:w="3285" w:type="dxa"/>
            <w:tcBorders>
              <w:top w:val="nil"/>
              <w:left w:val="nil"/>
              <w:bottom w:val="single" w:color="auto" w:sz="4" w:space="0"/>
              <w:right w:val="single" w:color="auto" w:sz="4" w:space="0"/>
            </w:tcBorders>
            <w:shd w:val="clear" w:color="auto" w:fill="auto"/>
            <w:vAlign w:val="center"/>
          </w:tcPr>
          <w:p>
            <w:pPr>
              <w:widowControl/>
              <w:spacing w:before="120" w:after="120" w:line="0" w:lineRule="atLeast"/>
              <w:jc w:val="left"/>
              <w:rPr>
                <w:rFonts w:ascii="宋体" w:hAnsi="宋体" w:cs="宋体"/>
                <w:color w:val="000000"/>
                <w:kern w:val="0"/>
                <w:sz w:val="18"/>
                <w:szCs w:val="18"/>
              </w:rPr>
            </w:pPr>
            <w:r>
              <w:rPr>
                <w:rFonts w:hint="eastAsia" w:ascii="宋体" w:hAnsi="宋体" w:cs="宋体"/>
                <w:color w:val="000000"/>
                <w:kern w:val="0"/>
                <w:sz w:val="18"/>
                <w:szCs w:val="18"/>
              </w:rPr>
              <w:t>1.活动区的空间布局；</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2.活动区的环境创设（标识性环境、支架性环境、记录性环境）</w:t>
            </w:r>
          </w:p>
        </w:tc>
        <w:tc>
          <w:tcPr>
            <w:tcW w:w="968" w:type="dxa"/>
            <w:tcBorders>
              <w:top w:val="nil"/>
              <w:left w:val="nil"/>
              <w:bottom w:val="single" w:color="auto" w:sz="4" w:space="0"/>
              <w:right w:val="single" w:color="auto" w:sz="4" w:space="0"/>
            </w:tcBorders>
            <w:shd w:val="clear" w:color="auto" w:fill="auto"/>
            <w:vAlign w:val="center"/>
          </w:tcPr>
          <w:p>
            <w:pPr>
              <w:widowControl/>
              <w:spacing w:before="120" w:after="120"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专题讲解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案例分析</w:t>
            </w:r>
          </w:p>
        </w:tc>
      </w:tr>
      <w:tr>
        <w:tblPrEx>
          <w:tblLayout w:type="fixed"/>
          <w:tblCellMar>
            <w:top w:w="0" w:type="dxa"/>
            <w:left w:w="108" w:type="dxa"/>
            <w:bottom w:w="0" w:type="dxa"/>
            <w:right w:w="108" w:type="dxa"/>
          </w:tblCellMar>
        </w:tblPrEx>
        <w:trPr>
          <w:trHeight w:val="1089" w:hRule="atLeast"/>
        </w:trPr>
        <w:tc>
          <w:tcPr>
            <w:tcW w:w="427"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before="120" w:after="120" w:line="0" w:lineRule="atLeast"/>
              <w:jc w:val="left"/>
              <w:rPr>
                <w:rFonts w:ascii="宋体" w:hAnsi="宋体" w:cs="宋体"/>
                <w:b/>
                <w:bCs/>
                <w:color w:val="000000"/>
                <w:kern w:val="0"/>
                <w:sz w:val="18"/>
                <w:szCs w:val="18"/>
              </w:rPr>
            </w:pPr>
          </w:p>
        </w:tc>
        <w:tc>
          <w:tcPr>
            <w:tcW w:w="879"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before="120" w:after="120" w:line="0" w:lineRule="atLeast"/>
              <w:jc w:val="left"/>
              <w:rPr>
                <w:rFonts w:ascii="宋体" w:hAnsi="宋体" w:cs="宋体"/>
                <w:b/>
                <w:bCs/>
                <w:color w:val="000000"/>
                <w:kern w:val="0"/>
                <w:sz w:val="18"/>
                <w:szCs w:val="18"/>
              </w:rPr>
            </w:pPr>
          </w:p>
        </w:tc>
        <w:tc>
          <w:tcPr>
            <w:tcW w:w="2204" w:type="dxa"/>
            <w:tcBorders>
              <w:top w:val="nil"/>
              <w:left w:val="nil"/>
              <w:bottom w:val="single" w:color="auto" w:sz="4" w:space="0"/>
              <w:right w:val="single" w:color="auto" w:sz="4" w:space="0"/>
            </w:tcBorders>
            <w:shd w:val="clear" w:color="auto" w:fill="auto"/>
            <w:vAlign w:val="center"/>
          </w:tcPr>
          <w:p>
            <w:pPr>
              <w:widowControl/>
              <w:spacing w:before="120" w:after="120" w:line="0" w:lineRule="atLeast"/>
              <w:jc w:val="left"/>
              <w:rPr>
                <w:rFonts w:ascii="宋体" w:hAnsi="宋体" w:cs="宋体"/>
                <w:color w:val="000000"/>
                <w:kern w:val="0"/>
                <w:sz w:val="18"/>
                <w:szCs w:val="18"/>
              </w:rPr>
            </w:pPr>
            <w:r>
              <w:rPr>
                <w:rFonts w:hint="eastAsia" w:ascii="宋体" w:hAnsi="宋体" w:cs="宋体"/>
                <w:color w:val="000000"/>
                <w:kern w:val="0"/>
                <w:sz w:val="18"/>
                <w:szCs w:val="18"/>
              </w:rPr>
              <w:t>《幼儿园室内</w:t>
            </w:r>
            <w:r>
              <w:rPr>
                <w:rFonts w:hint="eastAsia" w:ascii="宋体" w:hAnsi="宋体" w:cs="宋体"/>
                <w:color w:val="000000"/>
                <w:kern w:val="0"/>
                <w:sz w:val="18"/>
                <w:szCs w:val="18"/>
                <w:lang w:val="en-US" w:eastAsia="zh-CN"/>
              </w:rPr>
              <w:t>建构</w:t>
            </w:r>
            <w:r>
              <w:rPr>
                <w:rFonts w:hint="eastAsia" w:ascii="宋体" w:hAnsi="宋体" w:cs="宋体"/>
                <w:color w:val="000000"/>
                <w:kern w:val="0"/>
                <w:sz w:val="18"/>
                <w:szCs w:val="18"/>
              </w:rPr>
              <w:t>游戏区环境创设观摩研讨》</w:t>
            </w:r>
          </w:p>
        </w:tc>
        <w:tc>
          <w:tcPr>
            <w:tcW w:w="3236" w:type="dxa"/>
            <w:tcBorders>
              <w:top w:val="nil"/>
              <w:left w:val="nil"/>
              <w:bottom w:val="single" w:color="auto" w:sz="4" w:space="0"/>
              <w:right w:val="single" w:color="auto" w:sz="4" w:space="0"/>
            </w:tcBorders>
            <w:shd w:val="clear" w:color="auto" w:fill="auto"/>
            <w:vAlign w:val="center"/>
          </w:tcPr>
          <w:p>
            <w:pPr>
              <w:widowControl/>
              <w:spacing w:before="120" w:after="120" w:line="0" w:lineRule="atLeast"/>
              <w:jc w:val="left"/>
              <w:rPr>
                <w:rFonts w:ascii="宋体" w:hAnsi="宋体" w:cs="宋体"/>
                <w:color w:val="000000"/>
                <w:kern w:val="0"/>
                <w:sz w:val="18"/>
                <w:szCs w:val="18"/>
              </w:rPr>
            </w:pPr>
            <w:r>
              <w:rPr>
                <w:rFonts w:hint="eastAsia" w:ascii="宋体" w:hAnsi="宋体" w:cs="宋体"/>
                <w:color w:val="000000"/>
                <w:kern w:val="0"/>
                <w:sz w:val="18"/>
                <w:szCs w:val="18"/>
              </w:rPr>
              <w:t>1.发现班级</w:t>
            </w:r>
            <w:r>
              <w:rPr>
                <w:rFonts w:hint="eastAsia" w:ascii="宋体" w:hAnsi="宋体" w:cs="宋体"/>
                <w:color w:val="000000"/>
                <w:kern w:val="0"/>
                <w:sz w:val="18"/>
                <w:szCs w:val="18"/>
                <w:lang w:eastAsia="zh-CN"/>
              </w:rPr>
              <w:t>建构</w:t>
            </w:r>
            <w:r>
              <w:rPr>
                <w:rFonts w:hint="eastAsia" w:ascii="宋体" w:hAnsi="宋体" w:cs="宋体"/>
                <w:color w:val="000000"/>
                <w:kern w:val="0"/>
                <w:sz w:val="18"/>
                <w:szCs w:val="18"/>
              </w:rPr>
              <w:t>规划和设置中存在的问题；</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2.优化班级</w:t>
            </w:r>
            <w:r>
              <w:rPr>
                <w:rFonts w:hint="eastAsia" w:ascii="宋体" w:hAnsi="宋体" w:cs="宋体"/>
                <w:color w:val="000000"/>
                <w:kern w:val="0"/>
                <w:sz w:val="18"/>
                <w:szCs w:val="18"/>
                <w:lang w:eastAsia="zh-CN"/>
              </w:rPr>
              <w:t>建构</w:t>
            </w:r>
            <w:r>
              <w:rPr>
                <w:rFonts w:hint="eastAsia" w:ascii="宋体" w:hAnsi="宋体" w:cs="宋体"/>
                <w:color w:val="000000"/>
                <w:kern w:val="0"/>
                <w:sz w:val="18"/>
                <w:szCs w:val="18"/>
              </w:rPr>
              <w:t>设置与小环境创设。</w:t>
            </w:r>
          </w:p>
        </w:tc>
        <w:tc>
          <w:tcPr>
            <w:tcW w:w="3285" w:type="dxa"/>
            <w:tcBorders>
              <w:top w:val="nil"/>
              <w:left w:val="nil"/>
              <w:bottom w:val="single" w:color="auto" w:sz="4" w:space="0"/>
              <w:right w:val="single" w:color="auto" w:sz="4" w:space="0"/>
            </w:tcBorders>
            <w:shd w:val="clear" w:color="auto" w:fill="auto"/>
            <w:vAlign w:val="center"/>
          </w:tcPr>
          <w:p>
            <w:pPr>
              <w:widowControl/>
              <w:spacing w:before="120" w:after="120" w:line="0" w:lineRule="atLeast"/>
              <w:jc w:val="left"/>
              <w:rPr>
                <w:rFonts w:ascii="宋体" w:hAnsi="宋体" w:cs="宋体"/>
                <w:color w:val="000000"/>
                <w:kern w:val="0"/>
                <w:sz w:val="18"/>
                <w:szCs w:val="18"/>
              </w:rPr>
            </w:pPr>
            <w:r>
              <w:rPr>
                <w:rFonts w:hint="eastAsia" w:ascii="宋体" w:hAnsi="宋体" w:cs="宋体"/>
                <w:color w:val="000000"/>
                <w:kern w:val="0"/>
                <w:sz w:val="18"/>
                <w:szCs w:val="18"/>
              </w:rPr>
              <w:t>1.小中大各2个班进行观摩诊断；</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2.交流环境创设存在的问题及其解决方案；</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3.讲解：如何进行室内游戏区的小环境创设</w:t>
            </w:r>
          </w:p>
        </w:tc>
        <w:tc>
          <w:tcPr>
            <w:tcW w:w="968" w:type="dxa"/>
            <w:tcBorders>
              <w:top w:val="nil"/>
              <w:left w:val="nil"/>
              <w:bottom w:val="single" w:color="auto" w:sz="4" w:space="0"/>
              <w:right w:val="single" w:color="auto" w:sz="4" w:space="0"/>
            </w:tcBorders>
            <w:shd w:val="clear" w:color="auto" w:fill="auto"/>
            <w:vAlign w:val="center"/>
          </w:tcPr>
          <w:p>
            <w:pPr>
              <w:widowControl/>
              <w:spacing w:before="120" w:after="120"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观摩诊断</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集体研讨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专题讲解</w:t>
            </w:r>
          </w:p>
        </w:tc>
      </w:tr>
      <w:tr>
        <w:tblPrEx>
          <w:tblLayout w:type="fixed"/>
          <w:tblCellMar>
            <w:top w:w="0" w:type="dxa"/>
            <w:left w:w="108" w:type="dxa"/>
            <w:bottom w:w="0" w:type="dxa"/>
            <w:right w:w="108" w:type="dxa"/>
          </w:tblCellMar>
        </w:tblPrEx>
        <w:trPr>
          <w:trHeight w:val="970" w:hRule="atLeast"/>
        </w:trPr>
        <w:tc>
          <w:tcPr>
            <w:tcW w:w="427" w:type="dxa"/>
            <w:vMerge w:val="restart"/>
            <w:tcBorders>
              <w:top w:val="nil"/>
              <w:left w:val="single" w:color="auto" w:sz="4" w:space="0"/>
              <w:right w:val="single" w:color="auto" w:sz="4" w:space="0"/>
            </w:tcBorders>
            <w:shd w:val="clear" w:color="auto" w:fill="auto"/>
            <w:vAlign w:val="center"/>
          </w:tcPr>
          <w:p>
            <w:pPr>
              <w:widowControl/>
              <w:spacing w:before="120" w:after="120" w:line="0" w:lineRule="atLeast"/>
              <w:rPr>
                <w:rFonts w:ascii="宋体" w:hAnsi="宋体" w:cs="宋体"/>
                <w:b/>
                <w:bCs/>
                <w:color w:val="000000"/>
                <w:kern w:val="0"/>
                <w:sz w:val="18"/>
                <w:szCs w:val="18"/>
              </w:rPr>
            </w:pPr>
            <w:r>
              <w:rPr>
                <w:rFonts w:hint="eastAsia" w:ascii="宋体" w:hAnsi="宋体" w:cs="宋体"/>
                <w:b/>
                <w:bCs/>
                <w:color w:val="000000"/>
                <w:kern w:val="0"/>
                <w:sz w:val="18"/>
                <w:szCs w:val="18"/>
              </w:rPr>
              <w:t>3</w:t>
            </w:r>
          </w:p>
        </w:tc>
        <w:tc>
          <w:tcPr>
            <w:tcW w:w="879" w:type="dxa"/>
            <w:vMerge w:val="restart"/>
            <w:tcBorders>
              <w:top w:val="nil"/>
              <w:left w:val="single" w:color="auto" w:sz="4" w:space="0"/>
              <w:right w:val="single" w:color="auto" w:sz="4" w:space="0"/>
            </w:tcBorders>
            <w:shd w:val="clear" w:color="auto" w:fill="auto"/>
            <w:vAlign w:val="center"/>
          </w:tcPr>
          <w:p>
            <w:pPr>
              <w:widowControl/>
              <w:spacing w:before="120" w:after="120" w:line="0" w:lineRule="atLeast"/>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材料</w:t>
            </w:r>
          </w:p>
          <w:p>
            <w:pPr>
              <w:widowControl/>
              <w:spacing w:before="120" w:after="120" w:line="0" w:lineRule="atLeast"/>
              <w:jc w:val="center"/>
              <w:rPr>
                <w:rFonts w:ascii="宋体" w:hAnsi="宋体" w:cs="宋体"/>
                <w:b/>
                <w:bCs/>
                <w:color w:val="000000"/>
                <w:kern w:val="0"/>
                <w:sz w:val="18"/>
                <w:szCs w:val="18"/>
              </w:rPr>
            </w:pPr>
            <w:r>
              <w:rPr>
                <w:rFonts w:hint="eastAsia" w:ascii="宋体" w:hAnsi="宋体" w:cs="宋体"/>
                <w:b/>
                <w:bCs/>
                <w:color w:val="000000"/>
                <w:kern w:val="0"/>
                <w:sz w:val="18"/>
                <w:szCs w:val="18"/>
              </w:rPr>
              <w:t>投放</w:t>
            </w:r>
          </w:p>
        </w:tc>
        <w:tc>
          <w:tcPr>
            <w:tcW w:w="2204" w:type="dxa"/>
            <w:tcBorders>
              <w:top w:val="nil"/>
              <w:left w:val="nil"/>
              <w:bottom w:val="single" w:color="auto" w:sz="4" w:space="0"/>
              <w:right w:val="single" w:color="auto" w:sz="4" w:space="0"/>
            </w:tcBorders>
            <w:shd w:val="clear" w:color="auto" w:fill="auto"/>
            <w:vAlign w:val="center"/>
          </w:tcPr>
          <w:p>
            <w:pPr>
              <w:widowControl/>
              <w:spacing w:before="120" w:after="120" w:line="0" w:lineRule="atLeast"/>
              <w:jc w:val="left"/>
              <w:rPr>
                <w:rFonts w:ascii="宋体" w:hAnsi="宋体" w:cs="宋体"/>
                <w:color w:val="000000"/>
                <w:kern w:val="0"/>
                <w:sz w:val="18"/>
                <w:szCs w:val="18"/>
              </w:rPr>
            </w:pPr>
            <w:r>
              <w:rPr>
                <w:rFonts w:hint="eastAsia" w:ascii="宋体" w:hAnsi="宋体" w:cs="宋体"/>
                <w:color w:val="000000"/>
                <w:kern w:val="0"/>
                <w:sz w:val="18"/>
                <w:szCs w:val="18"/>
              </w:rPr>
              <w:t>《幼儿园室内</w:t>
            </w:r>
            <w:r>
              <w:rPr>
                <w:rFonts w:hint="eastAsia" w:ascii="宋体" w:hAnsi="宋体" w:cs="宋体"/>
                <w:color w:val="000000"/>
                <w:kern w:val="0"/>
                <w:sz w:val="18"/>
                <w:szCs w:val="18"/>
                <w:lang w:val="en-US" w:eastAsia="zh-CN"/>
              </w:rPr>
              <w:t>建构</w:t>
            </w:r>
            <w:r>
              <w:rPr>
                <w:rFonts w:hint="eastAsia" w:ascii="宋体" w:hAnsi="宋体" w:cs="宋体"/>
                <w:color w:val="000000"/>
                <w:kern w:val="0"/>
                <w:sz w:val="18"/>
                <w:szCs w:val="18"/>
              </w:rPr>
              <w:t>游戏区材料的有效投放策略》</w:t>
            </w:r>
          </w:p>
        </w:tc>
        <w:tc>
          <w:tcPr>
            <w:tcW w:w="3236" w:type="dxa"/>
            <w:tcBorders>
              <w:top w:val="nil"/>
              <w:left w:val="nil"/>
              <w:bottom w:val="single" w:color="auto" w:sz="4" w:space="0"/>
              <w:right w:val="single" w:color="auto" w:sz="4" w:space="0"/>
            </w:tcBorders>
            <w:shd w:val="clear" w:color="auto" w:fill="auto"/>
            <w:vAlign w:val="center"/>
          </w:tcPr>
          <w:p>
            <w:pPr>
              <w:widowControl/>
              <w:spacing w:before="120" w:after="120" w:line="0" w:lineRule="atLeast"/>
              <w:jc w:val="left"/>
              <w:rPr>
                <w:rFonts w:ascii="宋体" w:hAnsi="宋体" w:cs="宋体"/>
                <w:color w:val="000000"/>
                <w:kern w:val="0"/>
                <w:sz w:val="18"/>
                <w:szCs w:val="18"/>
              </w:rPr>
            </w:pPr>
            <w:r>
              <w:rPr>
                <w:rFonts w:hint="eastAsia" w:ascii="宋体" w:hAnsi="宋体" w:cs="宋体"/>
                <w:color w:val="000000"/>
                <w:kern w:val="0"/>
                <w:sz w:val="18"/>
                <w:szCs w:val="18"/>
              </w:rPr>
              <w:t>1.了解室内游戏区材料的架构及其价值意义；</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2.掌握材料投放策略。</w:t>
            </w:r>
          </w:p>
        </w:tc>
        <w:tc>
          <w:tcPr>
            <w:tcW w:w="3285" w:type="dxa"/>
            <w:tcBorders>
              <w:top w:val="nil"/>
              <w:left w:val="nil"/>
              <w:bottom w:val="single" w:color="auto" w:sz="4" w:space="0"/>
              <w:right w:val="single" w:color="auto" w:sz="4" w:space="0"/>
            </w:tcBorders>
            <w:shd w:val="clear" w:color="auto" w:fill="auto"/>
            <w:vAlign w:val="center"/>
          </w:tcPr>
          <w:p>
            <w:pPr>
              <w:spacing w:before="120" w:after="120" w:line="0" w:lineRule="atLeast"/>
              <w:jc w:val="left"/>
              <w:rPr>
                <w:rFonts w:ascii="宋体" w:hAnsi="宋体" w:cs="宋体"/>
                <w:color w:val="000000"/>
                <w:kern w:val="0"/>
                <w:sz w:val="18"/>
                <w:szCs w:val="18"/>
              </w:rPr>
            </w:pPr>
            <w:r>
              <w:rPr>
                <w:rFonts w:hint="eastAsia" w:ascii="宋体" w:hAnsi="宋体" w:cs="宋体"/>
                <w:color w:val="000000"/>
                <w:kern w:val="0"/>
                <w:sz w:val="18"/>
                <w:szCs w:val="18"/>
              </w:rPr>
              <w:t>1.材料结构及其价值</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2.几种典型材料的玩法；</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3.材料投放策略。</w:t>
            </w:r>
          </w:p>
        </w:tc>
        <w:tc>
          <w:tcPr>
            <w:tcW w:w="968" w:type="dxa"/>
            <w:tcBorders>
              <w:top w:val="nil"/>
              <w:left w:val="nil"/>
              <w:bottom w:val="single" w:color="auto" w:sz="4" w:space="0"/>
              <w:right w:val="single" w:color="auto" w:sz="4" w:space="0"/>
            </w:tcBorders>
            <w:shd w:val="clear" w:color="auto" w:fill="auto"/>
            <w:vAlign w:val="center"/>
          </w:tcPr>
          <w:p>
            <w:pPr>
              <w:widowControl/>
              <w:spacing w:before="120" w:after="120"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专题讲解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小组讨论</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操作体验</w:t>
            </w:r>
          </w:p>
        </w:tc>
      </w:tr>
      <w:tr>
        <w:tblPrEx>
          <w:tblLayout w:type="fixed"/>
          <w:tblCellMar>
            <w:top w:w="0" w:type="dxa"/>
            <w:left w:w="108" w:type="dxa"/>
            <w:bottom w:w="0" w:type="dxa"/>
            <w:right w:w="108" w:type="dxa"/>
          </w:tblCellMar>
        </w:tblPrEx>
        <w:trPr>
          <w:trHeight w:val="1044" w:hRule="atLeast"/>
        </w:trPr>
        <w:tc>
          <w:tcPr>
            <w:tcW w:w="427" w:type="dxa"/>
            <w:vMerge w:val="continue"/>
            <w:tcBorders>
              <w:left w:val="single" w:color="auto" w:sz="4" w:space="0"/>
              <w:right w:val="single" w:color="auto" w:sz="4" w:space="0"/>
            </w:tcBorders>
            <w:shd w:val="clear" w:color="auto" w:fill="auto"/>
            <w:vAlign w:val="center"/>
          </w:tcPr>
          <w:p>
            <w:pPr>
              <w:widowControl/>
              <w:spacing w:before="120" w:after="120" w:line="0" w:lineRule="atLeast"/>
              <w:rPr>
                <w:rFonts w:hint="eastAsia" w:ascii="宋体" w:hAnsi="宋体" w:cs="宋体"/>
                <w:b/>
                <w:bCs/>
                <w:color w:val="000000"/>
                <w:kern w:val="0"/>
                <w:sz w:val="18"/>
                <w:szCs w:val="18"/>
              </w:rPr>
            </w:pPr>
          </w:p>
        </w:tc>
        <w:tc>
          <w:tcPr>
            <w:tcW w:w="879" w:type="dxa"/>
            <w:vMerge w:val="continue"/>
            <w:tcBorders>
              <w:left w:val="single" w:color="auto" w:sz="4" w:space="0"/>
              <w:right w:val="single" w:color="auto" w:sz="4" w:space="0"/>
            </w:tcBorders>
            <w:shd w:val="clear" w:color="auto" w:fill="auto"/>
            <w:vAlign w:val="center"/>
          </w:tcPr>
          <w:p>
            <w:pPr>
              <w:widowControl/>
              <w:spacing w:before="120" w:after="120" w:line="0" w:lineRule="atLeast"/>
              <w:jc w:val="center"/>
              <w:rPr>
                <w:rFonts w:hint="eastAsia" w:ascii="宋体" w:hAnsi="宋体" w:cs="宋体"/>
                <w:b/>
                <w:bCs/>
                <w:color w:val="000000"/>
                <w:kern w:val="0"/>
                <w:sz w:val="18"/>
                <w:szCs w:val="18"/>
              </w:rPr>
            </w:pPr>
          </w:p>
        </w:tc>
        <w:tc>
          <w:tcPr>
            <w:tcW w:w="2204" w:type="dxa"/>
            <w:tcBorders>
              <w:top w:val="nil"/>
              <w:left w:val="nil"/>
              <w:bottom w:val="single" w:color="auto" w:sz="4" w:space="0"/>
              <w:right w:val="single" w:color="auto" w:sz="4" w:space="0"/>
            </w:tcBorders>
            <w:shd w:val="clear" w:color="auto" w:fill="auto"/>
            <w:vAlign w:val="center"/>
          </w:tcPr>
          <w:p>
            <w:pPr>
              <w:spacing w:before="120" w:after="120" w:line="0" w:lineRule="atLeast"/>
              <w:rPr>
                <w:rFonts w:ascii="宋体" w:hAnsi="宋体" w:cs="宋体"/>
                <w:color w:val="000000"/>
                <w:sz w:val="18"/>
                <w:szCs w:val="18"/>
              </w:rPr>
            </w:pPr>
            <w:r>
              <w:rPr>
                <w:rFonts w:hint="eastAsia" w:ascii="宋体" w:hAnsi="宋体"/>
                <w:color w:val="000000"/>
                <w:sz w:val="18"/>
                <w:szCs w:val="18"/>
              </w:rPr>
              <w:t>《幼儿园</w:t>
            </w:r>
            <w:r>
              <w:rPr>
                <w:rFonts w:hint="eastAsia" w:ascii="宋体" w:hAnsi="宋体"/>
                <w:color w:val="000000"/>
                <w:sz w:val="18"/>
                <w:szCs w:val="18"/>
                <w:lang w:eastAsia="zh-CN"/>
              </w:rPr>
              <w:t>建构</w:t>
            </w:r>
            <w:r>
              <w:rPr>
                <w:rFonts w:hint="eastAsia" w:ascii="宋体" w:hAnsi="宋体"/>
                <w:color w:val="000000"/>
                <w:sz w:val="18"/>
                <w:szCs w:val="18"/>
              </w:rPr>
              <w:t>游戏材料的创新玩法》</w:t>
            </w:r>
          </w:p>
        </w:tc>
        <w:tc>
          <w:tcPr>
            <w:tcW w:w="3236" w:type="dxa"/>
            <w:tcBorders>
              <w:top w:val="nil"/>
              <w:left w:val="nil"/>
              <w:bottom w:val="single" w:color="auto" w:sz="4" w:space="0"/>
              <w:right w:val="single" w:color="auto" w:sz="4" w:space="0"/>
            </w:tcBorders>
            <w:shd w:val="clear" w:color="auto" w:fill="auto"/>
            <w:vAlign w:val="center"/>
          </w:tcPr>
          <w:p>
            <w:pPr>
              <w:spacing w:before="120" w:after="120" w:line="0" w:lineRule="atLeast"/>
              <w:rPr>
                <w:rFonts w:ascii="宋体" w:hAnsi="宋体" w:cs="宋体"/>
                <w:color w:val="000000"/>
                <w:sz w:val="18"/>
                <w:szCs w:val="18"/>
              </w:rPr>
            </w:pPr>
            <w:r>
              <w:rPr>
                <w:rFonts w:hint="eastAsia" w:ascii="宋体" w:hAnsi="宋体"/>
                <w:color w:val="000000"/>
                <w:sz w:val="18"/>
                <w:szCs w:val="18"/>
              </w:rPr>
              <w:t>1.掌握材料有效及创新使用策略；</w:t>
            </w:r>
            <w:r>
              <w:rPr>
                <w:rFonts w:hint="eastAsia" w:ascii="宋体" w:hAnsi="宋体"/>
                <w:color w:val="000000"/>
                <w:sz w:val="18"/>
                <w:szCs w:val="18"/>
              </w:rPr>
              <w:br w:type="textWrapping"/>
            </w:r>
            <w:r>
              <w:rPr>
                <w:rFonts w:hint="eastAsia" w:ascii="宋体" w:hAnsi="宋体"/>
                <w:color w:val="000000"/>
                <w:sz w:val="18"/>
                <w:szCs w:val="18"/>
              </w:rPr>
              <w:t>2.熟练掌握材料投放的策略。</w:t>
            </w:r>
          </w:p>
        </w:tc>
        <w:tc>
          <w:tcPr>
            <w:tcW w:w="3285" w:type="dxa"/>
            <w:tcBorders>
              <w:top w:val="nil"/>
              <w:left w:val="nil"/>
              <w:bottom w:val="single" w:color="auto" w:sz="4" w:space="0"/>
              <w:right w:val="single" w:color="auto" w:sz="4" w:space="0"/>
            </w:tcBorders>
            <w:shd w:val="clear" w:color="auto" w:fill="auto"/>
            <w:vAlign w:val="center"/>
          </w:tcPr>
          <w:p>
            <w:pPr>
              <w:spacing w:before="120" w:after="120" w:line="0" w:lineRule="atLeast"/>
              <w:rPr>
                <w:rFonts w:ascii="宋体" w:hAnsi="宋体" w:cs="宋体"/>
                <w:color w:val="000000"/>
                <w:sz w:val="18"/>
                <w:szCs w:val="18"/>
              </w:rPr>
            </w:pPr>
            <w:r>
              <w:rPr>
                <w:rFonts w:hint="eastAsia" w:ascii="宋体" w:hAnsi="宋体"/>
                <w:color w:val="000000"/>
                <w:sz w:val="18"/>
                <w:szCs w:val="18"/>
              </w:rPr>
              <w:t>1.重点回顾科学区、益智区材料构成及投放策略；</w:t>
            </w:r>
            <w:r>
              <w:rPr>
                <w:rFonts w:hint="eastAsia" w:ascii="宋体" w:hAnsi="宋体"/>
                <w:color w:val="000000"/>
                <w:sz w:val="18"/>
                <w:szCs w:val="18"/>
              </w:rPr>
              <w:br w:type="textWrapping"/>
            </w:r>
            <w:r>
              <w:rPr>
                <w:rFonts w:hint="eastAsia" w:ascii="宋体" w:hAnsi="宋体"/>
                <w:color w:val="000000"/>
                <w:sz w:val="18"/>
                <w:szCs w:val="18"/>
              </w:rPr>
              <w:t>2.选择典型材料分组创新设计；</w:t>
            </w:r>
            <w:r>
              <w:rPr>
                <w:rFonts w:hint="eastAsia" w:ascii="宋体" w:hAnsi="宋体"/>
                <w:color w:val="000000"/>
                <w:sz w:val="18"/>
                <w:szCs w:val="18"/>
              </w:rPr>
              <w:br w:type="textWrapping"/>
            </w:r>
            <w:r>
              <w:rPr>
                <w:rFonts w:hint="eastAsia" w:ascii="宋体" w:hAnsi="宋体"/>
                <w:color w:val="000000"/>
                <w:sz w:val="18"/>
                <w:szCs w:val="18"/>
              </w:rPr>
              <w:t>3.针对创新玩法进行材料投放</w:t>
            </w:r>
          </w:p>
        </w:tc>
        <w:tc>
          <w:tcPr>
            <w:tcW w:w="968" w:type="dxa"/>
            <w:tcBorders>
              <w:top w:val="nil"/>
              <w:left w:val="nil"/>
              <w:bottom w:val="single" w:color="auto" w:sz="4" w:space="0"/>
              <w:right w:val="single" w:color="auto" w:sz="4" w:space="0"/>
            </w:tcBorders>
            <w:shd w:val="clear" w:color="auto" w:fill="auto"/>
            <w:vAlign w:val="center"/>
          </w:tcPr>
          <w:p>
            <w:pPr>
              <w:widowControl/>
              <w:spacing w:before="120" w:after="120" w:line="0" w:lineRule="atLeast"/>
              <w:jc w:val="center"/>
              <w:rPr>
                <w:rFonts w:hint="eastAsia" w:ascii="宋体" w:hAnsi="宋体" w:cs="宋体"/>
                <w:color w:val="000000"/>
                <w:kern w:val="0"/>
                <w:sz w:val="18"/>
                <w:szCs w:val="18"/>
              </w:rPr>
            </w:pPr>
            <w:r>
              <w:rPr>
                <w:rFonts w:hint="eastAsia" w:ascii="宋体" w:hAnsi="宋体"/>
                <w:color w:val="000000"/>
                <w:sz w:val="18"/>
                <w:szCs w:val="18"/>
              </w:rPr>
              <w:t>小组设计</w:t>
            </w:r>
            <w:r>
              <w:rPr>
                <w:rFonts w:hint="eastAsia" w:ascii="宋体" w:hAnsi="宋体"/>
                <w:color w:val="000000"/>
                <w:sz w:val="18"/>
                <w:szCs w:val="18"/>
              </w:rPr>
              <w:br w:type="textWrapping"/>
            </w:r>
            <w:r>
              <w:rPr>
                <w:rFonts w:hint="eastAsia" w:ascii="宋体" w:hAnsi="宋体"/>
                <w:color w:val="000000"/>
                <w:sz w:val="18"/>
                <w:szCs w:val="18"/>
              </w:rPr>
              <w:t>小组讨论</w:t>
            </w:r>
          </w:p>
        </w:tc>
      </w:tr>
      <w:tr>
        <w:tblPrEx>
          <w:tblLayout w:type="fixed"/>
          <w:tblCellMar>
            <w:top w:w="0" w:type="dxa"/>
            <w:left w:w="108" w:type="dxa"/>
            <w:bottom w:w="0" w:type="dxa"/>
            <w:right w:w="108" w:type="dxa"/>
          </w:tblCellMar>
        </w:tblPrEx>
        <w:trPr>
          <w:trHeight w:val="706" w:hRule="atLeast"/>
        </w:trPr>
        <w:tc>
          <w:tcPr>
            <w:tcW w:w="427" w:type="dxa"/>
            <w:vMerge w:val="continue"/>
            <w:tcBorders>
              <w:left w:val="single" w:color="auto" w:sz="4" w:space="0"/>
              <w:right w:val="single" w:color="auto" w:sz="4" w:space="0"/>
            </w:tcBorders>
            <w:shd w:val="clear" w:color="auto" w:fill="auto"/>
            <w:vAlign w:val="center"/>
          </w:tcPr>
          <w:p>
            <w:pPr>
              <w:widowControl/>
              <w:spacing w:before="120" w:after="120" w:line="0" w:lineRule="atLeast"/>
              <w:rPr>
                <w:rFonts w:hint="eastAsia" w:ascii="宋体" w:hAnsi="宋体" w:cs="宋体"/>
                <w:b/>
                <w:bCs/>
                <w:color w:val="000000"/>
                <w:kern w:val="0"/>
                <w:sz w:val="18"/>
                <w:szCs w:val="18"/>
              </w:rPr>
            </w:pPr>
          </w:p>
        </w:tc>
        <w:tc>
          <w:tcPr>
            <w:tcW w:w="879" w:type="dxa"/>
            <w:vMerge w:val="continue"/>
            <w:tcBorders>
              <w:left w:val="single" w:color="auto" w:sz="4" w:space="0"/>
              <w:right w:val="single" w:color="auto" w:sz="4" w:space="0"/>
            </w:tcBorders>
            <w:shd w:val="clear" w:color="auto" w:fill="auto"/>
            <w:vAlign w:val="center"/>
          </w:tcPr>
          <w:p>
            <w:pPr>
              <w:widowControl/>
              <w:spacing w:before="120" w:after="120" w:line="0" w:lineRule="atLeast"/>
              <w:jc w:val="center"/>
              <w:rPr>
                <w:rFonts w:hint="eastAsia" w:ascii="宋体" w:hAnsi="宋体" w:cs="宋体"/>
                <w:b/>
                <w:bCs/>
                <w:color w:val="000000"/>
                <w:kern w:val="0"/>
                <w:sz w:val="18"/>
                <w:szCs w:val="18"/>
              </w:rPr>
            </w:pPr>
          </w:p>
        </w:tc>
        <w:tc>
          <w:tcPr>
            <w:tcW w:w="2204" w:type="dxa"/>
            <w:tcBorders>
              <w:top w:val="nil"/>
              <w:left w:val="nil"/>
              <w:bottom w:val="single" w:color="auto" w:sz="4" w:space="0"/>
              <w:right w:val="single" w:color="auto" w:sz="4" w:space="0"/>
            </w:tcBorders>
            <w:shd w:val="clear" w:color="auto" w:fill="auto"/>
            <w:vAlign w:val="center"/>
          </w:tcPr>
          <w:p>
            <w:pPr>
              <w:widowControl/>
              <w:spacing w:before="120" w:after="120" w:line="0" w:lineRule="atLeast"/>
              <w:jc w:val="left"/>
              <w:rPr>
                <w:rFonts w:ascii="宋体" w:hAnsi="宋体" w:cs="宋体"/>
                <w:color w:val="000000"/>
                <w:kern w:val="0"/>
                <w:sz w:val="18"/>
                <w:szCs w:val="18"/>
              </w:rPr>
            </w:pPr>
            <w:r>
              <w:rPr>
                <w:rFonts w:hint="eastAsia" w:ascii="宋体" w:hAnsi="宋体" w:cs="宋体"/>
                <w:color w:val="000000"/>
                <w:kern w:val="0"/>
                <w:sz w:val="18"/>
                <w:szCs w:val="18"/>
              </w:rPr>
              <w:t>《优化材料投放 引发自主学习》</w:t>
            </w:r>
          </w:p>
        </w:tc>
        <w:tc>
          <w:tcPr>
            <w:tcW w:w="3236" w:type="dxa"/>
            <w:tcBorders>
              <w:top w:val="nil"/>
              <w:left w:val="nil"/>
              <w:bottom w:val="single" w:color="auto" w:sz="4" w:space="0"/>
              <w:right w:val="single" w:color="auto" w:sz="4" w:space="0"/>
            </w:tcBorders>
            <w:shd w:val="clear" w:color="auto" w:fill="auto"/>
            <w:vAlign w:val="center"/>
          </w:tcPr>
          <w:p>
            <w:pPr>
              <w:widowControl/>
              <w:spacing w:before="120" w:after="120" w:line="0" w:lineRule="atLeast"/>
              <w:jc w:val="left"/>
              <w:rPr>
                <w:rFonts w:ascii="宋体" w:hAnsi="宋体" w:cs="宋体"/>
                <w:color w:val="000000"/>
                <w:kern w:val="0"/>
                <w:sz w:val="18"/>
                <w:szCs w:val="18"/>
              </w:rPr>
            </w:pPr>
            <w:r>
              <w:rPr>
                <w:rFonts w:hint="eastAsia" w:ascii="宋体" w:hAnsi="宋体" w:cs="宋体"/>
                <w:color w:val="000000"/>
                <w:kern w:val="0"/>
                <w:sz w:val="18"/>
                <w:szCs w:val="18"/>
              </w:rPr>
              <w:t>发现班级</w:t>
            </w:r>
            <w:r>
              <w:rPr>
                <w:rFonts w:hint="eastAsia" w:ascii="宋体" w:hAnsi="宋体" w:cs="宋体"/>
                <w:color w:val="000000"/>
                <w:kern w:val="0"/>
                <w:sz w:val="18"/>
                <w:szCs w:val="18"/>
                <w:lang w:eastAsia="zh-CN"/>
              </w:rPr>
              <w:t>建构</w:t>
            </w:r>
            <w:r>
              <w:rPr>
                <w:rFonts w:hint="eastAsia" w:ascii="宋体" w:hAnsi="宋体" w:cs="宋体"/>
                <w:color w:val="000000"/>
                <w:kern w:val="0"/>
                <w:sz w:val="18"/>
                <w:szCs w:val="18"/>
              </w:rPr>
              <w:t>材料使用和投放中存在的问题；</w:t>
            </w:r>
          </w:p>
        </w:tc>
        <w:tc>
          <w:tcPr>
            <w:tcW w:w="3285" w:type="dxa"/>
            <w:tcBorders>
              <w:top w:val="nil"/>
              <w:left w:val="nil"/>
              <w:bottom w:val="single" w:color="auto" w:sz="4" w:space="0"/>
              <w:right w:val="single" w:color="auto" w:sz="4" w:space="0"/>
            </w:tcBorders>
            <w:shd w:val="clear" w:color="auto" w:fill="auto"/>
            <w:vAlign w:val="center"/>
          </w:tcPr>
          <w:p>
            <w:pPr>
              <w:widowControl/>
              <w:spacing w:before="120" w:after="120" w:line="0" w:lineRule="atLeast"/>
              <w:jc w:val="left"/>
              <w:rPr>
                <w:rFonts w:ascii="宋体" w:hAnsi="宋体" w:cs="宋体"/>
                <w:color w:val="000000"/>
                <w:kern w:val="0"/>
                <w:sz w:val="18"/>
                <w:szCs w:val="18"/>
              </w:rPr>
            </w:pPr>
            <w:r>
              <w:rPr>
                <w:rFonts w:hint="eastAsia" w:ascii="宋体" w:hAnsi="宋体" w:cs="宋体"/>
                <w:color w:val="000000"/>
                <w:kern w:val="0"/>
                <w:sz w:val="18"/>
                <w:szCs w:val="18"/>
              </w:rPr>
              <w:t>1.小中大各2个班进行观摩诊断；</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2.交流材料投放存在问题及解决方案；</w:t>
            </w:r>
          </w:p>
        </w:tc>
        <w:tc>
          <w:tcPr>
            <w:tcW w:w="968" w:type="dxa"/>
            <w:tcBorders>
              <w:top w:val="nil"/>
              <w:left w:val="nil"/>
              <w:bottom w:val="single" w:color="auto" w:sz="4" w:space="0"/>
              <w:right w:val="single" w:color="auto" w:sz="4" w:space="0"/>
            </w:tcBorders>
            <w:shd w:val="clear" w:color="auto" w:fill="auto"/>
            <w:vAlign w:val="center"/>
          </w:tcPr>
          <w:p>
            <w:pPr>
              <w:widowControl/>
              <w:spacing w:before="120" w:after="120"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集体研讨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专题讲解</w:t>
            </w:r>
          </w:p>
        </w:tc>
      </w:tr>
      <w:tr>
        <w:tblPrEx>
          <w:tblLayout w:type="fixed"/>
          <w:tblCellMar>
            <w:top w:w="0" w:type="dxa"/>
            <w:left w:w="108" w:type="dxa"/>
            <w:bottom w:w="0" w:type="dxa"/>
            <w:right w:w="108" w:type="dxa"/>
          </w:tblCellMar>
        </w:tblPrEx>
        <w:trPr>
          <w:trHeight w:val="753" w:hRule="atLeast"/>
        </w:trPr>
        <w:tc>
          <w:tcPr>
            <w:tcW w:w="427" w:type="dxa"/>
            <w:vMerge w:val="continue"/>
            <w:tcBorders>
              <w:left w:val="single" w:color="auto" w:sz="4" w:space="0"/>
              <w:bottom w:val="single" w:color="auto" w:sz="4" w:space="0"/>
              <w:right w:val="single" w:color="auto" w:sz="4" w:space="0"/>
            </w:tcBorders>
            <w:shd w:val="clear" w:color="auto" w:fill="auto"/>
            <w:vAlign w:val="center"/>
          </w:tcPr>
          <w:p>
            <w:pPr>
              <w:widowControl/>
              <w:spacing w:before="120" w:after="120" w:line="0" w:lineRule="atLeast"/>
              <w:jc w:val="center"/>
              <w:rPr>
                <w:rFonts w:hint="eastAsia" w:ascii="宋体" w:hAnsi="宋体" w:cs="宋体"/>
                <w:b/>
                <w:bCs/>
                <w:color w:val="000000"/>
                <w:kern w:val="0"/>
                <w:sz w:val="18"/>
                <w:szCs w:val="18"/>
              </w:rPr>
            </w:pPr>
          </w:p>
        </w:tc>
        <w:tc>
          <w:tcPr>
            <w:tcW w:w="879" w:type="dxa"/>
            <w:vMerge w:val="continue"/>
            <w:tcBorders>
              <w:left w:val="single" w:color="auto" w:sz="4" w:space="0"/>
              <w:bottom w:val="single" w:color="auto" w:sz="4" w:space="0"/>
              <w:right w:val="single" w:color="auto" w:sz="4" w:space="0"/>
            </w:tcBorders>
            <w:shd w:val="clear" w:color="auto" w:fill="auto"/>
            <w:vAlign w:val="center"/>
          </w:tcPr>
          <w:p>
            <w:pPr>
              <w:widowControl/>
              <w:spacing w:before="120" w:after="120" w:line="0" w:lineRule="atLeast"/>
              <w:jc w:val="center"/>
              <w:rPr>
                <w:rFonts w:hint="eastAsia" w:ascii="宋体" w:hAnsi="宋体" w:cs="宋体"/>
                <w:b/>
                <w:bCs/>
                <w:color w:val="000000"/>
                <w:kern w:val="0"/>
                <w:sz w:val="18"/>
                <w:szCs w:val="18"/>
              </w:rPr>
            </w:pPr>
          </w:p>
        </w:tc>
        <w:tc>
          <w:tcPr>
            <w:tcW w:w="2204" w:type="dxa"/>
            <w:tcBorders>
              <w:top w:val="nil"/>
              <w:left w:val="nil"/>
              <w:bottom w:val="single" w:color="auto" w:sz="4" w:space="0"/>
              <w:right w:val="single" w:color="auto" w:sz="4" w:space="0"/>
            </w:tcBorders>
            <w:shd w:val="clear" w:color="auto" w:fill="auto"/>
            <w:vAlign w:val="center"/>
          </w:tcPr>
          <w:p>
            <w:pPr>
              <w:spacing w:before="120" w:after="120" w:line="0" w:lineRule="atLeast"/>
              <w:jc w:val="center"/>
              <w:rPr>
                <w:rFonts w:hint="eastAsia" w:ascii="宋体" w:hAnsi="宋体"/>
                <w:color w:val="000000"/>
                <w:sz w:val="18"/>
                <w:szCs w:val="18"/>
              </w:rPr>
            </w:pPr>
            <w:r>
              <w:rPr>
                <w:rFonts w:hint="eastAsia" w:ascii="宋体" w:hAnsi="宋体"/>
                <w:color w:val="000000"/>
                <w:sz w:val="18"/>
                <w:szCs w:val="18"/>
              </w:rPr>
              <w:t>理清思路 找准方法</w:t>
            </w:r>
          </w:p>
          <w:p>
            <w:pPr>
              <w:spacing w:before="120" w:after="120" w:line="0" w:lineRule="atLeast"/>
              <w:jc w:val="center"/>
              <w:rPr>
                <w:rFonts w:hint="eastAsia" w:ascii="宋体" w:hAnsi="宋体"/>
                <w:color w:val="000000"/>
                <w:sz w:val="18"/>
                <w:szCs w:val="18"/>
              </w:rPr>
            </w:pPr>
            <w:r>
              <w:rPr>
                <w:rFonts w:hint="eastAsia" w:ascii="宋体" w:hAnsi="宋体"/>
                <w:color w:val="000000"/>
                <w:sz w:val="18"/>
                <w:szCs w:val="18"/>
              </w:rPr>
              <w:t>——《主题背景下</w:t>
            </w:r>
            <w:r>
              <w:rPr>
                <w:rFonts w:hint="eastAsia" w:ascii="宋体" w:hAnsi="宋体"/>
                <w:color w:val="000000"/>
                <w:sz w:val="18"/>
                <w:szCs w:val="18"/>
                <w:lang w:eastAsia="zh-CN"/>
              </w:rPr>
              <w:t>建构</w:t>
            </w:r>
            <w:r>
              <w:rPr>
                <w:rFonts w:hint="eastAsia" w:ascii="宋体" w:hAnsi="宋体"/>
                <w:color w:val="000000"/>
                <w:sz w:val="18"/>
                <w:szCs w:val="18"/>
              </w:rPr>
              <w:t>活动材料投放》</w:t>
            </w:r>
          </w:p>
        </w:tc>
        <w:tc>
          <w:tcPr>
            <w:tcW w:w="3236" w:type="dxa"/>
            <w:tcBorders>
              <w:top w:val="nil"/>
              <w:left w:val="nil"/>
              <w:bottom w:val="single" w:color="auto" w:sz="4" w:space="0"/>
              <w:right w:val="single" w:color="auto" w:sz="4" w:space="0"/>
            </w:tcBorders>
            <w:shd w:val="clear" w:color="auto" w:fill="auto"/>
            <w:vAlign w:val="center"/>
          </w:tcPr>
          <w:p>
            <w:pPr>
              <w:spacing w:before="120" w:after="120" w:line="0" w:lineRule="atLeast"/>
              <w:rPr>
                <w:rFonts w:hint="eastAsia" w:ascii="宋体" w:hAnsi="宋体"/>
                <w:color w:val="000000"/>
                <w:sz w:val="18"/>
                <w:szCs w:val="18"/>
              </w:rPr>
            </w:pPr>
            <w:r>
              <w:rPr>
                <w:rFonts w:hint="eastAsia" w:ascii="宋体" w:hAnsi="宋体"/>
                <w:color w:val="000000"/>
                <w:sz w:val="18"/>
                <w:szCs w:val="18"/>
              </w:rPr>
              <w:t>建构式课程主题与</w:t>
            </w:r>
            <w:r>
              <w:rPr>
                <w:rFonts w:hint="eastAsia" w:ascii="宋体" w:hAnsi="宋体"/>
                <w:color w:val="000000"/>
                <w:sz w:val="18"/>
                <w:szCs w:val="18"/>
                <w:lang w:eastAsia="zh-CN"/>
              </w:rPr>
              <w:t xml:space="preserve"> </w:t>
            </w:r>
            <w:r>
              <w:rPr>
                <w:rFonts w:hint="eastAsia" w:ascii="宋体" w:hAnsi="宋体"/>
                <w:color w:val="000000"/>
                <w:sz w:val="18"/>
                <w:szCs w:val="18"/>
              </w:rPr>
              <w:t>活动区材料结合策略</w:t>
            </w:r>
          </w:p>
        </w:tc>
        <w:tc>
          <w:tcPr>
            <w:tcW w:w="3285" w:type="dxa"/>
            <w:tcBorders>
              <w:top w:val="nil"/>
              <w:left w:val="nil"/>
              <w:bottom w:val="single" w:color="auto" w:sz="4" w:space="0"/>
              <w:right w:val="single" w:color="auto" w:sz="4" w:space="0"/>
            </w:tcBorders>
            <w:shd w:val="clear" w:color="auto" w:fill="auto"/>
            <w:vAlign w:val="center"/>
          </w:tcPr>
          <w:p>
            <w:pPr>
              <w:spacing w:before="120" w:after="120" w:line="0" w:lineRule="atLeast"/>
              <w:rPr>
                <w:rFonts w:hint="eastAsia" w:ascii="宋体" w:hAnsi="宋体"/>
                <w:color w:val="000000"/>
                <w:sz w:val="18"/>
                <w:szCs w:val="18"/>
              </w:rPr>
            </w:pPr>
            <w:r>
              <w:rPr>
                <w:rFonts w:hint="eastAsia" w:ascii="宋体" w:hAnsi="宋体"/>
                <w:color w:val="000000"/>
                <w:sz w:val="18"/>
                <w:szCs w:val="18"/>
              </w:rPr>
              <w:t>1.梳理主题目标 2.拟定分区目标</w:t>
            </w:r>
          </w:p>
          <w:p>
            <w:pPr>
              <w:spacing w:before="120" w:after="120" w:line="0" w:lineRule="atLeast"/>
              <w:rPr>
                <w:rFonts w:hint="eastAsia" w:ascii="宋体" w:hAnsi="宋体"/>
                <w:color w:val="000000"/>
                <w:sz w:val="18"/>
                <w:szCs w:val="18"/>
              </w:rPr>
            </w:pPr>
            <w:r>
              <w:rPr>
                <w:rFonts w:hint="eastAsia" w:ascii="宋体" w:hAnsi="宋体"/>
                <w:color w:val="000000"/>
                <w:sz w:val="18"/>
                <w:szCs w:val="18"/>
              </w:rPr>
              <w:t>3.明确结合方法 3.材料统整投放</w:t>
            </w:r>
          </w:p>
        </w:tc>
        <w:tc>
          <w:tcPr>
            <w:tcW w:w="968" w:type="dxa"/>
            <w:tcBorders>
              <w:top w:val="nil"/>
              <w:left w:val="nil"/>
              <w:bottom w:val="single" w:color="auto" w:sz="4" w:space="0"/>
              <w:right w:val="single" w:color="auto" w:sz="4" w:space="0"/>
            </w:tcBorders>
            <w:shd w:val="clear" w:color="auto" w:fill="auto"/>
            <w:vAlign w:val="center"/>
          </w:tcPr>
          <w:p>
            <w:pPr>
              <w:widowControl/>
              <w:spacing w:before="120" w:after="120" w:line="0" w:lineRule="atLeast"/>
              <w:jc w:val="center"/>
              <w:rPr>
                <w:rFonts w:hint="eastAsia" w:ascii="宋体" w:hAnsi="宋体"/>
                <w:color w:val="000000"/>
                <w:sz w:val="18"/>
                <w:szCs w:val="18"/>
              </w:rPr>
            </w:pPr>
            <w:r>
              <w:rPr>
                <w:rFonts w:hint="eastAsia" w:ascii="宋体" w:hAnsi="宋体" w:cs="宋体"/>
                <w:color w:val="000000"/>
                <w:kern w:val="0"/>
                <w:sz w:val="18"/>
                <w:szCs w:val="18"/>
              </w:rPr>
              <w:t>专题讲解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小组讨论</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操作体验</w:t>
            </w:r>
          </w:p>
        </w:tc>
      </w:tr>
      <w:tr>
        <w:tblPrEx>
          <w:tblLayout w:type="fixed"/>
          <w:tblCellMar>
            <w:top w:w="0" w:type="dxa"/>
            <w:left w:w="108" w:type="dxa"/>
            <w:bottom w:w="0" w:type="dxa"/>
            <w:right w:w="108" w:type="dxa"/>
          </w:tblCellMar>
        </w:tblPrEx>
        <w:trPr>
          <w:trHeight w:val="902" w:hRule="atLeast"/>
        </w:trPr>
        <w:tc>
          <w:tcPr>
            <w:tcW w:w="427" w:type="dxa"/>
            <w:vMerge w:val="restart"/>
            <w:tcBorders>
              <w:top w:val="nil"/>
              <w:left w:val="single" w:color="auto" w:sz="4" w:space="0"/>
              <w:right w:val="single" w:color="auto" w:sz="4" w:space="0"/>
            </w:tcBorders>
            <w:shd w:val="clear" w:color="auto" w:fill="auto"/>
            <w:vAlign w:val="center"/>
          </w:tcPr>
          <w:p>
            <w:pPr>
              <w:widowControl/>
              <w:spacing w:before="120" w:after="120" w:line="0" w:lineRule="atLeast"/>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4</w:t>
            </w:r>
          </w:p>
        </w:tc>
        <w:tc>
          <w:tcPr>
            <w:tcW w:w="879" w:type="dxa"/>
            <w:vMerge w:val="restart"/>
            <w:tcBorders>
              <w:top w:val="nil"/>
              <w:left w:val="single" w:color="auto" w:sz="4" w:space="0"/>
              <w:right w:val="single" w:color="auto" w:sz="4" w:space="0"/>
            </w:tcBorders>
            <w:shd w:val="clear" w:color="auto" w:fill="auto"/>
            <w:vAlign w:val="center"/>
          </w:tcPr>
          <w:p>
            <w:pPr>
              <w:widowControl/>
              <w:spacing w:before="120" w:after="120" w:line="0" w:lineRule="atLeast"/>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组织</w:t>
            </w:r>
          </w:p>
          <w:p>
            <w:pPr>
              <w:widowControl/>
              <w:spacing w:before="120" w:after="120" w:line="0" w:lineRule="atLeast"/>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实施</w:t>
            </w:r>
          </w:p>
        </w:tc>
        <w:tc>
          <w:tcPr>
            <w:tcW w:w="2204" w:type="dxa"/>
            <w:tcBorders>
              <w:top w:val="nil"/>
              <w:left w:val="nil"/>
              <w:bottom w:val="single" w:color="auto" w:sz="4" w:space="0"/>
              <w:right w:val="single" w:color="auto" w:sz="4" w:space="0"/>
            </w:tcBorders>
            <w:shd w:val="clear" w:color="auto" w:fill="auto"/>
            <w:vAlign w:val="center"/>
          </w:tcPr>
          <w:p>
            <w:pPr>
              <w:widowControl/>
              <w:spacing w:before="120" w:after="120"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《幼儿园室内游戏活动的组织流程》</w:t>
            </w:r>
          </w:p>
        </w:tc>
        <w:tc>
          <w:tcPr>
            <w:tcW w:w="3236" w:type="dxa"/>
            <w:tcBorders>
              <w:top w:val="nil"/>
              <w:left w:val="nil"/>
              <w:bottom w:val="single" w:color="auto" w:sz="4" w:space="0"/>
              <w:right w:val="single" w:color="auto" w:sz="4" w:space="0"/>
            </w:tcBorders>
            <w:shd w:val="clear" w:color="auto" w:fill="auto"/>
            <w:vAlign w:val="center"/>
          </w:tcPr>
          <w:p>
            <w:pPr>
              <w:widowControl/>
              <w:spacing w:before="120" w:after="120" w:line="0" w:lineRule="atLeast"/>
              <w:jc w:val="left"/>
              <w:rPr>
                <w:rFonts w:hint="eastAsia" w:ascii="宋体" w:hAnsi="宋体" w:cs="宋体"/>
                <w:color w:val="000000"/>
                <w:kern w:val="0"/>
                <w:sz w:val="18"/>
                <w:szCs w:val="18"/>
              </w:rPr>
            </w:pPr>
            <w:r>
              <w:rPr>
                <w:rFonts w:hint="eastAsia" w:ascii="宋体" w:hAnsi="宋体" w:cs="宋体"/>
                <w:color w:val="000000"/>
                <w:kern w:val="0"/>
                <w:sz w:val="18"/>
                <w:szCs w:val="18"/>
              </w:rPr>
              <w:t>1.掌握室内游戏活动组织的基本流程；</w:t>
            </w:r>
          </w:p>
          <w:p>
            <w:pPr>
              <w:widowControl/>
              <w:spacing w:before="120" w:after="120" w:line="0" w:lineRule="atLeast"/>
              <w:jc w:val="left"/>
              <w:rPr>
                <w:rFonts w:ascii="宋体" w:hAnsi="宋体" w:cs="宋体"/>
                <w:color w:val="000000"/>
                <w:kern w:val="0"/>
                <w:sz w:val="18"/>
                <w:szCs w:val="18"/>
              </w:rPr>
            </w:pPr>
            <w:r>
              <w:rPr>
                <w:rFonts w:hint="eastAsia" w:ascii="宋体" w:hAnsi="宋体" w:cs="宋体"/>
                <w:color w:val="000000"/>
                <w:kern w:val="0"/>
                <w:sz w:val="18"/>
                <w:szCs w:val="18"/>
              </w:rPr>
              <w:t>2.了解各个环节的操作要点。</w:t>
            </w:r>
          </w:p>
        </w:tc>
        <w:tc>
          <w:tcPr>
            <w:tcW w:w="3285" w:type="dxa"/>
            <w:tcBorders>
              <w:top w:val="nil"/>
              <w:left w:val="nil"/>
              <w:bottom w:val="single" w:color="auto" w:sz="4" w:space="0"/>
              <w:right w:val="single" w:color="auto" w:sz="4" w:space="0"/>
            </w:tcBorders>
            <w:shd w:val="clear" w:color="auto" w:fill="auto"/>
            <w:vAlign w:val="center"/>
          </w:tcPr>
          <w:p>
            <w:pPr>
              <w:widowControl/>
              <w:spacing w:before="120" w:after="120" w:line="0" w:lineRule="atLeast"/>
              <w:jc w:val="left"/>
              <w:rPr>
                <w:rFonts w:ascii="宋体" w:hAnsi="宋体" w:cs="宋体"/>
                <w:color w:val="000000"/>
                <w:kern w:val="0"/>
                <w:sz w:val="18"/>
                <w:szCs w:val="18"/>
              </w:rPr>
            </w:pPr>
            <w:r>
              <w:rPr>
                <w:rFonts w:hint="eastAsia" w:ascii="宋体" w:hAnsi="宋体" w:cs="宋体"/>
                <w:color w:val="000000"/>
                <w:kern w:val="0"/>
                <w:sz w:val="18"/>
                <w:szCs w:val="18"/>
              </w:rPr>
              <w:t>1.活动前教师需要做哪些准备；2.教师如何发起活动；3.活动过程中的观察指导；4.如何交流小结及材料收纳。</w:t>
            </w:r>
          </w:p>
        </w:tc>
        <w:tc>
          <w:tcPr>
            <w:tcW w:w="968" w:type="dxa"/>
            <w:tcBorders>
              <w:top w:val="nil"/>
              <w:left w:val="nil"/>
              <w:bottom w:val="single" w:color="auto" w:sz="4" w:space="0"/>
              <w:right w:val="single" w:color="auto" w:sz="4" w:space="0"/>
            </w:tcBorders>
            <w:shd w:val="clear" w:color="auto" w:fill="auto"/>
            <w:vAlign w:val="center"/>
          </w:tcPr>
          <w:p>
            <w:pPr>
              <w:widowControl/>
              <w:spacing w:before="120" w:after="120"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 xml:space="preserve">专题讲解案例分析小组讨论 </w:t>
            </w:r>
          </w:p>
        </w:tc>
      </w:tr>
      <w:tr>
        <w:tblPrEx>
          <w:tblLayout w:type="fixed"/>
          <w:tblCellMar>
            <w:top w:w="0" w:type="dxa"/>
            <w:left w:w="108" w:type="dxa"/>
            <w:bottom w:w="0" w:type="dxa"/>
            <w:right w:w="108" w:type="dxa"/>
          </w:tblCellMar>
        </w:tblPrEx>
        <w:trPr>
          <w:trHeight w:val="682" w:hRule="atLeast"/>
        </w:trPr>
        <w:tc>
          <w:tcPr>
            <w:tcW w:w="427" w:type="dxa"/>
            <w:vMerge w:val="continue"/>
            <w:tcBorders>
              <w:left w:val="single" w:color="auto" w:sz="4" w:space="0"/>
              <w:right w:val="single" w:color="auto" w:sz="4" w:space="0"/>
            </w:tcBorders>
            <w:shd w:val="clear" w:color="auto" w:fill="auto"/>
            <w:vAlign w:val="center"/>
          </w:tcPr>
          <w:p>
            <w:pPr>
              <w:widowControl/>
              <w:spacing w:before="120" w:after="120" w:line="0" w:lineRule="atLeast"/>
              <w:jc w:val="center"/>
              <w:rPr>
                <w:rFonts w:hint="eastAsia" w:ascii="宋体" w:hAnsi="宋体" w:cs="宋体"/>
                <w:b/>
                <w:bCs/>
                <w:color w:val="000000"/>
                <w:kern w:val="0"/>
                <w:sz w:val="18"/>
                <w:szCs w:val="18"/>
              </w:rPr>
            </w:pPr>
          </w:p>
        </w:tc>
        <w:tc>
          <w:tcPr>
            <w:tcW w:w="879" w:type="dxa"/>
            <w:vMerge w:val="continue"/>
            <w:tcBorders>
              <w:left w:val="single" w:color="auto" w:sz="4" w:space="0"/>
              <w:right w:val="single" w:color="auto" w:sz="4" w:space="0"/>
            </w:tcBorders>
            <w:shd w:val="clear" w:color="auto" w:fill="auto"/>
            <w:vAlign w:val="center"/>
          </w:tcPr>
          <w:p>
            <w:pPr>
              <w:widowControl/>
              <w:spacing w:before="120" w:after="120" w:line="0" w:lineRule="atLeast"/>
              <w:jc w:val="center"/>
              <w:rPr>
                <w:rFonts w:hint="eastAsia" w:ascii="宋体" w:hAnsi="宋体" w:cs="宋体"/>
                <w:b/>
                <w:bCs/>
                <w:color w:val="000000"/>
                <w:kern w:val="0"/>
                <w:sz w:val="18"/>
                <w:szCs w:val="18"/>
              </w:rPr>
            </w:pPr>
          </w:p>
        </w:tc>
        <w:tc>
          <w:tcPr>
            <w:tcW w:w="2204" w:type="dxa"/>
            <w:tcBorders>
              <w:top w:val="nil"/>
              <w:left w:val="nil"/>
              <w:bottom w:val="single" w:color="auto" w:sz="4" w:space="0"/>
              <w:right w:val="single" w:color="auto" w:sz="4" w:space="0"/>
            </w:tcBorders>
            <w:shd w:val="clear" w:color="auto" w:fill="auto"/>
            <w:vAlign w:val="center"/>
          </w:tcPr>
          <w:p>
            <w:pPr>
              <w:widowControl/>
              <w:spacing w:before="120" w:after="120"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《幼儿园</w:t>
            </w:r>
            <w:r>
              <w:rPr>
                <w:rFonts w:hint="eastAsia" w:ascii="宋体" w:hAnsi="宋体" w:cs="宋体"/>
                <w:color w:val="000000"/>
                <w:kern w:val="0"/>
                <w:sz w:val="18"/>
                <w:szCs w:val="18"/>
                <w:lang w:eastAsia="zh-CN"/>
              </w:rPr>
              <w:t>建构</w:t>
            </w:r>
            <w:r>
              <w:rPr>
                <w:rFonts w:hint="eastAsia" w:ascii="宋体" w:hAnsi="宋体" w:cs="宋体"/>
                <w:color w:val="000000"/>
                <w:kern w:val="0"/>
                <w:sz w:val="18"/>
                <w:szCs w:val="18"/>
              </w:rPr>
              <w:t>游戏的组织与实施》</w:t>
            </w:r>
          </w:p>
        </w:tc>
        <w:tc>
          <w:tcPr>
            <w:tcW w:w="3236" w:type="dxa"/>
            <w:tcBorders>
              <w:top w:val="nil"/>
              <w:left w:val="nil"/>
              <w:bottom w:val="single" w:color="auto" w:sz="4" w:space="0"/>
              <w:right w:val="single" w:color="auto" w:sz="4" w:space="0"/>
            </w:tcBorders>
            <w:shd w:val="clear" w:color="auto" w:fill="auto"/>
            <w:vAlign w:val="center"/>
          </w:tcPr>
          <w:p>
            <w:pPr>
              <w:widowControl/>
              <w:spacing w:before="120" w:after="120" w:line="0" w:lineRule="atLeast"/>
              <w:jc w:val="left"/>
              <w:rPr>
                <w:rFonts w:ascii="宋体" w:hAnsi="宋体" w:cs="宋体"/>
                <w:color w:val="000000"/>
                <w:kern w:val="0"/>
                <w:sz w:val="18"/>
                <w:szCs w:val="18"/>
              </w:rPr>
            </w:pPr>
            <w:r>
              <w:rPr>
                <w:rFonts w:hint="eastAsia" w:ascii="宋体" w:hAnsi="宋体" w:cs="宋体"/>
                <w:color w:val="000000"/>
                <w:kern w:val="0"/>
                <w:sz w:val="18"/>
                <w:szCs w:val="18"/>
              </w:rPr>
              <w:t>1.掌握</w:t>
            </w:r>
            <w:r>
              <w:rPr>
                <w:rFonts w:hint="eastAsia" w:ascii="宋体" w:hAnsi="宋体" w:cs="宋体"/>
                <w:color w:val="000000"/>
                <w:kern w:val="0"/>
                <w:sz w:val="18"/>
                <w:szCs w:val="18"/>
                <w:lang w:eastAsia="zh-CN"/>
              </w:rPr>
              <w:t>建构</w:t>
            </w:r>
            <w:r>
              <w:rPr>
                <w:rFonts w:hint="eastAsia" w:ascii="宋体" w:hAnsi="宋体" w:cs="宋体"/>
                <w:color w:val="000000"/>
                <w:kern w:val="0"/>
                <w:sz w:val="18"/>
                <w:szCs w:val="18"/>
              </w:rPr>
              <w:t>游戏的流程方法；</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2.了解各</w:t>
            </w:r>
            <w:r>
              <w:rPr>
                <w:rFonts w:hint="eastAsia" w:ascii="宋体" w:hAnsi="宋体" w:cs="宋体"/>
                <w:color w:val="000000"/>
                <w:kern w:val="0"/>
                <w:sz w:val="18"/>
                <w:szCs w:val="18"/>
                <w:lang w:eastAsia="zh-CN"/>
              </w:rPr>
              <w:t>建构</w:t>
            </w:r>
            <w:r>
              <w:rPr>
                <w:rFonts w:hint="eastAsia" w:ascii="宋体" w:hAnsi="宋体" w:cs="宋体"/>
                <w:color w:val="000000"/>
                <w:kern w:val="0"/>
                <w:sz w:val="18"/>
                <w:szCs w:val="18"/>
              </w:rPr>
              <w:t>的观察要点。</w:t>
            </w:r>
          </w:p>
        </w:tc>
        <w:tc>
          <w:tcPr>
            <w:tcW w:w="3285" w:type="dxa"/>
            <w:tcBorders>
              <w:top w:val="nil"/>
              <w:left w:val="nil"/>
              <w:bottom w:val="single" w:color="auto" w:sz="4" w:space="0"/>
              <w:right w:val="single" w:color="auto" w:sz="4" w:space="0"/>
            </w:tcBorders>
            <w:shd w:val="clear" w:color="auto" w:fill="auto"/>
            <w:vAlign w:val="center"/>
          </w:tcPr>
          <w:p>
            <w:pPr>
              <w:widowControl/>
              <w:spacing w:before="120" w:after="120" w:line="0" w:lineRule="atLeast"/>
              <w:jc w:val="left"/>
              <w:rPr>
                <w:rFonts w:ascii="宋体" w:hAnsi="宋体" w:cs="宋体"/>
                <w:color w:val="000000"/>
                <w:kern w:val="0"/>
                <w:sz w:val="18"/>
                <w:szCs w:val="18"/>
              </w:rPr>
            </w:pPr>
            <w:r>
              <w:rPr>
                <w:rFonts w:hint="eastAsia" w:ascii="宋体" w:hAnsi="宋体" w:cs="宋体"/>
                <w:color w:val="000000"/>
                <w:kern w:val="0"/>
                <w:sz w:val="18"/>
                <w:szCs w:val="18"/>
              </w:rPr>
              <w:t>1.室内游戏区的组织流程</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2.各</w:t>
            </w:r>
            <w:r>
              <w:rPr>
                <w:rFonts w:hint="eastAsia" w:ascii="宋体" w:hAnsi="宋体" w:cs="宋体"/>
                <w:color w:val="000000"/>
                <w:kern w:val="0"/>
                <w:sz w:val="18"/>
                <w:szCs w:val="18"/>
                <w:lang w:eastAsia="zh-CN"/>
              </w:rPr>
              <w:t>建构</w:t>
            </w:r>
            <w:r>
              <w:rPr>
                <w:rFonts w:hint="eastAsia" w:ascii="宋体" w:hAnsi="宋体" w:cs="宋体"/>
                <w:color w:val="000000"/>
                <w:kern w:val="0"/>
                <w:sz w:val="18"/>
                <w:szCs w:val="18"/>
              </w:rPr>
              <w:t>游戏的观察要点</w:t>
            </w:r>
          </w:p>
        </w:tc>
        <w:tc>
          <w:tcPr>
            <w:tcW w:w="968" w:type="dxa"/>
            <w:tcBorders>
              <w:top w:val="single" w:color="auto" w:sz="4" w:space="0"/>
              <w:left w:val="nil"/>
              <w:bottom w:val="single" w:color="auto" w:sz="4" w:space="0"/>
              <w:right w:val="single" w:color="auto" w:sz="4" w:space="0"/>
            </w:tcBorders>
            <w:shd w:val="clear" w:color="auto" w:fill="auto"/>
            <w:vAlign w:val="center"/>
          </w:tcPr>
          <w:p>
            <w:pPr>
              <w:widowControl/>
              <w:spacing w:before="120" w:after="120" w:line="0" w:lineRule="atLeast"/>
              <w:jc w:val="center"/>
              <w:rPr>
                <w:rFonts w:hint="eastAsia" w:ascii="宋体" w:hAnsi="宋体"/>
                <w:color w:val="000000"/>
                <w:sz w:val="18"/>
                <w:szCs w:val="18"/>
              </w:rPr>
            </w:pPr>
            <w:r>
              <w:rPr>
                <w:rFonts w:hint="eastAsia" w:ascii="宋体" w:hAnsi="宋体" w:cs="宋体"/>
                <w:color w:val="000000"/>
                <w:kern w:val="0"/>
                <w:sz w:val="18"/>
                <w:szCs w:val="18"/>
              </w:rPr>
              <w:t>专题讲解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案例分析</w:t>
            </w:r>
          </w:p>
        </w:tc>
      </w:tr>
      <w:tr>
        <w:tblPrEx>
          <w:tblLayout w:type="fixed"/>
          <w:tblCellMar>
            <w:top w:w="0" w:type="dxa"/>
            <w:left w:w="108" w:type="dxa"/>
            <w:bottom w:w="0" w:type="dxa"/>
            <w:right w:w="108" w:type="dxa"/>
          </w:tblCellMar>
        </w:tblPrEx>
        <w:trPr>
          <w:trHeight w:val="274" w:hRule="atLeast"/>
        </w:trPr>
        <w:tc>
          <w:tcPr>
            <w:tcW w:w="427" w:type="dxa"/>
            <w:vMerge w:val="continue"/>
            <w:tcBorders>
              <w:left w:val="single" w:color="auto" w:sz="4" w:space="0"/>
              <w:right w:val="single" w:color="auto" w:sz="4" w:space="0"/>
            </w:tcBorders>
            <w:shd w:val="clear" w:color="auto" w:fill="auto"/>
            <w:vAlign w:val="center"/>
          </w:tcPr>
          <w:p>
            <w:pPr>
              <w:widowControl/>
              <w:spacing w:before="120" w:after="120" w:line="0" w:lineRule="atLeast"/>
              <w:jc w:val="center"/>
              <w:rPr>
                <w:rFonts w:hint="eastAsia" w:ascii="宋体" w:hAnsi="宋体" w:cs="宋体"/>
                <w:b/>
                <w:bCs/>
                <w:color w:val="000000"/>
                <w:kern w:val="0"/>
                <w:sz w:val="18"/>
                <w:szCs w:val="18"/>
              </w:rPr>
            </w:pPr>
          </w:p>
        </w:tc>
        <w:tc>
          <w:tcPr>
            <w:tcW w:w="879" w:type="dxa"/>
            <w:vMerge w:val="continue"/>
            <w:tcBorders>
              <w:left w:val="single" w:color="auto" w:sz="4" w:space="0"/>
              <w:right w:val="single" w:color="auto" w:sz="4" w:space="0"/>
            </w:tcBorders>
            <w:shd w:val="clear" w:color="auto" w:fill="auto"/>
            <w:vAlign w:val="center"/>
          </w:tcPr>
          <w:p>
            <w:pPr>
              <w:widowControl/>
              <w:spacing w:before="120" w:after="120" w:line="0" w:lineRule="atLeast"/>
              <w:jc w:val="center"/>
              <w:rPr>
                <w:rFonts w:hint="eastAsia" w:ascii="宋体" w:hAnsi="宋体" w:cs="宋体"/>
                <w:b/>
                <w:bCs/>
                <w:color w:val="000000"/>
                <w:kern w:val="0"/>
                <w:sz w:val="18"/>
                <w:szCs w:val="18"/>
              </w:rPr>
            </w:pPr>
          </w:p>
        </w:tc>
        <w:tc>
          <w:tcPr>
            <w:tcW w:w="2204" w:type="dxa"/>
            <w:tcBorders>
              <w:top w:val="nil"/>
              <w:left w:val="nil"/>
              <w:bottom w:val="single" w:color="auto" w:sz="4" w:space="0"/>
              <w:right w:val="single" w:color="auto" w:sz="4" w:space="0"/>
            </w:tcBorders>
            <w:shd w:val="clear" w:color="auto" w:fill="auto"/>
            <w:vAlign w:val="center"/>
          </w:tcPr>
          <w:p>
            <w:pPr>
              <w:widowControl/>
              <w:spacing w:before="120" w:after="120" w:line="0" w:lineRule="atLeast"/>
              <w:jc w:val="center"/>
              <w:rPr>
                <w:rFonts w:ascii="宋体" w:hAnsi="宋体" w:cs="宋体"/>
                <w:kern w:val="0"/>
                <w:sz w:val="18"/>
                <w:szCs w:val="18"/>
              </w:rPr>
            </w:pPr>
            <w:r>
              <w:rPr>
                <w:rFonts w:hint="eastAsia" w:ascii="宋体" w:hAnsi="宋体" w:cs="宋体"/>
                <w:kern w:val="0"/>
                <w:sz w:val="18"/>
                <w:szCs w:val="18"/>
              </w:rPr>
              <w:t>《会观察，巧用指导策略</w:t>
            </w:r>
            <w:r>
              <w:rPr>
                <w:rFonts w:hint="eastAsia" w:ascii="宋体" w:hAnsi="宋体" w:cs="宋体"/>
                <w:kern w:val="0"/>
                <w:sz w:val="18"/>
                <w:szCs w:val="18"/>
              </w:rPr>
              <w:br w:type="textWrapping"/>
            </w:r>
            <w:r>
              <w:rPr>
                <w:rFonts w:hint="eastAsia" w:ascii="宋体" w:hAnsi="宋体" w:cs="宋体"/>
                <w:kern w:val="0"/>
                <w:sz w:val="18"/>
                <w:szCs w:val="18"/>
              </w:rPr>
              <w:t>——幼儿园</w:t>
            </w:r>
            <w:r>
              <w:rPr>
                <w:rFonts w:hint="eastAsia" w:ascii="宋体" w:hAnsi="宋体" w:cs="宋体"/>
                <w:kern w:val="0"/>
                <w:sz w:val="18"/>
                <w:szCs w:val="18"/>
                <w:lang w:eastAsia="zh-CN"/>
              </w:rPr>
              <w:t>建构</w:t>
            </w:r>
            <w:r>
              <w:rPr>
                <w:rFonts w:hint="eastAsia" w:ascii="宋体" w:hAnsi="宋体" w:cs="宋体"/>
                <w:kern w:val="0"/>
                <w:sz w:val="18"/>
                <w:szCs w:val="18"/>
              </w:rPr>
              <w:t>游戏中的行为观察与指导》</w:t>
            </w:r>
          </w:p>
        </w:tc>
        <w:tc>
          <w:tcPr>
            <w:tcW w:w="3236" w:type="dxa"/>
            <w:tcBorders>
              <w:top w:val="nil"/>
              <w:left w:val="nil"/>
              <w:bottom w:val="single" w:color="auto" w:sz="4" w:space="0"/>
              <w:right w:val="single" w:color="auto" w:sz="4" w:space="0"/>
            </w:tcBorders>
            <w:shd w:val="clear" w:color="auto" w:fill="auto"/>
            <w:vAlign w:val="center"/>
          </w:tcPr>
          <w:p>
            <w:pPr>
              <w:widowControl/>
              <w:spacing w:before="120" w:after="120" w:line="0" w:lineRule="atLeast"/>
              <w:jc w:val="left"/>
              <w:rPr>
                <w:rFonts w:ascii="宋体" w:hAnsi="宋体" w:cs="宋体"/>
                <w:color w:val="000000"/>
                <w:kern w:val="0"/>
                <w:sz w:val="18"/>
                <w:szCs w:val="18"/>
              </w:rPr>
            </w:pPr>
            <w:r>
              <w:rPr>
                <w:rFonts w:hint="eastAsia" w:ascii="宋体" w:hAnsi="宋体" w:cs="宋体"/>
                <w:color w:val="000000"/>
                <w:kern w:val="0"/>
                <w:sz w:val="18"/>
                <w:szCs w:val="18"/>
              </w:rPr>
              <w:t>1.理解</w:t>
            </w:r>
            <w:r>
              <w:rPr>
                <w:rFonts w:hint="eastAsia" w:ascii="宋体" w:hAnsi="宋体" w:cs="宋体"/>
                <w:color w:val="000000"/>
                <w:kern w:val="0"/>
                <w:sz w:val="18"/>
                <w:szCs w:val="18"/>
                <w:lang w:eastAsia="zh-CN"/>
              </w:rPr>
              <w:t>建构</w:t>
            </w:r>
            <w:r>
              <w:rPr>
                <w:rFonts w:hint="eastAsia" w:ascii="宋体" w:hAnsi="宋体" w:cs="宋体"/>
                <w:color w:val="000000"/>
                <w:kern w:val="0"/>
                <w:sz w:val="18"/>
                <w:szCs w:val="18"/>
              </w:rPr>
              <w:t>游戏观察的内涵；</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2.学会观察幼儿的游戏行为；</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3.学会根据观察指导游戏。</w:t>
            </w:r>
          </w:p>
        </w:tc>
        <w:tc>
          <w:tcPr>
            <w:tcW w:w="3285" w:type="dxa"/>
            <w:tcBorders>
              <w:top w:val="nil"/>
              <w:left w:val="nil"/>
              <w:bottom w:val="single" w:color="auto" w:sz="4" w:space="0"/>
              <w:right w:val="single" w:color="auto" w:sz="4" w:space="0"/>
            </w:tcBorders>
            <w:shd w:val="clear" w:color="auto" w:fill="auto"/>
            <w:vAlign w:val="center"/>
          </w:tcPr>
          <w:p>
            <w:pPr>
              <w:widowControl/>
              <w:spacing w:before="120" w:after="120" w:line="0" w:lineRule="atLeast"/>
              <w:jc w:val="left"/>
              <w:rPr>
                <w:rFonts w:ascii="宋体" w:hAnsi="宋体" w:cs="宋体"/>
                <w:color w:val="000000"/>
                <w:kern w:val="0"/>
                <w:sz w:val="18"/>
                <w:szCs w:val="18"/>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建构</w:t>
            </w:r>
            <w:r>
              <w:rPr>
                <w:rFonts w:hint="eastAsia" w:ascii="宋体" w:hAnsi="宋体" w:cs="宋体"/>
                <w:color w:val="000000"/>
                <w:kern w:val="0"/>
                <w:sz w:val="18"/>
                <w:szCs w:val="18"/>
              </w:rPr>
              <w:t>游戏观察与看课的区别；</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w:t>
            </w:r>
            <w:r>
              <w:rPr>
                <w:rFonts w:hint="eastAsia" w:ascii="宋体" w:hAnsi="宋体" w:cs="宋体"/>
                <w:color w:val="000000"/>
                <w:kern w:val="0"/>
                <w:sz w:val="18"/>
                <w:szCs w:val="18"/>
                <w:lang w:eastAsia="zh-CN"/>
              </w:rPr>
              <w:t>建构</w:t>
            </w:r>
            <w:r>
              <w:rPr>
                <w:rFonts w:hint="eastAsia" w:ascii="宋体" w:hAnsi="宋体" w:cs="宋体"/>
                <w:color w:val="000000"/>
                <w:kern w:val="0"/>
                <w:sz w:val="18"/>
                <w:szCs w:val="18"/>
              </w:rPr>
              <w:t>游戏行为观察的重要性；</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3.行为观察的内容及指导策略。</w:t>
            </w:r>
          </w:p>
        </w:tc>
        <w:tc>
          <w:tcPr>
            <w:tcW w:w="968" w:type="dxa"/>
            <w:tcBorders>
              <w:top w:val="nil"/>
              <w:left w:val="nil"/>
              <w:bottom w:val="single" w:color="auto" w:sz="4" w:space="0"/>
              <w:right w:val="single" w:color="auto" w:sz="4" w:space="0"/>
            </w:tcBorders>
            <w:shd w:val="clear" w:color="auto" w:fill="auto"/>
            <w:vAlign w:val="center"/>
          </w:tcPr>
          <w:p>
            <w:pPr>
              <w:widowControl/>
              <w:spacing w:before="120" w:after="120" w:line="0" w:lineRule="atLeast"/>
              <w:jc w:val="center"/>
              <w:rPr>
                <w:rFonts w:hint="eastAsia" w:ascii="宋体" w:hAnsi="宋体"/>
                <w:color w:val="000000"/>
                <w:sz w:val="18"/>
                <w:szCs w:val="18"/>
              </w:rPr>
            </w:pPr>
            <w:r>
              <w:rPr>
                <w:rFonts w:hint="eastAsia" w:ascii="宋体" w:hAnsi="宋体" w:cs="宋体"/>
                <w:color w:val="000000"/>
                <w:kern w:val="0"/>
                <w:sz w:val="18"/>
                <w:szCs w:val="18"/>
              </w:rPr>
              <w:t>专题讲解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案例分析</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小组演练</w:t>
            </w:r>
          </w:p>
        </w:tc>
      </w:tr>
      <w:tr>
        <w:tblPrEx>
          <w:tblLayout w:type="fixed"/>
          <w:tblCellMar>
            <w:top w:w="0" w:type="dxa"/>
            <w:left w:w="108" w:type="dxa"/>
            <w:bottom w:w="0" w:type="dxa"/>
            <w:right w:w="108" w:type="dxa"/>
          </w:tblCellMar>
        </w:tblPrEx>
        <w:trPr>
          <w:trHeight w:val="119" w:hRule="atLeast"/>
        </w:trPr>
        <w:tc>
          <w:tcPr>
            <w:tcW w:w="427" w:type="dxa"/>
            <w:vMerge w:val="continue"/>
            <w:tcBorders>
              <w:left w:val="single" w:color="auto" w:sz="4" w:space="0"/>
              <w:right w:val="single" w:color="auto" w:sz="4" w:space="0"/>
            </w:tcBorders>
            <w:shd w:val="clear" w:color="auto" w:fill="auto"/>
            <w:vAlign w:val="center"/>
          </w:tcPr>
          <w:p>
            <w:pPr>
              <w:widowControl/>
              <w:spacing w:before="120" w:after="120" w:line="0" w:lineRule="atLeast"/>
              <w:jc w:val="center"/>
              <w:rPr>
                <w:rFonts w:hint="eastAsia" w:ascii="宋体" w:hAnsi="宋体" w:cs="宋体"/>
                <w:b/>
                <w:bCs/>
                <w:color w:val="000000"/>
                <w:kern w:val="0"/>
                <w:sz w:val="18"/>
                <w:szCs w:val="18"/>
              </w:rPr>
            </w:pPr>
          </w:p>
        </w:tc>
        <w:tc>
          <w:tcPr>
            <w:tcW w:w="879" w:type="dxa"/>
            <w:vMerge w:val="continue"/>
            <w:tcBorders>
              <w:left w:val="single" w:color="auto" w:sz="4" w:space="0"/>
              <w:right w:val="single" w:color="auto" w:sz="4" w:space="0"/>
            </w:tcBorders>
            <w:shd w:val="clear" w:color="auto" w:fill="auto"/>
            <w:vAlign w:val="center"/>
          </w:tcPr>
          <w:p>
            <w:pPr>
              <w:widowControl/>
              <w:spacing w:before="120" w:after="120" w:line="0" w:lineRule="atLeast"/>
              <w:jc w:val="center"/>
              <w:rPr>
                <w:rFonts w:hint="eastAsia" w:ascii="宋体" w:hAnsi="宋体" w:cs="宋体"/>
                <w:b/>
                <w:bCs/>
                <w:color w:val="000000"/>
                <w:kern w:val="0"/>
                <w:sz w:val="18"/>
                <w:szCs w:val="18"/>
              </w:rPr>
            </w:pPr>
          </w:p>
        </w:tc>
        <w:tc>
          <w:tcPr>
            <w:tcW w:w="2204" w:type="dxa"/>
            <w:tcBorders>
              <w:top w:val="single" w:color="auto" w:sz="4" w:space="0"/>
              <w:left w:val="nil"/>
              <w:bottom w:val="nil"/>
              <w:right w:val="single" w:color="auto" w:sz="4" w:space="0"/>
            </w:tcBorders>
            <w:shd w:val="clear" w:color="auto" w:fill="auto"/>
            <w:vAlign w:val="center"/>
          </w:tcPr>
          <w:p>
            <w:pPr>
              <w:spacing w:before="120" w:after="120" w:line="0" w:lineRule="atLeast"/>
              <w:jc w:val="center"/>
              <w:rPr>
                <w:rFonts w:hint="eastAsia" w:ascii="宋体" w:hAnsi="宋体" w:cs="宋体"/>
                <w:kern w:val="0"/>
                <w:sz w:val="18"/>
                <w:szCs w:val="18"/>
              </w:rPr>
            </w:pPr>
          </w:p>
        </w:tc>
        <w:tc>
          <w:tcPr>
            <w:tcW w:w="3236" w:type="dxa"/>
            <w:tcBorders>
              <w:top w:val="single" w:color="auto" w:sz="4" w:space="0"/>
              <w:left w:val="nil"/>
              <w:bottom w:val="nil"/>
              <w:right w:val="single" w:color="auto" w:sz="4" w:space="0"/>
            </w:tcBorders>
            <w:shd w:val="clear" w:color="auto" w:fill="auto"/>
            <w:vAlign w:val="center"/>
          </w:tcPr>
          <w:p>
            <w:pPr>
              <w:spacing w:before="120" w:after="120" w:line="0" w:lineRule="atLeast"/>
              <w:jc w:val="left"/>
              <w:rPr>
                <w:rFonts w:hint="eastAsia" w:ascii="宋体" w:hAnsi="宋体" w:cs="宋体"/>
                <w:color w:val="000000"/>
                <w:kern w:val="0"/>
                <w:sz w:val="18"/>
                <w:szCs w:val="18"/>
              </w:rPr>
            </w:pPr>
          </w:p>
        </w:tc>
        <w:tc>
          <w:tcPr>
            <w:tcW w:w="3285" w:type="dxa"/>
            <w:tcBorders>
              <w:top w:val="single" w:color="auto" w:sz="4" w:space="0"/>
              <w:left w:val="nil"/>
              <w:bottom w:val="nil"/>
              <w:right w:val="single" w:color="auto" w:sz="4" w:space="0"/>
            </w:tcBorders>
            <w:shd w:val="clear" w:color="auto" w:fill="auto"/>
            <w:vAlign w:val="center"/>
          </w:tcPr>
          <w:p>
            <w:pPr>
              <w:spacing w:before="120" w:after="120" w:line="0" w:lineRule="atLeast"/>
              <w:jc w:val="left"/>
              <w:rPr>
                <w:rFonts w:hint="eastAsia" w:ascii="宋体" w:hAnsi="宋体" w:cs="宋体"/>
                <w:color w:val="000000"/>
                <w:kern w:val="0"/>
                <w:sz w:val="18"/>
                <w:szCs w:val="18"/>
              </w:rPr>
            </w:pPr>
          </w:p>
        </w:tc>
        <w:tc>
          <w:tcPr>
            <w:tcW w:w="968" w:type="dxa"/>
            <w:tcBorders>
              <w:top w:val="single" w:color="auto" w:sz="4" w:space="0"/>
              <w:left w:val="nil"/>
              <w:bottom w:val="nil"/>
              <w:right w:val="single" w:color="auto" w:sz="4" w:space="0"/>
            </w:tcBorders>
            <w:shd w:val="clear" w:color="auto" w:fill="auto"/>
            <w:vAlign w:val="center"/>
          </w:tcPr>
          <w:p>
            <w:pPr>
              <w:widowControl/>
              <w:spacing w:before="120" w:after="120" w:line="0" w:lineRule="atLeast"/>
              <w:jc w:val="center"/>
              <w:rPr>
                <w:rFonts w:hint="eastAsia" w:ascii="宋体" w:hAnsi="宋体"/>
                <w:color w:val="000000"/>
                <w:sz w:val="18"/>
                <w:szCs w:val="18"/>
              </w:rPr>
            </w:pPr>
          </w:p>
        </w:tc>
      </w:tr>
      <w:tr>
        <w:tblPrEx>
          <w:tblLayout w:type="fixed"/>
          <w:tblCellMar>
            <w:top w:w="0" w:type="dxa"/>
            <w:left w:w="108" w:type="dxa"/>
            <w:bottom w:w="0" w:type="dxa"/>
            <w:right w:w="108" w:type="dxa"/>
          </w:tblCellMar>
        </w:tblPrEx>
        <w:trPr>
          <w:trHeight w:val="144" w:hRule="atLeast"/>
        </w:trPr>
        <w:tc>
          <w:tcPr>
            <w:tcW w:w="427" w:type="dxa"/>
            <w:vMerge w:val="continue"/>
            <w:tcBorders>
              <w:left w:val="single" w:color="auto" w:sz="4" w:space="0"/>
              <w:bottom w:val="nil"/>
              <w:right w:val="single" w:color="auto" w:sz="4" w:space="0"/>
            </w:tcBorders>
            <w:shd w:val="clear" w:color="auto" w:fill="auto"/>
            <w:vAlign w:val="center"/>
          </w:tcPr>
          <w:p>
            <w:pPr>
              <w:widowControl/>
              <w:spacing w:before="120" w:after="120" w:line="0" w:lineRule="atLeast"/>
              <w:jc w:val="center"/>
              <w:rPr>
                <w:rFonts w:hint="eastAsia" w:ascii="宋体" w:hAnsi="宋体" w:cs="宋体"/>
                <w:b/>
                <w:bCs/>
                <w:color w:val="000000"/>
                <w:kern w:val="0"/>
                <w:sz w:val="18"/>
                <w:szCs w:val="18"/>
              </w:rPr>
            </w:pPr>
          </w:p>
        </w:tc>
        <w:tc>
          <w:tcPr>
            <w:tcW w:w="879" w:type="dxa"/>
            <w:vMerge w:val="continue"/>
            <w:tcBorders>
              <w:left w:val="single" w:color="auto" w:sz="4" w:space="0"/>
              <w:right w:val="single" w:color="auto" w:sz="4" w:space="0"/>
            </w:tcBorders>
            <w:shd w:val="clear" w:color="auto" w:fill="auto"/>
            <w:vAlign w:val="center"/>
          </w:tcPr>
          <w:p>
            <w:pPr>
              <w:widowControl/>
              <w:spacing w:before="120" w:after="120" w:line="0" w:lineRule="atLeast"/>
              <w:jc w:val="center"/>
              <w:rPr>
                <w:rFonts w:hint="eastAsia" w:ascii="宋体" w:hAnsi="宋体" w:cs="宋体"/>
                <w:b/>
                <w:bCs/>
                <w:color w:val="000000"/>
                <w:kern w:val="0"/>
                <w:sz w:val="18"/>
                <w:szCs w:val="18"/>
              </w:rPr>
            </w:pPr>
          </w:p>
        </w:tc>
        <w:tc>
          <w:tcPr>
            <w:tcW w:w="2204" w:type="dxa"/>
            <w:tcBorders>
              <w:top w:val="nil"/>
              <w:left w:val="nil"/>
              <w:bottom w:val="nil"/>
              <w:right w:val="single" w:color="auto" w:sz="4" w:space="0"/>
            </w:tcBorders>
            <w:shd w:val="clear" w:color="auto" w:fill="auto"/>
            <w:vAlign w:val="center"/>
          </w:tcPr>
          <w:p>
            <w:pPr>
              <w:widowControl/>
              <w:spacing w:before="120" w:after="120"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《如何进行幼儿园</w:t>
            </w:r>
            <w:r>
              <w:rPr>
                <w:rFonts w:hint="eastAsia" w:ascii="宋体" w:hAnsi="宋体" w:cs="宋体"/>
                <w:color w:val="000000"/>
                <w:kern w:val="0"/>
                <w:sz w:val="18"/>
                <w:szCs w:val="18"/>
                <w:lang w:eastAsia="zh-CN"/>
              </w:rPr>
              <w:t>建构</w:t>
            </w:r>
            <w:r>
              <w:rPr>
                <w:rFonts w:hint="eastAsia" w:ascii="宋体" w:hAnsi="宋体" w:cs="宋体"/>
                <w:color w:val="000000"/>
                <w:kern w:val="0"/>
                <w:sz w:val="18"/>
                <w:szCs w:val="18"/>
              </w:rPr>
              <w:t>游戏的观察记录》</w:t>
            </w:r>
          </w:p>
        </w:tc>
        <w:tc>
          <w:tcPr>
            <w:tcW w:w="3236" w:type="dxa"/>
            <w:tcBorders>
              <w:top w:val="nil"/>
              <w:left w:val="nil"/>
              <w:bottom w:val="nil"/>
              <w:right w:val="single" w:color="auto" w:sz="4" w:space="0"/>
            </w:tcBorders>
            <w:shd w:val="clear" w:color="auto" w:fill="auto"/>
            <w:vAlign w:val="center"/>
          </w:tcPr>
          <w:p>
            <w:pPr>
              <w:widowControl/>
              <w:spacing w:before="120" w:after="120" w:line="0" w:lineRule="atLeast"/>
              <w:jc w:val="left"/>
              <w:rPr>
                <w:rFonts w:ascii="宋体" w:hAnsi="宋体" w:cs="宋体"/>
                <w:color w:val="000000"/>
                <w:kern w:val="0"/>
                <w:sz w:val="18"/>
                <w:szCs w:val="18"/>
              </w:rPr>
            </w:pPr>
            <w:r>
              <w:rPr>
                <w:rFonts w:hint="eastAsia" w:ascii="宋体" w:hAnsi="宋体" w:cs="宋体"/>
                <w:color w:val="000000"/>
                <w:kern w:val="0"/>
                <w:sz w:val="18"/>
                <w:szCs w:val="18"/>
              </w:rPr>
              <w:t>1.理解观察记录的重要性；</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2.掌握常用观察记录方法；</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3.学会根据观察进行分析。</w:t>
            </w:r>
          </w:p>
        </w:tc>
        <w:tc>
          <w:tcPr>
            <w:tcW w:w="3285" w:type="dxa"/>
            <w:tcBorders>
              <w:top w:val="nil"/>
              <w:left w:val="nil"/>
              <w:bottom w:val="nil"/>
              <w:right w:val="single" w:color="auto" w:sz="4" w:space="0"/>
            </w:tcBorders>
            <w:shd w:val="clear" w:color="auto" w:fill="auto"/>
            <w:vAlign w:val="center"/>
          </w:tcPr>
          <w:p>
            <w:pPr>
              <w:widowControl/>
              <w:spacing w:before="120" w:after="120" w:line="0" w:lineRule="atLeast"/>
              <w:jc w:val="left"/>
              <w:rPr>
                <w:rFonts w:ascii="宋体" w:hAnsi="宋体" w:cs="宋体"/>
                <w:color w:val="000000"/>
                <w:kern w:val="0"/>
                <w:sz w:val="18"/>
                <w:szCs w:val="18"/>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建构</w:t>
            </w:r>
            <w:r>
              <w:rPr>
                <w:rFonts w:hint="eastAsia" w:ascii="宋体" w:hAnsi="宋体" w:cs="宋体"/>
                <w:color w:val="000000"/>
                <w:kern w:val="0"/>
                <w:sz w:val="18"/>
                <w:szCs w:val="18"/>
              </w:rPr>
              <w:t>游戏观察记录的重要性；</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w:t>
            </w:r>
            <w:r>
              <w:rPr>
                <w:rFonts w:hint="eastAsia" w:ascii="宋体" w:hAnsi="宋体" w:cs="宋体"/>
                <w:color w:val="000000"/>
                <w:kern w:val="0"/>
                <w:sz w:val="18"/>
                <w:szCs w:val="18"/>
                <w:lang w:eastAsia="zh-CN"/>
              </w:rPr>
              <w:t>建构</w:t>
            </w:r>
            <w:r>
              <w:rPr>
                <w:rFonts w:hint="eastAsia" w:ascii="宋体" w:hAnsi="宋体" w:cs="宋体"/>
                <w:color w:val="000000"/>
                <w:kern w:val="0"/>
                <w:sz w:val="18"/>
                <w:szCs w:val="18"/>
              </w:rPr>
              <w:t>游戏观察记录的类型；</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3.游戏中如何进行观察记录。</w:t>
            </w:r>
          </w:p>
        </w:tc>
        <w:tc>
          <w:tcPr>
            <w:tcW w:w="968" w:type="dxa"/>
            <w:tcBorders>
              <w:top w:val="nil"/>
              <w:left w:val="nil"/>
              <w:bottom w:val="nil"/>
              <w:right w:val="single" w:color="auto" w:sz="4" w:space="0"/>
            </w:tcBorders>
            <w:shd w:val="clear" w:color="auto" w:fill="auto"/>
            <w:vAlign w:val="center"/>
          </w:tcPr>
          <w:p>
            <w:pPr>
              <w:widowControl/>
              <w:spacing w:before="120" w:after="120" w:line="0" w:lineRule="atLeast"/>
              <w:jc w:val="center"/>
              <w:rPr>
                <w:rFonts w:hint="eastAsia" w:ascii="宋体" w:hAnsi="宋体"/>
                <w:color w:val="000000"/>
                <w:sz w:val="18"/>
                <w:szCs w:val="18"/>
              </w:rPr>
            </w:pPr>
            <w:r>
              <w:rPr>
                <w:rFonts w:hint="eastAsia" w:ascii="宋体" w:hAnsi="宋体" w:cs="宋体"/>
                <w:color w:val="000000"/>
                <w:kern w:val="0"/>
                <w:sz w:val="18"/>
                <w:szCs w:val="18"/>
              </w:rPr>
              <w:t>专题讲解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案例分析</w:t>
            </w:r>
          </w:p>
        </w:tc>
      </w:tr>
      <w:tr>
        <w:tblPrEx>
          <w:tblLayout w:type="fixed"/>
          <w:tblCellMar>
            <w:top w:w="0" w:type="dxa"/>
            <w:left w:w="108" w:type="dxa"/>
            <w:bottom w:w="0" w:type="dxa"/>
            <w:right w:w="108" w:type="dxa"/>
          </w:tblCellMar>
        </w:tblPrEx>
        <w:trPr>
          <w:trHeight w:val="80" w:hRule="atLeast"/>
        </w:trPr>
        <w:tc>
          <w:tcPr>
            <w:tcW w:w="427" w:type="dxa"/>
            <w:tcBorders>
              <w:top w:val="nil"/>
              <w:left w:val="single" w:color="auto" w:sz="4" w:space="0"/>
              <w:bottom w:val="single" w:color="000000" w:sz="4" w:space="0"/>
              <w:right w:val="single" w:color="auto" w:sz="4" w:space="0"/>
            </w:tcBorders>
            <w:shd w:val="clear" w:color="auto" w:fill="auto"/>
            <w:vAlign w:val="center"/>
          </w:tcPr>
          <w:p>
            <w:pPr>
              <w:widowControl/>
              <w:spacing w:before="120" w:after="120" w:line="0" w:lineRule="atLeast"/>
              <w:jc w:val="center"/>
              <w:rPr>
                <w:rFonts w:hint="eastAsia" w:ascii="宋体" w:hAnsi="宋体" w:cs="宋体"/>
                <w:b/>
                <w:bCs/>
                <w:color w:val="000000"/>
                <w:kern w:val="0"/>
                <w:sz w:val="22"/>
                <w:szCs w:val="22"/>
              </w:rPr>
            </w:pPr>
          </w:p>
        </w:tc>
        <w:tc>
          <w:tcPr>
            <w:tcW w:w="879" w:type="dxa"/>
            <w:vMerge w:val="continue"/>
            <w:tcBorders>
              <w:left w:val="single" w:color="auto" w:sz="4" w:space="0"/>
              <w:bottom w:val="single" w:color="000000" w:sz="4" w:space="0"/>
              <w:right w:val="single" w:color="auto" w:sz="4" w:space="0"/>
            </w:tcBorders>
            <w:shd w:val="clear" w:color="auto" w:fill="auto"/>
            <w:vAlign w:val="center"/>
          </w:tcPr>
          <w:p>
            <w:pPr>
              <w:widowControl/>
              <w:spacing w:before="120" w:after="120" w:line="0" w:lineRule="atLeast"/>
              <w:jc w:val="center"/>
              <w:rPr>
                <w:rFonts w:hint="eastAsia" w:ascii="宋体" w:hAnsi="宋体" w:cs="宋体"/>
                <w:b/>
                <w:bCs/>
                <w:color w:val="000000"/>
                <w:kern w:val="0"/>
                <w:szCs w:val="21"/>
              </w:rPr>
            </w:pPr>
          </w:p>
        </w:tc>
        <w:tc>
          <w:tcPr>
            <w:tcW w:w="2204" w:type="dxa"/>
            <w:tcBorders>
              <w:top w:val="nil"/>
              <w:left w:val="nil"/>
              <w:bottom w:val="single" w:color="auto" w:sz="4" w:space="0"/>
              <w:right w:val="single" w:color="auto" w:sz="4" w:space="0"/>
            </w:tcBorders>
            <w:shd w:val="clear" w:color="auto" w:fill="auto"/>
            <w:vAlign w:val="center"/>
          </w:tcPr>
          <w:p>
            <w:pPr>
              <w:spacing w:before="120" w:after="120" w:line="0" w:lineRule="atLeast"/>
              <w:jc w:val="center"/>
              <w:rPr>
                <w:rFonts w:hint="eastAsia" w:ascii="宋体" w:hAnsi="宋体"/>
                <w:color w:val="000000"/>
                <w:szCs w:val="21"/>
              </w:rPr>
            </w:pPr>
          </w:p>
        </w:tc>
        <w:tc>
          <w:tcPr>
            <w:tcW w:w="3236" w:type="dxa"/>
            <w:tcBorders>
              <w:top w:val="nil"/>
              <w:left w:val="nil"/>
              <w:bottom w:val="single" w:color="auto" w:sz="4" w:space="0"/>
              <w:right w:val="single" w:color="auto" w:sz="4" w:space="0"/>
            </w:tcBorders>
            <w:shd w:val="clear" w:color="auto" w:fill="auto"/>
            <w:vAlign w:val="center"/>
          </w:tcPr>
          <w:p>
            <w:pPr>
              <w:spacing w:before="120" w:after="120" w:line="0" w:lineRule="atLeast"/>
              <w:rPr>
                <w:rFonts w:hint="eastAsia" w:ascii="宋体" w:hAnsi="宋体"/>
                <w:color w:val="000000"/>
                <w:szCs w:val="21"/>
              </w:rPr>
            </w:pPr>
          </w:p>
        </w:tc>
        <w:tc>
          <w:tcPr>
            <w:tcW w:w="3285" w:type="dxa"/>
            <w:tcBorders>
              <w:top w:val="nil"/>
              <w:left w:val="nil"/>
              <w:bottom w:val="single" w:color="auto" w:sz="4" w:space="0"/>
              <w:right w:val="single" w:color="auto" w:sz="4" w:space="0"/>
            </w:tcBorders>
            <w:shd w:val="clear" w:color="auto" w:fill="auto"/>
            <w:vAlign w:val="center"/>
          </w:tcPr>
          <w:p>
            <w:pPr>
              <w:spacing w:before="120" w:after="120" w:line="0" w:lineRule="atLeast"/>
              <w:rPr>
                <w:rFonts w:hint="eastAsia" w:ascii="宋体" w:hAnsi="宋体"/>
                <w:color w:val="000000"/>
                <w:szCs w:val="21"/>
              </w:rPr>
            </w:pPr>
          </w:p>
        </w:tc>
        <w:tc>
          <w:tcPr>
            <w:tcW w:w="968" w:type="dxa"/>
            <w:tcBorders>
              <w:top w:val="nil"/>
              <w:left w:val="nil"/>
              <w:bottom w:val="single" w:color="auto" w:sz="4" w:space="0"/>
              <w:right w:val="single" w:color="auto" w:sz="4" w:space="0"/>
            </w:tcBorders>
            <w:shd w:val="clear" w:color="auto" w:fill="auto"/>
            <w:vAlign w:val="center"/>
          </w:tcPr>
          <w:p>
            <w:pPr>
              <w:widowControl/>
              <w:spacing w:before="120" w:after="120" w:line="0" w:lineRule="atLeast"/>
              <w:jc w:val="center"/>
              <w:rPr>
                <w:rFonts w:hint="eastAsia" w:ascii="宋体" w:hAnsi="宋体"/>
                <w:color w:val="000000"/>
                <w:szCs w:val="21"/>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left"/>
        <w:textAlignment w:val="auto"/>
        <w:rPr>
          <w:rFonts w:hint="eastAsia" w:eastAsia="宋体"/>
          <w:b/>
          <w:bCs/>
          <w:sz w:val="24"/>
          <w:szCs w:val="24"/>
          <w:lang w:val="en-US" w:eastAsia="zh-CN"/>
        </w:rPr>
      </w:pPr>
      <w:bookmarkStart w:id="6" w:name="_Toc12806_WPSOffice_Level1"/>
      <w:r>
        <w:rPr>
          <w:rFonts w:hint="eastAsia"/>
          <w:b/>
          <w:bCs/>
          <w:sz w:val="24"/>
          <w:szCs w:val="24"/>
          <w:lang w:val="en-US" w:eastAsia="zh-CN"/>
        </w:rPr>
        <w:t>四、</w:t>
      </w:r>
      <w:r>
        <w:rPr>
          <w:rFonts w:hint="eastAsia" w:ascii="宋体" w:hAnsi="宋体" w:cs="宋体"/>
          <w:b/>
          <w:bCs/>
          <w:sz w:val="24"/>
          <w:szCs w:val="24"/>
          <w:lang w:eastAsia="zh-CN"/>
        </w:rPr>
        <w:t xml:space="preserve"> 室内游戏</w:t>
      </w:r>
      <w:r>
        <w:rPr>
          <w:rFonts w:hint="eastAsia" w:cs="Times New Roman"/>
          <w:b/>
          <w:bCs/>
          <w:sz w:val="24"/>
          <w:szCs w:val="24"/>
          <w:lang w:eastAsia="zh-CN"/>
        </w:rPr>
        <w:t>价值</w:t>
      </w:r>
      <w:bookmarkEnd w:id="6"/>
    </w:p>
    <w:p>
      <w:pPr>
        <w:pageBreakBefore w:val="0"/>
        <w:kinsoku/>
        <w:wordWrap/>
        <w:overflowPunct/>
        <w:topLinePunct w:val="0"/>
        <w:autoSpaceDE/>
        <w:autoSpaceDN/>
        <w:bidi w:val="0"/>
        <w:adjustRightInd/>
        <w:snapToGrid/>
        <w:spacing w:line="360" w:lineRule="auto"/>
        <w:ind w:firstLine="420" w:firstLineChars="200"/>
        <w:rPr>
          <w:rFonts w:hint="eastAsia" w:ascii="宋体" w:hAnsi="宋体" w:cs="宋体"/>
          <w:bCs/>
          <w:color w:val="auto"/>
          <w:lang w:eastAsia="zh-CN"/>
        </w:rPr>
      </w:pPr>
      <w:r>
        <w:rPr>
          <w:rFonts w:hint="eastAsia" w:ascii="宋体" w:hAnsi="宋体" w:cs="宋体"/>
          <w:bCs/>
          <w:color w:val="auto"/>
          <w:lang w:eastAsia="zh-CN"/>
        </w:rPr>
        <w:t xml:space="preserve"> 室内游戏课程是教育部“十一五”重点课题“幼儿园玩教具科学配置的研究”成果，凝聚了国内学前教育界权威专家、教授，各地优秀幼儿园园长、教师的智慧，代表着国内全新的建构活动研究成果。</w:t>
      </w:r>
    </w:p>
    <w:p>
      <w:pPr>
        <w:pageBreakBefore w:val="0"/>
        <w:kinsoku/>
        <w:wordWrap/>
        <w:overflowPunct/>
        <w:topLinePunct w:val="0"/>
        <w:autoSpaceDE/>
        <w:autoSpaceDN/>
        <w:bidi w:val="0"/>
        <w:adjustRightInd/>
        <w:snapToGrid/>
        <w:spacing w:line="360" w:lineRule="auto"/>
        <w:ind w:firstLine="422" w:firstLineChars="200"/>
        <w:rPr>
          <w:rFonts w:hint="eastAsia" w:ascii="宋体" w:hAnsi="宋体" w:cs="宋体"/>
          <w:b w:val="0"/>
          <w:bCs/>
          <w:color w:val="auto"/>
          <w:lang w:eastAsia="zh-CN"/>
        </w:rPr>
      </w:pPr>
      <w:bookmarkStart w:id="7" w:name="_Toc12806_WPSOffice_Level2"/>
      <w:bookmarkStart w:id="8" w:name="_Toc26095_WPSOffice_Level2"/>
      <w:r>
        <w:rPr>
          <w:rFonts w:hint="eastAsia" w:ascii="宋体" w:hAnsi="宋体" w:cs="宋体"/>
          <w:b/>
          <w:bCs w:val="0"/>
          <w:color w:val="auto"/>
          <w:lang w:eastAsia="zh-CN"/>
        </w:rPr>
        <w:t>（一）</w:t>
      </w:r>
      <w:r>
        <w:rPr>
          <w:rFonts w:hint="eastAsia" w:cs="Times New Roman"/>
          <w:b/>
          <w:bCs/>
          <w:kern w:val="2"/>
          <w:sz w:val="21"/>
          <w:szCs w:val="21"/>
          <w:lang w:val="en-US" w:eastAsia="zh-CN" w:bidi="ar-SA"/>
        </w:rPr>
        <w:t>打造课程特色</w:t>
      </w:r>
      <w:bookmarkEnd w:id="7"/>
      <w:r>
        <w:rPr>
          <w:rFonts w:hint="eastAsia" w:cs="Times New Roman"/>
          <w:b/>
          <w:bCs/>
          <w:kern w:val="2"/>
          <w:sz w:val="21"/>
          <w:szCs w:val="21"/>
          <w:lang w:val="en-US" w:eastAsia="zh-CN" w:bidi="ar-SA"/>
        </w:rPr>
        <w:t>，助力园所评优评级</w:t>
      </w:r>
    </w:p>
    <w:p>
      <w:pPr>
        <w:pageBreakBefore w:val="0"/>
        <w:kinsoku/>
        <w:wordWrap/>
        <w:overflowPunct/>
        <w:topLinePunct w:val="0"/>
        <w:autoSpaceDE/>
        <w:autoSpaceDN/>
        <w:bidi w:val="0"/>
        <w:adjustRightInd/>
        <w:snapToGrid/>
        <w:spacing w:line="360" w:lineRule="auto"/>
        <w:ind w:firstLine="420" w:firstLineChars="200"/>
        <w:rPr>
          <w:rFonts w:hint="eastAsia" w:ascii="宋体" w:hAnsi="宋体" w:cs="宋体"/>
          <w:b/>
          <w:bCs w:val="0"/>
          <w:color w:val="auto"/>
          <w:lang w:eastAsia="zh-CN"/>
        </w:rPr>
      </w:pPr>
      <w:r>
        <w:rPr>
          <w:rFonts w:hint="eastAsia" w:cs="Times New Roman"/>
          <w:b w:val="0"/>
          <w:bCs w:val="0"/>
          <w:kern w:val="2"/>
          <w:sz w:val="21"/>
          <w:szCs w:val="21"/>
          <w:lang w:val="en-US" w:eastAsia="zh-CN" w:bidi="ar-SA"/>
        </w:rPr>
        <w:t>从政策要求来看，开展室内建构游戏活动已经是大势所趋，这是坚持以游戏为基本活动，防止幼儿园教育“小学化”倾向的一项重大举措，目前已经有很多省份陆续出台了幼儿园需配备活动区角的相关文件，并把活动区的配备当成评级标准之一。</w:t>
      </w:r>
    </w:p>
    <w:p>
      <w:pPr>
        <w:keepNext w:val="0"/>
        <w:keepLines w:val="0"/>
        <w:pageBreakBefore w:val="0"/>
        <w:widowControl w:val="0"/>
        <w:kinsoku/>
        <w:wordWrap/>
        <w:overflowPunct/>
        <w:topLinePunct w:val="0"/>
        <w:autoSpaceDE/>
        <w:autoSpaceDN/>
        <w:bidi w:val="0"/>
        <w:adjustRightInd/>
        <w:snapToGrid/>
        <w:spacing w:line="360" w:lineRule="auto"/>
        <w:ind w:firstLine="357" w:firstLineChars="0"/>
        <w:jc w:val="left"/>
        <w:textAlignment w:val="auto"/>
        <w:outlineLvl w:val="9"/>
        <w:rPr>
          <w:rFonts w:hint="eastAsia" w:ascii="宋体" w:hAnsi="宋体" w:cs="宋体"/>
          <w:b/>
          <w:bCs w:val="0"/>
          <w:color w:val="auto"/>
          <w:lang w:eastAsia="zh-CN"/>
        </w:rPr>
      </w:pPr>
      <w:r>
        <w:rPr>
          <w:rFonts w:hint="eastAsia" w:ascii="宋体" w:hAnsi="宋体" w:cs="宋体"/>
          <w:bCs/>
          <w:color w:val="auto"/>
          <w:lang w:eastAsia="zh-CN"/>
        </w:rPr>
        <w:t xml:space="preserve"> 室内建构游戏引入，让园所的硬件设施更完备，课程特色更鲜明，提供的方案中每一类主题活动都提供了多个延伸活动和其他材料的配备建议，既符合了游戏活动的开放性特征，又能帮助园所实现个性化的室内游戏活动，有助于幼儿园全面实现游戏化教学。</w:t>
      </w:r>
      <w:r>
        <w:rPr>
          <w:rFonts w:hint="eastAsia" w:cs="Times New Roman"/>
          <w:b w:val="0"/>
          <w:bCs w:val="0"/>
          <w:kern w:val="2"/>
          <w:sz w:val="21"/>
          <w:szCs w:val="21"/>
          <w:lang w:val="en-US" w:eastAsia="zh-CN" w:bidi="ar-SA"/>
        </w:rPr>
        <w:t>利用 室内建构游戏突出优势，助力科学保教，为园所的室内游戏特色课程发展及评级、提费等多方面进行精准服务。</w:t>
      </w:r>
    </w:p>
    <w:p>
      <w:pPr>
        <w:pageBreakBefore w:val="0"/>
        <w:numPr>
          <w:ilvl w:val="0"/>
          <w:numId w:val="0"/>
        </w:numPr>
        <w:kinsoku/>
        <w:wordWrap/>
        <w:overflowPunct/>
        <w:topLinePunct w:val="0"/>
        <w:autoSpaceDE/>
        <w:autoSpaceDN/>
        <w:bidi w:val="0"/>
        <w:adjustRightInd/>
        <w:snapToGrid/>
        <w:spacing w:line="360" w:lineRule="auto"/>
        <w:ind w:firstLine="422" w:firstLineChars="200"/>
        <w:rPr>
          <w:rFonts w:hint="eastAsia" w:ascii="宋体" w:hAnsi="宋体" w:cs="宋体"/>
          <w:b/>
          <w:bCs w:val="0"/>
          <w:color w:val="auto"/>
          <w:lang w:eastAsia="zh-CN"/>
        </w:rPr>
      </w:pPr>
      <w:r>
        <w:rPr>
          <w:rFonts w:hint="eastAsia" w:ascii="宋体" w:hAnsi="宋体" w:cs="宋体"/>
          <w:b/>
          <w:bCs w:val="0"/>
          <w:color w:val="auto"/>
          <w:lang w:eastAsia="zh-CN"/>
        </w:rPr>
        <w:t>（二）方案手册结合，解决教师难题</w:t>
      </w:r>
      <w:bookmarkEnd w:id="8"/>
    </w:p>
    <w:p>
      <w:pPr>
        <w:pageBreakBefore w:val="0"/>
        <w:kinsoku/>
        <w:wordWrap/>
        <w:overflowPunct/>
        <w:topLinePunct w:val="0"/>
        <w:autoSpaceDE/>
        <w:autoSpaceDN/>
        <w:bidi w:val="0"/>
        <w:adjustRightInd/>
        <w:snapToGrid/>
        <w:spacing w:line="360" w:lineRule="auto"/>
        <w:ind w:firstLine="420" w:firstLineChars="200"/>
        <w:rPr>
          <w:rFonts w:hint="eastAsia" w:ascii="宋体" w:hAnsi="宋体" w:cs="宋体"/>
          <w:bCs/>
          <w:color w:val="auto"/>
          <w:lang w:eastAsia="zh-CN"/>
        </w:rPr>
      </w:pPr>
      <w:r>
        <w:rPr>
          <w:rFonts w:hint="eastAsia" w:ascii="宋体" w:hAnsi="宋体" w:cs="宋体"/>
          <w:bCs/>
          <w:color w:val="auto"/>
          <w:lang w:eastAsia="zh-CN"/>
        </w:rPr>
        <w:t xml:space="preserve"> </w:t>
      </w:r>
      <w:r>
        <w:rPr>
          <w:rFonts w:hint="eastAsia" w:cs="Times New Roman"/>
          <w:b w:val="0"/>
          <w:bCs w:val="0"/>
          <w:kern w:val="2"/>
          <w:sz w:val="21"/>
          <w:szCs w:val="21"/>
          <w:lang w:val="en-US" w:eastAsia="zh-CN" w:bidi="ar-SA"/>
        </w:rPr>
        <w:t>室内建构</w:t>
      </w:r>
      <w:r>
        <w:rPr>
          <w:rFonts w:hint="eastAsia" w:ascii="宋体" w:hAnsi="宋体" w:cs="宋体"/>
          <w:bCs/>
          <w:color w:val="auto"/>
          <w:lang w:eastAsia="zh-CN"/>
        </w:rPr>
        <w:t>游戏课程为园所提供了一整套完善的幼儿园室内活动开展的整体方案。从理论层面对室内游戏活动的开展进行了全面的解析，并以众多实验园真实生动的案例为基础，从实践层面给教师提供切实可行的指导策略，使教师便于理解和实施。从方案、材料、环境创设三方面提升游戏活动的趣味性和教育性，将健康、语言、社会、科学、艺术五大领域目标融于游戏活动中，并运用于课程设计之中，解决教师开展实施建构活动的难题。</w:t>
      </w:r>
    </w:p>
    <w:p>
      <w:pPr>
        <w:pageBreakBefore w:val="0"/>
        <w:numPr>
          <w:ilvl w:val="0"/>
          <w:numId w:val="0"/>
        </w:numPr>
        <w:kinsoku/>
        <w:wordWrap/>
        <w:overflowPunct/>
        <w:topLinePunct w:val="0"/>
        <w:autoSpaceDE/>
        <w:autoSpaceDN/>
        <w:bidi w:val="0"/>
        <w:adjustRightInd/>
        <w:snapToGrid/>
        <w:spacing w:line="360" w:lineRule="auto"/>
        <w:ind w:firstLine="420" w:firstLineChars="200"/>
        <w:rPr>
          <w:rFonts w:hint="eastAsia" w:ascii="宋体" w:hAnsi="宋体" w:cs="宋体"/>
          <w:bCs/>
          <w:color w:val="auto"/>
          <w:lang w:eastAsia="zh-CN"/>
        </w:rPr>
      </w:pPr>
      <w:r>
        <w:rPr>
          <w:rFonts w:hint="eastAsia" w:ascii="宋体" w:hAnsi="宋体" w:cs="宋体"/>
          <w:bCs/>
          <w:color w:val="auto"/>
          <w:lang w:eastAsia="zh-CN"/>
        </w:rPr>
        <w:t xml:space="preserve">在 </w:t>
      </w:r>
      <w:r>
        <w:rPr>
          <w:rFonts w:hint="eastAsia" w:cs="Times New Roman"/>
          <w:b w:val="0"/>
          <w:bCs w:val="0"/>
          <w:kern w:val="2"/>
          <w:sz w:val="21"/>
          <w:szCs w:val="21"/>
          <w:lang w:val="en-US" w:eastAsia="zh-CN" w:bidi="ar-SA"/>
        </w:rPr>
        <w:t>室内建构游戏</w:t>
      </w:r>
      <w:r>
        <w:rPr>
          <w:rFonts w:hint="eastAsia" w:ascii="宋体" w:hAnsi="宋体" w:cs="宋体"/>
          <w:bCs/>
          <w:color w:val="auto"/>
          <w:lang w:eastAsia="zh-CN"/>
        </w:rPr>
        <w:t>课程中，有权威专家做引导，帮助教师解决建构活动实施、管理、评价等一系列问题。教师能根据教育目标和幼儿发展水平，有目的、有计划地投放各种材料，创设活动环境，让幼儿按照自己的意愿和能力，自主地选择学习内容和活动伙伴，主动地进行操作、探索和交往。</w:t>
      </w:r>
    </w:p>
    <w:p>
      <w:pPr>
        <w:pageBreakBefore w:val="0"/>
        <w:kinsoku/>
        <w:wordWrap/>
        <w:overflowPunct/>
        <w:topLinePunct w:val="0"/>
        <w:autoSpaceDE/>
        <w:autoSpaceDN/>
        <w:bidi w:val="0"/>
        <w:adjustRightInd/>
        <w:snapToGrid/>
        <w:spacing w:line="360" w:lineRule="auto"/>
        <w:ind w:firstLine="422" w:firstLineChars="200"/>
        <w:rPr>
          <w:rFonts w:hint="eastAsia" w:ascii="宋体" w:hAnsi="宋体" w:cs="宋体"/>
          <w:b/>
          <w:bCs w:val="0"/>
          <w:color w:val="auto"/>
          <w:lang w:eastAsia="zh-CN"/>
        </w:rPr>
      </w:pPr>
      <w:bookmarkStart w:id="9" w:name="_Toc11678_WPSOffice_Level2"/>
      <w:r>
        <w:rPr>
          <w:rFonts w:hint="eastAsia" w:ascii="宋体" w:hAnsi="宋体" w:cs="宋体"/>
          <w:b/>
          <w:bCs w:val="0"/>
          <w:color w:val="auto"/>
          <w:lang w:eastAsia="zh-CN"/>
        </w:rPr>
        <w:t>（三）科学配备材料，助力幼儿游戏成长</w:t>
      </w:r>
      <w:bookmarkEnd w:id="9"/>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cs="宋体"/>
          <w:color w:val="auto"/>
        </w:rPr>
      </w:pPr>
      <w:r>
        <w:rPr>
          <w:rFonts w:hint="eastAsia" w:ascii="宋体" w:hAnsi="宋体" w:cs="宋体"/>
          <w:bCs/>
          <w:color w:val="auto"/>
          <w:lang w:eastAsia="zh-CN"/>
        </w:rPr>
        <w:t xml:space="preserve"> </w:t>
      </w:r>
      <w:r>
        <w:rPr>
          <w:rFonts w:hint="eastAsia" w:cs="Times New Roman"/>
          <w:b w:val="0"/>
          <w:bCs w:val="0"/>
          <w:kern w:val="2"/>
          <w:sz w:val="21"/>
          <w:szCs w:val="21"/>
          <w:lang w:val="en-US" w:eastAsia="zh-CN" w:bidi="ar-SA"/>
        </w:rPr>
        <w:t>室内建构游戏</w:t>
      </w:r>
      <w:r>
        <w:rPr>
          <w:rFonts w:hint="eastAsia" w:ascii="宋体" w:hAnsi="宋体" w:cs="宋体"/>
          <w:bCs/>
          <w:color w:val="auto"/>
          <w:lang w:eastAsia="zh-CN"/>
        </w:rPr>
        <w:t>课程向幼儿展现了一个丰富多样的自由活动环境，幼儿可以自主选择活动建构，满足了个性化发展的需要。活动材料采用分龄分级分类的特点，材料丰富，游戏多样，根据每个年龄段幼儿的发展特征和需求，制定系统的教育目标体系，提供适宜的活动材料，可以让幼儿在活动中充分交流和互动，增加社会和生活认知，并在趣味的游戏中习得丰富的知识，满足幼儿全面、自由、个性化发展的需求。另外，</w:t>
      </w:r>
      <w:r>
        <w:rPr>
          <w:rFonts w:hint="eastAsia" w:ascii="宋体" w:hAnsi="宋体" w:cs="宋体"/>
          <w:bCs/>
          <w:color w:val="auto"/>
          <w:szCs w:val="21"/>
          <w:lang w:eastAsia="zh-CN"/>
        </w:rPr>
        <w:t xml:space="preserve"> 室内游戏课程还整合了国内、国外的优质资源，</w:t>
      </w:r>
      <w:r>
        <w:rPr>
          <w:rFonts w:hint="eastAsia" w:ascii="宋体" w:hAnsi="宋体" w:cs="宋体"/>
          <w:color w:val="auto"/>
        </w:rPr>
        <w:t>内容贴近幼儿生活，满足幼儿多方面发展需求</w:t>
      </w:r>
      <w:r>
        <w:rPr>
          <w:rFonts w:hint="eastAsia" w:ascii="宋体" w:hAnsi="宋体" w:cs="宋体"/>
          <w:color w:val="auto"/>
          <w:lang w:eastAsia="zh-CN"/>
        </w:rPr>
        <w:t>，拓宽了幼儿的眼界和认知</w:t>
      </w:r>
      <w:r>
        <w:rPr>
          <w:rFonts w:hint="eastAsia" w:ascii="宋体" w:hAnsi="宋体" w:cs="宋体"/>
          <w:color w:val="auto"/>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cs="宋体"/>
          <w:color w:val="auto"/>
        </w:rPr>
      </w:pPr>
    </w:p>
    <w:p>
      <w:pPr>
        <w:spacing w:line="300" w:lineRule="auto"/>
        <w:jc w:val="left"/>
        <w:rPr>
          <w:rFonts w:hint="eastAsia" w:eastAsia="宋体"/>
          <w:b/>
          <w:bCs/>
          <w:sz w:val="24"/>
          <w:lang w:eastAsia="zh-CN"/>
        </w:rPr>
      </w:pPr>
      <w:r>
        <w:rPr>
          <w:rFonts w:hint="eastAsia"/>
          <w:b/>
          <w:bCs/>
          <w:sz w:val="24"/>
          <w:lang w:val="en-US" w:eastAsia="zh-CN"/>
        </w:rPr>
        <w:t>五</w:t>
      </w:r>
      <w:r>
        <w:rPr>
          <w:rFonts w:hint="eastAsia"/>
          <w:b/>
          <w:bCs/>
          <w:sz w:val="24"/>
        </w:rPr>
        <w:t>、</w:t>
      </w:r>
      <w:r>
        <w:rPr>
          <w:rFonts w:hint="eastAsia"/>
          <w:b/>
          <w:bCs/>
          <w:sz w:val="24"/>
          <w:lang w:eastAsia="zh-CN"/>
        </w:rPr>
        <w:t>幼儿园户外运动游戏整体项目的价值。</w:t>
      </w:r>
    </w:p>
    <w:p>
      <w:pPr>
        <w:spacing w:line="300" w:lineRule="auto"/>
        <w:ind w:firstLine="420" w:firstLineChars="200"/>
        <w:rPr>
          <w:rFonts w:ascii="宋体" w:hAnsi="宋体" w:cs="仿宋"/>
          <w:szCs w:val="21"/>
        </w:rPr>
      </w:pPr>
      <w:r>
        <w:rPr>
          <w:rFonts w:hint="eastAsia" w:ascii="宋体" w:hAnsi="宋体" w:cs="仿宋"/>
          <w:szCs w:val="21"/>
        </w:rPr>
        <w:t>（一）贯彻《指南》、《纲要》和《幼儿园工作规程》等要求，落实以户外游戏为基本活动的政策，将</w:t>
      </w:r>
      <w:r>
        <w:rPr>
          <w:rFonts w:hint="eastAsia" w:ascii="宋体" w:hAnsi="宋体" w:cs="仿宋"/>
          <w:szCs w:val="21"/>
          <w:lang w:eastAsia="zh-CN"/>
        </w:rPr>
        <w:t xml:space="preserve"> 幼儿园户外运动游戏整体项目</w:t>
      </w:r>
      <w:r>
        <w:rPr>
          <w:rFonts w:hint="eastAsia" w:ascii="宋体" w:hAnsi="宋体" w:cs="仿宋"/>
          <w:szCs w:val="21"/>
        </w:rPr>
        <w:t>纳入幼儿园一日生活课程体系，全力打造</w:t>
      </w:r>
      <w:r>
        <w:rPr>
          <w:rFonts w:hint="eastAsia" w:ascii="宋体" w:hAnsi="宋体" w:cs="仿宋"/>
          <w:szCs w:val="21"/>
          <w:lang w:eastAsia="zh-CN"/>
        </w:rPr>
        <w:t>幼儿园</w:t>
      </w:r>
      <w:r>
        <w:rPr>
          <w:rFonts w:hint="eastAsia" w:ascii="宋体" w:hAnsi="宋体" w:cs="仿宋"/>
          <w:szCs w:val="21"/>
        </w:rPr>
        <w:t>户外课程。</w:t>
      </w:r>
    </w:p>
    <w:p>
      <w:pPr>
        <w:spacing w:line="300" w:lineRule="auto"/>
        <w:ind w:firstLine="420" w:firstLineChars="200"/>
        <w:rPr>
          <w:rFonts w:ascii="宋体" w:hAnsi="宋体" w:cs="仿宋"/>
          <w:szCs w:val="21"/>
        </w:rPr>
      </w:pPr>
      <w:r>
        <w:rPr>
          <w:rFonts w:hint="eastAsia" w:ascii="宋体" w:hAnsi="宋体" w:cs="仿宋"/>
          <w:szCs w:val="21"/>
        </w:rPr>
        <w:t>（二）以《幼儿园教师专业标准》为依据，针对园所教师开展专业系统的培训，强化园所教师的户外</w:t>
      </w:r>
      <w:r>
        <w:rPr>
          <w:rFonts w:hint="eastAsia" w:ascii="宋体" w:hAnsi="宋体" w:cs="仿宋"/>
          <w:szCs w:val="21"/>
          <w:lang w:eastAsia="zh-CN"/>
        </w:rPr>
        <w:t>活动</w:t>
      </w:r>
      <w:r>
        <w:rPr>
          <w:rFonts w:hint="eastAsia" w:ascii="宋体" w:hAnsi="宋体" w:cs="仿宋"/>
          <w:szCs w:val="21"/>
        </w:rPr>
        <w:t>教学水平，有效推动幼儿园师资队伍的整体建设。</w:t>
      </w:r>
    </w:p>
    <w:p>
      <w:pPr>
        <w:spacing w:line="300" w:lineRule="auto"/>
        <w:ind w:firstLine="420" w:firstLineChars="200"/>
        <w:rPr>
          <w:rFonts w:ascii="宋体" w:hAnsi="宋体" w:cs="仿宋"/>
          <w:szCs w:val="21"/>
        </w:rPr>
      </w:pPr>
      <w:r>
        <w:rPr>
          <w:rFonts w:hint="eastAsia" w:ascii="宋体" w:hAnsi="宋体" w:cs="仿宋"/>
          <w:szCs w:val="21"/>
        </w:rPr>
        <w:t>（三）按照</w:t>
      </w:r>
      <w:r>
        <w:rPr>
          <w:rFonts w:hint="eastAsia" w:ascii="宋体" w:hAnsi="宋体" w:cs="仿宋"/>
          <w:szCs w:val="21"/>
          <w:lang w:eastAsia="zh-CN"/>
        </w:rPr>
        <w:t>幼儿园</w:t>
      </w:r>
      <w:r>
        <w:rPr>
          <w:rFonts w:hint="eastAsia" w:ascii="宋体" w:hAnsi="宋体" w:cs="仿宋"/>
          <w:szCs w:val="21"/>
        </w:rPr>
        <w:t>需求，灵活匹配户外</w:t>
      </w:r>
      <w:r>
        <w:rPr>
          <w:rFonts w:hint="eastAsia" w:ascii="宋体" w:hAnsi="宋体" w:cs="仿宋"/>
          <w:szCs w:val="21"/>
          <w:lang w:eastAsia="zh-CN"/>
        </w:rPr>
        <w:t>活动</w:t>
      </w:r>
      <w:r>
        <w:rPr>
          <w:rFonts w:hint="eastAsia" w:ascii="宋体" w:hAnsi="宋体" w:cs="仿宋"/>
          <w:szCs w:val="21"/>
        </w:rPr>
        <w:t>课程，协助园所开展教学研发工作，合理安排园所一日活动，并且通过各类活动方案的补充，完善充实园所课程建设。</w:t>
      </w:r>
    </w:p>
    <w:p>
      <w:pPr>
        <w:spacing w:line="300" w:lineRule="auto"/>
        <w:ind w:firstLine="420" w:firstLineChars="200"/>
        <w:rPr>
          <w:szCs w:val="21"/>
        </w:rPr>
      </w:pPr>
      <w:r>
        <w:rPr>
          <w:rFonts w:hint="eastAsia" w:ascii="宋体" w:hAnsi="宋体" w:cs="仿宋"/>
          <w:szCs w:val="21"/>
        </w:rPr>
        <w:t>（四）</w:t>
      </w:r>
      <w:r>
        <w:rPr>
          <w:rFonts w:hint="eastAsia"/>
          <w:szCs w:val="21"/>
        </w:rPr>
        <w:t>幼儿园应当将环境作为重要的教育资源，</w:t>
      </w:r>
      <w:r>
        <w:rPr>
          <w:rFonts w:hint="eastAsia" w:ascii="宋体" w:hAnsi="宋体" w:cs="仿宋"/>
          <w:szCs w:val="21"/>
          <w:lang w:eastAsia="zh-CN"/>
        </w:rPr>
        <w:t xml:space="preserve"> 幼儿园户外运动游戏整体项目</w:t>
      </w:r>
      <w:r>
        <w:rPr>
          <w:rFonts w:hint="eastAsia"/>
          <w:szCs w:val="21"/>
        </w:rPr>
        <w:t>合理利用了室内外环境，创设开放的、多样的区域活动空间，提供丰富的玩具、操作材料和幼儿读物，将针对园所的个性化需求和区域市场环境，打造合理的配置方案，从而全面塑造</w:t>
      </w:r>
      <w:r>
        <w:rPr>
          <w:rFonts w:hint="eastAsia"/>
          <w:szCs w:val="21"/>
          <w:lang w:eastAsia="zh-CN"/>
        </w:rPr>
        <w:t>幼儿园</w:t>
      </w:r>
      <w:r>
        <w:rPr>
          <w:rFonts w:hint="eastAsia"/>
          <w:szCs w:val="21"/>
        </w:rPr>
        <w:t>的内外环境，有效推动</w:t>
      </w:r>
      <w:r>
        <w:rPr>
          <w:rFonts w:hint="eastAsia"/>
          <w:szCs w:val="21"/>
          <w:lang w:eastAsia="zh-CN"/>
        </w:rPr>
        <w:t>幼儿园</w:t>
      </w:r>
      <w:r>
        <w:rPr>
          <w:rFonts w:hint="eastAsia"/>
          <w:szCs w:val="21"/>
        </w:rPr>
        <w:t>的建设进程。</w:t>
      </w:r>
    </w:p>
    <w:p>
      <w:pPr>
        <w:spacing w:line="300" w:lineRule="auto"/>
        <w:ind w:firstLine="420" w:firstLineChars="200"/>
        <w:rPr>
          <w:rFonts w:hint="eastAsia" w:ascii="宋体" w:hAnsi="宋体" w:cs="仿宋"/>
          <w:szCs w:val="21"/>
        </w:rPr>
      </w:pPr>
      <w:r>
        <w:rPr>
          <w:rFonts w:hint="eastAsia" w:ascii="宋体" w:hAnsi="宋体" w:cs="仿宋"/>
          <w:szCs w:val="21"/>
        </w:rPr>
        <w:t>（五）通过全面开展</w:t>
      </w:r>
      <w:r>
        <w:rPr>
          <w:rFonts w:hint="eastAsia" w:ascii="宋体" w:hAnsi="宋体" w:cs="仿宋"/>
          <w:szCs w:val="21"/>
          <w:lang w:eastAsia="zh-CN"/>
        </w:rPr>
        <w:t xml:space="preserve"> 幼儿园户外运动游戏课程</w:t>
      </w:r>
      <w:r>
        <w:rPr>
          <w:rFonts w:hint="eastAsia" w:ascii="宋体" w:hAnsi="宋体" w:cs="仿宋"/>
          <w:szCs w:val="21"/>
        </w:rPr>
        <w:t>，培养幼儿自主动手能力，锻炼幼儿身体协调发展，并启智、育德和培养个性，进而促进幼儿身心的全面发展和健康快乐成长；同时，户外游戏课程中包含多种幼儿与家长共同参与的活动方案，可以加强亲子之间的沟通，使家园共育彻底融入幼儿的发展与成长之中。</w:t>
      </w:r>
    </w:p>
    <w:p>
      <w:pPr>
        <w:spacing w:line="300" w:lineRule="auto"/>
        <w:ind w:firstLine="420" w:firstLineChars="200"/>
        <w:rPr>
          <w:rFonts w:hint="eastAsia" w:ascii="宋体" w:hAnsi="宋体" w:cs="仿宋"/>
          <w:szCs w:val="21"/>
          <w:lang w:eastAsia="zh-CN"/>
        </w:rPr>
      </w:pPr>
    </w:p>
    <w:p>
      <w:pPr>
        <w:spacing w:line="300" w:lineRule="auto"/>
        <w:ind w:firstLine="482" w:firstLineChars="200"/>
        <w:jc w:val="left"/>
        <w:rPr>
          <w:b/>
          <w:bCs/>
          <w:sz w:val="24"/>
        </w:rPr>
      </w:pPr>
      <w:r>
        <w:rPr>
          <w:rFonts w:hint="eastAsia"/>
          <w:b/>
          <w:bCs/>
          <w:sz w:val="24"/>
          <w:lang w:val="en-US" w:eastAsia="zh-CN"/>
        </w:rPr>
        <w:t>六</w:t>
      </w:r>
      <w:r>
        <w:rPr>
          <w:rFonts w:hint="eastAsia"/>
          <w:b/>
          <w:bCs/>
          <w:sz w:val="24"/>
        </w:rPr>
        <w:t>、</w:t>
      </w:r>
      <w:r>
        <w:rPr>
          <w:rFonts w:hint="eastAsia"/>
          <w:b/>
          <w:bCs/>
          <w:sz w:val="24"/>
          <w:lang w:eastAsia="zh-CN"/>
        </w:rPr>
        <w:t xml:space="preserve"> 户外运动游戏整体项目的的</w:t>
      </w:r>
      <w:r>
        <w:rPr>
          <w:rFonts w:hint="eastAsia"/>
          <w:b/>
          <w:bCs/>
          <w:sz w:val="24"/>
        </w:rPr>
        <w:t>产品构成</w:t>
      </w:r>
      <w:r>
        <w:rPr>
          <w:rFonts w:hint="eastAsia"/>
          <w:b/>
          <w:bCs/>
          <w:sz w:val="24"/>
          <w:lang w:eastAsia="zh-CN"/>
        </w:rPr>
        <w:t>与优势</w:t>
      </w:r>
    </w:p>
    <w:p>
      <w:pPr>
        <w:spacing w:line="300" w:lineRule="auto"/>
        <w:ind w:firstLine="422" w:firstLineChars="200"/>
        <w:jc w:val="left"/>
        <w:rPr>
          <w:rFonts w:hint="eastAsia" w:asciiTheme="minorEastAsia" w:hAnsiTheme="minorEastAsia" w:eastAsiaTheme="minorEastAsia" w:cstheme="minorEastAsia"/>
          <w:b/>
          <w:bCs/>
        </w:rPr>
      </w:pPr>
      <w:r>
        <w:rPr>
          <w:rFonts w:hint="eastAsia"/>
          <w:b/>
          <w:bCs/>
          <w:lang w:val="en-US" w:eastAsia="zh-CN"/>
        </w:rPr>
        <w:t>1.</w:t>
      </w:r>
      <w:r>
        <w:rPr>
          <w:rFonts w:hint="eastAsia"/>
          <w:b/>
          <w:bCs/>
          <w:lang w:eastAsia="zh-CN"/>
        </w:rPr>
        <w:t xml:space="preserve"> </w:t>
      </w:r>
      <w:r>
        <w:rPr>
          <w:rFonts w:hint="eastAsia"/>
          <w:b/>
          <w:bCs/>
        </w:rPr>
        <w:t>户外</w:t>
      </w:r>
      <w:r>
        <w:rPr>
          <w:rFonts w:hint="eastAsia"/>
          <w:b/>
          <w:bCs/>
          <w:lang w:eastAsia="zh-CN"/>
        </w:rPr>
        <w:t>运动</w:t>
      </w:r>
      <w:r>
        <w:rPr>
          <w:rFonts w:hint="eastAsia"/>
          <w:b/>
          <w:bCs/>
        </w:rPr>
        <w:t>游戏</w:t>
      </w:r>
      <w:r>
        <w:rPr>
          <w:rFonts w:hint="eastAsia"/>
          <w:b/>
          <w:bCs/>
          <w:lang w:eastAsia="zh-CN"/>
        </w:rPr>
        <w:t>整体项目</w:t>
      </w:r>
      <w:r>
        <w:rPr>
          <w:rFonts w:hint="eastAsia"/>
          <w:b/>
          <w:bCs/>
        </w:rPr>
        <w:t>共包括</w:t>
      </w:r>
      <w:r>
        <w:rPr>
          <w:rFonts w:hint="eastAsia" w:asciiTheme="minorEastAsia" w:hAnsiTheme="minorEastAsia" w:eastAsiaTheme="minorEastAsia" w:cstheme="minorEastAsia"/>
          <w:b/>
          <w:bCs/>
          <w:lang w:eastAsia="zh-CN"/>
        </w:rPr>
        <w:t xml:space="preserve"> 运动包</w:t>
      </w:r>
      <w:r>
        <w:rPr>
          <w:rFonts w:hint="eastAsia" w:asciiTheme="minorEastAsia" w:hAnsiTheme="minorEastAsia" w:eastAsiaTheme="minorEastAsia" w:cstheme="minorEastAsia"/>
          <w:b/>
          <w:bCs/>
        </w:rPr>
        <w:t>、</w:t>
      </w:r>
      <w:r>
        <w:rPr>
          <w:rFonts w:hint="eastAsia" w:asciiTheme="minorEastAsia" w:hAnsiTheme="minorEastAsia" w:eastAsiaTheme="minorEastAsia" w:cstheme="minorEastAsia"/>
          <w:b/>
          <w:bCs/>
          <w:lang w:eastAsia="zh-CN"/>
        </w:rPr>
        <w:t xml:space="preserve"> </w:t>
      </w:r>
      <w:r>
        <w:rPr>
          <w:rFonts w:hint="eastAsia" w:asciiTheme="minorEastAsia" w:hAnsiTheme="minorEastAsia" w:eastAsiaTheme="minorEastAsia" w:cstheme="minorEastAsia"/>
          <w:b/>
          <w:bCs/>
        </w:rPr>
        <w:t>户外游戏区、</w:t>
      </w:r>
      <w:r>
        <w:rPr>
          <w:rFonts w:hint="eastAsia" w:asciiTheme="minorEastAsia" w:hAnsiTheme="minorEastAsia" w:eastAsiaTheme="minorEastAsia" w:cstheme="minorEastAsia"/>
          <w:b/>
          <w:bCs/>
          <w:lang w:eastAsia="zh-CN"/>
        </w:rPr>
        <w:t xml:space="preserve"> </w:t>
      </w:r>
      <w:r>
        <w:rPr>
          <w:rFonts w:hint="eastAsia" w:asciiTheme="minorEastAsia" w:hAnsiTheme="minorEastAsia" w:eastAsiaTheme="minorEastAsia" w:cstheme="minorEastAsia"/>
          <w:b/>
          <w:bCs/>
        </w:rPr>
        <w:t>沙水区</w:t>
      </w:r>
      <w:r>
        <w:rPr>
          <w:rFonts w:hint="eastAsia" w:asciiTheme="minorEastAsia" w:hAnsiTheme="minorEastAsia" w:eastAsiaTheme="minorEastAsia" w:cstheme="minorEastAsia"/>
          <w:b/>
          <w:bCs/>
          <w:lang w:eastAsia="zh-CN"/>
        </w:rPr>
        <w:t>三类细分课程、材料以及师资培训</w:t>
      </w:r>
      <w:r>
        <w:rPr>
          <w:rFonts w:hint="eastAsia" w:asciiTheme="minorEastAsia" w:hAnsiTheme="minorEastAsia" w:eastAsiaTheme="minorEastAsia" w:cstheme="minorEastAsia"/>
          <w:b/>
          <w:bCs/>
        </w:rPr>
        <w:t>。</w:t>
      </w:r>
    </w:p>
    <w:p>
      <w:pPr>
        <w:spacing w:line="300" w:lineRule="auto"/>
        <w:ind w:firstLine="420" w:firstLineChars="200"/>
        <w:jc w:val="left"/>
        <w:rPr>
          <w:rFonts w:hint="eastAsia" w:asciiTheme="minorEastAsia" w:hAnsiTheme="minorEastAsia" w:eastAsiaTheme="minorEastAsia" w:cstheme="minorEastAsia"/>
        </w:rPr>
      </w:pPr>
    </w:p>
    <w:p>
      <w:pPr>
        <w:spacing w:line="300" w:lineRule="auto"/>
        <w:ind w:firstLine="420" w:firstLineChars="200"/>
        <w:jc w:val="left"/>
        <w:rPr>
          <w:rFonts w:hint="eastAsia" w:asciiTheme="minorEastAsia" w:hAnsiTheme="minorEastAsia" w:eastAsiaTheme="minorEastAsia" w:cstheme="minorEastAsia"/>
        </w:rPr>
      </w:pPr>
    </w:p>
    <w:tbl>
      <w:tblPr>
        <w:tblStyle w:val="17"/>
        <w:tblW w:w="8424" w:type="dxa"/>
        <w:tblInd w:w="98" w:type="dxa"/>
        <w:tblLayout w:type="fixed"/>
        <w:tblCellMar>
          <w:top w:w="0" w:type="dxa"/>
          <w:left w:w="10" w:type="dxa"/>
          <w:bottom w:w="0" w:type="dxa"/>
          <w:right w:w="10" w:type="dxa"/>
        </w:tblCellMar>
      </w:tblPr>
      <w:tblGrid>
        <w:gridCol w:w="1534"/>
        <w:gridCol w:w="4907"/>
        <w:gridCol w:w="1983"/>
      </w:tblGrid>
      <w:tr>
        <w:tblPrEx>
          <w:tblLayout w:type="fixed"/>
          <w:tblCellMar>
            <w:top w:w="0" w:type="dxa"/>
            <w:left w:w="10" w:type="dxa"/>
            <w:bottom w:w="0" w:type="dxa"/>
            <w:right w:w="10" w:type="dxa"/>
          </w:tblCellMar>
        </w:tblPrEx>
        <w:trPr>
          <w:trHeight w:val="1" w:hRule="atLeast"/>
        </w:trPr>
        <w:tc>
          <w:tcPr>
            <w:tcW w:w="8424"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9" w:lineRule="auto"/>
              <w:jc w:val="center"/>
              <w:rPr>
                <w:rFonts w:hint="eastAsia"/>
                <w:b/>
                <w:bCs/>
                <w:sz w:val="24"/>
                <w:lang w:eastAsia="zh-CN"/>
              </w:rPr>
            </w:pPr>
          </w:p>
          <w:p>
            <w:pPr>
              <w:spacing w:line="329" w:lineRule="auto"/>
              <w:jc w:val="center"/>
              <w:rPr>
                <w:rFonts w:ascii="宋体" w:hAnsi="宋体" w:eastAsia="宋体" w:cs="宋体"/>
                <w:b/>
              </w:rPr>
            </w:pPr>
            <w:r>
              <w:rPr>
                <w:rFonts w:hint="eastAsia"/>
                <w:b/>
                <w:bCs/>
                <w:sz w:val="24"/>
                <w:lang w:eastAsia="zh-CN"/>
              </w:rPr>
              <w:t xml:space="preserve"> 户外运动游戏整体项目</w:t>
            </w:r>
          </w:p>
        </w:tc>
      </w:tr>
      <w:tr>
        <w:tblPrEx>
          <w:tblLayout w:type="fixed"/>
          <w:tblCellMar>
            <w:top w:w="0" w:type="dxa"/>
            <w:left w:w="10" w:type="dxa"/>
            <w:bottom w:w="0" w:type="dxa"/>
            <w:right w:w="10" w:type="dxa"/>
          </w:tblCellMar>
        </w:tblPrEx>
        <w:trPr>
          <w:trHeight w:val="1" w:hRule="atLeast"/>
        </w:trPr>
        <w:tc>
          <w:tcPr>
            <w:tcW w:w="15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9" w:lineRule="auto"/>
              <w:jc w:val="center"/>
              <w:rPr>
                <w:rFonts w:ascii="宋体" w:hAnsi="宋体" w:eastAsia="宋体" w:cs="宋体"/>
              </w:rPr>
            </w:pPr>
            <w:r>
              <w:rPr>
                <w:rFonts w:ascii="宋体" w:hAnsi="宋体" w:eastAsia="宋体" w:cs="宋体"/>
                <w:b/>
              </w:rPr>
              <w:t>产品类别</w:t>
            </w:r>
          </w:p>
        </w:tc>
        <w:tc>
          <w:tcPr>
            <w:tcW w:w="49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9" w:lineRule="auto"/>
              <w:jc w:val="center"/>
              <w:rPr>
                <w:rFonts w:ascii="宋体" w:hAnsi="宋体" w:eastAsia="宋体" w:cs="宋体"/>
              </w:rPr>
            </w:pPr>
            <w:r>
              <w:rPr>
                <w:rFonts w:ascii="宋体" w:hAnsi="宋体" w:eastAsia="宋体" w:cs="宋体"/>
                <w:b/>
              </w:rPr>
              <w:t>产品</w:t>
            </w:r>
            <w:r>
              <w:rPr>
                <w:rFonts w:hint="eastAsia" w:ascii="宋体" w:hAnsi="宋体" w:eastAsia="宋体" w:cs="宋体"/>
                <w:b/>
              </w:rPr>
              <w:t>名称及</w:t>
            </w:r>
            <w:r>
              <w:rPr>
                <w:rFonts w:ascii="宋体" w:hAnsi="宋体" w:eastAsia="宋体" w:cs="宋体"/>
                <w:b/>
              </w:rPr>
              <w:t>内容</w:t>
            </w:r>
          </w:p>
        </w:tc>
        <w:tc>
          <w:tcPr>
            <w:tcW w:w="19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9" w:lineRule="auto"/>
              <w:jc w:val="center"/>
              <w:rPr>
                <w:rFonts w:ascii="宋体" w:hAnsi="宋体" w:eastAsia="宋体" w:cs="宋体"/>
              </w:rPr>
            </w:pPr>
            <w:r>
              <w:rPr>
                <w:rFonts w:ascii="宋体" w:hAnsi="宋体" w:eastAsia="宋体" w:cs="宋体"/>
                <w:b/>
              </w:rPr>
              <w:t>单位</w:t>
            </w:r>
          </w:p>
        </w:tc>
      </w:tr>
      <w:tr>
        <w:tblPrEx>
          <w:tblLayout w:type="fixed"/>
          <w:tblCellMar>
            <w:top w:w="0" w:type="dxa"/>
            <w:left w:w="10" w:type="dxa"/>
            <w:bottom w:w="0" w:type="dxa"/>
            <w:right w:w="10" w:type="dxa"/>
          </w:tblCellMar>
        </w:tblPrEx>
        <w:trPr>
          <w:trHeight w:val="1" w:hRule="atLeast"/>
        </w:trPr>
        <w:tc>
          <w:tcPr>
            <w:tcW w:w="8424" w:type="dxa"/>
            <w:gridSpan w:val="3"/>
            <w:tcBorders>
              <w:top w:val="single" w:color="000000" w:sz="4" w:space="0"/>
              <w:left w:val="single" w:color="000000" w:sz="4" w:space="0"/>
              <w:bottom w:val="single" w:color="000000" w:sz="4" w:space="0"/>
              <w:right w:val="single" w:color="000000" w:sz="4" w:space="0"/>
            </w:tcBorders>
            <w:shd w:val="clear" w:color="auto" w:fill="C0C0C0"/>
            <w:tcMar>
              <w:left w:w="108" w:type="dxa"/>
              <w:right w:w="108" w:type="dxa"/>
            </w:tcMar>
            <w:vAlign w:val="center"/>
          </w:tcPr>
          <w:p>
            <w:pPr>
              <w:spacing w:line="329" w:lineRule="auto"/>
              <w:jc w:val="center"/>
              <w:rPr>
                <w:rFonts w:ascii="宋体" w:hAnsi="宋体" w:eastAsia="宋体" w:cs="宋体"/>
              </w:rPr>
            </w:pPr>
            <w:r>
              <w:rPr>
                <w:rFonts w:hint="eastAsia" w:ascii="宋体" w:hAnsi="宋体" w:cs="宋体"/>
                <w:b/>
                <w:lang w:eastAsia="zh-CN"/>
              </w:rPr>
              <w:t xml:space="preserve"> </w:t>
            </w:r>
            <w:r>
              <w:rPr>
                <w:rFonts w:ascii="宋体" w:hAnsi="宋体" w:eastAsia="宋体" w:cs="宋体"/>
                <w:b/>
              </w:rPr>
              <w:t>运动包</w:t>
            </w:r>
          </w:p>
        </w:tc>
      </w:tr>
      <w:tr>
        <w:tblPrEx>
          <w:tblLayout w:type="fixed"/>
          <w:tblCellMar>
            <w:top w:w="0" w:type="dxa"/>
            <w:left w:w="10" w:type="dxa"/>
            <w:bottom w:w="0" w:type="dxa"/>
            <w:right w:w="10" w:type="dxa"/>
          </w:tblCellMar>
        </w:tblPrEx>
        <w:trPr>
          <w:trHeight w:val="1" w:hRule="atLeast"/>
        </w:trPr>
        <w:tc>
          <w:tcPr>
            <w:tcW w:w="15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9" w:lineRule="auto"/>
              <w:jc w:val="center"/>
              <w:rPr>
                <w:rFonts w:ascii="宋体" w:hAnsi="宋体" w:eastAsia="宋体" w:cs="宋体"/>
              </w:rPr>
            </w:pPr>
            <w:r>
              <w:rPr>
                <w:rFonts w:ascii="宋体" w:hAnsi="宋体" w:eastAsia="宋体" w:cs="宋体"/>
                <w:b/>
              </w:rPr>
              <w:t>方案类</w:t>
            </w:r>
          </w:p>
        </w:tc>
        <w:tc>
          <w:tcPr>
            <w:tcW w:w="49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29" w:lineRule="auto"/>
              <w:jc w:val="left"/>
            </w:pPr>
            <w:r>
              <w:rPr>
                <w:rFonts w:ascii="宋体" w:hAnsi="宋体" w:eastAsia="宋体" w:cs="宋体"/>
              </w:rPr>
              <w:t>《幼儿园体育活动整体方案》</w:t>
            </w:r>
            <w:r>
              <w:rPr>
                <w:rFonts w:ascii="Times New Roman" w:hAnsi="Times New Roman" w:eastAsia="Times New Roman" w:cs="Times New Roman"/>
              </w:rPr>
              <w:t xml:space="preserve"> </w:t>
            </w:r>
            <w:r>
              <w:rPr>
                <w:rFonts w:ascii="宋体" w:hAnsi="宋体" w:eastAsia="宋体" w:cs="宋体"/>
              </w:rPr>
              <w:t>小、中、大班各</w:t>
            </w:r>
            <w:r>
              <w:rPr>
                <w:rFonts w:ascii="Times New Roman" w:hAnsi="Times New Roman" w:eastAsia="Times New Roman" w:cs="Times New Roman"/>
              </w:rPr>
              <w:t>1</w:t>
            </w:r>
            <w:r>
              <w:rPr>
                <w:rFonts w:ascii="宋体" w:hAnsi="宋体" w:eastAsia="宋体" w:cs="宋体"/>
              </w:rPr>
              <w:t>册</w:t>
            </w:r>
          </w:p>
        </w:tc>
        <w:tc>
          <w:tcPr>
            <w:tcW w:w="1983" w:type="dxa"/>
            <w:vMerge w:val="restart"/>
            <w:tcBorders>
              <w:top w:val="single" w:color="000000" w:sz="4" w:space="0"/>
              <w:left w:val="single" w:color="000000" w:sz="4" w:space="0"/>
              <w:right w:val="single" w:color="000000" w:sz="4" w:space="0"/>
            </w:tcBorders>
            <w:shd w:val="clear" w:color="000000" w:fill="FFFFFF"/>
            <w:tcMar>
              <w:left w:w="108" w:type="dxa"/>
              <w:right w:w="108" w:type="dxa"/>
            </w:tcMar>
            <w:vAlign w:val="center"/>
          </w:tcPr>
          <w:p>
            <w:pPr>
              <w:spacing w:line="329" w:lineRule="auto"/>
              <w:jc w:val="center"/>
            </w:pPr>
            <w:r>
              <w:rPr>
                <w:rFonts w:hint="eastAsia" w:ascii="宋体" w:hAnsi="宋体" w:cs="宋体"/>
                <w:lang w:val="en-US" w:eastAsia="zh-CN"/>
              </w:rPr>
              <w:t>3</w:t>
            </w:r>
            <w:r>
              <w:rPr>
                <w:rFonts w:ascii="宋体" w:hAnsi="宋体" w:eastAsia="宋体" w:cs="宋体"/>
              </w:rPr>
              <w:t>套</w:t>
            </w:r>
            <w:r>
              <w:rPr>
                <w:rFonts w:ascii="Times New Roman" w:hAnsi="Times New Roman" w:eastAsia="Times New Roman" w:cs="Times New Roman"/>
              </w:rPr>
              <w:t>/</w:t>
            </w:r>
            <w:r>
              <w:rPr>
                <w:rFonts w:ascii="宋体" w:hAnsi="宋体" w:eastAsia="宋体" w:cs="宋体"/>
              </w:rPr>
              <w:t>年级</w:t>
            </w:r>
            <w:r>
              <w:rPr>
                <w:rFonts w:ascii="Times New Roman" w:hAnsi="Times New Roman" w:eastAsia="Times New Roman" w:cs="Times New Roman"/>
              </w:rPr>
              <w:t>/</w:t>
            </w:r>
            <w:r>
              <w:rPr>
                <w:rFonts w:ascii="宋体" w:hAnsi="宋体" w:eastAsia="宋体" w:cs="宋体"/>
              </w:rPr>
              <w:t>三年</w:t>
            </w:r>
          </w:p>
        </w:tc>
      </w:tr>
      <w:tr>
        <w:tblPrEx>
          <w:tblLayout w:type="fixed"/>
          <w:tblCellMar>
            <w:top w:w="0" w:type="dxa"/>
            <w:left w:w="10" w:type="dxa"/>
            <w:bottom w:w="0" w:type="dxa"/>
            <w:right w:w="10" w:type="dxa"/>
          </w:tblCellMar>
        </w:tblPrEx>
        <w:trPr>
          <w:trHeight w:val="1" w:hRule="atLeast"/>
        </w:trPr>
        <w:tc>
          <w:tcPr>
            <w:tcW w:w="15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9" w:lineRule="auto"/>
              <w:jc w:val="center"/>
              <w:rPr>
                <w:rFonts w:ascii="宋体" w:hAnsi="宋体" w:eastAsia="宋体" w:cs="宋体"/>
              </w:rPr>
            </w:pPr>
            <w:r>
              <w:rPr>
                <w:rFonts w:ascii="宋体" w:hAnsi="宋体" w:eastAsia="宋体" w:cs="宋体"/>
                <w:b/>
              </w:rPr>
              <w:t>材料类</w:t>
            </w:r>
          </w:p>
        </w:tc>
        <w:tc>
          <w:tcPr>
            <w:tcW w:w="49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29" w:lineRule="auto"/>
              <w:jc w:val="left"/>
            </w:pPr>
            <w:r>
              <w:rPr>
                <w:rFonts w:hint="eastAsia" w:ascii="宋体" w:hAnsi="宋体" w:cs="宋体"/>
                <w:lang w:eastAsia="zh-CN"/>
              </w:rPr>
              <w:t xml:space="preserve"> </w:t>
            </w:r>
            <w:r>
              <w:rPr>
                <w:rFonts w:ascii="宋体" w:hAnsi="宋体" w:eastAsia="宋体" w:cs="宋体"/>
              </w:rPr>
              <w:t>运动包，含</w:t>
            </w:r>
            <w:r>
              <w:rPr>
                <w:rFonts w:ascii="Times New Roman" w:hAnsi="Times New Roman" w:eastAsia="Times New Roman" w:cs="Times New Roman"/>
              </w:rPr>
              <w:t>12</w:t>
            </w:r>
            <w:r>
              <w:rPr>
                <w:rFonts w:ascii="宋体" w:hAnsi="宋体" w:eastAsia="宋体" w:cs="宋体"/>
              </w:rPr>
              <w:t>种基础件，及</w:t>
            </w:r>
            <w:r>
              <w:rPr>
                <w:rFonts w:ascii="Times New Roman" w:hAnsi="Times New Roman" w:eastAsia="Times New Roman" w:cs="Times New Roman"/>
              </w:rPr>
              <w:t>12</w:t>
            </w:r>
            <w:r>
              <w:rPr>
                <w:rFonts w:ascii="宋体" w:hAnsi="宋体" w:eastAsia="宋体" w:cs="宋体"/>
              </w:rPr>
              <w:t>种特色件</w:t>
            </w:r>
          </w:p>
        </w:tc>
        <w:tc>
          <w:tcPr>
            <w:tcW w:w="1983" w:type="dxa"/>
            <w:vMerge w:val="continue"/>
            <w:tcBorders>
              <w:left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r>
      <w:tr>
        <w:tblPrEx>
          <w:tblLayout w:type="fixed"/>
          <w:tblCellMar>
            <w:top w:w="0" w:type="dxa"/>
            <w:left w:w="10" w:type="dxa"/>
            <w:bottom w:w="0" w:type="dxa"/>
            <w:right w:w="10" w:type="dxa"/>
          </w:tblCellMar>
        </w:tblPrEx>
        <w:trPr>
          <w:trHeight w:val="1" w:hRule="atLeast"/>
        </w:trPr>
        <w:tc>
          <w:tcPr>
            <w:tcW w:w="15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9" w:lineRule="auto"/>
              <w:jc w:val="center"/>
              <w:rPr>
                <w:rFonts w:hint="eastAsia" w:ascii="宋体" w:hAnsi="宋体" w:eastAsia="宋体" w:cs="宋体"/>
                <w:b/>
                <w:lang w:eastAsia="zh-CN"/>
              </w:rPr>
            </w:pPr>
            <w:r>
              <w:rPr>
                <w:rFonts w:hint="eastAsia" w:ascii="宋体" w:hAnsi="宋体" w:cs="宋体"/>
                <w:b/>
                <w:lang w:eastAsia="zh-CN"/>
              </w:rPr>
              <w:t>师资培训类</w:t>
            </w:r>
          </w:p>
        </w:tc>
        <w:tc>
          <w:tcPr>
            <w:tcW w:w="49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29" w:lineRule="auto"/>
              <w:jc w:val="left"/>
              <w:rPr>
                <w:rFonts w:hint="default" w:ascii="宋体" w:hAnsi="宋体" w:eastAsia="宋体" w:cs="宋体"/>
                <w:lang w:val="en-US" w:eastAsia="zh-CN"/>
              </w:rPr>
            </w:pPr>
            <w:r>
              <w:rPr>
                <w:rFonts w:hint="eastAsia" w:ascii="宋体" w:hAnsi="宋体" w:cs="宋体"/>
                <w:lang w:eastAsia="zh-CN"/>
              </w:rPr>
              <w:t>三年</w:t>
            </w:r>
            <w:r>
              <w:rPr>
                <w:rFonts w:hint="eastAsia" w:ascii="宋体" w:hAnsi="宋体" w:cs="宋体"/>
                <w:lang w:val="en-US" w:eastAsia="zh-CN"/>
              </w:rPr>
              <w:t>/18次/入园培训，64次线上培训</w:t>
            </w:r>
          </w:p>
        </w:tc>
        <w:tc>
          <w:tcPr>
            <w:tcW w:w="1983" w:type="dxa"/>
            <w:vMerge w:val="continue"/>
            <w:tcBorders>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hint="eastAsia" w:ascii="宋体" w:hAnsi="宋体" w:eastAsia="宋体" w:cs="宋体"/>
                <w:sz w:val="22"/>
                <w:lang w:eastAsia="zh-CN"/>
              </w:rPr>
            </w:pPr>
          </w:p>
        </w:tc>
      </w:tr>
      <w:tr>
        <w:tblPrEx>
          <w:tblLayout w:type="fixed"/>
          <w:tblCellMar>
            <w:top w:w="0" w:type="dxa"/>
            <w:left w:w="10" w:type="dxa"/>
            <w:bottom w:w="0" w:type="dxa"/>
            <w:right w:w="10" w:type="dxa"/>
          </w:tblCellMar>
        </w:tblPrEx>
        <w:trPr>
          <w:trHeight w:val="1" w:hRule="atLeast"/>
        </w:trPr>
        <w:tc>
          <w:tcPr>
            <w:tcW w:w="8424" w:type="dxa"/>
            <w:gridSpan w:val="3"/>
            <w:tcBorders>
              <w:top w:val="single" w:color="000000" w:sz="4" w:space="0"/>
              <w:left w:val="single" w:color="000000" w:sz="4" w:space="0"/>
              <w:bottom w:val="single" w:color="000000" w:sz="4" w:space="0"/>
              <w:right w:val="single" w:color="000000" w:sz="4" w:space="0"/>
            </w:tcBorders>
            <w:shd w:val="clear" w:color="auto" w:fill="C0C0C0"/>
            <w:tcMar>
              <w:left w:w="108" w:type="dxa"/>
              <w:right w:w="108" w:type="dxa"/>
            </w:tcMar>
            <w:vAlign w:val="center"/>
          </w:tcPr>
          <w:p>
            <w:pPr>
              <w:spacing w:line="329" w:lineRule="auto"/>
              <w:jc w:val="center"/>
              <w:rPr>
                <w:rFonts w:hint="eastAsia" w:ascii="宋体" w:hAnsi="宋体" w:eastAsia="宋体" w:cs="宋体"/>
                <w:lang w:eastAsia="zh-CN"/>
              </w:rPr>
            </w:pPr>
            <w:r>
              <w:rPr>
                <w:rFonts w:hint="eastAsia" w:ascii="宋体" w:hAnsi="宋体" w:cs="宋体"/>
                <w:b/>
                <w:lang w:eastAsia="zh-CN"/>
              </w:rPr>
              <w:t xml:space="preserve"> 户外游戏区</w:t>
            </w:r>
          </w:p>
        </w:tc>
      </w:tr>
      <w:tr>
        <w:tblPrEx>
          <w:tblLayout w:type="fixed"/>
          <w:tblCellMar>
            <w:top w:w="0" w:type="dxa"/>
            <w:left w:w="10" w:type="dxa"/>
            <w:bottom w:w="0" w:type="dxa"/>
            <w:right w:w="10" w:type="dxa"/>
          </w:tblCellMar>
        </w:tblPrEx>
        <w:trPr>
          <w:trHeight w:val="1" w:hRule="atLeast"/>
        </w:trPr>
        <w:tc>
          <w:tcPr>
            <w:tcW w:w="15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9" w:lineRule="auto"/>
              <w:jc w:val="center"/>
              <w:rPr>
                <w:rFonts w:ascii="宋体" w:hAnsi="宋体" w:eastAsia="宋体" w:cs="宋体"/>
              </w:rPr>
            </w:pPr>
            <w:r>
              <w:rPr>
                <w:rFonts w:ascii="宋体" w:hAnsi="宋体" w:eastAsia="宋体" w:cs="宋体"/>
                <w:b/>
              </w:rPr>
              <w:t>方案类</w:t>
            </w:r>
          </w:p>
        </w:tc>
        <w:tc>
          <w:tcPr>
            <w:tcW w:w="49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29" w:lineRule="auto"/>
              <w:jc w:val="left"/>
            </w:pPr>
            <w:r>
              <w:rPr>
                <w:rFonts w:hint="eastAsia"/>
                <w:szCs w:val="21"/>
              </w:rPr>
              <w:t>《幼儿园户外游戏活动整体方案》</w:t>
            </w:r>
            <w:r>
              <w:rPr>
                <w:rFonts w:ascii="Times New Roman" w:hAnsi="Times New Roman" w:eastAsia="Times New Roman" w:cs="Times New Roman"/>
              </w:rPr>
              <w:t xml:space="preserve"> </w:t>
            </w:r>
            <w:r>
              <w:rPr>
                <w:rFonts w:ascii="宋体" w:hAnsi="宋体" w:eastAsia="宋体" w:cs="宋体"/>
              </w:rPr>
              <w:t>小、中、大班各</w:t>
            </w:r>
            <w:r>
              <w:rPr>
                <w:rFonts w:ascii="Times New Roman" w:hAnsi="Times New Roman" w:eastAsia="Times New Roman" w:cs="Times New Roman"/>
              </w:rPr>
              <w:t>1</w:t>
            </w:r>
            <w:r>
              <w:rPr>
                <w:rFonts w:ascii="宋体" w:hAnsi="宋体" w:eastAsia="宋体" w:cs="宋体"/>
              </w:rPr>
              <w:t>册</w:t>
            </w:r>
          </w:p>
        </w:tc>
        <w:tc>
          <w:tcPr>
            <w:tcW w:w="1983" w:type="dxa"/>
            <w:vMerge w:val="restart"/>
            <w:tcBorders>
              <w:top w:val="single" w:color="000000" w:sz="4" w:space="0"/>
              <w:left w:val="single" w:color="000000" w:sz="4" w:space="0"/>
              <w:right w:val="single" w:color="000000" w:sz="4" w:space="0"/>
            </w:tcBorders>
            <w:shd w:val="clear" w:color="000000" w:fill="FFFFFF"/>
            <w:tcMar>
              <w:left w:w="108" w:type="dxa"/>
              <w:right w:w="108" w:type="dxa"/>
            </w:tcMar>
            <w:vAlign w:val="center"/>
          </w:tcPr>
          <w:p>
            <w:pPr>
              <w:spacing w:line="329" w:lineRule="auto"/>
              <w:jc w:val="center"/>
            </w:pPr>
            <w:r>
              <w:rPr>
                <w:rFonts w:hint="eastAsia" w:ascii="宋体" w:hAnsi="宋体" w:cs="宋体"/>
                <w:lang w:val="en-US" w:eastAsia="zh-CN"/>
              </w:rPr>
              <w:t>1</w:t>
            </w:r>
            <w:r>
              <w:rPr>
                <w:rFonts w:ascii="宋体" w:hAnsi="宋体" w:eastAsia="宋体" w:cs="宋体"/>
              </w:rPr>
              <w:t>套</w:t>
            </w:r>
            <w:r>
              <w:rPr>
                <w:rFonts w:ascii="Times New Roman" w:hAnsi="Times New Roman" w:eastAsia="Times New Roman" w:cs="Times New Roman"/>
              </w:rPr>
              <w:t>/</w:t>
            </w:r>
            <w:r>
              <w:rPr>
                <w:rFonts w:ascii="宋体" w:hAnsi="宋体" w:eastAsia="宋体" w:cs="宋体"/>
              </w:rPr>
              <w:t>年级</w:t>
            </w:r>
            <w:r>
              <w:rPr>
                <w:rFonts w:ascii="Times New Roman" w:hAnsi="Times New Roman" w:eastAsia="Times New Roman" w:cs="Times New Roman"/>
              </w:rPr>
              <w:t>/</w:t>
            </w:r>
            <w:r>
              <w:rPr>
                <w:rFonts w:ascii="宋体" w:hAnsi="宋体" w:eastAsia="宋体" w:cs="宋体"/>
              </w:rPr>
              <w:t>三年</w:t>
            </w:r>
          </w:p>
        </w:tc>
      </w:tr>
      <w:tr>
        <w:tblPrEx>
          <w:tblLayout w:type="fixed"/>
          <w:tblCellMar>
            <w:top w:w="0" w:type="dxa"/>
            <w:left w:w="10" w:type="dxa"/>
            <w:bottom w:w="0" w:type="dxa"/>
            <w:right w:w="10" w:type="dxa"/>
          </w:tblCellMar>
        </w:tblPrEx>
        <w:trPr>
          <w:trHeight w:val="1" w:hRule="atLeast"/>
        </w:trPr>
        <w:tc>
          <w:tcPr>
            <w:tcW w:w="15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9" w:lineRule="auto"/>
              <w:jc w:val="center"/>
              <w:rPr>
                <w:rFonts w:ascii="宋体" w:hAnsi="宋体" w:eastAsia="宋体" w:cs="宋体"/>
              </w:rPr>
            </w:pPr>
            <w:r>
              <w:rPr>
                <w:rFonts w:ascii="宋体" w:hAnsi="宋体" w:eastAsia="宋体" w:cs="宋体"/>
                <w:b/>
              </w:rPr>
              <w:t>材料类</w:t>
            </w:r>
          </w:p>
        </w:tc>
        <w:tc>
          <w:tcPr>
            <w:tcW w:w="49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29" w:lineRule="auto"/>
              <w:jc w:val="left"/>
              <w:rPr>
                <w:rFonts w:hint="default" w:eastAsia="宋体"/>
                <w:lang w:val="en-US" w:eastAsia="zh-CN"/>
              </w:rPr>
            </w:pPr>
            <w:r>
              <w:rPr>
                <w:rFonts w:hint="eastAsia"/>
                <w:lang w:eastAsia="zh-CN"/>
              </w:rPr>
              <w:t>耐用件、耗材件总计</w:t>
            </w:r>
            <w:r>
              <w:rPr>
                <w:rFonts w:hint="eastAsia"/>
                <w:lang w:val="en-US" w:eastAsia="zh-CN"/>
              </w:rPr>
              <w:t>864种</w:t>
            </w:r>
          </w:p>
        </w:tc>
        <w:tc>
          <w:tcPr>
            <w:tcW w:w="1983" w:type="dxa"/>
            <w:vMerge w:val="continue"/>
            <w:tcBorders>
              <w:left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r>
      <w:tr>
        <w:tblPrEx>
          <w:tblLayout w:type="fixed"/>
          <w:tblCellMar>
            <w:top w:w="0" w:type="dxa"/>
            <w:left w:w="10" w:type="dxa"/>
            <w:bottom w:w="0" w:type="dxa"/>
            <w:right w:w="10" w:type="dxa"/>
          </w:tblCellMar>
        </w:tblPrEx>
        <w:trPr>
          <w:trHeight w:val="1" w:hRule="atLeast"/>
        </w:trPr>
        <w:tc>
          <w:tcPr>
            <w:tcW w:w="15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9" w:lineRule="auto"/>
              <w:jc w:val="center"/>
              <w:rPr>
                <w:rFonts w:ascii="宋体" w:hAnsi="宋体" w:eastAsia="宋体" w:cs="宋体"/>
                <w:b/>
              </w:rPr>
            </w:pPr>
            <w:r>
              <w:rPr>
                <w:rFonts w:hint="eastAsia" w:ascii="宋体" w:hAnsi="宋体" w:cs="宋体"/>
                <w:b/>
                <w:lang w:eastAsia="zh-CN"/>
              </w:rPr>
              <w:t>师资培训类</w:t>
            </w:r>
          </w:p>
        </w:tc>
        <w:tc>
          <w:tcPr>
            <w:tcW w:w="49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329" w:lineRule="auto"/>
              <w:jc w:val="left"/>
              <w:rPr>
                <w:rFonts w:ascii="宋体" w:hAnsi="宋体" w:eastAsia="宋体" w:cs="宋体"/>
              </w:rPr>
            </w:pPr>
            <w:r>
              <w:rPr>
                <w:rFonts w:hint="eastAsia" w:ascii="宋体" w:hAnsi="宋体" w:cs="宋体"/>
                <w:lang w:eastAsia="zh-CN"/>
              </w:rPr>
              <w:t>三年</w:t>
            </w:r>
            <w:r>
              <w:rPr>
                <w:rFonts w:hint="eastAsia" w:ascii="宋体" w:hAnsi="宋体" w:cs="宋体"/>
                <w:lang w:val="en-US" w:eastAsia="zh-CN"/>
              </w:rPr>
              <w:t>/18次/入园培训，64次线上培训</w:t>
            </w:r>
          </w:p>
        </w:tc>
        <w:tc>
          <w:tcPr>
            <w:tcW w:w="1983" w:type="dxa"/>
            <w:vMerge w:val="continue"/>
            <w:tcBorders>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r>
      <w:tr>
        <w:tblPrEx>
          <w:tblLayout w:type="fixed"/>
          <w:tblCellMar>
            <w:top w:w="0" w:type="dxa"/>
            <w:left w:w="10" w:type="dxa"/>
            <w:bottom w:w="0" w:type="dxa"/>
            <w:right w:w="10" w:type="dxa"/>
          </w:tblCellMar>
        </w:tblPrEx>
        <w:trPr>
          <w:trHeight w:val="1" w:hRule="atLeast"/>
        </w:trPr>
        <w:tc>
          <w:tcPr>
            <w:tcW w:w="8424" w:type="dxa"/>
            <w:gridSpan w:val="3"/>
            <w:tcBorders>
              <w:top w:val="single" w:color="000000" w:sz="4" w:space="0"/>
              <w:left w:val="single" w:color="000000" w:sz="4" w:space="0"/>
              <w:bottom w:val="single" w:color="000000" w:sz="4" w:space="0"/>
              <w:right w:val="single" w:color="000000" w:sz="4" w:space="0"/>
            </w:tcBorders>
            <w:shd w:val="clear" w:color="auto" w:fill="C0C0C0"/>
            <w:tcMar>
              <w:left w:w="108" w:type="dxa"/>
              <w:right w:w="108" w:type="dxa"/>
            </w:tcMar>
            <w:vAlign w:val="center"/>
          </w:tcPr>
          <w:p>
            <w:pPr>
              <w:spacing w:line="329" w:lineRule="auto"/>
              <w:jc w:val="center"/>
              <w:rPr>
                <w:rFonts w:hint="eastAsia" w:ascii="宋体" w:hAnsi="宋体" w:eastAsia="宋体" w:cs="宋体"/>
                <w:lang w:eastAsia="zh-CN"/>
              </w:rPr>
            </w:pPr>
            <w:r>
              <w:rPr>
                <w:rFonts w:hint="eastAsia" w:ascii="宋体" w:hAnsi="宋体" w:cs="宋体"/>
                <w:b/>
                <w:lang w:eastAsia="zh-CN"/>
              </w:rPr>
              <w:t xml:space="preserve"> 沙水区</w:t>
            </w:r>
          </w:p>
        </w:tc>
      </w:tr>
      <w:tr>
        <w:tblPrEx>
          <w:tblLayout w:type="fixed"/>
          <w:tblCellMar>
            <w:top w:w="0" w:type="dxa"/>
            <w:left w:w="10" w:type="dxa"/>
            <w:bottom w:w="0" w:type="dxa"/>
            <w:right w:w="10" w:type="dxa"/>
          </w:tblCellMar>
        </w:tblPrEx>
        <w:trPr>
          <w:trHeight w:val="1" w:hRule="atLeast"/>
        </w:trPr>
        <w:tc>
          <w:tcPr>
            <w:tcW w:w="15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9" w:lineRule="auto"/>
              <w:jc w:val="center"/>
              <w:rPr>
                <w:rFonts w:ascii="宋体" w:hAnsi="宋体" w:eastAsia="宋体" w:cs="宋体"/>
              </w:rPr>
            </w:pPr>
            <w:r>
              <w:rPr>
                <w:rFonts w:ascii="宋体" w:hAnsi="宋体" w:eastAsia="宋体" w:cs="宋体"/>
                <w:b/>
              </w:rPr>
              <w:t>方案类</w:t>
            </w:r>
          </w:p>
        </w:tc>
        <w:tc>
          <w:tcPr>
            <w:tcW w:w="49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29" w:lineRule="auto"/>
              <w:jc w:val="left"/>
            </w:pPr>
            <w:r>
              <w:rPr>
                <w:rFonts w:hint="eastAsia" w:ascii="宋体" w:hAnsi="宋体" w:cs="宋体"/>
              </w:rPr>
              <w:t>《幼儿园沙水活动指导手册》小、中、大班各1册</w:t>
            </w:r>
          </w:p>
        </w:tc>
        <w:tc>
          <w:tcPr>
            <w:tcW w:w="1983" w:type="dxa"/>
            <w:vMerge w:val="restart"/>
            <w:tcBorders>
              <w:top w:val="single" w:color="000000" w:sz="4" w:space="0"/>
              <w:left w:val="single" w:color="000000" w:sz="4" w:space="0"/>
              <w:right w:val="single" w:color="000000" w:sz="4" w:space="0"/>
            </w:tcBorders>
            <w:shd w:val="clear" w:color="000000" w:fill="FFFFFF"/>
            <w:tcMar>
              <w:left w:w="108" w:type="dxa"/>
              <w:right w:w="108" w:type="dxa"/>
            </w:tcMar>
            <w:vAlign w:val="center"/>
          </w:tcPr>
          <w:p>
            <w:pPr>
              <w:spacing w:line="329" w:lineRule="auto"/>
              <w:jc w:val="center"/>
            </w:pPr>
            <w:r>
              <w:rPr>
                <w:rFonts w:hint="eastAsia" w:ascii="宋体" w:hAnsi="宋体" w:cs="宋体"/>
                <w:lang w:val="en-US" w:eastAsia="zh-CN"/>
              </w:rPr>
              <w:t>1</w:t>
            </w:r>
            <w:r>
              <w:rPr>
                <w:rFonts w:ascii="宋体" w:hAnsi="宋体" w:eastAsia="宋体" w:cs="宋体"/>
              </w:rPr>
              <w:t>套</w:t>
            </w:r>
            <w:r>
              <w:rPr>
                <w:rFonts w:ascii="Times New Roman" w:hAnsi="Times New Roman" w:eastAsia="Times New Roman" w:cs="Times New Roman"/>
              </w:rPr>
              <w:t>/</w:t>
            </w:r>
            <w:r>
              <w:rPr>
                <w:rFonts w:ascii="宋体" w:hAnsi="宋体" w:eastAsia="宋体" w:cs="宋体"/>
              </w:rPr>
              <w:t>年级</w:t>
            </w:r>
            <w:r>
              <w:rPr>
                <w:rFonts w:ascii="Times New Roman" w:hAnsi="Times New Roman" w:eastAsia="Times New Roman" w:cs="Times New Roman"/>
              </w:rPr>
              <w:t>/</w:t>
            </w:r>
            <w:r>
              <w:rPr>
                <w:rFonts w:ascii="宋体" w:hAnsi="宋体" w:eastAsia="宋体" w:cs="宋体"/>
              </w:rPr>
              <w:t>三年</w:t>
            </w:r>
          </w:p>
        </w:tc>
      </w:tr>
      <w:tr>
        <w:tblPrEx>
          <w:tblLayout w:type="fixed"/>
          <w:tblCellMar>
            <w:top w:w="0" w:type="dxa"/>
            <w:left w:w="10" w:type="dxa"/>
            <w:bottom w:w="0" w:type="dxa"/>
            <w:right w:w="10" w:type="dxa"/>
          </w:tblCellMar>
        </w:tblPrEx>
        <w:trPr>
          <w:trHeight w:val="1" w:hRule="atLeast"/>
        </w:trPr>
        <w:tc>
          <w:tcPr>
            <w:tcW w:w="15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9" w:lineRule="auto"/>
              <w:jc w:val="center"/>
              <w:rPr>
                <w:rFonts w:ascii="宋体" w:hAnsi="宋体" w:eastAsia="宋体" w:cs="宋体"/>
              </w:rPr>
            </w:pPr>
            <w:r>
              <w:rPr>
                <w:rFonts w:ascii="宋体" w:hAnsi="宋体" w:eastAsia="宋体" w:cs="宋体"/>
                <w:b/>
              </w:rPr>
              <w:t>材料类</w:t>
            </w:r>
          </w:p>
        </w:tc>
        <w:tc>
          <w:tcPr>
            <w:tcW w:w="49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29" w:lineRule="auto"/>
              <w:jc w:val="left"/>
              <w:rPr>
                <w:rFonts w:hint="eastAsia" w:eastAsia="宋体"/>
                <w:lang w:eastAsia="zh-CN"/>
              </w:rPr>
            </w:pPr>
            <w:r>
              <w:rPr>
                <w:rFonts w:hint="eastAsia"/>
                <w:lang w:eastAsia="zh-CN"/>
              </w:rPr>
              <w:t>基础材料、模型材料、管道材料</w:t>
            </w:r>
          </w:p>
        </w:tc>
        <w:tc>
          <w:tcPr>
            <w:tcW w:w="1983" w:type="dxa"/>
            <w:vMerge w:val="continue"/>
            <w:tcBorders>
              <w:left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r>
      <w:tr>
        <w:tblPrEx>
          <w:tblLayout w:type="fixed"/>
          <w:tblCellMar>
            <w:top w:w="0" w:type="dxa"/>
            <w:left w:w="10" w:type="dxa"/>
            <w:bottom w:w="0" w:type="dxa"/>
            <w:right w:w="10" w:type="dxa"/>
          </w:tblCellMar>
        </w:tblPrEx>
        <w:trPr>
          <w:trHeight w:val="1" w:hRule="atLeast"/>
        </w:trPr>
        <w:tc>
          <w:tcPr>
            <w:tcW w:w="15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9" w:lineRule="auto"/>
              <w:jc w:val="center"/>
              <w:rPr>
                <w:rFonts w:ascii="宋体" w:hAnsi="宋体" w:eastAsia="宋体" w:cs="宋体"/>
                <w:b/>
              </w:rPr>
            </w:pPr>
            <w:r>
              <w:rPr>
                <w:rFonts w:hint="eastAsia" w:ascii="宋体" w:hAnsi="宋体" w:cs="宋体"/>
                <w:b/>
                <w:lang w:eastAsia="zh-CN"/>
              </w:rPr>
              <w:t>师资培训类</w:t>
            </w:r>
          </w:p>
        </w:tc>
        <w:tc>
          <w:tcPr>
            <w:tcW w:w="49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329" w:lineRule="auto"/>
              <w:jc w:val="left"/>
              <w:rPr>
                <w:rFonts w:ascii="宋体" w:hAnsi="宋体" w:eastAsia="宋体" w:cs="宋体"/>
              </w:rPr>
            </w:pPr>
            <w:r>
              <w:rPr>
                <w:rFonts w:hint="eastAsia" w:ascii="宋体" w:hAnsi="宋体" w:cs="宋体"/>
                <w:lang w:eastAsia="zh-CN"/>
              </w:rPr>
              <w:t>三年</w:t>
            </w:r>
            <w:r>
              <w:rPr>
                <w:rFonts w:hint="eastAsia" w:ascii="宋体" w:hAnsi="宋体" w:cs="宋体"/>
                <w:lang w:val="en-US" w:eastAsia="zh-CN"/>
              </w:rPr>
              <w:t>/18次/入园培训，64次线上培训</w:t>
            </w:r>
          </w:p>
        </w:tc>
        <w:tc>
          <w:tcPr>
            <w:tcW w:w="1983" w:type="dxa"/>
            <w:vMerge w:val="continue"/>
            <w:tcBorders>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r>
    </w:tbl>
    <w:p>
      <w:pPr>
        <w:spacing w:line="300" w:lineRule="auto"/>
        <w:rPr>
          <w:rFonts w:hint="eastAsia"/>
        </w:rPr>
      </w:pPr>
    </w:p>
    <w:p>
      <w:pPr>
        <w:numPr>
          <w:ilvl w:val="0"/>
          <w:numId w:val="3"/>
        </w:numPr>
        <w:spacing w:line="300" w:lineRule="auto"/>
        <w:ind w:firstLine="422" w:firstLineChars="200"/>
        <w:jc w:val="left"/>
        <w:rPr>
          <w:rFonts w:hint="eastAsia"/>
          <w:b/>
          <w:bCs/>
          <w:szCs w:val="21"/>
        </w:rPr>
      </w:pPr>
      <w:r>
        <w:rPr>
          <w:rFonts w:hint="eastAsia"/>
          <w:b/>
          <w:bCs/>
          <w:szCs w:val="21"/>
          <w:lang w:eastAsia="zh-CN"/>
        </w:rPr>
        <w:t xml:space="preserve"> </w:t>
      </w:r>
      <w:r>
        <w:rPr>
          <w:rFonts w:hint="eastAsia"/>
          <w:b/>
          <w:bCs/>
          <w:szCs w:val="21"/>
        </w:rPr>
        <w:t>户外</w:t>
      </w:r>
      <w:r>
        <w:rPr>
          <w:rFonts w:hint="eastAsia"/>
          <w:b/>
          <w:bCs/>
          <w:szCs w:val="21"/>
          <w:lang w:eastAsia="zh-CN"/>
        </w:rPr>
        <w:t>运动</w:t>
      </w:r>
      <w:r>
        <w:rPr>
          <w:rFonts w:hint="eastAsia"/>
          <w:b/>
          <w:bCs/>
          <w:szCs w:val="21"/>
        </w:rPr>
        <w:t>游戏</w:t>
      </w:r>
      <w:r>
        <w:rPr>
          <w:rFonts w:hint="eastAsia"/>
          <w:b/>
          <w:bCs/>
          <w:szCs w:val="21"/>
          <w:lang w:eastAsia="zh-CN"/>
        </w:rPr>
        <w:t>整体项目各细分课程</w:t>
      </w:r>
      <w:r>
        <w:rPr>
          <w:rFonts w:hint="eastAsia"/>
          <w:b/>
          <w:bCs/>
          <w:szCs w:val="21"/>
        </w:rPr>
        <w:t>的优势</w:t>
      </w:r>
    </w:p>
    <w:p>
      <w:pPr>
        <w:spacing w:line="300" w:lineRule="auto"/>
        <w:ind w:left="420"/>
        <w:rPr>
          <w:rFonts w:ascii="宋体" w:hAnsi="宋体" w:eastAsia="宋体" w:cs="宋体"/>
        </w:rPr>
      </w:pPr>
      <w:r>
        <w:rPr>
          <w:rFonts w:hint="eastAsia" w:ascii="宋体" w:hAnsi="宋体" w:cs="宋体"/>
          <w:b/>
          <w:lang w:eastAsia="zh-CN"/>
        </w:rPr>
        <w:t xml:space="preserve"> </w:t>
      </w:r>
      <w:r>
        <w:rPr>
          <w:rFonts w:ascii="宋体" w:hAnsi="宋体" w:eastAsia="宋体" w:cs="宋体"/>
          <w:b/>
        </w:rPr>
        <w:t>运动包</w:t>
      </w:r>
      <w:r>
        <w:rPr>
          <w:rFonts w:hint="eastAsia" w:ascii="宋体" w:hAnsi="宋体" w:cs="宋体"/>
          <w:b/>
          <w:lang w:eastAsia="zh-CN"/>
        </w:rPr>
        <w:t>：</w:t>
      </w:r>
    </w:p>
    <w:p>
      <w:pPr>
        <w:spacing w:line="300" w:lineRule="auto"/>
        <w:ind w:firstLine="420"/>
        <w:rPr>
          <w:rFonts w:ascii="宋体" w:hAnsi="宋体" w:eastAsia="宋体" w:cs="宋体"/>
          <w:b w:val="0"/>
          <w:bCs w:val="0"/>
        </w:rPr>
      </w:pPr>
      <w:r>
        <w:rPr>
          <w:rFonts w:hint="eastAsia" w:ascii="宋体" w:hAnsi="宋体" w:cs="宋体"/>
          <w:b/>
          <w:lang w:val="en-US" w:eastAsia="zh-CN"/>
        </w:rPr>
        <w:t xml:space="preserve"> </w:t>
      </w:r>
      <w:r>
        <w:rPr>
          <w:rFonts w:hint="eastAsia"/>
        </w:rPr>
        <w:t>（1</w:t>
      </w:r>
      <w:r>
        <w:rPr>
          <w:rFonts w:hint="eastAsia"/>
          <w:b w:val="0"/>
          <w:bCs w:val="0"/>
        </w:rPr>
        <w:t>）</w:t>
      </w:r>
      <w:r>
        <w:rPr>
          <w:rFonts w:ascii="宋体" w:hAnsi="宋体" w:eastAsia="宋体" w:cs="宋体"/>
          <w:b w:val="0"/>
          <w:bCs w:val="0"/>
        </w:rPr>
        <w:t>提供解决方案，轻松开展活动</w:t>
      </w:r>
    </w:p>
    <w:p>
      <w:pPr>
        <w:spacing w:line="300" w:lineRule="auto"/>
        <w:ind w:firstLine="420"/>
        <w:rPr>
          <w:rFonts w:ascii="宋体" w:hAnsi="宋体" w:eastAsia="宋体" w:cs="宋体"/>
        </w:rPr>
      </w:pPr>
      <w:r>
        <w:rPr>
          <w:rFonts w:hint="eastAsia" w:ascii="宋体" w:hAnsi="宋体" w:cs="宋体"/>
          <w:lang w:eastAsia="zh-CN"/>
        </w:rPr>
        <w:t xml:space="preserve"> </w:t>
      </w:r>
      <w:r>
        <w:rPr>
          <w:rFonts w:ascii="宋体" w:hAnsi="宋体" w:eastAsia="宋体" w:cs="宋体"/>
        </w:rPr>
        <w:t>运动包为幼儿园提供了全面的体育活动解决方案，参照《指南》中的各项标准设定科学的体育活动目标，依据运动材料和一线教研经验、理论研究，为幼儿园体育活动的各种类型提供丰富的教学案例与指导，通俗易懂的指导教师开展体育教学。</w:t>
      </w:r>
    </w:p>
    <w:p>
      <w:pPr>
        <w:spacing w:line="300" w:lineRule="auto"/>
        <w:ind w:left="420"/>
        <w:rPr>
          <w:rFonts w:ascii="宋体" w:hAnsi="宋体" w:eastAsia="宋体" w:cs="宋体"/>
          <w:b/>
        </w:rPr>
      </w:pPr>
      <w:r>
        <w:rPr>
          <w:rFonts w:hint="eastAsia"/>
        </w:rPr>
        <w:t>（</w:t>
      </w:r>
      <w:r>
        <w:rPr>
          <w:rFonts w:hint="eastAsia"/>
          <w:lang w:val="en-US" w:eastAsia="zh-CN"/>
        </w:rPr>
        <w:t>2</w:t>
      </w:r>
      <w:r>
        <w:rPr>
          <w:rFonts w:hint="eastAsia"/>
          <w:b w:val="0"/>
          <w:bCs w:val="0"/>
        </w:rPr>
        <w:t>）</w:t>
      </w:r>
      <w:r>
        <w:rPr>
          <w:rFonts w:ascii="宋体" w:hAnsi="宋体" w:eastAsia="宋体" w:cs="宋体"/>
          <w:b w:val="0"/>
          <w:bCs w:val="0"/>
        </w:rPr>
        <w:t>材料丰富科学，有效组织实施</w:t>
      </w:r>
    </w:p>
    <w:p>
      <w:pPr>
        <w:spacing w:line="300" w:lineRule="auto"/>
        <w:ind w:firstLine="420"/>
        <w:rPr>
          <w:rFonts w:ascii="宋体" w:hAnsi="宋体" w:eastAsia="宋体" w:cs="宋体"/>
        </w:rPr>
      </w:pPr>
      <w:r>
        <w:rPr>
          <w:rFonts w:hint="eastAsia" w:ascii="宋体" w:hAnsi="宋体" w:cs="宋体"/>
          <w:lang w:eastAsia="zh-CN"/>
        </w:rPr>
        <w:t xml:space="preserve"> </w:t>
      </w:r>
      <w:r>
        <w:rPr>
          <w:rFonts w:ascii="宋体" w:hAnsi="宋体" w:eastAsia="宋体" w:cs="宋体"/>
        </w:rPr>
        <w:t>运动包材料丰富、操作性强，突破教师性别的限制，让普通女教师也可胜任体育教学活动。</w:t>
      </w:r>
      <w:r>
        <w:rPr>
          <w:rFonts w:hint="eastAsia" w:ascii="宋体" w:hAnsi="宋体" w:cs="宋体"/>
          <w:lang w:eastAsia="zh-CN"/>
        </w:rPr>
        <w:t xml:space="preserve"> </w:t>
      </w:r>
      <w:r>
        <w:rPr>
          <w:rFonts w:ascii="宋体" w:hAnsi="宋体" w:eastAsia="宋体" w:cs="宋体"/>
        </w:rPr>
        <w:t>运动包中的材料灵活多变，通过组合可满足不同年龄阶段幼儿的发展特点，丰富的活动形式，让幼儿在趣味活动中发展运动能力。</w:t>
      </w:r>
    </w:p>
    <w:p>
      <w:pPr>
        <w:spacing w:line="300" w:lineRule="auto"/>
        <w:ind w:left="420"/>
        <w:rPr>
          <w:rFonts w:ascii="宋体" w:hAnsi="宋体" w:eastAsia="宋体" w:cs="宋体"/>
          <w:b w:val="0"/>
          <w:bCs w:val="0"/>
        </w:rPr>
      </w:pPr>
      <w:r>
        <w:rPr>
          <w:rFonts w:hint="eastAsia"/>
          <w:b w:val="0"/>
          <w:bCs w:val="0"/>
        </w:rPr>
        <w:t>（</w:t>
      </w:r>
      <w:r>
        <w:rPr>
          <w:rFonts w:hint="eastAsia"/>
          <w:b w:val="0"/>
          <w:bCs w:val="0"/>
          <w:lang w:val="en-US" w:eastAsia="zh-CN"/>
        </w:rPr>
        <w:t>3</w:t>
      </w:r>
      <w:r>
        <w:rPr>
          <w:rFonts w:hint="eastAsia"/>
          <w:b w:val="0"/>
          <w:bCs w:val="0"/>
        </w:rPr>
        <w:t>）</w:t>
      </w:r>
      <w:r>
        <w:rPr>
          <w:rFonts w:ascii="宋体" w:hAnsi="宋体" w:eastAsia="宋体" w:cs="宋体"/>
          <w:b w:val="0"/>
          <w:bCs w:val="0"/>
        </w:rPr>
        <w:t>培训精准有效，活动全面改善</w:t>
      </w:r>
    </w:p>
    <w:p>
      <w:pPr>
        <w:spacing w:line="300" w:lineRule="auto"/>
        <w:ind w:firstLine="420"/>
        <w:rPr>
          <w:rFonts w:hint="eastAsia"/>
          <w:b/>
          <w:bCs/>
          <w:szCs w:val="21"/>
          <w:lang w:eastAsia="zh-CN"/>
        </w:rPr>
      </w:pPr>
      <w:r>
        <w:rPr>
          <w:rFonts w:hint="eastAsia" w:ascii="宋体" w:hAnsi="宋体" w:cs="宋体"/>
          <w:lang w:eastAsia="zh-CN"/>
        </w:rPr>
        <w:t xml:space="preserve"> </w:t>
      </w:r>
      <w:r>
        <w:rPr>
          <w:rFonts w:ascii="宋体" w:hAnsi="宋体" w:eastAsia="宋体" w:cs="宋体"/>
        </w:rPr>
        <w:t>运动包根据体育活动特征，针对幼儿园体育活动开展需要，通过线上和入园多种形式为教师提供优质的示范课程，并指导园所观摩和开展亲子运动会，提升活动质量与意义，让家长成为幼儿园运动活动的支持者和参与者。</w:t>
      </w:r>
    </w:p>
    <w:p>
      <w:pPr>
        <w:numPr>
          <w:ilvl w:val="0"/>
          <w:numId w:val="0"/>
        </w:numPr>
        <w:spacing w:line="300" w:lineRule="auto"/>
        <w:ind w:firstLine="422" w:firstLineChars="200"/>
        <w:jc w:val="left"/>
        <w:rPr>
          <w:rFonts w:hint="eastAsia"/>
          <w:b/>
          <w:bCs/>
          <w:szCs w:val="21"/>
          <w:lang w:eastAsia="zh-CN"/>
        </w:rPr>
      </w:pPr>
      <w:r>
        <w:rPr>
          <w:rFonts w:hint="eastAsia"/>
          <w:b/>
          <w:bCs/>
          <w:szCs w:val="21"/>
          <w:lang w:eastAsia="zh-CN"/>
        </w:rPr>
        <w:t xml:space="preserve"> 户外游戏区：</w:t>
      </w:r>
    </w:p>
    <w:p>
      <w:pPr>
        <w:spacing w:line="300" w:lineRule="auto"/>
        <w:ind w:firstLine="420" w:firstLineChars="200"/>
        <w:jc w:val="left"/>
      </w:pPr>
      <w:r>
        <w:rPr>
          <w:rFonts w:hint="eastAsia"/>
        </w:rPr>
        <w:t>以低结构的大型建构材料为依托，搭建丰富的游戏场景，开展运动类、建构类、表演类、美劳类、探究类活动，全面发展幼儿各方面的综合能力。</w:t>
      </w:r>
    </w:p>
    <w:p>
      <w:pPr>
        <w:spacing w:line="300" w:lineRule="auto"/>
        <w:ind w:firstLine="420" w:firstLineChars="200"/>
        <w:jc w:val="left"/>
      </w:pPr>
      <w:r>
        <w:rPr>
          <w:rFonts w:hint="eastAsia"/>
        </w:rPr>
        <w:t>（1）科学的材料配备，满足园所及幼儿的多方位需求</w:t>
      </w:r>
    </w:p>
    <w:p>
      <w:pPr>
        <w:spacing w:line="300" w:lineRule="auto"/>
        <w:ind w:firstLine="420" w:firstLineChars="200"/>
        <w:rPr>
          <w:rFonts w:ascii="宋体" w:hAnsi="宋体" w:cs="宋体"/>
          <w:szCs w:val="21"/>
        </w:rPr>
      </w:pPr>
      <w:r>
        <w:rPr>
          <w:rFonts w:hint="eastAsia" w:ascii="宋体" w:hAnsi="宋体" w:cs="宋体"/>
          <w:szCs w:val="21"/>
          <w:lang w:eastAsia="zh-CN"/>
        </w:rPr>
        <w:t xml:space="preserve"> </w:t>
      </w:r>
      <w:r>
        <w:rPr>
          <w:rFonts w:hint="eastAsia" w:ascii="宋体" w:hAnsi="宋体" w:cs="宋体"/>
          <w:szCs w:val="21"/>
        </w:rPr>
        <w:t>户外游戏区提供丰富的低结构材料，包含耐用件和耗材件，帮助幼儿构建三维空间思维，充分发挥自己的想象来进行创造，将教育性和游戏性完美融合，简洁的几何形状、明快的色彩表现，满足幼儿无限的游戏创意，实现幼儿在“玩中学”的教育理念。</w:t>
      </w:r>
    </w:p>
    <w:p>
      <w:pPr>
        <w:spacing w:line="300" w:lineRule="auto"/>
        <w:ind w:firstLine="420" w:firstLineChars="200"/>
        <w:rPr>
          <w:rFonts w:ascii="宋体" w:hAnsi="宋体" w:cs="宋体"/>
          <w:szCs w:val="21"/>
        </w:rPr>
      </w:pPr>
      <w:r>
        <w:rPr>
          <w:rFonts w:hint="eastAsia" w:ascii="宋体" w:hAnsi="宋体" w:cs="宋体"/>
          <w:szCs w:val="21"/>
        </w:rPr>
        <w:t>（2）丰富的活动实施案例，让教师教学更为便利</w:t>
      </w:r>
    </w:p>
    <w:p>
      <w:pPr>
        <w:spacing w:line="300" w:lineRule="auto"/>
        <w:ind w:firstLine="420" w:firstLineChars="200"/>
        <w:rPr>
          <w:rFonts w:ascii="宋体" w:hAnsi="宋体" w:cs="宋体"/>
          <w:szCs w:val="21"/>
        </w:rPr>
      </w:pPr>
      <w:r>
        <w:rPr>
          <w:rFonts w:hint="eastAsia" w:ascii="宋体" w:hAnsi="宋体" w:cs="宋体"/>
          <w:bCs/>
          <w:szCs w:val="21"/>
          <w:lang w:eastAsia="zh-CN"/>
        </w:rPr>
        <w:t xml:space="preserve"> </w:t>
      </w:r>
      <w:r>
        <w:rPr>
          <w:rFonts w:hint="eastAsia" w:ascii="宋体" w:hAnsi="宋体" w:cs="宋体"/>
          <w:bCs/>
          <w:szCs w:val="21"/>
        </w:rPr>
        <w:t>户外游戏区的整体方案和指导手册，也会为这五大类活动提供丰富的、可实施的方案，从而解决</w:t>
      </w:r>
      <w:r>
        <w:rPr>
          <w:rFonts w:hint="eastAsia" w:ascii="宋体" w:hAnsi="宋体" w:cs="宋体"/>
          <w:szCs w:val="21"/>
        </w:rPr>
        <w:t>园所户外游戏活动单一、不系统的问题，促进园所教师队伍的建设与发展。</w:t>
      </w:r>
    </w:p>
    <w:p>
      <w:pPr>
        <w:spacing w:line="300" w:lineRule="auto"/>
        <w:ind w:firstLine="420" w:firstLineChars="200"/>
        <w:rPr>
          <w:rFonts w:ascii="宋体" w:hAnsi="宋体" w:cs="宋体"/>
          <w:szCs w:val="21"/>
        </w:rPr>
      </w:pPr>
      <w:r>
        <w:rPr>
          <w:rFonts w:hint="eastAsia" w:ascii="宋体" w:hAnsi="宋体" w:cs="宋体"/>
          <w:szCs w:val="21"/>
        </w:rPr>
        <w:t>（3）多样的运动游戏形式，促进幼儿的全面发展</w:t>
      </w:r>
    </w:p>
    <w:p>
      <w:pPr>
        <w:spacing w:line="300" w:lineRule="auto"/>
        <w:ind w:firstLine="420" w:firstLineChars="200"/>
      </w:pPr>
      <w:r>
        <w:rPr>
          <w:rFonts w:hint="eastAsia" w:ascii="宋体" w:hAnsi="宋体" w:cs="宋体"/>
          <w:bCs/>
          <w:szCs w:val="21"/>
        </w:rPr>
        <w:t>游戏材料搭建的体育运动场景为幼儿的运动创造了良好的环境，从走、跑、钻、爬、跳、举等各方面锻炼了幼儿的体能，促进了幼儿身体的发展。</w:t>
      </w:r>
    </w:p>
    <w:p>
      <w:pPr>
        <w:spacing w:line="300" w:lineRule="auto"/>
        <w:ind w:firstLine="422" w:firstLineChars="200"/>
        <w:jc w:val="left"/>
        <w:rPr>
          <w:rFonts w:hint="eastAsia" w:eastAsia="宋体"/>
          <w:b/>
          <w:bCs/>
          <w:szCs w:val="21"/>
          <w:lang w:eastAsia="zh-CN"/>
        </w:rPr>
      </w:pPr>
      <w:r>
        <w:rPr>
          <w:rFonts w:hint="eastAsia"/>
          <w:b/>
          <w:bCs/>
          <w:szCs w:val="21"/>
          <w:lang w:eastAsia="zh-CN"/>
        </w:rPr>
        <w:t xml:space="preserve"> </w:t>
      </w:r>
      <w:r>
        <w:rPr>
          <w:rFonts w:hint="eastAsia"/>
          <w:b/>
          <w:bCs/>
          <w:szCs w:val="21"/>
        </w:rPr>
        <w:t>沙水区</w:t>
      </w:r>
      <w:r>
        <w:rPr>
          <w:rFonts w:hint="eastAsia"/>
          <w:b/>
          <w:bCs/>
          <w:szCs w:val="21"/>
          <w:lang w:eastAsia="zh-CN"/>
        </w:rPr>
        <w:t>：</w:t>
      </w:r>
    </w:p>
    <w:p>
      <w:pPr>
        <w:spacing w:line="300" w:lineRule="auto"/>
        <w:ind w:firstLine="420" w:firstLineChars="200"/>
        <w:jc w:val="left"/>
      </w:pPr>
      <w:r>
        <w:rPr>
          <w:rFonts w:hint="eastAsia"/>
        </w:rPr>
        <w:t>以科学为主要学习领域，以建构为主要游戏方式的沙水探索游戏区，让幼儿通过自主探究获得对沙、水等物质的了解和认知，感受科学探究活动的过程和方法。</w:t>
      </w:r>
    </w:p>
    <w:p>
      <w:pPr>
        <w:spacing w:line="300" w:lineRule="auto"/>
        <w:ind w:firstLine="420" w:firstLineChars="200"/>
        <w:jc w:val="left"/>
      </w:pPr>
      <w:r>
        <w:rPr>
          <w:rFonts w:hint="eastAsia"/>
        </w:rPr>
        <w:t>（1）名师主编方案先行，活动科学，轻松上手</w:t>
      </w:r>
    </w:p>
    <w:p>
      <w:pPr>
        <w:spacing w:line="300" w:lineRule="auto"/>
        <w:ind w:firstLine="420" w:firstLineChars="200"/>
        <w:jc w:val="left"/>
      </w:pPr>
      <w:r>
        <w:rPr>
          <w:rFonts w:hint="eastAsia"/>
        </w:rPr>
        <w:t>《幼儿园沙水活动指导手册》由华东师范大学华爱华教授主编，倾力指导相关理论，权威指引活动实施，依据不同年龄段的发展特点，科学系统地提出各年龄段的教育目标，帮助教师有的放矢地组织活动，挖掘活动的教育价值。</w:t>
      </w:r>
    </w:p>
    <w:p>
      <w:pPr>
        <w:spacing w:line="300" w:lineRule="auto"/>
        <w:ind w:firstLine="420" w:firstLineChars="200"/>
        <w:jc w:val="left"/>
      </w:pPr>
      <w:r>
        <w:rPr>
          <w:rFonts w:hint="eastAsia"/>
        </w:rPr>
        <w:t>（2）材料设计科学独特，符合幼儿年龄特点</w:t>
      </w:r>
    </w:p>
    <w:p>
      <w:pPr>
        <w:spacing w:line="300" w:lineRule="auto"/>
        <w:ind w:firstLine="420" w:firstLineChars="200"/>
        <w:jc w:val="left"/>
      </w:pPr>
      <w:r>
        <w:rPr>
          <w:rFonts w:hint="eastAsia"/>
        </w:rPr>
        <w:t>材料设计科学，符合人体工程学和幼儿审美的工业设计，让幼儿更健康、更舒适地游戏。简单平滑的线条，圆润的倒角设计彰显了强烈的现代设计感、档次感、柔顺的触感和极高的安全性。</w:t>
      </w:r>
    </w:p>
    <w:p>
      <w:pPr>
        <w:spacing w:line="300" w:lineRule="auto"/>
        <w:ind w:firstLine="420" w:firstLineChars="200"/>
        <w:jc w:val="left"/>
      </w:pPr>
      <w:r>
        <w:rPr>
          <w:rFonts w:hint="eastAsia"/>
        </w:rPr>
        <w:t>（3）材料低结构，组合多样，满足幼儿探究和创造的需要</w:t>
      </w:r>
    </w:p>
    <w:p>
      <w:pPr>
        <w:spacing w:line="300" w:lineRule="auto"/>
        <w:ind w:firstLine="420" w:firstLineChars="200"/>
        <w:jc w:val="left"/>
      </w:pPr>
      <w:r>
        <w:rPr>
          <w:rFonts w:hint="eastAsia"/>
        </w:rPr>
        <w:t>材料丰富且结构性低甚至无结构，具有可循环、可变化、可组合的特点，满足幼儿开展多种游戏形式，能为幼儿提供多样的游戏主题，利于激发幼儿更多的游戏潜能，满足幼儿探究和创造的需要。</w:t>
      </w:r>
    </w:p>
    <w:p>
      <w:pPr>
        <w:spacing w:line="300" w:lineRule="auto"/>
        <w:ind w:firstLine="420" w:firstLineChars="200"/>
        <w:jc w:val="left"/>
      </w:pPr>
      <w:r>
        <w:rPr>
          <w:rFonts w:hint="eastAsia"/>
        </w:rPr>
        <w:t>（4）材料优质环保，安全实施有保障</w:t>
      </w:r>
    </w:p>
    <w:p>
      <w:pPr>
        <w:spacing w:line="300" w:lineRule="auto"/>
        <w:ind w:firstLine="420" w:firstLineChars="200"/>
        <w:jc w:val="left"/>
      </w:pPr>
      <w:r>
        <w:rPr>
          <w:rFonts w:hint="eastAsia"/>
          <w:lang w:eastAsia="zh-CN"/>
        </w:rPr>
        <w:t xml:space="preserve"> </w:t>
      </w:r>
      <w:r>
        <w:rPr>
          <w:rFonts w:hint="eastAsia"/>
        </w:rPr>
        <w:t xml:space="preserve">沙水区材料获得了国家3C认证，材质环保耐用，无污染，为园所提供安全放心的玩具材料，帮助园所创设安全美好的生态环境，沙水活动指导手册中也提供了安全注意事项及活动要求，解决活动实施中的安全隐忧。 </w:t>
      </w:r>
    </w:p>
    <w:p>
      <w:pPr>
        <w:spacing w:line="300" w:lineRule="auto"/>
        <w:jc w:val="left"/>
      </w:pPr>
    </w:p>
    <w:p>
      <w:pPr>
        <w:spacing w:line="300" w:lineRule="auto"/>
        <w:ind w:firstLine="482" w:firstLineChars="200"/>
        <w:jc w:val="left"/>
        <w:rPr>
          <w:b/>
          <w:bCs/>
          <w:sz w:val="24"/>
        </w:rPr>
      </w:pPr>
      <w:r>
        <w:rPr>
          <w:rFonts w:hint="eastAsia"/>
          <w:b/>
          <w:bCs/>
          <w:sz w:val="24"/>
          <w:lang w:val="en-US" w:eastAsia="zh-CN"/>
        </w:rPr>
        <w:t>七</w:t>
      </w:r>
      <w:r>
        <w:rPr>
          <w:rFonts w:hint="eastAsia"/>
          <w:b/>
          <w:bCs/>
          <w:sz w:val="24"/>
        </w:rPr>
        <w:t>、</w:t>
      </w:r>
      <w:r>
        <w:rPr>
          <w:rFonts w:hint="eastAsia"/>
          <w:b/>
          <w:bCs/>
          <w:sz w:val="24"/>
          <w:lang w:eastAsia="zh-CN"/>
        </w:rPr>
        <w:t xml:space="preserve"> 户外游戏课程的</w:t>
      </w:r>
      <w:r>
        <w:rPr>
          <w:rFonts w:hint="eastAsia"/>
          <w:b/>
          <w:bCs/>
          <w:sz w:val="24"/>
        </w:rPr>
        <w:t>培训服务</w:t>
      </w:r>
    </w:p>
    <w:p>
      <w:pPr>
        <w:spacing w:line="300" w:lineRule="auto"/>
        <w:ind w:firstLine="420" w:firstLineChars="200"/>
        <w:jc w:val="left"/>
        <w:rPr>
          <w:rFonts w:hint="eastAsia"/>
          <w:b/>
          <w:bCs/>
          <w:sz w:val="24"/>
          <w:szCs w:val="32"/>
          <w:highlight w:val="none"/>
        </w:rPr>
      </w:pPr>
      <w:r>
        <w:rPr>
          <w:rFonts w:hint="eastAsia"/>
        </w:rPr>
        <w:t>在与园所三年合作期间，</w:t>
      </w:r>
      <w:r>
        <w:rPr>
          <w:rFonts w:hint="eastAsia"/>
          <w:lang w:eastAsia="zh-CN"/>
        </w:rPr>
        <w:t xml:space="preserve"> </w:t>
      </w:r>
      <w:r>
        <w:rPr>
          <w:rFonts w:hint="eastAsia"/>
        </w:rPr>
        <w:t>公司将提供内容丰富、形式多样的</w:t>
      </w:r>
      <w:r>
        <w:rPr>
          <w:rFonts w:hint="eastAsia"/>
          <w:lang w:eastAsia="zh-CN"/>
        </w:rPr>
        <w:t>师资</w:t>
      </w:r>
      <w:r>
        <w:rPr>
          <w:rFonts w:hint="eastAsia"/>
        </w:rPr>
        <w:t>培训</w:t>
      </w:r>
      <w:r>
        <w:rPr>
          <w:rFonts w:hint="eastAsia"/>
          <w:lang w:eastAsia="zh-CN"/>
        </w:rPr>
        <w:t>服务，</w:t>
      </w:r>
      <w:r>
        <w:rPr>
          <w:rFonts w:hint="eastAsia"/>
        </w:rPr>
        <w:t>旨在手把手帮助园所</w:t>
      </w:r>
      <w:r>
        <w:rPr>
          <w:rFonts w:hint="eastAsia"/>
          <w:lang w:eastAsia="zh-CN"/>
        </w:rPr>
        <w:t>教师熟练掌握开展户外活动的理念、目标、材料、方法和评价，提升师资专业化水平，助力园所</w:t>
      </w:r>
      <w:r>
        <w:rPr>
          <w:rFonts w:hint="eastAsia"/>
        </w:rPr>
        <w:t>成功</w:t>
      </w:r>
      <w:r>
        <w:rPr>
          <w:rFonts w:hint="eastAsia"/>
          <w:highlight w:val="none"/>
        </w:rPr>
        <w:t>打造户外课程特色，有效促进园所</w:t>
      </w:r>
      <w:r>
        <w:rPr>
          <w:rFonts w:hint="eastAsia"/>
          <w:highlight w:val="none"/>
          <w:lang w:eastAsia="zh-CN"/>
        </w:rPr>
        <w:t>办园质量</w:t>
      </w:r>
      <w:r>
        <w:rPr>
          <w:rFonts w:hint="eastAsia"/>
          <w:highlight w:val="none"/>
        </w:rPr>
        <w:t>的进一步提升。</w:t>
      </w:r>
    </w:p>
    <w:p>
      <w:pPr>
        <w:spacing w:line="300" w:lineRule="auto"/>
        <w:ind w:firstLine="482" w:firstLineChars="200"/>
        <w:jc w:val="left"/>
        <w:rPr>
          <w:rFonts w:hint="eastAsia"/>
          <w:b/>
          <w:bCs/>
          <w:sz w:val="24"/>
          <w:szCs w:val="32"/>
          <w:highlight w:val="none"/>
        </w:rPr>
      </w:pPr>
      <w:r>
        <w:rPr>
          <w:rFonts w:hint="eastAsia"/>
          <w:b/>
          <w:bCs/>
          <w:sz w:val="24"/>
          <w:szCs w:val="32"/>
          <w:highlight w:val="none"/>
        </w:rPr>
        <w:t>（一）</w:t>
      </w:r>
      <w:r>
        <w:rPr>
          <w:rFonts w:hint="eastAsia"/>
          <w:b/>
          <w:bCs/>
          <w:sz w:val="24"/>
          <w:szCs w:val="32"/>
          <w:highlight w:val="none"/>
          <w:lang w:eastAsia="zh-CN"/>
        </w:rPr>
        <w:t>线下</w:t>
      </w:r>
      <w:r>
        <w:rPr>
          <w:rFonts w:hint="eastAsia"/>
          <w:b/>
          <w:bCs/>
          <w:sz w:val="24"/>
          <w:szCs w:val="32"/>
          <w:highlight w:val="none"/>
        </w:rPr>
        <w:t>培训</w:t>
      </w:r>
    </w:p>
    <w:tbl>
      <w:tblPr>
        <w:tblStyle w:val="18"/>
        <w:tblW w:w="9366" w:type="dxa"/>
        <w:tblInd w:w="1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2175"/>
        <w:gridCol w:w="3275"/>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4" w:type="dxa"/>
            <w:vAlign w:val="center"/>
          </w:tcPr>
          <w:p>
            <w:pPr>
              <w:jc w:val="center"/>
              <w:rPr>
                <w:rFonts w:hint="eastAsia"/>
                <w:b/>
                <w:bCs/>
                <w:highlight w:val="none"/>
              </w:rPr>
            </w:pPr>
            <w:r>
              <w:rPr>
                <w:rFonts w:hint="eastAsia" w:ascii="宋体" w:hAnsi="宋体" w:cs="宋体"/>
                <w:b/>
                <w:bCs/>
                <w:szCs w:val="21"/>
                <w:highlight w:val="none"/>
              </w:rPr>
              <w:t>培训类型</w:t>
            </w:r>
          </w:p>
        </w:tc>
        <w:tc>
          <w:tcPr>
            <w:tcW w:w="5450" w:type="dxa"/>
            <w:gridSpan w:val="2"/>
            <w:vAlign w:val="center"/>
          </w:tcPr>
          <w:p>
            <w:pPr>
              <w:jc w:val="center"/>
              <w:rPr>
                <w:rFonts w:hint="eastAsia"/>
                <w:highlight w:val="none"/>
              </w:rPr>
            </w:pPr>
            <w:r>
              <w:rPr>
                <w:rFonts w:hint="eastAsia" w:ascii="宋体" w:hAnsi="宋体" w:cs="宋体"/>
                <w:b/>
                <w:bCs/>
                <w:szCs w:val="21"/>
                <w:highlight w:val="none"/>
              </w:rPr>
              <w:t>培训内容</w:t>
            </w:r>
          </w:p>
        </w:tc>
        <w:tc>
          <w:tcPr>
            <w:tcW w:w="2222" w:type="dxa"/>
            <w:vAlign w:val="center"/>
          </w:tcPr>
          <w:p>
            <w:pPr>
              <w:jc w:val="center"/>
              <w:rPr>
                <w:rFonts w:hint="eastAsia"/>
                <w:highlight w:val="none"/>
              </w:rPr>
            </w:pPr>
            <w:r>
              <w:rPr>
                <w:rFonts w:hint="eastAsia" w:ascii="宋体" w:hAnsi="宋体" w:cs="宋体"/>
                <w:b/>
                <w:bCs/>
                <w:szCs w:val="21"/>
                <w:highlight w:val="none"/>
              </w:rPr>
              <w:t>培训</w:t>
            </w:r>
            <w:r>
              <w:rPr>
                <w:rFonts w:hint="eastAsia" w:ascii="宋体" w:hAnsi="宋体" w:cs="宋体"/>
                <w:b/>
                <w:bCs/>
                <w:szCs w:val="21"/>
                <w:highlight w:val="none"/>
                <w:lang w:eastAsia="zh-CN"/>
              </w:rPr>
              <w:t>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4" w:type="dxa"/>
            <w:vAlign w:val="center"/>
          </w:tcPr>
          <w:p>
            <w:pPr>
              <w:jc w:val="center"/>
              <w:rPr>
                <w:b/>
                <w:bCs/>
                <w:highlight w:val="none"/>
              </w:rPr>
            </w:pPr>
            <w:r>
              <w:rPr>
                <w:rFonts w:hint="eastAsia"/>
                <w:b/>
                <w:bCs/>
                <w:highlight w:val="none"/>
              </w:rPr>
              <w:t>基础培训</w:t>
            </w:r>
          </w:p>
        </w:tc>
        <w:tc>
          <w:tcPr>
            <w:tcW w:w="2175" w:type="dxa"/>
            <w:vAlign w:val="center"/>
          </w:tcPr>
          <w:p>
            <w:pPr>
              <w:jc w:val="left"/>
              <w:rPr>
                <w:highlight w:val="none"/>
              </w:rPr>
            </w:pPr>
            <w:r>
              <w:rPr>
                <w:rFonts w:hint="eastAsia"/>
                <w:highlight w:val="none"/>
              </w:rPr>
              <w:t>入园培训</w:t>
            </w:r>
            <w:r>
              <w:rPr>
                <w:rFonts w:hint="eastAsia"/>
                <w:highlight w:val="none"/>
                <w:lang w:eastAsia="zh-CN"/>
              </w:rPr>
              <w:t>或集中培训</w:t>
            </w:r>
          </w:p>
        </w:tc>
        <w:tc>
          <w:tcPr>
            <w:tcW w:w="3275" w:type="dxa"/>
            <w:vAlign w:val="center"/>
          </w:tcPr>
          <w:p>
            <w:pPr>
              <w:jc w:val="left"/>
              <w:rPr>
                <w:rFonts w:hint="eastAsia"/>
                <w:highlight w:val="none"/>
              </w:rPr>
            </w:pPr>
            <w:r>
              <w:rPr>
                <w:rFonts w:hint="eastAsia"/>
                <w:highlight w:val="none"/>
              </w:rPr>
              <w:t>递进式专题（含理念与方法、组织与实施、材料运用等）</w:t>
            </w:r>
          </w:p>
        </w:tc>
        <w:tc>
          <w:tcPr>
            <w:tcW w:w="2222" w:type="dxa"/>
            <w:vAlign w:val="center"/>
          </w:tcPr>
          <w:p>
            <w:pPr>
              <w:jc w:val="center"/>
              <w:rPr>
                <w:rFonts w:hint="eastAsia"/>
                <w:highlight w:val="none"/>
              </w:rPr>
            </w:pPr>
            <w:r>
              <w:rPr>
                <w:rFonts w:hint="eastAsia" w:ascii="宋体" w:hAnsi="宋体" w:cs="宋体"/>
                <w:szCs w:val="21"/>
                <w:highlight w:val="none"/>
                <w:lang w:val="en-US" w:eastAsia="zh-CN"/>
              </w:rPr>
              <w:t>3</w:t>
            </w:r>
            <w:r>
              <w:rPr>
                <w:rFonts w:hint="eastAsia" w:ascii="宋体" w:hAnsi="宋体" w:cs="宋体"/>
                <w:szCs w:val="21"/>
                <w:highlight w:val="none"/>
              </w:rPr>
              <w:t>次/</w:t>
            </w:r>
            <w:r>
              <w:rPr>
                <w:rFonts w:hint="eastAsia" w:ascii="宋体" w:hAnsi="宋体" w:cs="宋体"/>
                <w:szCs w:val="21"/>
                <w:highlight w:val="none"/>
                <w:lang w:eastAsia="zh-CN"/>
              </w:rPr>
              <w:t>课程</w:t>
            </w:r>
            <w:r>
              <w:rPr>
                <w:rFonts w:hint="eastAsia" w:ascii="宋体" w:hAnsi="宋体" w:cs="宋体"/>
                <w:szCs w:val="21"/>
                <w:highlight w:val="none"/>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4" w:type="dxa"/>
            <w:vMerge w:val="restart"/>
            <w:vAlign w:val="center"/>
          </w:tcPr>
          <w:p>
            <w:pPr>
              <w:jc w:val="center"/>
              <w:rPr>
                <w:b/>
                <w:bCs/>
                <w:highlight w:val="none"/>
              </w:rPr>
            </w:pPr>
            <w:r>
              <w:rPr>
                <w:rFonts w:hint="eastAsia"/>
                <w:b/>
                <w:bCs/>
                <w:highlight w:val="none"/>
              </w:rPr>
              <w:t>专项培训</w:t>
            </w:r>
          </w:p>
        </w:tc>
        <w:tc>
          <w:tcPr>
            <w:tcW w:w="2175" w:type="dxa"/>
            <w:vAlign w:val="center"/>
          </w:tcPr>
          <w:p>
            <w:pPr>
              <w:jc w:val="left"/>
              <w:rPr>
                <w:highlight w:val="none"/>
              </w:rPr>
            </w:pPr>
            <w:r>
              <w:rPr>
                <w:rFonts w:hint="eastAsia"/>
                <w:highlight w:val="none"/>
                <w:lang w:eastAsia="zh-CN"/>
              </w:rPr>
              <w:t xml:space="preserve"> </w:t>
            </w:r>
            <w:r>
              <w:rPr>
                <w:rFonts w:hint="eastAsia"/>
                <w:highlight w:val="none"/>
              </w:rPr>
              <w:t>魅力教师训练营</w:t>
            </w:r>
          </w:p>
        </w:tc>
        <w:tc>
          <w:tcPr>
            <w:tcW w:w="3275" w:type="dxa"/>
            <w:vAlign w:val="center"/>
          </w:tcPr>
          <w:p>
            <w:pPr>
              <w:jc w:val="left"/>
              <w:rPr>
                <w:highlight w:val="none"/>
              </w:rPr>
            </w:pPr>
            <w:r>
              <w:rPr>
                <w:rFonts w:hint="eastAsia"/>
                <w:highlight w:val="none"/>
              </w:rPr>
              <w:t>1.活动组织技能</w:t>
            </w:r>
          </w:p>
          <w:p>
            <w:pPr>
              <w:jc w:val="left"/>
              <w:rPr>
                <w:highlight w:val="none"/>
              </w:rPr>
            </w:pPr>
            <w:r>
              <w:rPr>
                <w:rFonts w:hint="eastAsia"/>
                <w:highlight w:val="none"/>
              </w:rPr>
              <w:t>2.班级工作技能</w:t>
            </w:r>
          </w:p>
          <w:p>
            <w:pPr>
              <w:jc w:val="left"/>
              <w:rPr>
                <w:highlight w:val="none"/>
              </w:rPr>
            </w:pPr>
            <w:r>
              <w:rPr>
                <w:rFonts w:hint="eastAsia"/>
                <w:highlight w:val="none"/>
              </w:rPr>
              <w:t>3.专业发展技能</w:t>
            </w:r>
          </w:p>
        </w:tc>
        <w:tc>
          <w:tcPr>
            <w:tcW w:w="2222" w:type="dxa"/>
            <w:vAlign w:val="center"/>
          </w:tcPr>
          <w:p>
            <w:pPr>
              <w:jc w:val="center"/>
              <w:rPr>
                <w:rFonts w:hint="eastAsia"/>
                <w:highlight w:val="none"/>
                <w:lang w:val="en-US" w:eastAsia="zh-CN"/>
              </w:rPr>
            </w:pPr>
            <w:r>
              <w:rPr>
                <w:rFonts w:hint="eastAsia"/>
                <w:highlight w:val="none"/>
                <w:lang w:val="en-US" w:eastAsia="zh-CN"/>
              </w:rPr>
              <w:t>1次/学期</w:t>
            </w:r>
          </w:p>
          <w:p>
            <w:pPr>
              <w:jc w:val="center"/>
              <w:rPr>
                <w:rFonts w:hint="eastAsia" w:eastAsia="宋体"/>
                <w:highlight w:val="none"/>
                <w:lang w:val="en-US" w:eastAsia="zh-CN"/>
              </w:rPr>
            </w:pPr>
            <w:r>
              <w:rPr>
                <w:rFonts w:hint="eastAsia"/>
                <w:highlight w:val="none"/>
                <w:lang w:val="en-US" w:eastAsia="zh-CN"/>
              </w:rPr>
              <w:t>以区县为单位组织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4" w:type="dxa"/>
            <w:vMerge w:val="continue"/>
            <w:vAlign w:val="center"/>
          </w:tcPr>
          <w:p>
            <w:pPr>
              <w:jc w:val="center"/>
              <w:rPr>
                <w:b/>
                <w:bCs/>
                <w:highlight w:val="none"/>
              </w:rPr>
            </w:pPr>
          </w:p>
        </w:tc>
        <w:tc>
          <w:tcPr>
            <w:tcW w:w="2175" w:type="dxa"/>
            <w:vAlign w:val="center"/>
          </w:tcPr>
          <w:p>
            <w:pPr>
              <w:jc w:val="left"/>
              <w:rPr>
                <w:highlight w:val="none"/>
              </w:rPr>
            </w:pPr>
            <w:r>
              <w:rPr>
                <w:rFonts w:hint="eastAsia"/>
                <w:highlight w:val="none"/>
                <w:lang w:eastAsia="zh-CN"/>
              </w:rPr>
              <w:t xml:space="preserve"> </w:t>
            </w:r>
            <w:r>
              <w:rPr>
                <w:rFonts w:hint="eastAsia"/>
                <w:highlight w:val="none"/>
              </w:rPr>
              <w:t>骨干教师培训班</w:t>
            </w:r>
          </w:p>
        </w:tc>
        <w:tc>
          <w:tcPr>
            <w:tcW w:w="3275" w:type="dxa"/>
            <w:vAlign w:val="center"/>
          </w:tcPr>
          <w:p>
            <w:pPr>
              <w:jc w:val="left"/>
              <w:rPr>
                <w:highlight w:val="none"/>
              </w:rPr>
            </w:pPr>
            <w:r>
              <w:rPr>
                <w:rFonts w:hint="eastAsia"/>
                <w:highlight w:val="none"/>
              </w:rPr>
              <w:t>1.</w:t>
            </w:r>
            <w:r>
              <w:rPr>
                <w:rFonts w:hint="eastAsia"/>
                <w:highlight w:val="none"/>
                <w:lang w:eastAsia="zh-CN"/>
              </w:rPr>
              <w:t xml:space="preserve"> </w:t>
            </w:r>
            <w:r>
              <w:rPr>
                <w:rFonts w:hint="eastAsia"/>
                <w:highlight w:val="none"/>
              </w:rPr>
              <w:t>课程实施策略</w:t>
            </w:r>
          </w:p>
          <w:p>
            <w:pPr>
              <w:jc w:val="left"/>
              <w:rPr>
                <w:highlight w:val="none"/>
              </w:rPr>
            </w:pPr>
            <w:r>
              <w:rPr>
                <w:rFonts w:hint="eastAsia"/>
                <w:highlight w:val="none"/>
              </w:rPr>
              <w:t>2.课例展示与研讨</w:t>
            </w:r>
          </w:p>
        </w:tc>
        <w:tc>
          <w:tcPr>
            <w:tcW w:w="2222" w:type="dxa"/>
            <w:vAlign w:val="center"/>
          </w:tcPr>
          <w:p>
            <w:pPr>
              <w:jc w:val="center"/>
              <w:rPr>
                <w:rFonts w:hint="eastAsia"/>
                <w:highlight w:val="none"/>
                <w:lang w:val="en-US" w:eastAsia="zh-CN"/>
              </w:rPr>
            </w:pPr>
            <w:r>
              <w:rPr>
                <w:rFonts w:hint="eastAsia"/>
                <w:highlight w:val="none"/>
                <w:lang w:val="en-US" w:eastAsia="zh-CN"/>
              </w:rPr>
              <w:t>1次/学期</w:t>
            </w:r>
          </w:p>
          <w:p>
            <w:pPr>
              <w:jc w:val="center"/>
              <w:rPr>
                <w:rFonts w:hint="eastAsia"/>
                <w:highlight w:val="none"/>
              </w:rPr>
            </w:pPr>
            <w:r>
              <w:rPr>
                <w:rFonts w:hint="eastAsia"/>
                <w:highlight w:val="none"/>
                <w:lang w:val="en-US" w:eastAsia="zh-CN"/>
              </w:rPr>
              <w:t>以区县为单位组织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4" w:type="dxa"/>
            <w:vMerge w:val="restart"/>
            <w:vAlign w:val="center"/>
          </w:tcPr>
          <w:p>
            <w:pPr>
              <w:jc w:val="center"/>
              <w:rPr>
                <w:b/>
                <w:bCs/>
                <w:highlight w:val="none"/>
              </w:rPr>
            </w:pPr>
            <w:r>
              <w:rPr>
                <w:rFonts w:hint="eastAsia"/>
                <w:b/>
                <w:bCs/>
                <w:highlight w:val="none"/>
              </w:rPr>
              <w:t>观摩展示</w:t>
            </w:r>
          </w:p>
        </w:tc>
        <w:tc>
          <w:tcPr>
            <w:tcW w:w="2175" w:type="dxa"/>
            <w:vAlign w:val="center"/>
          </w:tcPr>
          <w:p>
            <w:pPr>
              <w:jc w:val="left"/>
              <w:rPr>
                <w:highlight w:val="none"/>
              </w:rPr>
            </w:pPr>
            <w:r>
              <w:rPr>
                <w:rFonts w:hint="eastAsia"/>
                <w:highlight w:val="none"/>
                <w:lang w:eastAsia="zh-CN"/>
              </w:rPr>
              <w:t xml:space="preserve"> </w:t>
            </w:r>
            <w:r>
              <w:rPr>
                <w:rFonts w:hint="eastAsia"/>
                <w:highlight w:val="none"/>
              </w:rPr>
              <w:t>课程观摩研讨会</w:t>
            </w:r>
          </w:p>
        </w:tc>
        <w:tc>
          <w:tcPr>
            <w:tcW w:w="3275" w:type="dxa"/>
            <w:vAlign w:val="center"/>
          </w:tcPr>
          <w:p>
            <w:pPr>
              <w:jc w:val="left"/>
              <w:rPr>
                <w:highlight w:val="none"/>
              </w:rPr>
            </w:pPr>
            <w:r>
              <w:rPr>
                <w:rFonts w:hint="eastAsia"/>
                <w:highlight w:val="none"/>
              </w:rPr>
              <w:t>1.展示、观摩、研讨、交流</w:t>
            </w:r>
          </w:p>
          <w:p>
            <w:pPr>
              <w:jc w:val="left"/>
              <w:rPr>
                <w:highlight w:val="none"/>
              </w:rPr>
            </w:pPr>
            <w:r>
              <w:rPr>
                <w:rFonts w:hint="eastAsia"/>
                <w:highlight w:val="none"/>
              </w:rPr>
              <w:t>2.专家现场点评及颁奖</w:t>
            </w:r>
          </w:p>
        </w:tc>
        <w:tc>
          <w:tcPr>
            <w:tcW w:w="2222" w:type="dxa"/>
            <w:vAlign w:val="center"/>
          </w:tcPr>
          <w:p>
            <w:pPr>
              <w:jc w:val="center"/>
              <w:rPr>
                <w:rFonts w:hint="eastAsia"/>
                <w:highlight w:val="none"/>
                <w:lang w:val="en-US" w:eastAsia="zh-CN"/>
              </w:rPr>
            </w:pPr>
            <w:r>
              <w:rPr>
                <w:rFonts w:hint="eastAsia"/>
                <w:highlight w:val="none"/>
                <w:lang w:val="en-US" w:eastAsia="zh-CN"/>
              </w:rPr>
              <w:t>1次/学期</w:t>
            </w:r>
          </w:p>
          <w:p>
            <w:pPr>
              <w:jc w:val="center"/>
              <w:rPr>
                <w:rFonts w:hint="eastAsia"/>
                <w:highlight w:val="none"/>
                <w:lang w:val="en-US" w:eastAsia="zh-CN"/>
              </w:rPr>
            </w:pPr>
            <w:r>
              <w:rPr>
                <w:rFonts w:hint="eastAsia"/>
                <w:highlight w:val="none"/>
                <w:lang w:val="en-US" w:eastAsia="zh-CN"/>
              </w:rPr>
              <w:t>按园所需求组织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4" w:type="dxa"/>
            <w:vMerge w:val="continue"/>
            <w:vAlign w:val="center"/>
          </w:tcPr>
          <w:p>
            <w:pPr>
              <w:jc w:val="center"/>
              <w:rPr>
                <w:b/>
                <w:bCs/>
                <w:highlight w:val="none"/>
              </w:rPr>
            </w:pPr>
          </w:p>
        </w:tc>
        <w:tc>
          <w:tcPr>
            <w:tcW w:w="2175" w:type="dxa"/>
            <w:vAlign w:val="center"/>
          </w:tcPr>
          <w:p>
            <w:pPr>
              <w:jc w:val="left"/>
              <w:rPr>
                <w:highlight w:val="none"/>
              </w:rPr>
            </w:pPr>
            <w:r>
              <w:rPr>
                <w:rFonts w:hint="eastAsia"/>
                <w:highlight w:val="none"/>
              </w:rPr>
              <w:t>观摩展示入园指导</w:t>
            </w:r>
          </w:p>
        </w:tc>
        <w:tc>
          <w:tcPr>
            <w:tcW w:w="3275" w:type="dxa"/>
            <w:vAlign w:val="center"/>
          </w:tcPr>
          <w:p>
            <w:pPr>
              <w:jc w:val="left"/>
              <w:rPr>
                <w:highlight w:val="none"/>
              </w:rPr>
            </w:pPr>
            <w:r>
              <w:rPr>
                <w:rFonts w:hint="eastAsia"/>
                <w:highlight w:val="none"/>
              </w:rPr>
              <w:t>1.展示活动方案设计指导</w:t>
            </w:r>
          </w:p>
          <w:p>
            <w:pPr>
              <w:jc w:val="left"/>
              <w:rPr>
                <w:highlight w:val="none"/>
              </w:rPr>
            </w:pPr>
            <w:r>
              <w:rPr>
                <w:rFonts w:hint="eastAsia"/>
                <w:highlight w:val="none"/>
              </w:rPr>
              <w:t>2.展示活动实施策略指导</w:t>
            </w:r>
          </w:p>
        </w:tc>
        <w:tc>
          <w:tcPr>
            <w:tcW w:w="2222" w:type="dxa"/>
            <w:vAlign w:val="center"/>
          </w:tcPr>
          <w:p>
            <w:pPr>
              <w:jc w:val="center"/>
              <w:rPr>
                <w:rFonts w:hint="eastAsia"/>
                <w:highlight w:val="none"/>
                <w:lang w:val="en-US" w:eastAsia="zh-CN"/>
              </w:rPr>
            </w:pPr>
            <w:r>
              <w:rPr>
                <w:rFonts w:hint="eastAsia"/>
                <w:highlight w:val="none"/>
                <w:lang w:val="en-US" w:eastAsia="zh-CN"/>
              </w:rPr>
              <w:t>1次/学期</w:t>
            </w:r>
          </w:p>
          <w:p>
            <w:pPr>
              <w:jc w:val="left"/>
              <w:rPr>
                <w:rFonts w:hint="eastAsia"/>
                <w:highlight w:val="none"/>
              </w:rPr>
            </w:pPr>
            <w:r>
              <w:rPr>
                <w:rFonts w:hint="eastAsia"/>
                <w:highlight w:val="none"/>
                <w:lang w:val="en-US" w:eastAsia="zh-CN"/>
              </w:rPr>
              <w:t>按园所需求组织</w:t>
            </w:r>
          </w:p>
        </w:tc>
      </w:tr>
    </w:tbl>
    <w:p>
      <w:pPr>
        <w:spacing w:line="300" w:lineRule="auto"/>
        <w:ind w:firstLine="482" w:firstLineChars="200"/>
        <w:jc w:val="both"/>
        <w:rPr>
          <w:rFonts w:hint="eastAsia"/>
          <w:b/>
          <w:bCs/>
          <w:sz w:val="24"/>
          <w:szCs w:val="32"/>
          <w:highlight w:val="none"/>
          <w:lang w:eastAsia="zh-CN"/>
        </w:rPr>
      </w:pPr>
    </w:p>
    <w:p>
      <w:pPr>
        <w:spacing w:line="300" w:lineRule="auto"/>
        <w:ind w:firstLine="482" w:firstLineChars="200"/>
        <w:jc w:val="both"/>
        <w:rPr>
          <w:rFonts w:hint="eastAsia"/>
          <w:b/>
          <w:bCs/>
          <w:sz w:val="24"/>
          <w:szCs w:val="32"/>
          <w:highlight w:val="none"/>
          <w:lang w:eastAsia="zh-CN"/>
        </w:rPr>
      </w:pPr>
      <w:r>
        <w:rPr>
          <w:rFonts w:hint="eastAsia"/>
          <w:b/>
          <w:bCs/>
          <w:sz w:val="24"/>
          <w:szCs w:val="32"/>
          <w:highlight w:val="none"/>
          <w:lang w:eastAsia="zh-CN"/>
        </w:rPr>
        <w:t>（二）线上培训</w:t>
      </w:r>
    </w:p>
    <w:tbl>
      <w:tblPr>
        <w:tblStyle w:val="18"/>
        <w:tblW w:w="9319" w:type="dxa"/>
        <w:tblInd w:w="1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9"/>
        <w:gridCol w:w="5112"/>
        <w:gridCol w:w="2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9" w:type="dxa"/>
            <w:vAlign w:val="center"/>
          </w:tcPr>
          <w:p>
            <w:pPr>
              <w:jc w:val="center"/>
              <w:rPr>
                <w:b/>
                <w:bCs/>
              </w:rPr>
            </w:pPr>
            <w:r>
              <w:rPr>
                <w:rFonts w:hint="eastAsia" w:ascii="宋体" w:hAnsi="宋体" w:cs="宋体"/>
                <w:b/>
                <w:bCs/>
                <w:szCs w:val="21"/>
              </w:rPr>
              <w:t>培训类型</w:t>
            </w:r>
          </w:p>
        </w:tc>
        <w:tc>
          <w:tcPr>
            <w:tcW w:w="5112" w:type="dxa"/>
            <w:vAlign w:val="center"/>
          </w:tcPr>
          <w:p>
            <w:pPr>
              <w:jc w:val="center"/>
              <w:rPr>
                <w:b/>
                <w:bCs/>
              </w:rPr>
            </w:pPr>
            <w:r>
              <w:rPr>
                <w:rFonts w:hint="eastAsia" w:ascii="宋体" w:hAnsi="宋体" w:cs="宋体"/>
                <w:b/>
                <w:bCs/>
                <w:szCs w:val="21"/>
              </w:rPr>
              <w:t>培训内容</w:t>
            </w:r>
          </w:p>
        </w:tc>
        <w:tc>
          <w:tcPr>
            <w:tcW w:w="2888" w:type="dxa"/>
            <w:vAlign w:val="center"/>
          </w:tcPr>
          <w:p>
            <w:pPr>
              <w:jc w:val="center"/>
              <w:rPr>
                <w:rFonts w:hint="eastAsia" w:eastAsia="宋体"/>
                <w:b/>
                <w:bCs/>
                <w:lang w:val="en-US" w:eastAsia="zh-CN"/>
              </w:rPr>
            </w:pPr>
            <w:r>
              <w:rPr>
                <w:rFonts w:hint="eastAsia" w:ascii="宋体" w:hAnsi="宋体" w:cs="宋体"/>
                <w:b/>
                <w:bCs/>
                <w:szCs w:val="21"/>
              </w:rPr>
              <w:t>培训</w:t>
            </w:r>
            <w:r>
              <w:rPr>
                <w:rFonts w:hint="eastAsia" w:ascii="宋体" w:hAnsi="宋体" w:cs="宋体"/>
                <w:b/>
                <w:bCs/>
                <w:szCs w:val="21"/>
                <w:lang w:eastAsia="zh-CN"/>
              </w:rPr>
              <w:t>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19" w:type="dxa"/>
            <w:vAlign w:val="center"/>
          </w:tcPr>
          <w:p>
            <w:pPr>
              <w:jc w:val="center"/>
              <w:rPr>
                <w:b/>
                <w:bCs/>
              </w:rPr>
            </w:pPr>
            <w:r>
              <w:rPr>
                <w:rFonts w:hint="eastAsia"/>
                <w:b/>
                <w:bCs/>
                <w:lang w:eastAsia="zh-CN"/>
              </w:rPr>
              <w:t xml:space="preserve"> </w:t>
            </w:r>
            <w:r>
              <w:rPr>
                <w:rFonts w:hint="eastAsia"/>
                <w:b/>
                <w:bCs/>
              </w:rPr>
              <w:t>课程一对多</w:t>
            </w:r>
          </w:p>
        </w:tc>
        <w:tc>
          <w:tcPr>
            <w:tcW w:w="5112" w:type="dxa"/>
            <w:vAlign w:val="center"/>
          </w:tcPr>
          <w:p>
            <w:pPr>
              <w:jc w:val="left"/>
            </w:pPr>
            <w:r>
              <w:rPr>
                <w:rFonts w:hint="eastAsia"/>
              </w:rPr>
              <w:t>1.</w:t>
            </w:r>
            <w:r>
              <w:rPr>
                <w:rFonts w:hint="eastAsia"/>
                <w:lang w:eastAsia="zh-CN"/>
              </w:rPr>
              <w:t xml:space="preserve"> </w:t>
            </w:r>
            <w:r>
              <w:rPr>
                <w:rFonts w:hint="eastAsia"/>
              </w:rPr>
              <w:t>户外</w:t>
            </w:r>
            <w:r>
              <w:rPr>
                <w:rFonts w:hint="eastAsia"/>
                <w:lang w:eastAsia="zh-CN"/>
              </w:rPr>
              <w:t>运动游戏整体项目</w:t>
            </w:r>
            <w:r>
              <w:rPr>
                <w:rFonts w:hint="eastAsia"/>
              </w:rPr>
              <w:t>，培训师对多个园所开展培训</w:t>
            </w:r>
          </w:p>
          <w:p>
            <w:pPr>
              <w:jc w:val="left"/>
            </w:pPr>
            <w:r>
              <w:rPr>
                <w:rFonts w:hint="eastAsia"/>
              </w:rPr>
              <w:t>2.</w:t>
            </w:r>
            <w:r>
              <w:rPr>
                <w:rFonts w:hint="eastAsia"/>
                <w:lang w:eastAsia="zh-CN"/>
              </w:rPr>
              <w:t xml:space="preserve"> </w:t>
            </w:r>
            <w:r>
              <w:rPr>
                <w:rFonts w:hint="eastAsia"/>
              </w:rPr>
              <w:t>户外</w:t>
            </w:r>
            <w:r>
              <w:rPr>
                <w:rFonts w:hint="eastAsia"/>
                <w:lang w:eastAsia="zh-CN"/>
              </w:rPr>
              <w:t>运动游戏整体项目</w:t>
            </w:r>
            <w:r>
              <w:rPr>
                <w:rFonts w:hint="eastAsia"/>
              </w:rPr>
              <w:t>理念、目标、流程、材料解读</w:t>
            </w:r>
          </w:p>
          <w:p>
            <w:pPr>
              <w:jc w:val="left"/>
            </w:pPr>
            <w:r>
              <w:rPr>
                <w:rFonts w:hint="eastAsia"/>
              </w:rPr>
              <w:t>3.</w:t>
            </w:r>
            <w:r>
              <w:rPr>
                <w:rFonts w:hint="eastAsia"/>
                <w:lang w:eastAsia="zh-CN"/>
              </w:rPr>
              <w:t xml:space="preserve"> </w:t>
            </w:r>
            <w:r>
              <w:rPr>
                <w:rFonts w:hint="eastAsia"/>
              </w:rPr>
              <w:t>户外</w:t>
            </w:r>
            <w:r>
              <w:rPr>
                <w:rFonts w:hint="eastAsia"/>
                <w:lang w:eastAsia="zh-CN"/>
              </w:rPr>
              <w:t>运动游戏整体项目</w:t>
            </w:r>
            <w:r>
              <w:rPr>
                <w:rFonts w:hint="eastAsia"/>
              </w:rPr>
              <w:t>的每周教学活动同步指导</w:t>
            </w:r>
          </w:p>
        </w:tc>
        <w:tc>
          <w:tcPr>
            <w:tcW w:w="2888" w:type="dxa"/>
            <w:vAlign w:val="center"/>
          </w:tcPr>
          <w:p>
            <w:pPr>
              <w:jc w:val="center"/>
            </w:pPr>
            <w:r>
              <w:rPr>
                <w:rFonts w:hint="eastAsia" w:ascii="宋体" w:hAnsi="宋体" w:cs="宋体"/>
                <w:szCs w:val="21"/>
              </w:rPr>
              <w:t>40</w:t>
            </w:r>
            <w:r>
              <w:rPr>
                <w:rFonts w:hint="eastAsia" w:ascii="宋体" w:hAnsi="宋体" w:cs="宋体"/>
                <w:szCs w:val="21"/>
                <w:lang w:eastAsia="zh-CN"/>
              </w:rPr>
              <w:t>分钟</w:t>
            </w:r>
            <w:r>
              <w:rPr>
                <w:rFonts w:hint="eastAsia" w:ascii="宋体" w:hAnsi="宋体" w:cs="宋体"/>
                <w:szCs w:val="21"/>
              </w:rPr>
              <w:t>/次，20次/学期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9" w:type="dxa"/>
            <w:vAlign w:val="center"/>
          </w:tcPr>
          <w:p>
            <w:pPr>
              <w:jc w:val="center"/>
              <w:rPr>
                <w:b/>
                <w:bCs/>
              </w:rPr>
            </w:pPr>
            <w:r>
              <w:rPr>
                <w:rFonts w:hint="eastAsia"/>
                <w:b/>
                <w:bCs/>
                <w:lang w:eastAsia="zh-CN"/>
              </w:rPr>
              <w:t xml:space="preserve"> </w:t>
            </w:r>
            <w:r>
              <w:rPr>
                <w:rFonts w:hint="eastAsia"/>
                <w:b/>
                <w:bCs/>
              </w:rPr>
              <w:t>课程一对一</w:t>
            </w:r>
          </w:p>
        </w:tc>
        <w:tc>
          <w:tcPr>
            <w:tcW w:w="5112" w:type="dxa"/>
            <w:vAlign w:val="center"/>
          </w:tcPr>
          <w:p>
            <w:pPr>
              <w:jc w:val="left"/>
            </w:pPr>
            <w:r>
              <w:rPr>
                <w:rFonts w:hint="eastAsia"/>
              </w:rPr>
              <w:t>1.</w:t>
            </w:r>
            <w:r>
              <w:rPr>
                <w:rFonts w:hint="eastAsia"/>
                <w:lang w:eastAsia="zh-CN"/>
              </w:rPr>
              <w:t xml:space="preserve"> </w:t>
            </w:r>
            <w:r>
              <w:rPr>
                <w:rFonts w:hint="eastAsia"/>
              </w:rPr>
              <w:t>户外</w:t>
            </w:r>
            <w:r>
              <w:rPr>
                <w:rFonts w:hint="eastAsia"/>
                <w:lang w:eastAsia="zh-CN"/>
              </w:rPr>
              <w:t>运动游戏整体项目</w:t>
            </w:r>
            <w:r>
              <w:rPr>
                <w:rFonts w:hint="eastAsia"/>
              </w:rPr>
              <w:t>，一个培训师对一个园所开展</w:t>
            </w:r>
          </w:p>
          <w:p>
            <w:pPr>
              <w:jc w:val="left"/>
            </w:pPr>
            <w:r>
              <w:rPr>
                <w:rFonts w:hint="eastAsia"/>
              </w:rPr>
              <w:t>2.</w:t>
            </w:r>
            <w:r>
              <w:rPr>
                <w:rFonts w:hint="eastAsia"/>
                <w:lang w:eastAsia="zh-CN"/>
              </w:rPr>
              <w:t xml:space="preserve"> </w:t>
            </w:r>
            <w:r>
              <w:rPr>
                <w:rFonts w:hint="eastAsia"/>
              </w:rPr>
              <w:t>户外</w:t>
            </w:r>
            <w:r>
              <w:rPr>
                <w:rFonts w:hint="eastAsia"/>
                <w:lang w:eastAsia="zh-CN"/>
              </w:rPr>
              <w:t>运动游戏整体项目</w:t>
            </w:r>
            <w:r>
              <w:rPr>
                <w:rFonts w:hint="eastAsia"/>
              </w:rPr>
              <w:t>的理念、目标、流程、材料解读</w:t>
            </w:r>
          </w:p>
        </w:tc>
        <w:tc>
          <w:tcPr>
            <w:tcW w:w="2888" w:type="dxa"/>
            <w:vAlign w:val="center"/>
          </w:tcPr>
          <w:p>
            <w:pPr>
              <w:jc w:val="center"/>
              <w:rPr>
                <w:rFonts w:hint="eastAsia" w:eastAsia="宋体"/>
                <w:lang w:eastAsia="zh-CN"/>
              </w:rPr>
            </w:pPr>
            <w:r>
              <w:rPr>
                <w:rFonts w:hint="eastAsia" w:ascii="宋体" w:hAnsi="宋体" w:cs="宋体"/>
                <w:szCs w:val="21"/>
              </w:rPr>
              <w:t>60</w:t>
            </w:r>
            <w:r>
              <w:rPr>
                <w:rFonts w:hint="eastAsia" w:ascii="宋体" w:hAnsi="宋体" w:cs="宋体"/>
                <w:szCs w:val="21"/>
                <w:lang w:eastAsia="zh-CN"/>
              </w:rPr>
              <w:t>分钟</w:t>
            </w:r>
            <w:r>
              <w:rPr>
                <w:rFonts w:hint="eastAsia" w:ascii="宋体" w:hAnsi="宋体" w:cs="宋体"/>
                <w:szCs w:val="21"/>
              </w:rPr>
              <w:t>/次，1次/学期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9" w:type="dxa"/>
            <w:vAlign w:val="center"/>
          </w:tcPr>
          <w:p>
            <w:pPr>
              <w:jc w:val="center"/>
              <w:rPr>
                <w:rFonts w:hint="eastAsia"/>
                <w:b/>
                <w:bCs/>
              </w:rPr>
            </w:pPr>
            <w:r>
              <w:rPr>
                <w:rFonts w:hint="eastAsia"/>
                <w:b/>
                <w:bCs/>
                <w:lang w:eastAsia="zh-CN"/>
              </w:rPr>
              <w:t xml:space="preserve"> </w:t>
            </w:r>
            <w:r>
              <w:rPr>
                <w:rFonts w:hint="eastAsia"/>
                <w:b/>
                <w:bCs/>
              </w:rPr>
              <w:t>课程</w:t>
            </w:r>
          </w:p>
          <w:p>
            <w:pPr>
              <w:jc w:val="center"/>
              <w:rPr>
                <w:b/>
                <w:bCs/>
              </w:rPr>
            </w:pPr>
            <w:r>
              <w:rPr>
                <w:rFonts w:hint="eastAsia"/>
                <w:b/>
                <w:bCs/>
              </w:rPr>
              <w:t>集锦</w:t>
            </w:r>
          </w:p>
        </w:tc>
        <w:tc>
          <w:tcPr>
            <w:tcW w:w="5112" w:type="dxa"/>
            <w:vAlign w:val="center"/>
          </w:tcPr>
          <w:p>
            <w:pPr>
              <w:jc w:val="left"/>
            </w:pPr>
            <w:r>
              <w:rPr>
                <w:rFonts w:hint="eastAsia"/>
              </w:rPr>
              <w:t>专业发展、生活、运动、游戏、学习等五大板块13个类别，菜单式选择，差异化学习，全面提升教师能力。</w:t>
            </w:r>
          </w:p>
        </w:tc>
        <w:tc>
          <w:tcPr>
            <w:tcW w:w="2888" w:type="dxa"/>
            <w:vAlign w:val="center"/>
          </w:tcPr>
          <w:p>
            <w:pPr>
              <w:jc w:val="center"/>
              <w:rPr>
                <w:rFonts w:hint="eastAsia" w:eastAsia="宋体"/>
                <w:lang w:eastAsia="zh-CN"/>
              </w:rPr>
            </w:pPr>
            <w:r>
              <w:rPr>
                <w:rFonts w:hint="eastAsia"/>
                <w:lang w:eastAsia="zh-CN"/>
              </w:rPr>
              <w:t>长期开放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9" w:type="dxa"/>
            <w:vAlign w:val="center"/>
          </w:tcPr>
          <w:p>
            <w:pPr>
              <w:jc w:val="center"/>
              <w:rPr>
                <w:b/>
                <w:bCs/>
              </w:rPr>
            </w:pPr>
            <w:r>
              <w:rPr>
                <w:rFonts w:hint="eastAsia"/>
                <w:b/>
                <w:bCs/>
                <w:lang w:eastAsia="zh-CN"/>
              </w:rPr>
              <w:t xml:space="preserve"> </w:t>
            </w:r>
            <w:r>
              <w:rPr>
                <w:rFonts w:hint="eastAsia"/>
                <w:b/>
                <w:bCs/>
              </w:rPr>
              <w:t>公开课</w:t>
            </w:r>
          </w:p>
        </w:tc>
        <w:tc>
          <w:tcPr>
            <w:tcW w:w="5112" w:type="dxa"/>
            <w:vAlign w:val="center"/>
          </w:tcPr>
          <w:p>
            <w:pPr>
              <w:jc w:val="left"/>
            </w:pPr>
            <w:r>
              <w:rPr>
                <w:rFonts w:hint="eastAsia"/>
              </w:rPr>
              <w:t>1.</w:t>
            </w:r>
            <w:r>
              <w:rPr>
                <w:rFonts w:hint="eastAsia"/>
                <w:lang w:eastAsia="zh-CN"/>
              </w:rPr>
              <w:t xml:space="preserve"> </w:t>
            </w:r>
            <w:r>
              <w:rPr>
                <w:rFonts w:hint="eastAsia"/>
              </w:rPr>
              <w:t>课程在线培训新专题，每周快递</w:t>
            </w:r>
          </w:p>
          <w:p>
            <w:pPr>
              <w:jc w:val="left"/>
            </w:pPr>
            <w:r>
              <w:rPr>
                <w:rFonts w:hint="eastAsia"/>
              </w:rPr>
              <w:t>2.名园长名师分享管理理念、教育方略</w:t>
            </w:r>
          </w:p>
        </w:tc>
        <w:tc>
          <w:tcPr>
            <w:tcW w:w="2888" w:type="dxa"/>
            <w:vAlign w:val="center"/>
          </w:tcPr>
          <w:p>
            <w:pPr>
              <w:jc w:val="center"/>
              <w:rPr>
                <w:rFonts w:hint="eastAsia" w:eastAsia="宋体"/>
                <w:lang w:val="en-US" w:eastAsia="zh-CN"/>
              </w:rPr>
            </w:pPr>
            <w:r>
              <w:rPr>
                <w:rFonts w:hint="eastAsia"/>
                <w:lang w:val="en-US" w:eastAsia="zh-CN"/>
              </w:rPr>
              <w:t>1次/周</w:t>
            </w:r>
          </w:p>
        </w:tc>
      </w:tr>
    </w:tbl>
    <w:p>
      <w:pPr>
        <w:spacing w:line="300" w:lineRule="auto"/>
        <w:jc w:val="left"/>
        <w:rPr>
          <w:rFonts w:hint="eastAsia"/>
          <w:b/>
          <w:bCs/>
          <w:sz w:val="24"/>
        </w:rPr>
      </w:pPr>
    </w:p>
    <w:p>
      <w:pPr>
        <w:spacing w:line="300" w:lineRule="auto"/>
        <w:jc w:val="left"/>
        <w:rPr>
          <w:rFonts w:hint="eastAsia" w:eastAsia="宋体"/>
          <w:b/>
          <w:bCs/>
          <w:sz w:val="24"/>
          <w:lang w:eastAsia="zh-CN"/>
        </w:rPr>
      </w:pPr>
      <w:r>
        <w:rPr>
          <w:rFonts w:hint="eastAsia"/>
          <w:b/>
          <w:bCs/>
          <w:sz w:val="24"/>
          <w:lang w:eastAsia="zh-CN"/>
        </w:rPr>
        <w:t>（</w:t>
      </w:r>
      <w:r>
        <w:rPr>
          <w:rFonts w:hint="eastAsia"/>
          <w:b/>
          <w:bCs/>
          <w:sz w:val="24"/>
          <w:lang w:val="en-US" w:eastAsia="zh-CN"/>
        </w:rPr>
        <w:t>三</w:t>
      </w:r>
      <w:r>
        <w:rPr>
          <w:rFonts w:hint="eastAsia"/>
          <w:b/>
          <w:bCs/>
          <w:sz w:val="24"/>
          <w:lang w:eastAsia="zh-CN"/>
        </w:rPr>
        <w:t>）</w:t>
      </w:r>
      <w:r>
        <w:rPr>
          <w:rFonts w:hint="eastAsia" w:ascii="宋体" w:hAnsi="宋体" w:eastAsia="宋体" w:cs="宋体"/>
          <w:b/>
          <w:bCs/>
          <w:sz w:val="24"/>
          <w:szCs w:val="24"/>
          <w:lang w:val="en-US" w:eastAsia="zh-CN"/>
        </w:rPr>
        <w:t>户外运动游戏整体项目各课程具体培训内容</w:t>
      </w:r>
    </w:p>
    <w:p>
      <w:pPr>
        <w:spacing w:before="120" w:after="120" w:line="360" w:lineRule="auto"/>
        <w:ind w:firstLine="482" w:firstLineChars="200"/>
        <w:jc w:val="center"/>
        <w:rPr>
          <w:rFonts w:hint="eastAsia" w:ascii="宋体" w:hAnsi="宋体" w:eastAsia="宋体" w:cs="宋体"/>
          <w:b/>
          <w:bCs/>
          <w:sz w:val="24"/>
          <w:szCs w:val="24"/>
        </w:rPr>
      </w:pPr>
      <w:r>
        <w:rPr>
          <w:rFonts w:hint="eastAsia" w:ascii="宋体" w:hAnsi="宋体" w:cs="宋体"/>
          <w:b/>
          <w:bCs/>
          <w:sz w:val="24"/>
          <w:szCs w:val="24"/>
          <w:lang w:eastAsia="zh-CN"/>
        </w:rPr>
        <w:t xml:space="preserve"> </w:t>
      </w:r>
      <w:r>
        <w:rPr>
          <w:rFonts w:hint="eastAsia" w:ascii="宋体" w:hAnsi="宋体" w:eastAsia="宋体" w:cs="宋体"/>
          <w:b/>
          <w:bCs/>
          <w:sz w:val="24"/>
          <w:szCs w:val="24"/>
        </w:rPr>
        <w:t>户外游戏培训规划</w:t>
      </w:r>
    </w:p>
    <w:tbl>
      <w:tblPr>
        <w:tblStyle w:val="17"/>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3119"/>
        <w:gridCol w:w="1701"/>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2376" w:type="dxa"/>
            <w:vAlign w:val="center"/>
          </w:tcPr>
          <w:p>
            <w:pPr>
              <w:spacing w:line="480" w:lineRule="auto"/>
              <w:jc w:val="center"/>
              <w:rPr>
                <w:rFonts w:ascii="宋体" w:hAnsi="宋体"/>
                <w:b/>
                <w:szCs w:val="21"/>
              </w:rPr>
            </w:pPr>
            <w:r>
              <w:rPr>
                <w:rFonts w:hint="eastAsia" w:ascii="宋体" w:hAnsi="宋体"/>
                <w:b/>
                <w:szCs w:val="21"/>
              </w:rPr>
              <w:t>主题</w:t>
            </w:r>
          </w:p>
        </w:tc>
        <w:tc>
          <w:tcPr>
            <w:tcW w:w="3119" w:type="dxa"/>
            <w:vAlign w:val="center"/>
          </w:tcPr>
          <w:p>
            <w:pPr>
              <w:spacing w:line="480" w:lineRule="auto"/>
              <w:jc w:val="center"/>
              <w:rPr>
                <w:rFonts w:ascii="宋体" w:hAnsi="宋体"/>
                <w:b/>
                <w:szCs w:val="21"/>
              </w:rPr>
            </w:pPr>
            <w:r>
              <w:rPr>
                <w:rFonts w:hint="eastAsia" w:ascii="宋体" w:hAnsi="宋体"/>
                <w:b/>
                <w:szCs w:val="21"/>
              </w:rPr>
              <w:t>内容</w:t>
            </w:r>
          </w:p>
        </w:tc>
        <w:tc>
          <w:tcPr>
            <w:tcW w:w="1701" w:type="dxa"/>
            <w:vAlign w:val="top"/>
          </w:tcPr>
          <w:p>
            <w:pPr>
              <w:spacing w:line="480" w:lineRule="auto"/>
              <w:jc w:val="center"/>
              <w:rPr>
                <w:rFonts w:hint="eastAsia" w:ascii="宋体" w:hAnsi="宋体"/>
                <w:b/>
                <w:szCs w:val="21"/>
              </w:rPr>
            </w:pPr>
            <w:r>
              <w:rPr>
                <w:rFonts w:hint="eastAsia" w:ascii="宋体" w:hAnsi="宋体"/>
                <w:b/>
                <w:szCs w:val="21"/>
              </w:rPr>
              <w:t>时长</w:t>
            </w:r>
          </w:p>
        </w:tc>
        <w:tc>
          <w:tcPr>
            <w:tcW w:w="1559" w:type="dxa"/>
            <w:vAlign w:val="center"/>
          </w:tcPr>
          <w:p>
            <w:pPr>
              <w:spacing w:line="480" w:lineRule="auto"/>
              <w:jc w:val="center"/>
              <w:rPr>
                <w:rFonts w:ascii="宋体" w:hAnsi="宋体"/>
                <w:b/>
                <w:szCs w:val="21"/>
              </w:rPr>
            </w:pPr>
            <w:r>
              <w:rPr>
                <w:rFonts w:hint="eastAsia" w:ascii="宋体" w:hAnsi="宋体"/>
                <w:b/>
                <w:szCs w:val="21"/>
              </w:rPr>
              <w:t>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2376" w:type="dxa"/>
            <w:vAlign w:val="center"/>
          </w:tcPr>
          <w:p>
            <w:pPr>
              <w:spacing w:line="480" w:lineRule="auto"/>
              <w:jc w:val="center"/>
              <w:rPr>
                <w:rFonts w:ascii="宋体" w:hAnsi="宋体"/>
                <w:szCs w:val="21"/>
              </w:rPr>
            </w:pPr>
            <w:r>
              <w:rPr>
                <w:rFonts w:hint="eastAsia" w:ascii="宋体" w:hAnsi="宋体"/>
                <w:szCs w:val="21"/>
              </w:rPr>
              <w:t>《创设自由天地 开展户外游戏》</w:t>
            </w:r>
          </w:p>
        </w:tc>
        <w:tc>
          <w:tcPr>
            <w:tcW w:w="3119" w:type="dxa"/>
            <w:vAlign w:val="top"/>
          </w:tcPr>
          <w:p>
            <w:pPr>
              <w:pStyle w:val="43"/>
              <w:numPr>
                <w:ilvl w:val="0"/>
                <w:numId w:val="4"/>
              </w:numPr>
              <w:spacing w:line="480" w:lineRule="auto"/>
              <w:ind w:firstLineChars="0"/>
              <w:rPr>
                <w:rFonts w:hint="eastAsia" w:ascii="宋体" w:hAnsi="宋体"/>
                <w:szCs w:val="21"/>
              </w:rPr>
            </w:pPr>
            <w:r>
              <w:rPr>
                <w:rFonts w:hint="eastAsia" w:ascii="宋体" w:hAnsi="宋体"/>
                <w:szCs w:val="21"/>
              </w:rPr>
              <w:t>什么是户外游戏？</w:t>
            </w:r>
          </w:p>
          <w:p>
            <w:pPr>
              <w:pStyle w:val="43"/>
              <w:numPr>
                <w:ilvl w:val="0"/>
                <w:numId w:val="4"/>
              </w:numPr>
              <w:spacing w:line="480" w:lineRule="auto"/>
              <w:ind w:firstLineChars="0"/>
              <w:rPr>
                <w:rFonts w:hint="eastAsia" w:ascii="宋体" w:hAnsi="宋体"/>
                <w:szCs w:val="21"/>
              </w:rPr>
            </w:pPr>
            <w:r>
              <w:rPr>
                <w:rFonts w:hint="eastAsia" w:ascii="宋体" w:hAnsi="宋体"/>
                <w:szCs w:val="21"/>
              </w:rPr>
              <w:t>为什么开展户外游戏？</w:t>
            </w:r>
          </w:p>
          <w:p>
            <w:pPr>
              <w:pStyle w:val="43"/>
              <w:numPr>
                <w:ilvl w:val="0"/>
                <w:numId w:val="4"/>
              </w:numPr>
              <w:spacing w:line="480" w:lineRule="auto"/>
              <w:ind w:firstLineChars="0"/>
              <w:rPr>
                <w:rFonts w:ascii="宋体" w:hAnsi="宋体"/>
                <w:szCs w:val="21"/>
              </w:rPr>
            </w:pPr>
            <w:r>
              <w:rPr>
                <w:rFonts w:hint="eastAsia" w:ascii="宋体" w:hAnsi="宋体"/>
                <w:szCs w:val="21"/>
              </w:rPr>
              <w:t>如何开展户外游戏？</w:t>
            </w:r>
          </w:p>
        </w:tc>
        <w:tc>
          <w:tcPr>
            <w:tcW w:w="1701" w:type="dxa"/>
            <w:vAlign w:val="center"/>
          </w:tcPr>
          <w:p>
            <w:pPr>
              <w:spacing w:line="480" w:lineRule="auto"/>
              <w:jc w:val="center"/>
              <w:rPr>
                <w:rFonts w:hint="eastAsia" w:ascii="宋体" w:hAnsi="宋体" w:eastAsia="宋体"/>
                <w:szCs w:val="21"/>
                <w:lang w:val="en-US" w:eastAsia="zh-CN"/>
              </w:rPr>
            </w:pPr>
            <w:r>
              <w:rPr>
                <w:rFonts w:hint="eastAsia" w:ascii="宋体" w:hAnsi="宋体"/>
                <w:szCs w:val="21"/>
                <w:lang w:val="en-US" w:eastAsia="zh-CN"/>
              </w:rPr>
              <w:t>2-4个课时</w:t>
            </w:r>
          </w:p>
        </w:tc>
        <w:tc>
          <w:tcPr>
            <w:tcW w:w="1559" w:type="dxa"/>
            <w:vAlign w:val="center"/>
          </w:tcPr>
          <w:p>
            <w:pPr>
              <w:spacing w:line="480" w:lineRule="auto"/>
              <w:jc w:val="center"/>
              <w:rPr>
                <w:rFonts w:ascii="宋体" w:hAnsi="宋体"/>
                <w:szCs w:val="21"/>
              </w:rPr>
            </w:pPr>
            <w:r>
              <w:rPr>
                <w:rFonts w:hint="eastAsia" w:ascii="宋体" w:hAnsi="宋体"/>
                <w:szCs w:val="21"/>
              </w:rPr>
              <w:t>讲座+体验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2376" w:type="dxa"/>
            <w:vAlign w:val="center"/>
          </w:tcPr>
          <w:p>
            <w:pPr>
              <w:spacing w:line="480" w:lineRule="auto"/>
              <w:jc w:val="center"/>
              <w:rPr>
                <w:rFonts w:ascii="宋体" w:hAnsi="宋体"/>
                <w:szCs w:val="21"/>
              </w:rPr>
            </w:pPr>
            <w:r>
              <w:rPr>
                <w:rFonts w:hint="eastAsia" w:ascii="宋体" w:hAnsi="宋体"/>
                <w:szCs w:val="21"/>
              </w:rPr>
              <w:t>《户外游戏现场教研》</w:t>
            </w:r>
          </w:p>
        </w:tc>
        <w:tc>
          <w:tcPr>
            <w:tcW w:w="3119" w:type="dxa"/>
            <w:vAlign w:val="top"/>
          </w:tcPr>
          <w:p>
            <w:pPr>
              <w:pStyle w:val="43"/>
              <w:numPr>
                <w:ilvl w:val="0"/>
                <w:numId w:val="5"/>
              </w:numPr>
              <w:spacing w:line="480" w:lineRule="auto"/>
              <w:ind w:firstLineChars="0"/>
              <w:rPr>
                <w:rFonts w:hint="eastAsia" w:ascii="宋体" w:hAnsi="宋体"/>
                <w:szCs w:val="21"/>
              </w:rPr>
            </w:pPr>
            <w:r>
              <w:rPr>
                <w:rFonts w:hint="eastAsia" w:ascii="宋体" w:hAnsi="宋体"/>
                <w:szCs w:val="21"/>
              </w:rPr>
              <w:t>观摩户外游戏</w:t>
            </w:r>
          </w:p>
          <w:p>
            <w:pPr>
              <w:pStyle w:val="43"/>
              <w:numPr>
                <w:ilvl w:val="0"/>
                <w:numId w:val="5"/>
              </w:numPr>
              <w:spacing w:line="480" w:lineRule="auto"/>
              <w:ind w:firstLineChars="0"/>
              <w:rPr>
                <w:rFonts w:hint="eastAsia" w:ascii="宋体" w:hAnsi="宋体"/>
                <w:szCs w:val="21"/>
              </w:rPr>
            </w:pPr>
            <w:r>
              <w:rPr>
                <w:rFonts w:hint="eastAsia" w:ascii="宋体" w:hAnsi="宋体"/>
                <w:szCs w:val="21"/>
              </w:rPr>
              <w:t>集中研讨</w:t>
            </w:r>
          </w:p>
          <w:p>
            <w:pPr>
              <w:pStyle w:val="43"/>
              <w:numPr>
                <w:ilvl w:val="0"/>
                <w:numId w:val="5"/>
              </w:numPr>
              <w:spacing w:line="480" w:lineRule="auto"/>
              <w:ind w:firstLineChars="0"/>
              <w:rPr>
                <w:rFonts w:ascii="宋体" w:hAnsi="宋体"/>
                <w:szCs w:val="21"/>
              </w:rPr>
            </w:pPr>
            <w:r>
              <w:rPr>
                <w:rFonts w:hint="eastAsia" w:ascii="宋体" w:hAnsi="宋体"/>
                <w:szCs w:val="21"/>
              </w:rPr>
              <w:t>现场体验</w:t>
            </w:r>
          </w:p>
        </w:tc>
        <w:tc>
          <w:tcPr>
            <w:tcW w:w="1701" w:type="dxa"/>
            <w:vAlign w:val="center"/>
          </w:tcPr>
          <w:p>
            <w:pPr>
              <w:spacing w:line="480" w:lineRule="auto"/>
              <w:jc w:val="center"/>
              <w:rPr>
                <w:rFonts w:hint="eastAsia" w:ascii="宋体" w:hAnsi="宋体"/>
                <w:szCs w:val="21"/>
              </w:rPr>
            </w:pPr>
            <w:r>
              <w:rPr>
                <w:rFonts w:hint="eastAsia" w:ascii="宋体" w:hAnsi="宋体"/>
                <w:szCs w:val="21"/>
                <w:lang w:val="en-US" w:eastAsia="zh-CN"/>
              </w:rPr>
              <w:t>4-6个课时</w:t>
            </w:r>
          </w:p>
        </w:tc>
        <w:tc>
          <w:tcPr>
            <w:tcW w:w="1559" w:type="dxa"/>
            <w:vAlign w:val="center"/>
          </w:tcPr>
          <w:p>
            <w:pPr>
              <w:spacing w:line="480" w:lineRule="auto"/>
              <w:jc w:val="center"/>
              <w:rPr>
                <w:rFonts w:ascii="宋体" w:hAnsi="宋体"/>
                <w:szCs w:val="21"/>
              </w:rPr>
            </w:pPr>
            <w:r>
              <w:rPr>
                <w:rFonts w:hint="eastAsia" w:ascii="宋体" w:hAnsi="宋体"/>
                <w:szCs w:val="21"/>
              </w:rPr>
              <w:t>观摩+研讨+体验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trPr>
        <w:tc>
          <w:tcPr>
            <w:tcW w:w="2376" w:type="dxa"/>
            <w:vAlign w:val="center"/>
          </w:tcPr>
          <w:p>
            <w:pPr>
              <w:spacing w:line="480" w:lineRule="auto"/>
              <w:jc w:val="center"/>
              <w:rPr>
                <w:rFonts w:ascii="宋体" w:hAnsi="宋体"/>
                <w:szCs w:val="21"/>
              </w:rPr>
            </w:pPr>
            <w:r>
              <w:rPr>
                <w:rFonts w:hint="eastAsia" w:ascii="宋体" w:hAnsi="宋体"/>
                <w:szCs w:val="21"/>
              </w:rPr>
              <w:t>《各类游戏的组织策略》</w:t>
            </w:r>
          </w:p>
        </w:tc>
        <w:tc>
          <w:tcPr>
            <w:tcW w:w="3119" w:type="dxa"/>
            <w:vAlign w:val="top"/>
          </w:tcPr>
          <w:p>
            <w:pPr>
              <w:pStyle w:val="43"/>
              <w:numPr>
                <w:ilvl w:val="0"/>
                <w:numId w:val="6"/>
              </w:numPr>
              <w:spacing w:line="480" w:lineRule="auto"/>
              <w:ind w:firstLineChars="0"/>
              <w:rPr>
                <w:rFonts w:hint="eastAsia" w:ascii="宋体" w:hAnsi="宋体"/>
                <w:szCs w:val="21"/>
              </w:rPr>
            </w:pPr>
            <w:r>
              <w:rPr>
                <w:rFonts w:hint="eastAsia" w:ascii="宋体" w:hAnsi="宋体"/>
                <w:szCs w:val="21"/>
              </w:rPr>
              <w:t>建构类游戏组织策略。</w:t>
            </w:r>
          </w:p>
          <w:p>
            <w:pPr>
              <w:pStyle w:val="43"/>
              <w:numPr>
                <w:ilvl w:val="0"/>
                <w:numId w:val="6"/>
              </w:numPr>
              <w:spacing w:line="480" w:lineRule="auto"/>
              <w:ind w:firstLineChars="0"/>
              <w:rPr>
                <w:rFonts w:hint="eastAsia" w:ascii="宋体" w:hAnsi="宋体"/>
                <w:szCs w:val="21"/>
              </w:rPr>
            </w:pPr>
            <w:r>
              <w:rPr>
                <w:rFonts w:hint="eastAsia" w:ascii="宋体" w:hAnsi="宋体"/>
                <w:szCs w:val="21"/>
              </w:rPr>
              <w:t>运动类游戏组织策略。</w:t>
            </w:r>
          </w:p>
          <w:p>
            <w:pPr>
              <w:pStyle w:val="43"/>
              <w:numPr>
                <w:ilvl w:val="0"/>
                <w:numId w:val="6"/>
              </w:numPr>
              <w:spacing w:line="480" w:lineRule="auto"/>
              <w:ind w:firstLineChars="0"/>
              <w:rPr>
                <w:rFonts w:hint="eastAsia" w:ascii="宋体" w:hAnsi="宋体"/>
                <w:szCs w:val="21"/>
              </w:rPr>
            </w:pPr>
            <w:r>
              <w:rPr>
                <w:rFonts w:hint="eastAsia" w:ascii="宋体" w:hAnsi="宋体"/>
                <w:szCs w:val="21"/>
              </w:rPr>
              <w:t>表演类游戏组织策略。</w:t>
            </w:r>
          </w:p>
          <w:p>
            <w:pPr>
              <w:pStyle w:val="43"/>
              <w:numPr>
                <w:ilvl w:val="0"/>
                <w:numId w:val="6"/>
              </w:numPr>
              <w:spacing w:line="480" w:lineRule="auto"/>
              <w:ind w:firstLineChars="0"/>
              <w:rPr>
                <w:rFonts w:hint="eastAsia" w:ascii="宋体" w:hAnsi="宋体"/>
                <w:szCs w:val="21"/>
              </w:rPr>
            </w:pPr>
            <w:r>
              <w:rPr>
                <w:rFonts w:hint="eastAsia" w:ascii="宋体" w:hAnsi="宋体"/>
                <w:szCs w:val="21"/>
              </w:rPr>
              <w:t>美劳类游戏组织策略。</w:t>
            </w:r>
          </w:p>
          <w:p>
            <w:pPr>
              <w:pStyle w:val="43"/>
              <w:numPr>
                <w:ilvl w:val="0"/>
                <w:numId w:val="6"/>
              </w:numPr>
              <w:spacing w:line="480" w:lineRule="auto"/>
              <w:ind w:firstLineChars="0"/>
              <w:rPr>
                <w:rFonts w:ascii="宋体" w:hAnsi="宋体"/>
                <w:szCs w:val="21"/>
              </w:rPr>
            </w:pPr>
            <w:r>
              <w:rPr>
                <w:rFonts w:hint="eastAsia" w:ascii="宋体" w:hAnsi="宋体"/>
                <w:szCs w:val="21"/>
              </w:rPr>
              <w:t>科探类游戏组织策略。</w:t>
            </w:r>
          </w:p>
        </w:tc>
        <w:tc>
          <w:tcPr>
            <w:tcW w:w="1701" w:type="dxa"/>
            <w:vAlign w:val="center"/>
          </w:tcPr>
          <w:p>
            <w:pPr>
              <w:spacing w:line="480" w:lineRule="auto"/>
              <w:jc w:val="center"/>
              <w:rPr>
                <w:rFonts w:hint="eastAsia" w:ascii="宋体" w:hAnsi="宋体"/>
                <w:szCs w:val="21"/>
              </w:rPr>
            </w:pPr>
            <w:r>
              <w:rPr>
                <w:rFonts w:hint="eastAsia" w:ascii="宋体" w:hAnsi="宋体"/>
                <w:szCs w:val="21"/>
                <w:lang w:val="en-US" w:eastAsia="zh-CN"/>
              </w:rPr>
              <w:t>4-8个课时</w:t>
            </w:r>
          </w:p>
        </w:tc>
        <w:tc>
          <w:tcPr>
            <w:tcW w:w="1559" w:type="dxa"/>
            <w:vAlign w:val="center"/>
          </w:tcPr>
          <w:p>
            <w:pPr>
              <w:spacing w:line="480" w:lineRule="auto"/>
              <w:jc w:val="center"/>
              <w:rPr>
                <w:rFonts w:ascii="宋体" w:hAnsi="宋体"/>
                <w:szCs w:val="21"/>
              </w:rPr>
            </w:pPr>
            <w:r>
              <w:rPr>
                <w:rFonts w:hint="eastAsia" w:ascii="宋体" w:hAnsi="宋体"/>
                <w:szCs w:val="21"/>
              </w:rPr>
              <w:t>讲座+体验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trPr>
        <w:tc>
          <w:tcPr>
            <w:tcW w:w="2376" w:type="dxa"/>
            <w:vAlign w:val="center"/>
          </w:tcPr>
          <w:p>
            <w:pPr>
              <w:spacing w:line="480" w:lineRule="auto"/>
              <w:jc w:val="center"/>
              <w:rPr>
                <w:rFonts w:ascii="宋体" w:hAnsi="宋体"/>
                <w:szCs w:val="21"/>
              </w:rPr>
            </w:pPr>
            <w:r>
              <w:rPr>
                <w:rFonts w:hint="eastAsia" w:ascii="宋体" w:hAnsi="宋体"/>
                <w:szCs w:val="21"/>
              </w:rPr>
              <w:t>《关注多维经验 探寻有效策略》</w:t>
            </w:r>
          </w:p>
        </w:tc>
        <w:tc>
          <w:tcPr>
            <w:tcW w:w="3119" w:type="dxa"/>
            <w:vAlign w:val="top"/>
          </w:tcPr>
          <w:p>
            <w:pPr>
              <w:pStyle w:val="43"/>
              <w:numPr>
                <w:ilvl w:val="0"/>
                <w:numId w:val="7"/>
              </w:numPr>
              <w:spacing w:line="480" w:lineRule="auto"/>
              <w:ind w:firstLineChars="0"/>
              <w:rPr>
                <w:rFonts w:hint="eastAsia" w:ascii="宋体" w:hAnsi="宋体"/>
                <w:szCs w:val="21"/>
              </w:rPr>
            </w:pPr>
            <w:r>
              <w:rPr>
                <w:rFonts w:hint="eastAsia" w:ascii="宋体" w:hAnsi="宋体"/>
                <w:szCs w:val="21"/>
              </w:rPr>
              <w:t>各类游戏经验解析</w:t>
            </w:r>
          </w:p>
          <w:p>
            <w:pPr>
              <w:pStyle w:val="43"/>
              <w:numPr>
                <w:ilvl w:val="0"/>
                <w:numId w:val="7"/>
              </w:numPr>
              <w:spacing w:line="480" w:lineRule="auto"/>
              <w:ind w:firstLineChars="0"/>
              <w:rPr>
                <w:rFonts w:hint="eastAsia" w:ascii="宋体" w:hAnsi="宋体"/>
                <w:szCs w:val="21"/>
              </w:rPr>
            </w:pPr>
            <w:r>
              <w:rPr>
                <w:rFonts w:hint="eastAsia" w:ascii="宋体" w:hAnsi="宋体"/>
                <w:szCs w:val="21"/>
              </w:rPr>
              <w:t>现场体验各类游戏</w:t>
            </w:r>
          </w:p>
          <w:p>
            <w:pPr>
              <w:pStyle w:val="43"/>
              <w:numPr>
                <w:ilvl w:val="0"/>
                <w:numId w:val="7"/>
              </w:numPr>
              <w:spacing w:line="480" w:lineRule="auto"/>
              <w:ind w:firstLineChars="0"/>
              <w:rPr>
                <w:rFonts w:ascii="宋体" w:hAnsi="宋体"/>
                <w:szCs w:val="21"/>
              </w:rPr>
            </w:pPr>
            <w:r>
              <w:rPr>
                <w:rFonts w:hint="eastAsia" w:ascii="宋体" w:hAnsi="宋体"/>
                <w:szCs w:val="21"/>
              </w:rPr>
              <w:t>各类游戏指导策略</w:t>
            </w:r>
          </w:p>
        </w:tc>
        <w:tc>
          <w:tcPr>
            <w:tcW w:w="1701" w:type="dxa"/>
            <w:vAlign w:val="center"/>
          </w:tcPr>
          <w:p>
            <w:pPr>
              <w:spacing w:line="480" w:lineRule="auto"/>
              <w:jc w:val="center"/>
              <w:rPr>
                <w:rFonts w:hint="eastAsia" w:ascii="宋体" w:hAnsi="宋体"/>
                <w:szCs w:val="21"/>
              </w:rPr>
            </w:pPr>
            <w:r>
              <w:rPr>
                <w:rFonts w:hint="eastAsia" w:ascii="宋体" w:hAnsi="宋体"/>
                <w:szCs w:val="21"/>
                <w:lang w:val="en-US" w:eastAsia="zh-CN"/>
              </w:rPr>
              <w:t>4-6个课时</w:t>
            </w:r>
          </w:p>
        </w:tc>
        <w:tc>
          <w:tcPr>
            <w:tcW w:w="1559" w:type="dxa"/>
            <w:vAlign w:val="center"/>
          </w:tcPr>
          <w:p>
            <w:pPr>
              <w:spacing w:line="480" w:lineRule="auto"/>
              <w:jc w:val="center"/>
              <w:rPr>
                <w:rFonts w:ascii="宋体" w:hAnsi="宋体"/>
                <w:szCs w:val="21"/>
              </w:rPr>
            </w:pPr>
            <w:r>
              <w:rPr>
                <w:rFonts w:hint="eastAsia" w:ascii="宋体" w:hAnsi="宋体"/>
                <w:szCs w:val="21"/>
              </w:rPr>
              <w:t>讲座+体验</w:t>
            </w:r>
          </w:p>
        </w:tc>
      </w:tr>
    </w:tbl>
    <w:p>
      <w:pPr>
        <w:spacing w:before="120" w:after="120" w:line="360" w:lineRule="auto"/>
        <w:jc w:val="both"/>
        <w:rPr>
          <w:rFonts w:hint="eastAsia" w:ascii="宋体" w:hAnsi="宋体" w:eastAsia="宋体" w:cs="宋体"/>
          <w:b/>
          <w:bCs/>
          <w:sz w:val="24"/>
          <w:szCs w:val="24"/>
        </w:rPr>
      </w:pPr>
    </w:p>
    <w:p>
      <w:pPr>
        <w:spacing w:before="120" w:after="120" w:line="360" w:lineRule="auto"/>
        <w:ind w:firstLine="482" w:firstLineChars="200"/>
        <w:jc w:val="center"/>
        <w:rPr>
          <w:rFonts w:hint="eastAsia" w:ascii="宋体" w:hAnsi="宋体" w:eastAsia="宋体" w:cs="宋体"/>
          <w:b/>
          <w:bCs/>
          <w:sz w:val="24"/>
          <w:szCs w:val="24"/>
        </w:rPr>
      </w:pPr>
      <w:r>
        <w:rPr>
          <w:rFonts w:hint="eastAsia" w:ascii="宋体" w:hAnsi="宋体" w:eastAsia="宋体" w:cs="宋体"/>
          <w:b/>
          <w:bCs/>
          <w:sz w:val="24"/>
          <w:szCs w:val="24"/>
        </w:rPr>
        <w:t>沙水培训规划</w:t>
      </w:r>
    </w:p>
    <w:tbl>
      <w:tblPr>
        <w:tblStyle w:val="17"/>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3119"/>
        <w:gridCol w:w="1701"/>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2376" w:type="dxa"/>
            <w:vAlign w:val="center"/>
          </w:tcPr>
          <w:p>
            <w:pPr>
              <w:spacing w:line="480" w:lineRule="auto"/>
              <w:jc w:val="center"/>
              <w:rPr>
                <w:rFonts w:ascii="宋体" w:hAnsi="宋体"/>
                <w:b/>
                <w:szCs w:val="21"/>
              </w:rPr>
            </w:pPr>
            <w:r>
              <w:rPr>
                <w:rFonts w:hint="eastAsia" w:ascii="宋体" w:hAnsi="宋体"/>
                <w:b/>
                <w:szCs w:val="21"/>
              </w:rPr>
              <w:t>主题</w:t>
            </w:r>
          </w:p>
        </w:tc>
        <w:tc>
          <w:tcPr>
            <w:tcW w:w="3119" w:type="dxa"/>
            <w:vAlign w:val="center"/>
          </w:tcPr>
          <w:p>
            <w:pPr>
              <w:spacing w:line="480" w:lineRule="auto"/>
              <w:jc w:val="center"/>
              <w:rPr>
                <w:rFonts w:ascii="宋体" w:hAnsi="宋体"/>
                <w:b/>
                <w:szCs w:val="21"/>
              </w:rPr>
            </w:pPr>
            <w:r>
              <w:rPr>
                <w:rFonts w:hint="eastAsia" w:ascii="宋体" w:hAnsi="宋体"/>
                <w:b/>
                <w:szCs w:val="21"/>
              </w:rPr>
              <w:t>内容</w:t>
            </w:r>
          </w:p>
        </w:tc>
        <w:tc>
          <w:tcPr>
            <w:tcW w:w="1701" w:type="dxa"/>
            <w:vAlign w:val="top"/>
          </w:tcPr>
          <w:p>
            <w:pPr>
              <w:spacing w:line="480" w:lineRule="auto"/>
              <w:jc w:val="center"/>
              <w:rPr>
                <w:rFonts w:hint="eastAsia" w:ascii="宋体" w:hAnsi="宋体"/>
                <w:b/>
                <w:szCs w:val="21"/>
              </w:rPr>
            </w:pPr>
            <w:r>
              <w:rPr>
                <w:rFonts w:hint="eastAsia" w:ascii="宋体" w:hAnsi="宋体"/>
                <w:b/>
                <w:szCs w:val="21"/>
              </w:rPr>
              <w:t>时长</w:t>
            </w:r>
          </w:p>
        </w:tc>
        <w:tc>
          <w:tcPr>
            <w:tcW w:w="1559" w:type="dxa"/>
            <w:vAlign w:val="center"/>
          </w:tcPr>
          <w:p>
            <w:pPr>
              <w:spacing w:line="480" w:lineRule="auto"/>
              <w:jc w:val="center"/>
              <w:rPr>
                <w:rFonts w:ascii="宋体" w:hAnsi="宋体"/>
                <w:b/>
                <w:szCs w:val="21"/>
              </w:rPr>
            </w:pPr>
            <w:r>
              <w:rPr>
                <w:rFonts w:hint="eastAsia" w:ascii="宋体" w:hAnsi="宋体"/>
                <w:b/>
                <w:szCs w:val="21"/>
              </w:rPr>
              <w:t>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2376" w:type="dxa"/>
            <w:vAlign w:val="center"/>
          </w:tcPr>
          <w:p>
            <w:pPr>
              <w:spacing w:line="480" w:lineRule="auto"/>
              <w:jc w:val="center"/>
              <w:rPr>
                <w:rFonts w:ascii="宋体" w:hAnsi="宋体"/>
                <w:szCs w:val="21"/>
              </w:rPr>
            </w:pPr>
            <w:r>
              <w:rPr>
                <w:rFonts w:hint="eastAsia" w:ascii="宋体" w:hAnsi="宋体"/>
                <w:szCs w:val="21"/>
              </w:rPr>
              <w:t>《感受沙水魅力 体验</w:t>
            </w:r>
            <w:r>
              <w:rPr>
                <w:rFonts w:hint="eastAsia" w:ascii="宋体" w:hAnsi="宋体"/>
                <w:szCs w:val="21"/>
                <w:lang w:val="en-US" w:eastAsia="zh-CN"/>
              </w:rPr>
              <w:t>玩沙</w:t>
            </w:r>
            <w:r>
              <w:rPr>
                <w:rFonts w:hint="eastAsia" w:ascii="宋体" w:hAnsi="宋体"/>
                <w:szCs w:val="21"/>
              </w:rPr>
              <w:t>乐趣》</w:t>
            </w:r>
          </w:p>
        </w:tc>
        <w:tc>
          <w:tcPr>
            <w:tcW w:w="3119" w:type="dxa"/>
            <w:vAlign w:val="top"/>
          </w:tcPr>
          <w:p>
            <w:pPr>
              <w:pStyle w:val="43"/>
              <w:spacing w:line="480" w:lineRule="auto"/>
              <w:ind w:firstLine="0" w:firstLineChars="0"/>
              <w:rPr>
                <w:szCs w:val="21"/>
              </w:rPr>
            </w:pPr>
            <w:r>
              <w:rPr>
                <w:rFonts w:hint="eastAsia" w:ascii="宋体" w:hAnsi="宋体"/>
                <w:szCs w:val="21"/>
              </w:rPr>
              <w:t>1.</w:t>
            </w:r>
            <w:r>
              <w:rPr>
                <w:rFonts w:hint="eastAsia"/>
                <w:szCs w:val="21"/>
              </w:rPr>
              <w:t xml:space="preserve">理念与价值共鸣 </w:t>
            </w:r>
          </w:p>
          <w:p>
            <w:pPr>
              <w:pStyle w:val="43"/>
              <w:spacing w:line="480" w:lineRule="auto"/>
              <w:ind w:firstLine="0" w:firstLineChars="0"/>
              <w:rPr>
                <w:rFonts w:ascii="宋体" w:hAnsi="宋体"/>
                <w:szCs w:val="21"/>
              </w:rPr>
            </w:pPr>
            <w:r>
              <w:rPr>
                <w:rFonts w:hint="eastAsia" w:ascii="宋体" w:hAnsi="宋体"/>
                <w:szCs w:val="21"/>
              </w:rPr>
              <w:t xml:space="preserve">2.问题与现状剖析 </w:t>
            </w:r>
          </w:p>
          <w:p>
            <w:pPr>
              <w:pStyle w:val="43"/>
              <w:spacing w:line="480" w:lineRule="auto"/>
              <w:ind w:firstLine="0" w:firstLineChars="0"/>
              <w:rPr>
                <w:szCs w:val="21"/>
              </w:rPr>
            </w:pPr>
            <w:r>
              <w:rPr>
                <w:rFonts w:hint="eastAsia" w:ascii="宋体" w:hAnsi="宋体"/>
                <w:szCs w:val="21"/>
              </w:rPr>
              <w:t>3.</w:t>
            </w:r>
            <w:r>
              <w:rPr>
                <w:rFonts w:hint="eastAsia"/>
                <w:szCs w:val="21"/>
              </w:rPr>
              <w:t xml:space="preserve">沙水开展策略 </w:t>
            </w:r>
          </w:p>
          <w:p>
            <w:pPr>
              <w:pStyle w:val="43"/>
              <w:spacing w:line="480" w:lineRule="auto"/>
              <w:ind w:firstLine="0" w:firstLineChars="0"/>
              <w:rPr>
                <w:szCs w:val="21"/>
              </w:rPr>
            </w:pPr>
            <w:r>
              <w:rPr>
                <w:rFonts w:hint="eastAsia" w:ascii="宋体" w:hAnsi="宋体"/>
                <w:szCs w:val="21"/>
              </w:rPr>
              <w:t>4.</w:t>
            </w:r>
            <w:r>
              <w:rPr>
                <w:rFonts w:hint="eastAsia"/>
                <w:szCs w:val="21"/>
              </w:rPr>
              <w:t xml:space="preserve">沙水游戏现场体验 </w:t>
            </w:r>
          </w:p>
        </w:tc>
        <w:tc>
          <w:tcPr>
            <w:tcW w:w="1701" w:type="dxa"/>
            <w:vAlign w:val="center"/>
          </w:tcPr>
          <w:p>
            <w:pPr>
              <w:spacing w:line="480" w:lineRule="auto"/>
              <w:jc w:val="center"/>
              <w:rPr>
                <w:rFonts w:hint="eastAsia" w:ascii="宋体" w:hAnsi="宋体"/>
                <w:szCs w:val="21"/>
              </w:rPr>
            </w:pPr>
            <w:r>
              <w:rPr>
                <w:rFonts w:hint="eastAsia" w:ascii="宋体" w:hAnsi="宋体"/>
                <w:szCs w:val="21"/>
                <w:lang w:val="en-US" w:eastAsia="zh-CN"/>
              </w:rPr>
              <w:t>4-8个课时</w:t>
            </w:r>
          </w:p>
        </w:tc>
        <w:tc>
          <w:tcPr>
            <w:tcW w:w="1559" w:type="dxa"/>
            <w:vAlign w:val="center"/>
          </w:tcPr>
          <w:p>
            <w:pPr>
              <w:spacing w:line="480" w:lineRule="auto"/>
              <w:jc w:val="center"/>
              <w:rPr>
                <w:rFonts w:ascii="宋体" w:hAnsi="宋体"/>
                <w:szCs w:val="21"/>
              </w:rPr>
            </w:pPr>
            <w:r>
              <w:rPr>
                <w:rFonts w:hint="eastAsia" w:ascii="宋体" w:hAnsi="宋体"/>
                <w:szCs w:val="21"/>
              </w:rPr>
              <w:t>讲座+体验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2376" w:type="dxa"/>
            <w:vAlign w:val="center"/>
          </w:tcPr>
          <w:p>
            <w:pPr>
              <w:spacing w:line="480" w:lineRule="auto"/>
              <w:jc w:val="center"/>
              <w:rPr>
                <w:rFonts w:hint="eastAsia" w:ascii="宋体" w:hAnsi="宋体"/>
                <w:szCs w:val="21"/>
              </w:rPr>
            </w:pPr>
            <w:r>
              <w:rPr>
                <w:rFonts w:hint="eastAsia" w:ascii="宋体" w:hAnsi="宋体"/>
                <w:szCs w:val="21"/>
              </w:rPr>
              <w:t>《基于过程 关注质量》</w:t>
            </w:r>
          </w:p>
          <w:p>
            <w:pPr>
              <w:spacing w:line="480" w:lineRule="auto"/>
              <w:jc w:val="center"/>
              <w:rPr>
                <w:rFonts w:ascii="宋体" w:hAnsi="宋体"/>
                <w:szCs w:val="21"/>
              </w:rPr>
            </w:pPr>
            <w:r>
              <w:rPr>
                <w:rFonts w:hint="eastAsia" w:ascii="宋体" w:hAnsi="宋体"/>
                <w:szCs w:val="21"/>
              </w:rPr>
              <w:t>——师幼双主体背景下沙水活动的组织与实施策略</w:t>
            </w:r>
          </w:p>
        </w:tc>
        <w:tc>
          <w:tcPr>
            <w:tcW w:w="3119" w:type="dxa"/>
            <w:vAlign w:val="top"/>
          </w:tcPr>
          <w:p>
            <w:pPr>
              <w:pStyle w:val="43"/>
              <w:spacing w:line="480" w:lineRule="auto"/>
              <w:ind w:firstLine="0" w:firstLineChars="0"/>
              <w:rPr>
                <w:rFonts w:hint="eastAsia" w:ascii="宋体" w:hAnsi="宋体"/>
                <w:szCs w:val="21"/>
              </w:rPr>
            </w:pPr>
            <w:r>
              <w:rPr>
                <w:rFonts w:hint="eastAsia" w:ascii="宋体" w:hAnsi="宋体"/>
                <w:szCs w:val="21"/>
              </w:rPr>
              <w:t>1.师幼双主体的认识与理解</w:t>
            </w:r>
          </w:p>
          <w:p>
            <w:pPr>
              <w:pStyle w:val="43"/>
              <w:spacing w:line="480" w:lineRule="auto"/>
              <w:ind w:firstLine="0" w:firstLineChars="0"/>
              <w:rPr>
                <w:rFonts w:ascii="宋体" w:hAnsi="宋体"/>
                <w:szCs w:val="21"/>
              </w:rPr>
            </w:pPr>
            <w:r>
              <w:rPr>
                <w:rFonts w:hint="eastAsia" w:ascii="宋体" w:hAnsi="宋体"/>
                <w:bCs/>
                <w:szCs w:val="21"/>
              </w:rPr>
              <w:t xml:space="preserve">2.沙水游戏组织与实施策略 </w:t>
            </w:r>
          </w:p>
          <w:p>
            <w:pPr>
              <w:pStyle w:val="43"/>
              <w:spacing w:line="480" w:lineRule="auto"/>
              <w:ind w:firstLine="0" w:firstLineChars="0"/>
              <w:rPr>
                <w:rFonts w:hint="eastAsia" w:ascii="宋体" w:hAnsi="宋体"/>
                <w:szCs w:val="21"/>
              </w:rPr>
            </w:pPr>
            <w:r>
              <w:rPr>
                <w:rFonts w:hint="eastAsia" w:ascii="宋体" w:hAnsi="宋体"/>
                <w:szCs w:val="21"/>
              </w:rPr>
              <w:t>3.</w:t>
            </w:r>
            <w:r>
              <w:rPr>
                <w:rFonts w:hint="eastAsia" w:ascii="Times New Roman" w:hAnsi="Times New Roman"/>
                <w:szCs w:val="24"/>
              </w:rPr>
              <w:t xml:space="preserve"> </w:t>
            </w:r>
            <w:r>
              <w:rPr>
                <w:rFonts w:hint="eastAsia" w:ascii="宋体" w:hAnsi="宋体"/>
                <w:bCs/>
                <w:szCs w:val="21"/>
              </w:rPr>
              <w:t>沙水</w:t>
            </w:r>
            <w:r>
              <w:rPr>
                <w:rFonts w:hint="eastAsia" w:ascii="宋体" w:hAnsi="宋体"/>
                <w:szCs w:val="21"/>
              </w:rPr>
              <w:t>活动组织与实施策略</w:t>
            </w:r>
          </w:p>
          <w:p>
            <w:pPr>
              <w:pStyle w:val="43"/>
              <w:spacing w:line="480" w:lineRule="auto"/>
              <w:ind w:firstLine="0" w:firstLineChars="0"/>
              <w:rPr>
                <w:rFonts w:ascii="宋体" w:hAnsi="宋体"/>
                <w:szCs w:val="21"/>
              </w:rPr>
            </w:pPr>
            <w:r>
              <w:rPr>
                <w:rFonts w:hint="eastAsia" w:ascii="宋体" w:hAnsi="宋体"/>
                <w:szCs w:val="21"/>
              </w:rPr>
              <w:t>4.</w:t>
            </w:r>
            <w:r>
              <w:rPr>
                <w:rFonts w:hint="eastAsia" w:ascii="Times New Roman" w:hAnsi="Times New Roman"/>
                <w:szCs w:val="24"/>
              </w:rPr>
              <w:t xml:space="preserve"> </w:t>
            </w:r>
            <w:r>
              <w:rPr>
                <w:rFonts w:hint="eastAsia" w:ascii="宋体" w:hAnsi="宋体"/>
                <w:bCs/>
                <w:szCs w:val="21"/>
              </w:rPr>
              <w:t>沙水</w:t>
            </w:r>
            <w:r>
              <w:rPr>
                <w:rFonts w:hint="eastAsia" w:ascii="宋体" w:hAnsi="宋体"/>
                <w:szCs w:val="21"/>
              </w:rPr>
              <w:t>活动方案的现场研讨</w:t>
            </w:r>
          </w:p>
        </w:tc>
        <w:tc>
          <w:tcPr>
            <w:tcW w:w="1701" w:type="dxa"/>
            <w:vAlign w:val="center"/>
          </w:tcPr>
          <w:p>
            <w:pPr>
              <w:spacing w:line="480" w:lineRule="auto"/>
              <w:jc w:val="center"/>
              <w:rPr>
                <w:rFonts w:hint="eastAsia" w:ascii="宋体" w:hAnsi="宋体"/>
                <w:szCs w:val="21"/>
              </w:rPr>
            </w:pPr>
            <w:r>
              <w:rPr>
                <w:rFonts w:hint="eastAsia" w:ascii="宋体" w:hAnsi="宋体"/>
                <w:szCs w:val="21"/>
                <w:lang w:val="en-US" w:eastAsia="zh-CN"/>
              </w:rPr>
              <w:t>4-8个课时</w:t>
            </w:r>
          </w:p>
        </w:tc>
        <w:tc>
          <w:tcPr>
            <w:tcW w:w="1559" w:type="dxa"/>
            <w:vAlign w:val="center"/>
          </w:tcPr>
          <w:p>
            <w:pPr>
              <w:spacing w:line="480" w:lineRule="auto"/>
              <w:jc w:val="center"/>
              <w:rPr>
                <w:rFonts w:ascii="宋体" w:hAnsi="宋体"/>
                <w:szCs w:val="21"/>
              </w:rPr>
            </w:pPr>
            <w:r>
              <w:rPr>
                <w:rFonts w:hint="eastAsia" w:ascii="宋体" w:hAnsi="宋体"/>
                <w:szCs w:val="21"/>
              </w:rPr>
              <w:t>观摩+讲座+研讨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trPr>
        <w:tc>
          <w:tcPr>
            <w:tcW w:w="2376" w:type="dxa"/>
            <w:vAlign w:val="center"/>
          </w:tcPr>
          <w:p>
            <w:pPr>
              <w:spacing w:line="480" w:lineRule="auto"/>
              <w:jc w:val="center"/>
              <w:rPr>
                <w:rFonts w:hint="eastAsia" w:ascii="宋体" w:hAnsi="宋体"/>
                <w:szCs w:val="21"/>
              </w:rPr>
            </w:pPr>
            <w:r>
              <w:rPr>
                <w:rFonts w:hint="eastAsia" w:ascii="宋体" w:hAnsi="宋体"/>
                <w:szCs w:val="21"/>
              </w:rPr>
              <w:t>《聚焦发展 解读童心》</w:t>
            </w:r>
          </w:p>
          <w:p>
            <w:pPr>
              <w:spacing w:line="480" w:lineRule="auto"/>
              <w:jc w:val="center"/>
              <w:rPr>
                <w:rFonts w:ascii="宋体" w:hAnsi="宋体"/>
                <w:szCs w:val="21"/>
              </w:rPr>
            </w:pPr>
            <w:r>
              <w:rPr>
                <w:rFonts w:hint="eastAsia" w:ascii="宋体" w:hAnsi="宋体"/>
                <w:szCs w:val="21"/>
              </w:rPr>
              <w:t>——沙水活动中幼儿行为与发展关系解析</w:t>
            </w:r>
          </w:p>
        </w:tc>
        <w:tc>
          <w:tcPr>
            <w:tcW w:w="3119" w:type="dxa"/>
            <w:vAlign w:val="top"/>
          </w:tcPr>
          <w:p>
            <w:pPr>
              <w:pStyle w:val="43"/>
              <w:spacing w:line="480" w:lineRule="auto"/>
              <w:ind w:firstLine="0" w:firstLineChars="0"/>
              <w:rPr>
                <w:rFonts w:hint="eastAsia" w:ascii="宋体" w:hAnsi="宋体"/>
                <w:szCs w:val="21"/>
              </w:rPr>
            </w:pPr>
            <w:r>
              <w:rPr>
                <w:rFonts w:hint="eastAsia" w:ascii="宋体" w:hAnsi="宋体"/>
                <w:szCs w:val="21"/>
              </w:rPr>
              <w:t>1.理念先行， 对沙水活动</w:t>
            </w:r>
          </w:p>
          <w:p>
            <w:pPr>
              <w:pStyle w:val="43"/>
              <w:spacing w:line="480" w:lineRule="auto"/>
              <w:ind w:firstLine="0" w:firstLineChars="0"/>
              <w:rPr>
                <w:rFonts w:hint="eastAsia" w:ascii="宋体" w:hAnsi="宋体"/>
                <w:szCs w:val="21"/>
              </w:rPr>
            </w:pPr>
            <w:r>
              <w:rPr>
                <w:rFonts w:hint="eastAsia" w:ascii="宋体" w:hAnsi="宋体"/>
                <w:szCs w:val="21"/>
              </w:rPr>
              <w:t>支持策略的认识和理解。</w:t>
            </w:r>
          </w:p>
          <w:p>
            <w:pPr>
              <w:pStyle w:val="43"/>
              <w:spacing w:line="480" w:lineRule="auto"/>
              <w:ind w:firstLine="0" w:firstLineChars="0"/>
              <w:rPr>
                <w:rFonts w:ascii="宋体" w:hAnsi="宋体"/>
                <w:szCs w:val="21"/>
              </w:rPr>
            </w:pPr>
            <w:r>
              <w:rPr>
                <w:rFonts w:hint="eastAsia" w:ascii="宋体" w:hAnsi="宋体"/>
                <w:bCs/>
                <w:szCs w:val="21"/>
              </w:rPr>
              <w:t>2</w:t>
            </w:r>
            <w:r>
              <w:rPr>
                <w:rFonts w:hint="eastAsia" w:ascii="宋体" w:hAnsi="宋体"/>
                <w:b/>
                <w:bCs/>
                <w:szCs w:val="21"/>
              </w:rPr>
              <w:t>.</w:t>
            </w:r>
            <w:r>
              <w:rPr>
                <w:rFonts w:hint="eastAsia" w:ascii="宋体" w:hAnsi="宋体"/>
                <w:bCs/>
                <w:szCs w:val="21"/>
              </w:rPr>
              <w:t>实践深入， 探寻沙水活动中支持策略的具体做法</w:t>
            </w:r>
          </w:p>
          <w:p>
            <w:pPr>
              <w:pStyle w:val="43"/>
              <w:spacing w:line="480" w:lineRule="auto"/>
              <w:ind w:firstLine="0" w:firstLineChars="0"/>
              <w:rPr>
                <w:rFonts w:ascii="宋体" w:hAnsi="宋体"/>
                <w:szCs w:val="21"/>
              </w:rPr>
            </w:pPr>
            <w:r>
              <w:rPr>
                <w:rFonts w:hint="eastAsia" w:ascii="宋体" w:hAnsi="宋体"/>
                <w:szCs w:val="21"/>
              </w:rPr>
              <w:t>3.</w:t>
            </w:r>
            <w:r>
              <w:rPr>
                <w:rFonts w:hint="eastAsia" w:ascii="Times New Roman" w:hAnsi="Times New Roman"/>
                <w:szCs w:val="24"/>
              </w:rPr>
              <w:t xml:space="preserve"> </w:t>
            </w:r>
            <w:r>
              <w:rPr>
                <w:rFonts w:hint="eastAsia" w:ascii="宋体" w:hAnsi="宋体"/>
                <w:szCs w:val="21"/>
              </w:rPr>
              <w:t>反思评价， 总结沙水活动中支持策略的现实问题</w:t>
            </w:r>
          </w:p>
        </w:tc>
        <w:tc>
          <w:tcPr>
            <w:tcW w:w="1701" w:type="dxa"/>
            <w:vAlign w:val="center"/>
          </w:tcPr>
          <w:p>
            <w:pPr>
              <w:spacing w:line="480" w:lineRule="auto"/>
              <w:jc w:val="center"/>
              <w:rPr>
                <w:rFonts w:hint="eastAsia" w:ascii="宋体" w:hAnsi="宋体"/>
                <w:szCs w:val="21"/>
              </w:rPr>
            </w:pPr>
            <w:r>
              <w:rPr>
                <w:rFonts w:hint="eastAsia" w:ascii="宋体" w:hAnsi="宋体"/>
                <w:szCs w:val="21"/>
                <w:lang w:val="en-US" w:eastAsia="zh-CN"/>
              </w:rPr>
              <w:t>4-8个课时</w:t>
            </w:r>
          </w:p>
        </w:tc>
        <w:tc>
          <w:tcPr>
            <w:tcW w:w="1559" w:type="dxa"/>
            <w:vAlign w:val="center"/>
          </w:tcPr>
          <w:p>
            <w:pPr>
              <w:spacing w:line="480" w:lineRule="auto"/>
              <w:jc w:val="center"/>
              <w:rPr>
                <w:rFonts w:ascii="宋体" w:hAnsi="宋体"/>
                <w:szCs w:val="21"/>
              </w:rPr>
            </w:pPr>
            <w:r>
              <w:rPr>
                <w:rFonts w:hint="eastAsia" w:ascii="宋体" w:hAnsi="宋体"/>
                <w:szCs w:val="21"/>
              </w:rPr>
              <w:t>观摩+讲座</w:t>
            </w:r>
            <w:r>
              <w:rPr>
                <w:rFonts w:ascii="宋体" w:hAnsi="宋体"/>
                <w:szCs w:val="21"/>
              </w:rPr>
              <w:t xml:space="preserve"> </w:t>
            </w:r>
          </w:p>
        </w:tc>
      </w:tr>
    </w:tbl>
    <w:p>
      <w:pPr>
        <w:spacing w:before="120" w:after="120" w:line="360" w:lineRule="auto"/>
        <w:jc w:val="both"/>
        <w:rPr>
          <w:rFonts w:hint="eastAsia" w:ascii="宋体" w:hAnsi="宋体" w:eastAsia="宋体" w:cs="宋体"/>
          <w:b/>
          <w:bCs/>
          <w:sz w:val="24"/>
          <w:szCs w:val="24"/>
        </w:rPr>
      </w:pPr>
    </w:p>
    <w:p>
      <w:pPr>
        <w:spacing w:before="120" w:after="120" w:line="360" w:lineRule="auto"/>
        <w:ind w:firstLine="3614" w:firstLineChars="1500"/>
        <w:jc w:val="both"/>
        <w:rPr>
          <w:rFonts w:hint="eastAsia" w:ascii="宋体" w:hAnsi="宋体" w:eastAsia="宋体" w:cs="宋体"/>
          <w:b/>
          <w:bCs/>
          <w:sz w:val="24"/>
          <w:szCs w:val="24"/>
        </w:rPr>
      </w:pPr>
    </w:p>
    <w:p>
      <w:pPr>
        <w:spacing w:before="120" w:after="120" w:line="360" w:lineRule="auto"/>
        <w:ind w:firstLine="3614" w:firstLineChars="1500"/>
        <w:jc w:val="both"/>
        <w:rPr>
          <w:rFonts w:hint="eastAsia" w:ascii="微软雅黑" w:hAnsi="微软雅黑" w:eastAsia="微软雅黑"/>
          <w:b/>
          <w:bCs/>
          <w:sz w:val="32"/>
          <w:szCs w:val="32"/>
        </w:rPr>
      </w:pPr>
      <w:r>
        <w:rPr>
          <w:rFonts w:hint="eastAsia" w:ascii="宋体" w:hAnsi="宋体" w:eastAsia="宋体" w:cs="宋体"/>
          <w:b/>
          <w:bCs/>
          <w:sz w:val="24"/>
          <w:szCs w:val="24"/>
        </w:rPr>
        <w:t>运动包培训规划</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652"/>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spacing w:before="120" w:after="120" w:line="480" w:lineRule="auto"/>
              <w:jc w:val="center"/>
              <w:rPr>
                <w:rFonts w:hint="eastAsia"/>
                <w:szCs w:val="21"/>
              </w:rPr>
            </w:pPr>
            <w:r>
              <w:rPr>
                <w:rFonts w:hint="eastAsia"/>
                <w:szCs w:val="21"/>
              </w:rPr>
              <w:t>培训主题</w:t>
            </w:r>
          </w:p>
        </w:tc>
        <w:tc>
          <w:tcPr>
            <w:tcW w:w="2130" w:type="dxa"/>
            <w:vAlign w:val="center"/>
          </w:tcPr>
          <w:p>
            <w:pPr>
              <w:spacing w:before="120" w:after="120" w:line="480" w:lineRule="auto"/>
              <w:jc w:val="center"/>
              <w:rPr>
                <w:rFonts w:hint="eastAsia"/>
                <w:szCs w:val="21"/>
              </w:rPr>
            </w:pPr>
            <w:r>
              <w:rPr>
                <w:rFonts w:hint="eastAsia"/>
                <w:szCs w:val="21"/>
              </w:rPr>
              <w:t>培训内容</w:t>
            </w:r>
          </w:p>
        </w:tc>
        <w:tc>
          <w:tcPr>
            <w:tcW w:w="4262" w:type="dxa"/>
            <w:gridSpan w:val="2"/>
            <w:vAlign w:val="center"/>
          </w:tcPr>
          <w:p>
            <w:pPr>
              <w:spacing w:before="120" w:after="120" w:line="480" w:lineRule="auto"/>
              <w:jc w:val="center"/>
              <w:rPr>
                <w:rFonts w:hint="eastAsia"/>
                <w:szCs w:val="21"/>
              </w:rPr>
            </w:pPr>
            <w:r>
              <w:rPr>
                <w:rFonts w:hint="eastAsia"/>
                <w:szCs w:val="21"/>
              </w:rPr>
              <w:t>课时安排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restart"/>
            <w:vAlign w:val="center"/>
          </w:tcPr>
          <w:p>
            <w:pPr>
              <w:spacing w:before="120" w:after="120" w:line="480" w:lineRule="auto"/>
              <w:jc w:val="center"/>
              <w:rPr>
                <w:rFonts w:hint="eastAsia"/>
                <w:szCs w:val="21"/>
              </w:rPr>
            </w:pPr>
            <w:r>
              <w:rPr>
                <w:rFonts w:hint="eastAsia"/>
                <w:szCs w:val="21"/>
              </w:rPr>
              <w:t>五种运动形式大纲及材料讲解</w:t>
            </w:r>
          </w:p>
        </w:tc>
        <w:tc>
          <w:tcPr>
            <w:tcW w:w="2130" w:type="dxa"/>
            <w:vAlign w:val="center"/>
          </w:tcPr>
          <w:p>
            <w:pPr>
              <w:spacing w:before="120" w:after="120" w:line="480" w:lineRule="auto"/>
              <w:jc w:val="center"/>
              <w:rPr>
                <w:rFonts w:hint="eastAsia"/>
                <w:szCs w:val="21"/>
              </w:rPr>
            </w:pPr>
            <w:r>
              <w:rPr>
                <w:rFonts w:hint="eastAsia"/>
                <w:szCs w:val="21"/>
              </w:rPr>
              <w:t>理论+玩法</w:t>
            </w:r>
          </w:p>
        </w:tc>
        <w:tc>
          <w:tcPr>
            <w:tcW w:w="2652" w:type="dxa"/>
            <w:vAlign w:val="center"/>
          </w:tcPr>
          <w:p>
            <w:pPr>
              <w:spacing w:before="120" w:after="120" w:line="480" w:lineRule="auto"/>
              <w:jc w:val="center"/>
              <w:rPr>
                <w:rFonts w:hint="eastAsia"/>
                <w:szCs w:val="21"/>
              </w:rPr>
            </w:pPr>
            <w:r>
              <w:rPr>
                <w:rFonts w:hint="eastAsia"/>
                <w:szCs w:val="21"/>
              </w:rPr>
              <w:t>适合第一次</w:t>
            </w:r>
          </w:p>
        </w:tc>
        <w:tc>
          <w:tcPr>
            <w:tcW w:w="1610" w:type="dxa"/>
            <w:vAlign w:val="center"/>
          </w:tcPr>
          <w:p>
            <w:pPr>
              <w:spacing w:before="120" w:after="120" w:line="480" w:lineRule="auto"/>
              <w:jc w:val="center"/>
              <w:rPr>
                <w:rFonts w:hint="eastAsia"/>
                <w:szCs w:val="21"/>
              </w:rPr>
            </w:pPr>
            <w:r>
              <w:rPr>
                <w:rFonts w:hint="eastAsia"/>
                <w:szCs w:val="21"/>
              </w:rPr>
              <w:t>第一节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spacing w:before="120" w:after="120" w:line="480" w:lineRule="auto"/>
              <w:jc w:val="center"/>
              <w:rPr>
                <w:rFonts w:hint="eastAsia"/>
                <w:szCs w:val="21"/>
              </w:rPr>
            </w:pPr>
          </w:p>
        </w:tc>
        <w:tc>
          <w:tcPr>
            <w:tcW w:w="2130" w:type="dxa"/>
            <w:vAlign w:val="center"/>
          </w:tcPr>
          <w:p>
            <w:pPr>
              <w:spacing w:before="120" w:after="120" w:line="480" w:lineRule="auto"/>
              <w:jc w:val="center"/>
              <w:rPr>
                <w:rFonts w:hint="eastAsia"/>
                <w:szCs w:val="21"/>
              </w:rPr>
            </w:pPr>
            <w:r>
              <w:rPr>
                <w:rFonts w:hint="eastAsia"/>
                <w:szCs w:val="21"/>
              </w:rPr>
              <w:t>材料玩法的讲解工具</w:t>
            </w:r>
          </w:p>
        </w:tc>
        <w:tc>
          <w:tcPr>
            <w:tcW w:w="2652" w:type="dxa"/>
            <w:vAlign w:val="center"/>
          </w:tcPr>
          <w:p>
            <w:pPr>
              <w:spacing w:before="120" w:after="120" w:line="480" w:lineRule="auto"/>
              <w:jc w:val="center"/>
              <w:rPr>
                <w:rFonts w:hint="eastAsia"/>
                <w:szCs w:val="21"/>
              </w:rPr>
            </w:pPr>
            <w:r>
              <w:rPr>
                <w:rFonts w:hint="eastAsia"/>
                <w:szCs w:val="21"/>
              </w:rPr>
              <w:t>适合第二次</w:t>
            </w:r>
          </w:p>
        </w:tc>
        <w:tc>
          <w:tcPr>
            <w:tcW w:w="1610" w:type="dxa"/>
            <w:vAlign w:val="center"/>
          </w:tcPr>
          <w:p>
            <w:pPr>
              <w:spacing w:before="120" w:after="120" w:line="480" w:lineRule="auto"/>
              <w:jc w:val="center"/>
              <w:rPr>
                <w:rFonts w:hint="eastAsia"/>
                <w:szCs w:val="21"/>
              </w:rPr>
            </w:pPr>
            <w:r>
              <w:rPr>
                <w:rFonts w:hint="eastAsia"/>
                <w:szCs w:val="21"/>
              </w:rPr>
              <w:t>第二节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restart"/>
            <w:vAlign w:val="center"/>
          </w:tcPr>
          <w:p>
            <w:pPr>
              <w:spacing w:before="120" w:after="120" w:line="480" w:lineRule="auto"/>
              <w:jc w:val="center"/>
              <w:rPr>
                <w:rFonts w:hint="eastAsia"/>
                <w:szCs w:val="21"/>
              </w:rPr>
            </w:pPr>
            <w:r>
              <w:rPr>
                <w:rFonts w:hint="eastAsia"/>
                <w:szCs w:val="21"/>
              </w:rPr>
              <w:t>体育课</w:t>
            </w:r>
          </w:p>
        </w:tc>
        <w:tc>
          <w:tcPr>
            <w:tcW w:w="2130" w:type="dxa"/>
            <w:vAlign w:val="center"/>
          </w:tcPr>
          <w:p>
            <w:pPr>
              <w:spacing w:before="120" w:after="120" w:line="480" w:lineRule="auto"/>
              <w:jc w:val="center"/>
              <w:rPr>
                <w:rFonts w:hint="eastAsia"/>
                <w:szCs w:val="21"/>
              </w:rPr>
            </w:pPr>
            <w:r>
              <w:rPr>
                <w:rFonts w:hint="eastAsia"/>
                <w:szCs w:val="21"/>
              </w:rPr>
              <w:t>体育教学课的结构</w:t>
            </w:r>
          </w:p>
        </w:tc>
        <w:tc>
          <w:tcPr>
            <w:tcW w:w="2652" w:type="dxa"/>
            <w:vMerge w:val="restart"/>
            <w:vAlign w:val="center"/>
          </w:tcPr>
          <w:p>
            <w:pPr>
              <w:spacing w:before="120" w:after="120" w:line="480" w:lineRule="auto"/>
              <w:jc w:val="center"/>
              <w:rPr>
                <w:rFonts w:hint="eastAsia"/>
                <w:szCs w:val="21"/>
              </w:rPr>
            </w:pPr>
            <w:r>
              <w:rPr>
                <w:rFonts w:hint="eastAsia"/>
                <w:szCs w:val="21"/>
              </w:rPr>
              <w:t>适合安排在大纲及材料讲解之后</w:t>
            </w:r>
          </w:p>
        </w:tc>
        <w:tc>
          <w:tcPr>
            <w:tcW w:w="1610" w:type="dxa"/>
            <w:vAlign w:val="center"/>
          </w:tcPr>
          <w:p>
            <w:pPr>
              <w:spacing w:before="120" w:after="120" w:line="480" w:lineRule="auto"/>
              <w:jc w:val="center"/>
              <w:rPr>
                <w:rFonts w:hint="eastAsia"/>
                <w:szCs w:val="21"/>
              </w:rPr>
            </w:pPr>
            <w:r>
              <w:rPr>
                <w:rFonts w:hint="eastAsia"/>
                <w:szCs w:val="21"/>
              </w:rPr>
              <w:t>第一节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spacing w:before="120" w:after="120" w:line="480" w:lineRule="auto"/>
              <w:jc w:val="center"/>
              <w:rPr>
                <w:rFonts w:hint="eastAsia"/>
                <w:szCs w:val="21"/>
              </w:rPr>
            </w:pPr>
          </w:p>
        </w:tc>
        <w:tc>
          <w:tcPr>
            <w:tcW w:w="2130" w:type="dxa"/>
            <w:vAlign w:val="center"/>
          </w:tcPr>
          <w:p>
            <w:pPr>
              <w:spacing w:before="120" w:after="120" w:line="480" w:lineRule="auto"/>
              <w:jc w:val="center"/>
              <w:rPr>
                <w:rFonts w:hint="eastAsia"/>
                <w:szCs w:val="21"/>
              </w:rPr>
            </w:pPr>
            <w:r>
              <w:rPr>
                <w:rFonts w:hint="eastAsia"/>
                <w:szCs w:val="21"/>
              </w:rPr>
              <w:t>口令及队形队列手势</w:t>
            </w:r>
          </w:p>
        </w:tc>
        <w:tc>
          <w:tcPr>
            <w:tcW w:w="2652" w:type="dxa"/>
            <w:vMerge w:val="continue"/>
            <w:vAlign w:val="center"/>
          </w:tcPr>
          <w:p>
            <w:pPr>
              <w:spacing w:before="120" w:after="120" w:line="480" w:lineRule="auto"/>
              <w:jc w:val="center"/>
              <w:rPr>
                <w:rFonts w:hint="eastAsia"/>
                <w:szCs w:val="21"/>
              </w:rPr>
            </w:pPr>
          </w:p>
        </w:tc>
        <w:tc>
          <w:tcPr>
            <w:tcW w:w="1610" w:type="dxa"/>
            <w:vAlign w:val="center"/>
          </w:tcPr>
          <w:p>
            <w:pPr>
              <w:spacing w:before="120" w:after="120" w:line="480" w:lineRule="auto"/>
              <w:jc w:val="center"/>
              <w:rPr>
                <w:rFonts w:hint="eastAsia"/>
                <w:szCs w:val="21"/>
              </w:rPr>
            </w:pPr>
            <w:r>
              <w:rPr>
                <w:rFonts w:hint="eastAsia"/>
                <w:szCs w:val="21"/>
              </w:rPr>
              <w:t>第二节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spacing w:before="120" w:after="120" w:line="480" w:lineRule="auto"/>
              <w:jc w:val="center"/>
              <w:rPr>
                <w:rFonts w:hint="eastAsia"/>
                <w:szCs w:val="21"/>
              </w:rPr>
            </w:pPr>
          </w:p>
        </w:tc>
        <w:tc>
          <w:tcPr>
            <w:tcW w:w="2130" w:type="dxa"/>
            <w:vAlign w:val="center"/>
          </w:tcPr>
          <w:p>
            <w:pPr>
              <w:spacing w:before="120" w:after="120" w:line="480" w:lineRule="auto"/>
              <w:jc w:val="center"/>
              <w:rPr>
                <w:rFonts w:hint="eastAsia"/>
                <w:szCs w:val="21"/>
              </w:rPr>
            </w:pPr>
            <w:r>
              <w:rPr>
                <w:rFonts w:hint="eastAsia"/>
                <w:szCs w:val="21"/>
              </w:rPr>
              <w:t>示范课打造</w:t>
            </w:r>
          </w:p>
        </w:tc>
        <w:tc>
          <w:tcPr>
            <w:tcW w:w="2652" w:type="dxa"/>
            <w:vMerge w:val="continue"/>
            <w:vAlign w:val="center"/>
          </w:tcPr>
          <w:p>
            <w:pPr>
              <w:spacing w:before="120" w:after="120" w:line="480" w:lineRule="auto"/>
              <w:jc w:val="center"/>
              <w:rPr>
                <w:rFonts w:hint="eastAsia"/>
                <w:szCs w:val="21"/>
              </w:rPr>
            </w:pPr>
          </w:p>
        </w:tc>
        <w:tc>
          <w:tcPr>
            <w:tcW w:w="1610" w:type="dxa"/>
            <w:vAlign w:val="center"/>
          </w:tcPr>
          <w:p>
            <w:pPr>
              <w:spacing w:before="120" w:after="120" w:line="480" w:lineRule="auto"/>
              <w:jc w:val="center"/>
              <w:rPr>
                <w:rFonts w:hint="eastAsia"/>
                <w:szCs w:val="21"/>
              </w:rPr>
            </w:pPr>
            <w:r>
              <w:rPr>
                <w:rFonts w:hint="eastAsia"/>
                <w:szCs w:val="21"/>
              </w:rPr>
              <w:t>第三节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spacing w:before="120" w:after="120" w:line="480" w:lineRule="auto"/>
              <w:jc w:val="center"/>
              <w:rPr>
                <w:rFonts w:hint="eastAsia"/>
                <w:szCs w:val="21"/>
              </w:rPr>
            </w:pPr>
            <w:r>
              <w:rPr>
                <w:rFonts w:hint="eastAsia"/>
                <w:szCs w:val="21"/>
              </w:rPr>
              <w:t>晨间操节活动</w:t>
            </w:r>
          </w:p>
        </w:tc>
        <w:tc>
          <w:tcPr>
            <w:tcW w:w="2130" w:type="dxa"/>
            <w:vAlign w:val="center"/>
          </w:tcPr>
          <w:p>
            <w:pPr>
              <w:spacing w:before="120" w:after="120" w:line="480" w:lineRule="auto"/>
              <w:jc w:val="center"/>
              <w:rPr>
                <w:rFonts w:hint="eastAsia"/>
                <w:szCs w:val="21"/>
              </w:rPr>
            </w:pPr>
            <w:r>
              <w:rPr>
                <w:rFonts w:hint="eastAsia"/>
                <w:szCs w:val="21"/>
              </w:rPr>
              <w:t>理论+方法</w:t>
            </w:r>
          </w:p>
        </w:tc>
        <w:tc>
          <w:tcPr>
            <w:tcW w:w="2652" w:type="dxa"/>
            <w:vAlign w:val="center"/>
          </w:tcPr>
          <w:p>
            <w:pPr>
              <w:spacing w:before="120" w:after="120" w:line="480" w:lineRule="auto"/>
              <w:jc w:val="center"/>
              <w:rPr>
                <w:rFonts w:hint="eastAsia"/>
                <w:szCs w:val="21"/>
              </w:rPr>
            </w:pPr>
            <w:r>
              <w:rPr>
                <w:rFonts w:hint="eastAsia"/>
                <w:szCs w:val="21"/>
              </w:rPr>
              <w:t>适合安排在体育课之后</w:t>
            </w:r>
          </w:p>
        </w:tc>
        <w:tc>
          <w:tcPr>
            <w:tcW w:w="1610" w:type="dxa"/>
            <w:vAlign w:val="center"/>
          </w:tcPr>
          <w:p>
            <w:pPr>
              <w:spacing w:before="120" w:after="120" w:line="480" w:lineRule="auto"/>
              <w:jc w:val="center"/>
              <w:rPr>
                <w:rFonts w:hint="eastAsia"/>
                <w:szCs w:val="21"/>
              </w:rPr>
            </w:pPr>
            <w:r>
              <w:rPr>
                <w:rFonts w:hint="eastAsia"/>
                <w:szCs w:val="21"/>
              </w:rPr>
              <w:t>第一节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spacing w:before="120" w:after="120" w:line="480" w:lineRule="auto"/>
              <w:jc w:val="center"/>
              <w:rPr>
                <w:rFonts w:hint="eastAsia"/>
                <w:szCs w:val="21"/>
              </w:rPr>
            </w:pPr>
            <w:r>
              <w:rPr>
                <w:rFonts w:hint="eastAsia"/>
                <w:szCs w:val="21"/>
              </w:rPr>
              <w:t>体育游戏</w:t>
            </w:r>
          </w:p>
        </w:tc>
        <w:tc>
          <w:tcPr>
            <w:tcW w:w="2130" w:type="dxa"/>
            <w:vAlign w:val="center"/>
          </w:tcPr>
          <w:p>
            <w:pPr>
              <w:spacing w:before="120" w:after="120" w:line="480" w:lineRule="auto"/>
              <w:jc w:val="center"/>
              <w:rPr>
                <w:rFonts w:hint="eastAsia"/>
                <w:szCs w:val="21"/>
              </w:rPr>
            </w:pPr>
            <w:r>
              <w:rPr>
                <w:rFonts w:hint="eastAsia"/>
                <w:szCs w:val="21"/>
              </w:rPr>
              <w:t>理论+方法</w:t>
            </w:r>
          </w:p>
        </w:tc>
        <w:tc>
          <w:tcPr>
            <w:tcW w:w="2652" w:type="dxa"/>
            <w:vAlign w:val="center"/>
          </w:tcPr>
          <w:p>
            <w:pPr>
              <w:spacing w:before="120" w:after="120" w:line="480" w:lineRule="auto"/>
              <w:jc w:val="center"/>
              <w:rPr>
                <w:rFonts w:hint="eastAsia"/>
                <w:szCs w:val="21"/>
              </w:rPr>
            </w:pPr>
            <w:r>
              <w:rPr>
                <w:rFonts w:hint="eastAsia"/>
                <w:szCs w:val="21"/>
              </w:rPr>
              <w:t>适合安排在操节活动之后</w:t>
            </w:r>
          </w:p>
        </w:tc>
        <w:tc>
          <w:tcPr>
            <w:tcW w:w="1610" w:type="dxa"/>
            <w:vAlign w:val="center"/>
          </w:tcPr>
          <w:p>
            <w:pPr>
              <w:spacing w:before="120" w:after="120" w:line="480" w:lineRule="auto"/>
              <w:jc w:val="center"/>
              <w:rPr>
                <w:rFonts w:hint="eastAsia"/>
                <w:szCs w:val="21"/>
              </w:rPr>
            </w:pPr>
            <w:r>
              <w:rPr>
                <w:rFonts w:hint="eastAsia"/>
                <w:szCs w:val="21"/>
              </w:rPr>
              <w:t>第二节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spacing w:before="120" w:after="120" w:line="480" w:lineRule="auto"/>
              <w:jc w:val="center"/>
              <w:rPr>
                <w:rFonts w:hint="eastAsia"/>
                <w:szCs w:val="21"/>
              </w:rPr>
            </w:pPr>
            <w:r>
              <w:rPr>
                <w:rFonts w:hint="eastAsia"/>
                <w:szCs w:val="21"/>
              </w:rPr>
              <w:t>区域性活动</w:t>
            </w:r>
          </w:p>
        </w:tc>
        <w:tc>
          <w:tcPr>
            <w:tcW w:w="2130" w:type="dxa"/>
            <w:vAlign w:val="center"/>
          </w:tcPr>
          <w:p>
            <w:pPr>
              <w:spacing w:before="120" w:after="120" w:line="480" w:lineRule="auto"/>
              <w:jc w:val="center"/>
              <w:rPr>
                <w:rFonts w:hint="eastAsia"/>
                <w:szCs w:val="21"/>
              </w:rPr>
            </w:pPr>
            <w:r>
              <w:rPr>
                <w:rFonts w:hint="eastAsia"/>
                <w:szCs w:val="21"/>
              </w:rPr>
              <w:t>一物多玩及户外环创</w:t>
            </w:r>
          </w:p>
        </w:tc>
        <w:tc>
          <w:tcPr>
            <w:tcW w:w="2652" w:type="dxa"/>
            <w:vAlign w:val="center"/>
          </w:tcPr>
          <w:p>
            <w:pPr>
              <w:spacing w:before="120" w:after="120" w:line="480" w:lineRule="auto"/>
              <w:jc w:val="center"/>
              <w:rPr>
                <w:rFonts w:hint="eastAsia"/>
                <w:szCs w:val="21"/>
              </w:rPr>
            </w:pPr>
            <w:r>
              <w:rPr>
                <w:rFonts w:hint="eastAsia"/>
                <w:szCs w:val="21"/>
              </w:rPr>
              <w:t>适合安排在体育游戏之后</w:t>
            </w:r>
          </w:p>
        </w:tc>
        <w:tc>
          <w:tcPr>
            <w:tcW w:w="1610" w:type="dxa"/>
            <w:vAlign w:val="center"/>
          </w:tcPr>
          <w:p>
            <w:pPr>
              <w:spacing w:before="120" w:after="120" w:line="480" w:lineRule="auto"/>
              <w:jc w:val="center"/>
              <w:rPr>
                <w:rFonts w:hint="eastAsia"/>
                <w:szCs w:val="21"/>
              </w:rPr>
            </w:pPr>
            <w:r>
              <w:rPr>
                <w:rFonts w:hint="eastAsia"/>
                <w:szCs w:val="21"/>
              </w:rPr>
              <w:t>第三节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restart"/>
            <w:vAlign w:val="center"/>
          </w:tcPr>
          <w:p>
            <w:pPr>
              <w:spacing w:before="120" w:after="120" w:line="480" w:lineRule="auto"/>
              <w:jc w:val="center"/>
              <w:rPr>
                <w:rFonts w:hint="eastAsia"/>
                <w:szCs w:val="21"/>
              </w:rPr>
            </w:pPr>
            <w:r>
              <w:rPr>
                <w:rFonts w:hint="eastAsia"/>
                <w:szCs w:val="21"/>
              </w:rPr>
              <w:t>运动会</w:t>
            </w:r>
          </w:p>
        </w:tc>
        <w:tc>
          <w:tcPr>
            <w:tcW w:w="2130" w:type="dxa"/>
            <w:vAlign w:val="center"/>
          </w:tcPr>
          <w:p>
            <w:pPr>
              <w:spacing w:before="120" w:after="120" w:line="480" w:lineRule="auto"/>
              <w:jc w:val="center"/>
              <w:rPr>
                <w:rFonts w:hint="eastAsia"/>
                <w:szCs w:val="21"/>
              </w:rPr>
            </w:pPr>
            <w:r>
              <w:rPr>
                <w:rFonts w:hint="eastAsia"/>
                <w:szCs w:val="21"/>
              </w:rPr>
              <w:t>制定运动会方案</w:t>
            </w:r>
          </w:p>
        </w:tc>
        <w:tc>
          <w:tcPr>
            <w:tcW w:w="2652" w:type="dxa"/>
            <w:vMerge w:val="restart"/>
            <w:vAlign w:val="center"/>
          </w:tcPr>
          <w:p>
            <w:pPr>
              <w:spacing w:before="120" w:after="120" w:line="480" w:lineRule="auto"/>
              <w:jc w:val="center"/>
              <w:rPr>
                <w:rFonts w:hint="eastAsia"/>
                <w:szCs w:val="21"/>
              </w:rPr>
            </w:pPr>
            <w:r>
              <w:rPr>
                <w:rFonts w:hint="eastAsia"/>
                <w:szCs w:val="21"/>
              </w:rPr>
              <w:t>适合安排在大纲及材料讲解之后</w:t>
            </w:r>
          </w:p>
        </w:tc>
        <w:tc>
          <w:tcPr>
            <w:tcW w:w="1610" w:type="dxa"/>
            <w:vAlign w:val="center"/>
          </w:tcPr>
          <w:p>
            <w:pPr>
              <w:spacing w:before="120" w:after="120" w:line="480" w:lineRule="auto"/>
              <w:jc w:val="center"/>
              <w:rPr>
                <w:rFonts w:hint="eastAsia"/>
                <w:szCs w:val="21"/>
              </w:rPr>
            </w:pPr>
            <w:r>
              <w:rPr>
                <w:rFonts w:hint="eastAsia"/>
                <w:szCs w:val="21"/>
              </w:rPr>
              <w:t>第一节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spacing w:before="120" w:after="120" w:line="480" w:lineRule="auto"/>
              <w:jc w:val="center"/>
              <w:rPr>
                <w:rFonts w:hint="eastAsia"/>
                <w:szCs w:val="21"/>
              </w:rPr>
            </w:pPr>
          </w:p>
        </w:tc>
        <w:tc>
          <w:tcPr>
            <w:tcW w:w="2130" w:type="dxa"/>
            <w:vAlign w:val="center"/>
          </w:tcPr>
          <w:p>
            <w:pPr>
              <w:spacing w:before="120" w:after="120" w:line="480" w:lineRule="auto"/>
              <w:jc w:val="center"/>
              <w:rPr>
                <w:rFonts w:hint="eastAsia"/>
                <w:szCs w:val="21"/>
              </w:rPr>
            </w:pPr>
            <w:r>
              <w:rPr>
                <w:rFonts w:hint="eastAsia"/>
                <w:szCs w:val="21"/>
              </w:rPr>
              <w:t>主持运动会</w:t>
            </w:r>
          </w:p>
        </w:tc>
        <w:tc>
          <w:tcPr>
            <w:tcW w:w="2652" w:type="dxa"/>
            <w:vMerge w:val="continue"/>
            <w:vAlign w:val="center"/>
          </w:tcPr>
          <w:p>
            <w:pPr>
              <w:spacing w:before="120" w:after="120" w:line="480" w:lineRule="auto"/>
              <w:jc w:val="center"/>
              <w:rPr>
                <w:rFonts w:hint="eastAsia"/>
                <w:szCs w:val="21"/>
              </w:rPr>
            </w:pPr>
          </w:p>
        </w:tc>
        <w:tc>
          <w:tcPr>
            <w:tcW w:w="1610" w:type="dxa"/>
            <w:vAlign w:val="center"/>
          </w:tcPr>
          <w:p>
            <w:pPr>
              <w:spacing w:before="120" w:after="120" w:line="480" w:lineRule="auto"/>
              <w:jc w:val="center"/>
              <w:rPr>
                <w:rFonts w:hint="eastAsia"/>
                <w:szCs w:val="21"/>
              </w:rPr>
            </w:pPr>
            <w:r>
              <w:rPr>
                <w:rFonts w:hint="eastAsia"/>
                <w:szCs w:val="21"/>
              </w:rPr>
              <w:t>第二节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spacing w:before="120" w:after="120" w:line="480" w:lineRule="auto"/>
              <w:jc w:val="center"/>
              <w:rPr>
                <w:rFonts w:hint="eastAsia"/>
                <w:szCs w:val="21"/>
              </w:rPr>
            </w:pPr>
            <w:r>
              <w:rPr>
                <w:rFonts w:hint="eastAsia"/>
                <w:szCs w:val="21"/>
              </w:rPr>
              <w:t>其他</w:t>
            </w:r>
          </w:p>
        </w:tc>
        <w:tc>
          <w:tcPr>
            <w:tcW w:w="2130" w:type="dxa"/>
            <w:vAlign w:val="center"/>
          </w:tcPr>
          <w:p>
            <w:pPr>
              <w:spacing w:before="120" w:after="120" w:line="480" w:lineRule="auto"/>
              <w:jc w:val="center"/>
              <w:rPr>
                <w:rFonts w:hint="eastAsia"/>
                <w:szCs w:val="21"/>
              </w:rPr>
            </w:pPr>
            <w:r>
              <w:rPr>
                <w:rFonts w:hint="eastAsia"/>
                <w:szCs w:val="21"/>
              </w:rPr>
              <w:t>片区示范课的评比</w:t>
            </w:r>
          </w:p>
        </w:tc>
        <w:tc>
          <w:tcPr>
            <w:tcW w:w="2652" w:type="dxa"/>
            <w:vAlign w:val="center"/>
          </w:tcPr>
          <w:p>
            <w:pPr>
              <w:spacing w:before="120" w:after="120" w:line="480" w:lineRule="auto"/>
              <w:jc w:val="center"/>
              <w:rPr>
                <w:rFonts w:hint="eastAsia"/>
                <w:szCs w:val="21"/>
              </w:rPr>
            </w:pPr>
          </w:p>
        </w:tc>
        <w:tc>
          <w:tcPr>
            <w:tcW w:w="1610" w:type="dxa"/>
            <w:vAlign w:val="center"/>
          </w:tcPr>
          <w:p>
            <w:pPr>
              <w:spacing w:before="120" w:after="120" w:line="480" w:lineRule="auto"/>
              <w:jc w:val="center"/>
              <w:rPr>
                <w:rFonts w:hint="eastAsia"/>
                <w:szCs w:val="21"/>
              </w:rPr>
            </w:pPr>
            <w:r>
              <w:rPr>
                <w:rFonts w:hint="eastAsia"/>
                <w:szCs w:val="21"/>
              </w:rPr>
              <w:t>第一节</w:t>
            </w:r>
          </w:p>
        </w:tc>
      </w:tr>
    </w:tbl>
    <w:p>
      <w:pPr>
        <w:pageBreakBefore w:val="0"/>
        <w:tabs>
          <w:tab w:val="left" w:pos="657"/>
        </w:tabs>
        <w:kinsoku/>
        <w:wordWrap/>
        <w:overflowPunct/>
        <w:topLinePunct w:val="0"/>
        <w:autoSpaceDE/>
        <w:autoSpaceDN/>
        <w:bidi w:val="0"/>
        <w:adjustRightInd/>
        <w:snapToGrid/>
        <w:spacing w:line="360" w:lineRule="auto"/>
        <w:jc w:val="left"/>
        <w:rPr>
          <w:rFonts w:hint="eastAsia" w:ascii="Times New Roman" w:hAnsi="Times New Roman" w:eastAsia="宋体" w:cs="Times New Roman"/>
          <w:kern w:val="2"/>
          <w:sz w:val="21"/>
          <w:szCs w:val="21"/>
          <w:lang w:val="en-US" w:eastAsia="zh-CN" w:bidi="ar-SA"/>
        </w:rPr>
      </w:pPr>
    </w:p>
    <w:sectPr>
      <w:headerReference r:id="rId3" w:type="default"/>
      <w:footerReference r:id="rId4" w:type="default"/>
      <w:pgSz w:w="11906" w:h="16838"/>
      <w:pgMar w:top="1247" w:right="1287" w:bottom="1440" w:left="1259" w:header="851" w:footer="992" w:gutter="0"/>
      <w:pgBorders>
        <w:top w:val="none" w:sz="0" w:space="0"/>
        <w:left w:val="none" w:sz="0" w:space="0"/>
        <w:bottom w:val="none" w:sz="0" w:space="0"/>
        <w:right w:val="none" w:sz="0" w:space="0"/>
      </w:pgBorders>
      <w:pgNumType w:fmt="decimal" w:start="1" w:chapStyle="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8"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8</w:t>
                          </w:r>
                          <w:r>
                            <w:rPr>
                              <w:rFonts w:hint="eastAsia"/>
                              <w:lang w:eastAsia="zh-CN"/>
                            </w:rPr>
                            <w:t xml:space="preserve"> 页</w:t>
                          </w:r>
                        </w:p>
                      </w:txbxContent>
                    </wps:txbx>
                    <wps:bodyPr vert="horz" wrap="none" lIns="0" tIns="0" rIns="0" bIns="0" anchor="t" upright="0">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BAJGs64AQAAUAMAAA4AAAAAAAAAAQAgAAAAHwEAAGRycy9lMm9Eb2MueG1sUEsFBgAAAAAGAAYA&#10;WQEAAEkFAAAAAA==&#10;">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8</w:t>
                    </w:r>
                    <w:r>
                      <w:rPr>
                        <w:rFonts w:hint="eastAsia"/>
                        <w:lang w:eastAsia="zh-CN"/>
                      </w:rPr>
                      <w:t xml:space="preserve"> 页</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9F6A68"/>
    <w:multiLevelType w:val="singleLevel"/>
    <w:tmpl w:val="879F6A68"/>
    <w:lvl w:ilvl="0" w:tentative="0">
      <w:start w:val="2"/>
      <w:numFmt w:val="decimal"/>
      <w:suff w:val="space"/>
      <w:lvlText w:val="%1."/>
      <w:lvlJc w:val="left"/>
    </w:lvl>
  </w:abstractNum>
  <w:abstractNum w:abstractNumId="1">
    <w:nsid w:val="00000000"/>
    <w:multiLevelType w:val="singleLevel"/>
    <w:tmpl w:val="00000000"/>
    <w:lvl w:ilvl="0" w:tentative="0">
      <w:start w:val="3"/>
      <w:numFmt w:val="chineseCounting"/>
      <w:suff w:val="nothing"/>
      <w:lvlText w:val="（%1）"/>
      <w:lvlJc w:val="left"/>
      <w:rPr>
        <w:rFonts w:hint="eastAsia"/>
      </w:rPr>
    </w:lvl>
  </w:abstractNum>
  <w:abstractNum w:abstractNumId="2">
    <w:nsid w:val="00000001"/>
    <w:multiLevelType w:val="singleLevel"/>
    <w:tmpl w:val="00000001"/>
    <w:lvl w:ilvl="0" w:tentative="0">
      <w:start w:val="1"/>
      <w:numFmt w:val="chineseCounting"/>
      <w:suff w:val="nothing"/>
      <w:lvlText w:val="%1、"/>
      <w:lvlJc w:val="left"/>
      <w:rPr>
        <w:rFonts w:hint="eastAsia"/>
      </w:rPr>
    </w:lvl>
  </w:abstractNum>
  <w:abstractNum w:abstractNumId="3">
    <w:nsid w:val="013D3FC4"/>
    <w:multiLevelType w:val="multilevel"/>
    <w:tmpl w:val="013D3FC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1C40C4E"/>
    <w:multiLevelType w:val="multilevel"/>
    <w:tmpl w:val="21C40C4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EB71951"/>
    <w:multiLevelType w:val="multilevel"/>
    <w:tmpl w:val="4EB7195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3102F96"/>
    <w:multiLevelType w:val="multilevel"/>
    <w:tmpl w:val="63102F9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F6561D"/>
    <w:rsid w:val="04420F9A"/>
    <w:rsid w:val="04572400"/>
    <w:rsid w:val="09AE7F12"/>
    <w:rsid w:val="0B844FC9"/>
    <w:rsid w:val="0CA25113"/>
    <w:rsid w:val="0EF60B51"/>
    <w:rsid w:val="0F21474D"/>
    <w:rsid w:val="0FEF42BD"/>
    <w:rsid w:val="19FD681E"/>
    <w:rsid w:val="23CA6B69"/>
    <w:rsid w:val="2F403F70"/>
    <w:rsid w:val="2F5C2B65"/>
    <w:rsid w:val="3A831C08"/>
    <w:rsid w:val="478655DA"/>
    <w:rsid w:val="4A7F70FE"/>
    <w:rsid w:val="4BFF4926"/>
    <w:rsid w:val="507D66AC"/>
    <w:rsid w:val="554946EE"/>
    <w:rsid w:val="5A6651E6"/>
    <w:rsid w:val="5A8019B8"/>
    <w:rsid w:val="5ABE0E2D"/>
    <w:rsid w:val="5ACD1DAF"/>
    <w:rsid w:val="5CB458EC"/>
    <w:rsid w:val="613E1013"/>
    <w:rsid w:val="63C1019B"/>
    <w:rsid w:val="671C1F63"/>
    <w:rsid w:val="6C3D6EAF"/>
    <w:rsid w:val="6F045A47"/>
    <w:rsid w:val="6FBF43EA"/>
    <w:rsid w:val="75D23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1"/>
    <w:qFormat/>
    <w:uiPriority w:val="9"/>
    <w:pPr>
      <w:spacing w:line="300" w:lineRule="auto"/>
      <w:ind w:firstLine="640" w:firstLineChars="200"/>
      <w:outlineLvl w:val="0"/>
    </w:pPr>
    <w:rPr>
      <w:rFonts w:hint="eastAsia" w:ascii="宋体" w:hAnsi="宋体"/>
      <w:b/>
      <w:kern w:val="44"/>
      <w:sz w:val="24"/>
      <w:szCs w:val="48"/>
    </w:rPr>
  </w:style>
  <w:style w:type="paragraph" w:styleId="3">
    <w:name w:val="heading 2"/>
    <w:basedOn w:val="1"/>
    <w:next w:val="1"/>
    <w:link w:val="27"/>
    <w:qFormat/>
    <w:uiPriority w:val="9"/>
    <w:pPr>
      <w:keepNext/>
      <w:keepLines/>
      <w:spacing w:line="300" w:lineRule="auto"/>
      <w:ind w:firstLine="640" w:firstLineChars="200"/>
      <w:outlineLvl w:val="1"/>
    </w:pPr>
    <w:rPr>
      <w:rFonts w:ascii="Arial" w:hAnsi="Arial"/>
      <w:b/>
      <w:sz w:val="21"/>
    </w:rPr>
  </w:style>
  <w:style w:type="paragraph" w:styleId="4">
    <w:name w:val="heading 3"/>
    <w:basedOn w:val="1"/>
    <w:next w:val="1"/>
    <w:qFormat/>
    <w:uiPriority w:val="9"/>
    <w:pPr>
      <w:spacing w:before="100" w:beforeAutospacing="1" w:after="100" w:afterAutospacing="1"/>
      <w:jc w:val="left"/>
      <w:outlineLvl w:val="2"/>
    </w:pPr>
    <w:rPr>
      <w:rFonts w:hint="eastAsia" w:ascii="宋体" w:hAnsi="宋体"/>
      <w:b/>
      <w:kern w:val="0"/>
      <w:sz w:val="27"/>
      <w:szCs w:val="27"/>
    </w:rPr>
  </w:style>
  <w:style w:type="character" w:default="1" w:styleId="12">
    <w:name w:val="Default Paragraph Font"/>
    <w:qFormat/>
    <w:uiPriority w:val="1"/>
  </w:style>
  <w:style w:type="table" w:default="1" w:styleId="17">
    <w:name w:val="Normal Table"/>
    <w:qFormat/>
    <w:uiPriority w:val="99"/>
    <w:tblPr>
      <w:tblLayout w:type="fixed"/>
      <w:tblCellMar>
        <w:top w:w="0" w:type="dxa"/>
        <w:left w:w="108" w:type="dxa"/>
        <w:bottom w:w="0" w:type="dxa"/>
        <w:right w:w="108" w:type="dxa"/>
      </w:tblCellMar>
    </w:tblPr>
  </w:style>
  <w:style w:type="paragraph" w:styleId="5">
    <w:name w:val="Plain Text"/>
    <w:basedOn w:val="1"/>
    <w:link w:val="21"/>
    <w:qFormat/>
    <w:uiPriority w:val="0"/>
    <w:pPr>
      <w:suppressAutoHyphens/>
    </w:pPr>
    <w:rPr>
      <w:rFonts w:ascii="宋体" w:hAnsi="Courier New" w:cs="Courier New"/>
      <w:kern w:val="1"/>
      <w:szCs w:val="21"/>
      <w:lang w:eastAsia="ar-SA"/>
    </w:rPr>
  </w:style>
  <w:style w:type="paragraph" w:styleId="6">
    <w:name w:val="Balloon Text"/>
    <w:basedOn w:val="1"/>
    <w:link w:val="28"/>
    <w:qFormat/>
    <w:uiPriority w:val="99"/>
    <w:rPr>
      <w:sz w:val="18"/>
      <w:szCs w:val="18"/>
    </w:rPr>
  </w:style>
  <w:style w:type="paragraph" w:styleId="7">
    <w:name w:val="footer"/>
    <w:basedOn w:val="1"/>
    <w:link w:val="32"/>
    <w:qFormat/>
    <w:uiPriority w:val="99"/>
    <w:pPr>
      <w:tabs>
        <w:tab w:val="center" w:pos="4153"/>
        <w:tab w:val="right" w:pos="8306"/>
      </w:tabs>
      <w:snapToGrid w:val="0"/>
      <w:jc w:val="left"/>
    </w:pPr>
    <w:rPr>
      <w:sz w:val="18"/>
      <w:szCs w:val="18"/>
    </w:rPr>
  </w:style>
  <w:style w:type="paragraph" w:styleId="8">
    <w:name w:val="header"/>
    <w:basedOn w:val="1"/>
    <w:link w:val="30"/>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style>
  <w:style w:type="paragraph" w:styleId="10">
    <w:name w:val="toc 2"/>
    <w:basedOn w:val="1"/>
    <w:next w:val="1"/>
    <w:qFormat/>
    <w:uiPriority w:val="39"/>
    <w:pPr>
      <w:ind w:left="420" w:leftChars="200"/>
    </w:pPr>
  </w:style>
  <w:style w:type="paragraph" w:styleId="11">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3">
    <w:name w:val="Strong"/>
    <w:basedOn w:val="12"/>
    <w:qFormat/>
    <w:uiPriority w:val="22"/>
    <w:rPr>
      <w:b/>
    </w:rPr>
  </w:style>
  <w:style w:type="character" w:styleId="14">
    <w:name w:val="page number"/>
    <w:basedOn w:val="12"/>
    <w:qFormat/>
    <w:uiPriority w:val="99"/>
  </w:style>
  <w:style w:type="character" w:styleId="15">
    <w:name w:val="FollowedHyperlink"/>
    <w:basedOn w:val="12"/>
    <w:qFormat/>
    <w:uiPriority w:val="99"/>
    <w:rPr>
      <w:color w:val="0066CC"/>
      <w:u w:val="single"/>
    </w:rPr>
  </w:style>
  <w:style w:type="character" w:styleId="16">
    <w:name w:val="Hyperlink"/>
    <w:basedOn w:val="12"/>
    <w:qFormat/>
    <w:uiPriority w:val="99"/>
    <w:rPr>
      <w:color w:val="0066CC"/>
      <w:u w:val="single"/>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9">
    <w:name w:val="font81"/>
    <w:basedOn w:val="12"/>
    <w:qFormat/>
    <w:uiPriority w:val="0"/>
    <w:rPr>
      <w:rFonts w:hint="eastAsia" w:ascii="微软雅黑" w:hAnsi="微软雅黑" w:eastAsia="微软雅黑" w:cs="微软雅黑"/>
      <w:b/>
      <w:color w:val="FF0000"/>
      <w:sz w:val="24"/>
      <w:szCs w:val="24"/>
      <w:u w:val="none"/>
    </w:rPr>
  </w:style>
  <w:style w:type="character" w:customStyle="1" w:styleId="20">
    <w:name w:val="纯文本 Char1"/>
    <w:basedOn w:val="12"/>
    <w:qFormat/>
    <w:uiPriority w:val="99"/>
    <w:rPr>
      <w:rFonts w:ascii="宋体" w:hAnsi="Courier New" w:eastAsia="宋体" w:cs="Courier New"/>
      <w:szCs w:val="21"/>
    </w:rPr>
  </w:style>
  <w:style w:type="character" w:customStyle="1" w:styleId="21">
    <w:name w:val="纯文本 Char"/>
    <w:basedOn w:val="12"/>
    <w:link w:val="5"/>
    <w:qFormat/>
    <w:uiPriority w:val="99"/>
    <w:rPr>
      <w:rFonts w:ascii="宋体" w:hAnsi="Courier New" w:cs="Courier New"/>
      <w:kern w:val="1"/>
      <w:szCs w:val="21"/>
      <w:lang w:eastAsia="ar-SA"/>
    </w:rPr>
  </w:style>
  <w:style w:type="character" w:customStyle="1" w:styleId="22">
    <w:name w:val="rec-time"/>
    <w:basedOn w:val="12"/>
    <w:qFormat/>
    <w:uiPriority w:val="0"/>
  </w:style>
  <w:style w:type="character" w:customStyle="1" w:styleId="23">
    <w:name w:val="font31"/>
    <w:basedOn w:val="12"/>
    <w:qFormat/>
    <w:uiPriority w:val="0"/>
    <w:rPr>
      <w:rFonts w:hint="eastAsia" w:ascii="宋体" w:hAnsi="宋体" w:eastAsia="宋体" w:cs="宋体"/>
      <w:b/>
      <w:color w:val="000000"/>
      <w:sz w:val="24"/>
      <w:szCs w:val="24"/>
      <w:u w:val="none"/>
    </w:rPr>
  </w:style>
  <w:style w:type="character" w:customStyle="1" w:styleId="24">
    <w:name w:val="font11"/>
    <w:basedOn w:val="12"/>
    <w:qFormat/>
    <w:uiPriority w:val="0"/>
    <w:rPr>
      <w:rFonts w:hint="eastAsia" w:ascii="微软雅黑" w:hAnsi="微软雅黑" w:eastAsia="微软雅黑" w:cs="微软雅黑"/>
      <w:b/>
      <w:color w:val="000000"/>
      <w:sz w:val="24"/>
      <w:szCs w:val="24"/>
      <w:u w:val="none"/>
    </w:rPr>
  </w:style>
  <w:style w:type="character" w:customStyle="1" w:styleId="25">
    <w:name w:val="font41"/>
    <w:basedOn w:val="12"/>
    <w:qFormat/>
    <w:uiPriority w:val="0"/>
    <w:rPr>
      <w:rFonts w:hint="eastAsia" w:ascii="微软雅黑" w:hAnsi="微软雅黑" w:eastAsia="微软雅黑" w:cs="微软雅黑"/>
      <w:b/>
      <w:color w:val="000000"/>
      <w:sz w:val="16"/>
      <w:szCs w:val="16"/>
      <w:u w:val="none"/>
    </w:rPr>
  </w:style>
  <w:style w:type="character" w:customStyle="1" w:styleId="26">
    <w:name w:val="rec-status-desc"/>
    <w:basedOn w:val="12"/>
    <w:qFormat/>
    <w:uiPriority w:val="0"/>
  </w:style>
  <w:style w:type="character" w:customStyle="1" w:styleId="27">
    <w:name w:val="标题 2 Char"/>
    <w:link w:val="3"/>
    <w:qFormat/>
    <w:uiPriority w:val="0"/>
    <w:rPr>
      <w:rFonts w:ascii="Arial" w:hAnsi="Arial" w:eastAsia="宋体"/>
      <w:b/>
      <w:sz w:val="21"/>
    </w:rPr>
  </w:style>
  <w:style w:type="character" w:customStyle="1" w:styleId="28">
    <w:name w:val="批注框文本 Char"/>
    <w:basedOn w:val="12"/>
    <w:link w:val="6"/>
    <w:qFormat/>
    <w:uiPriority w:val="99"/>
    <w:rPr>
      <w:rFonts w:ascii="Times New Roman" w:hAnsi="Times New Roman" w:eastAsia="宋体" w:cs="Times New Roman"/>
      <w:sz w:val="18"/>
      <w:szCs w:val="18"/>
    </w:rPr>
  </w:style>
  <w:style w:type="character" w:customStyle="1" w:styleId="29">
    <w:name w:val="rec-volume"/>
    <w:basedOn w:val="12"/>
    <w:qFormat/>
    <w:uiPriority w:val="0"/>
  </w:style>
  <w:style w:type="character" w:customStyle="1" w:styleId="30">
    <w:name w:val="页眉 Char"/>
    <w:basedOn w:val="12"/>
    <w:link w:val="8"/>
    <w:qFormat/>
    <w:uiPriority w:val="99"/>
    <w:rPr>
      <w:sz w:val="18"/>
      <w:szCs w:val="18"/>
    </w:rPr>
  </w:style>
  <w:style w:type="character" w:customStyle="1" w:styleId="31">
    <w:name w:val="标题 1 Char"/>
    <w:link w:val="2"/>
    <w:qFormat/>
    <w:uiPriority w:val="9"/>
    <w:rPr>
      <w:rFonts w:hint="eastAsia" w:ascii="宋体" w:hAnsi="宋体" w:eastAsia="宋体" w:cs="宋体"/>
      <w:b/>
      <w:kern w:val="44"/>
      <w:sz w:val="24"/>
      <w:szCs w:val="48"/>
    </w:rPr>
  </w:style>
  <w:style w:type="character" w:customStyle="1" w:styleId="32">
    <w:name w:val="页脚 Char"/>
    <w:basedOn w:val="12"/>
    <w:link w:val="7"/>
    <w:qFormat/>
    <w:uiPriority w:val="99"/>
    <w:rPr>
      <w:sz w:val="18"/>
      <w:szCs w:val="18"/>
    </w:rPr>
  </w:style>
  <w:style w:type="character" w:customStyle="1" w:styleId="33">
    <w:name w:val="font51"/>
    <w:basedOn w:val="12"/>
    <w:qFormat/>
    <w:uiPriority w:val="0"/>
    <w:rPr>
      <w:rFonts w:hint="eastAsia" w:ascii="宋体" w:hAnsi="宋体" w:eastAsia="宋体" w:cs="宋体"/>
      <w:b/>
      <w:color w:val="FF0000"/>
      <w:sz w:val="24"/>
      <w:szCs w:val="24"/>
      <w:u w:val="none"/>
    </w:rPr>
  </w:style>
  <w:style w:type="paragraph" w:customStyle="1" w:styleId="34">
    <w:name w:val="列出段落1"/>
    <w:basedOn w:val="1"/>
    <w:qFormat/>
    <w:uiPriority w:val="34"/>
    <w:pPr>
      <w:widowControl/>
      <w:ind w:firstLine="420" w:firstLineChars="200"/>
      <w:jc w:val="left"/>
    </w:pPr>
    <w:rPr>
      <w:rFonts w:ascii="宋体" w:hAnsi="宋体" w:cs="宋体"/>
      <w:kern w:val="0"/>
      <w:sz w:val="24"/>
    </w:rPr>
  </w:style>
  <w:style w:type="paragraph" w:customStyle="1" w:styleId="35">
    <w:name w:val="列出段落11"/>
    <w:basedOn w:val="1"/>
    <w:qFormat/>
    <w:uiPriority w:val="34"/>
    <w:pPr>
      <w:ind w:firstLine="420" w:firstLineChars="200"/>
    </w:pPr>
  </w:style>
  <w:style w:type="paragraph" w:customStyle="1" w:styleId="36">
    <w:name w:val="List Paragraph_626cabb7-d5d4-41d1-83d9-dc320794f658"/>
    <w:basedOn w:val="1"/>
    <w:qFormat/>
    <w:uiPriority w:val="99"/>
    <w:pPr>
      <w:ind w:firstLine="420" w:firstLineChars="200"/>
    </w:pPr>
  </w:style>
  <w:style w:type="paragraph" w:customStyle="1" w:styleId="37">
    <w:name w:val="Char1"/>
    <w:basedOn w:val="1"/>
    <w:qFormat/>
    <w:uiPriority w:val="0"/>
    <w:pPr>
      <w:widowControl/>
      <w:spacing w:after="160" w:line="240" w:lineRule="exact"/>
      <w:jc w:val="left"/>
    </w:pPr>
  </w:style>
  <w:style w:type="paragraph" w:customStyle="1" w:styleId="38">
    <w:name w:val="Table Paragraph"/>
    <w:basedOn w:val="1"/>
    <w:qFormat/>
    <w:uiPriority w:val="1"/>
    <w:pPr>
      <w:ind w:left="105"/>
    </w:pPr>
    <w:rPr>
      <w:rFonts w:ascii="仿宋" w:hAnsi="仿宋" w:eastAsia="仿宋" w:cs="仿宋"/>
      <w:lang w:val="zh-CN" w:eastAsia="zh-CN" w:bidi="zh-CN"/>
    </w:rPr>
  </w:style>
  <w:style w:type="paragraph" w:customStyle="1" w:styleId="39">
    <w:name w:val="WPSOffice手动目录 1"/>
    <w:qFormat/>
    <w:uiPriority w:val="0"/>
    <w:pPr>
      <w:ind w:leftChars="0"/>
    </w:pPr>
    <w:rPr>
      <w:rFonts w:ascii="Times New Roman" w:hAnsi="Times New Roman" w:eastAsia="宋体" w:cs="Times New Roman"/>
      <w:sz w:val="20"/>
      <w:szCs w:val="20"/>
    </w:rPr>
  </w:style>
  <w:style w:type="paragraph" w:customStyle="1" w:styleId="40">
    <w:name w:val="WPSOffice手动目录 2"/>
    <w:qFormat/>
    <w:uiPriority w:val="0"/>
    <w:pPr>
      <w:ind w:leftChars="200"/>
    </w:pPr>
    <w:rPr>
      <w:rFonts w:ascii="Times New Roman" w:hAnsi="Times New Roman" w:eastAsia="宋体" w:cs="Times New Roman"/>
      <w:sz w:val="20"/>
      <w:szCs w:val="20"/>
    </w:rPr>
  </w:style>
  <w:style w:type="paragraph" w:customStyle="1" w:styleId="41">
    <w:name w:val="Body text|22"/>
    <w:basedOn w:val="1"/>
    <w:qFormat/>
    <w:uiPriority w:val="0"/>
    <w:pPr>
      <w:widowControl w:val="0"/>
      <w:shd w:val="clear" w:color="auto" w:fill="FFFFFF"/>
      <w:spacing w:after="600" w:line="190" w:lineRule="exact"/>
      <w:jc w:val="both"/>
    </w:pPr>
    <w:rPr>
      <w:rFonts w:ascii="PMingLiU" w:hAnsi="PMingLiU" w:eastAsia="PMingLiU" w:cs="PMingLiU"/>
      <w:sz w:val="19"/>
      <w:szCs w:val="19"/>
      <w:u w:val="none"/>
    </w:rPr>
  </w:style>
  <w:style w:type="paragraph" w:customStyle="1" w:styleId="42">
    <w:name w:val="Heading #3|1"/>
    <w:basedOn w:val="1"/>
    <w:qFormat/>
    <w:uiPriority w:val="0"/>
    <w:pPr>
      <w:widowControl w:val="0"/>
      <w:shd w:val="clear" w:color="auto" w:fill="FFFFFF"/>
      <w:spacing w:before="360" w:after="360" w:line="260" w:lineRule="exact"/>
      <w:ind w:hanging="120"/>
      <w:jc w:val="distribute"/>
      <w:outlineLvl w:val="2"/>
    </w:pPr>
    <w:rPr>
      <w:rFonts w:ascii="PMingLiU" w:hAnsi="PMingLiU" w:eastAsia="PMingLiU" w:cs="PMingLiU"/>
      <w:spacing w:val="20"/>
      <w:sz w:val="26"/>
      <w:szCs w:val="26"/>
      <w:u w:val="none"/>
    </w:rPr>
  </w:style>
  <w:style w:type="paragraph" w:styleId="43">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4827</Words>
  <Characters>4915</Characters>
  <Paragraphs>282</Paragraphs>
  <TotalTime>3</TotalTime>
  <ScaleCrop>false</ScaleCrop>
  <LinksUpToDate>false</LinksUpToDate>
  <CharactersWithSpaces>4990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2018-04-21T06:47:00Z</dcterms:created>
  <dc:creator>微软用户</dc:creator>
  <cp:lastModifiedBy>Administrator</cp:lastModifiedBy>
  <cp:lastPrinted>2019-07-17T08:54:34Z</cp:lastPrinted>
  <dcterms:modified xsi:type="dcterms:W3CDTF">2019-07-17T08:55:04Z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KSORubyTemplateID" linkTarget="0">
    <vt:lpwstr>6</vt:lpwstr>
  </property>
</Properties>
</file>