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72"/>
          <w:szCs w:val="7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72"/>
          <w:szCs w:val="7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鄂尔多斯市零星煤炭边角资源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</w:rPr>
        <w:t>区块简介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鄂尔多斯市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自然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资源局</w:t>
      </w: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日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pacing w:val="-4"/>
          <w:sz w:val="36"/>
          <w:szCs w:val="36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/>
          <w:bCs/>
          <w:spacing w:val="-4"/>
          <w:sz w:val="36"/>
          <w:szCs w:val="36"/>
        </w:rPr>
      </w:pPr>
    </w:p>
    <w:p>
      <w:pPr>
        <w:spacing w:line="600" w:lineRule="auto"/>
        <w:ind w:left="-479" w:leftChars="-428" w:right="-874" w:rightChars="-416" w:hanging="420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内蒙古自治区准格尔煤田哈尔乌素露天煤矿与</w:t>
      </w:r>
    </w:p>
    <w:p>
      <w:pPr>
        <w:spacing w:line="600" w:lineRule="auto"/>
        <w:ind w:left="-479" w:leftChars="-428" w:right="-874" w:rightChars="-416" w:hanging="420"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黑岱沟露天煤矿之间空白边角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区块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简介</w:t>
      </w:r>
    </w:p>
    <w:p>
      <w:pPr>
        <w:spacing w:line="560" w:lineRule="exact"/>
        <w:rPr>
          <w:rFonts w:hint="eastAsia" w:ascii="方正小标宋简体"/>
          <w:sz w:val="44"/>
          <w:szCs w:val="44"/>
        </w:rPr>
      </w:pPr>
      <w:r>
        <w:rPr>
          <w:rFonts w:ascii="方正小标宋简体"/>
          <w:sz w:val="44"/>
          <w:szCs w:val="44"/>
        </w:rPr>
        <w:t xml:space="preserve"> 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一、位置与交通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核实区位于内蒙古自治区鄂尔多斯市准格尔旗薛家湾镇（258°方位）直线距离约18km，行政区划隶属于内蒙古自治区鄂尔多斯市准格尔旗薛家湾镇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宋体" w:hAnsi="宋体"/>
          <w:sz w:val="28"/>
          <w:szCs w:val="28"/>
          <w:lang w:eastAsia="zh-CN"/>
        </w:rPr>
      </w:pPr>
    </w:p>
    <w:p>
      <w:pPr>
        <w:widowControl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 边角区块范围及资源量估算范围拐点坐标表</w:t>
      </w:r>
    </w:p>
    <w:tbl>
      <w:tblPr>
        <w:tblStyle w:val="10"/>
        <w:tblW w:w="99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1233"/>
        <w:gridCol w:w="1125"/>
        <w:gridCol w:w="1005"/>
        <w:gridCol w:w="1113"/>
        <w:gridCol w:w="1326"/>
        <w:gridCol w:w="1153"/>
        <w:gridCol w:w="1162"/>
        <w:gridCol w:w="11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拐点编号</w:t>
            </w:r>
          </w:p>
        </w:tc>
        <w:tc>
          <w:tcPr>
            <w:tcW w:w="44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1980年西安坐标</w:t>
            </w:r>
          </w:p>
        </w:tc>
        <w:tc>
          <w:tcPr>
            <w:tcW w:w="481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2000国家大地坐标系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地理坐标</w:t>
            </w:r>
          </w:p>
        </w:tc>
        <w:tc>
          <w:tcPr>
            <w:tcW w:w="21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直角坐标(3°)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地理坐标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直角坐标(3°)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经 度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纬 度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X（m）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Y(m)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经 度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纬 度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X（m）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Y(m)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111°19′14″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39°43′18″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4398663.17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37527489.11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111°19′19″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39°43′15″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4398669.39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37527604.36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111°18′42″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39°43′13″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4398523.17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37526724.10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111°18′47″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39°43′11″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4398529.39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37526839.35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111°15′24″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39°43′54″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4399783.18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37521999.05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111°15′29″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39°43′52″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4399789.41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37522114.28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111°14′28″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39°44′16″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4400453.18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37520679.03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111°14′33″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39°44′14″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4400459.41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37520794.26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111°13′54″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39°44′41″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4401223.19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37519859.02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111°13′59″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39°44′39″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4401229.42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37519974.24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111°13′52″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39°44′47″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4401393.19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37519799.02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111°13′56″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39°44′45″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4401399.42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37519914.24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111°13′37″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39°44′57″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4401693.19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37519439.02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111°13′41″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39°44′54″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4401699.42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37519554.24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111°13′32″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39°44′57″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4401713.19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37519339.02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111°13′37″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39°44′55″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4401719.42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37519454.24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111°12′53″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39°45′20″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4402426.98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37518407.13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111°12′58″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39°45′18″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4402433.20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37518522.35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111°12′53″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39°45′20″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4402424.95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37518400.51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111°12′58″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39°45′18″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4402431.18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37518515.73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111°13′29″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39°44′59″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4401765.09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37519260.02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111°13′34″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39°44′57″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4401771.32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37519375.24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111°13′32″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39°44′57″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4401706.09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37519338.02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111°13′37″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39°44′55″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4401712.32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37519453.24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111°13′36″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39°44′56″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4401686.09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37519438.02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111°13′41″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39°44′54″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4401692.32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37519553.24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14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111°13′52″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39°44′47″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4401386.09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37519798.02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111°13′56″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39°44′44″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4401392.32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37519913.24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15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111°13′54″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39°44′41″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4401216.09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37519858.02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111°13′59″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39°44′39″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4401222.32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37519973.24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16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111°14′28″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39°44′16″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4400446.08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37520678.03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111°14′33″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39°44′14″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4400452.31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37520793.26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17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111°15′24″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39°43′54″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4399776.07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37521998.05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111°15′29″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39°43′52″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4399782.30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37522113.28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18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111°18′42″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39°43′13″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4398516.07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37526723.10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111°18′47″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39°43′11″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4398522.29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37526838.35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19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111°19′14″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39°43′17″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4398656.07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37527488.11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111°19′19″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39°43′15″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4398662.29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37527603.36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20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111°19′28″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39°43′20″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4398726.97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37527806.81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111°19′32″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39°43′17″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4398733.20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37527922.06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21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111°19′28″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39°43′20″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4398734.11</w:t>
            </w:r>
          </w:p>
        </w:tc>
        <w:tc>
          <w:tcPr>
            <w:tcW w:w="11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37527806.88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111°19′32″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39°43′18″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4398740.32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20"/>
                <w:sz w:val="18"/>
                <w:szCs w:val="18"/>
              </w:rPr>
              <w:t>37527922.13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9923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批准标高1200～900m，估算标高1070～920m，面积0.07km</w:t>
            </w:r>
            <w:r>
              <w:rPr>
                <w:rFonts w:hint="eastAsia" w:ascii="宋体" w:hAnsi="宋体" w:cs="宋体"/>
                <w:sz w:val="18"/>
                <w:szCs w:val="18"/>
                <w:vertAlign w:val="superscript"/>
              </w:rPr>
              <w:t>2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9"/>
        <w:adjustRightInd w:val="0"/>
        <w:snapToGrid w:val="0"/>
        <w:spacing w:after="0"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adjustRightInd w:val="0"/>
        <w:snapToGrid w:val="0"/>
        <w:spacing w:after="0"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核实区位于鄂尔多斯市准格尔旗薛家湾镇西南约18km，</w:t>
      </w:r>
      <w:r>
        <w:rPr>
          <w:rFonts w:hint="eastAsia" w:ascii="仿宋" w:hAnsi="仿宋" w:eastAsia="仿宋" w:cs="仿宋"/>
          <w:snapToGrid w:val="0"/>
          <w:sz w:val="32"/>
          <w:szCs w:val="32"/>
        </w:rPr>
        <w:t>省道S103从核实区西南边界外约3km处通过，沿S103向北直线距离约22km可达最近火车站（薛家湾火车站）；核实区西侧有哈尔乌素铁路专用线、东侧约15km 处的唐公塔集装站与准东铁路、大准铁路相连通，</w:t>
      </w:r>
      <w:r>
        <w:rPr>
          <w:rFonts w:hint="eastAsia" w:ascii="仿宋" w:hAnsi="仿宋" w:eastAsia="仿宋" w:cs="仿宋"/>
          <w:sz w:val="32"/>
          <w:szCs w:val="32"/>
        </w:rPr>
        <w:t>交通较便利。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二、周边矿权设置情况</w:t>
      </w:r>
    </w:p>
    <w:p>
      <w:pPr>
        <w:spacing w:line="240" w:lineRule="auto"/>
        <w:rPr>
          <w:rFonts w:hint="eastAsia" w:ascii="仿宋_GB2312" w:hAnsi="Calibri" w:eastAsia="仿宋_GB2312"/>
          <w:b/>
          <w:bCs/>
          <w:sz w:val="32"/>
          <w:szCs w:val="32"/>
        </w:rPr>
      </w:pPr>
      <w:r>
        <w:rPr>
          <w:rFonts w:hint="eastAsia" w:ascii="仿宋_GB2312" w:hAnsi="Calibri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24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-1831340</wp:posOffset>
            </wp:positionV>
            <wp:extent cx="6671945" cy="6535420"/>
            <wp:effectExtent l="0" t="0" r="3175" b="2540"/>
            <wp:wrapTopAndBottom/>
            <wp:docPr id="2" name="图片 3" descr="周边煤矿位置关系图 Mod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周边煤矿位置关系图 Model (1)"/>
                    <pic:cNvPicPr>
                      <a:picLocks noChangeAspect="1"/>
                    </pic:cNvPicPr>
                  </pic:nvPicPr>
                  <pic:blipFill>
                    <a:blip r:embed="rId5"/>
                    <a:srcRect t="4240" b="4593"/>
                    <a:stretch>
                      <a:fillRect/>
                    </a:stretch>
                  </pic:blipFill>
                  <pic:spPr>
                    <a:xfrm>
                      <a:off x="0" y="0"/>
                      <a:ext cx="6671945" cy="653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三、以往地质工作概况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1983年6月，内蒙古自治区煤田地质勘探公司151勘探队提交了《内蒙古自治区准格尔旗煤田黑岱沟露天精查补充勘探地质报告》，1983年8月26日，内蒙古煤炭工业部地质局以“（83）煤地地字第271号”文件批准该报告。全区获得储量为202583万吨，其中A级储量29823万吨，B级储量92833万吨，C级储量62221万吨。该报告既是本次核实报告的编制依据，也是资源储量变化的对比依据。本次核实占用该报告资源储量196万吨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1985年12月，内蒙古自治区煤田地质勘探公司153勘探队提交了《内蒙古自治区伊克昭盟准格尔煤田哈尔乌素露天勘探报告》，全国矿产储量委员会于1987年1月以全储决字（1987）128号文批准该报告。该报告提交储量153419万吨，其中A级储量16897万吨，B级储量69482万吨，C级储量67040万吨。该报告既是本次核实报告的编制依据，也是资源储量变化的对比依据。本次核实占用该报告资源储量47万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2006年4月，内蒙古煤炭建设工程(集团)总公司提交了《内蒙古自治区准格尔煤田哈尔乌素露天煤矿煤炭资源储量核实报告》，该报告由原国土资源部矿产储量评审中心以“国土资矿储字［2006］82号”文评审通过，原国土资源部于2006年8月17日以“国土资储备字［2006］293号”文件备案。本次核实未占用该报告资源储量，仅利用该报告部分钻孔资料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四、煤层及煤质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（一）煤层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山西组和太原组上岩段含煤地层中，自上而下发育有编号的煤层7层，依次为3、5、6上、6、8、9和10号煤层，其中可采煤层4层（5、6上、6、9号煤层），不可采煤层3层（3、8、10号煤层）。</w:t>
      </w:r>
    </w:p>
    <w:p>
      <w:pPr>
        <w:spacing w:after="0" w:line="580" w:lineRule="exact"/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一、可采煤层</w:t>
      </w:r>
    </w:p>
    <w:p>
      <w:pPr>
        <w:widowControl w:val="0"/>
        <w:spacing w:after="0" w:line="580" w:lineRule="exact"/>
        <w:ind w:firstLine="560" w:firstLineChars="20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 5号煤层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赋存于山西组下部，是核实区的次要可采煤层，区内大部发育；可采面积39714m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，面积可采率58%，点可采率79%。</w:t>
      </w:r>
    </w:p>
    <w:p>
      <w:pPr>
        <w:widowControl w:val="0"/>
        <w:spacing w:after="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 6上煤层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赋存于太原组上部，全区大部发育；可采面积33517m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，面积可采率49%，点可采率69%。</w:t>
      </w:r>
    </w:p>
    <w:p>
      <w:pPr>
        <w:widowControl w:val="0"/>
        <w:spacing w:after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 6号煤层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全区赋存，是核实区的主要可采煤层，可采面积68344m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，面积可采率100%，点可采率98%。</w:t>
      </w:r>
    </w:p>
    <w:p>
      <w:pPr>
        <w:widowControl w:val="0"/>
        <w:spacing w:after="0"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4. 9号煤层</w:t>
      </w:r>
    </w:p>
    <w:p>
      <w:pPr>
        <w:widowControl w:val="0"/>
        <w:spacing w:after="0"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赋存在核实区的东部区域，可采面积27868m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，面积可采率40%，点可采率44%。</w:t>
      </w:r>
    </w:p>
    <w:p>
      <w:pPr>
        <w:widowControl w:val="0"/>
        <w:spacing w:after="0" w:line="580" w:lineRule="exact"/>
        <w:ind w:firstLine="643" w:firstLineChars="200"/>
        <w:jc w:val="both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二、不可采煤层</w:t>
      </w:r>
    </w:p>
    <w:p>
      <w:pPr>
        <w:widowControl w:val="0"/>
        <w:adjustRightInd w:val="0"/>
        <w:snapToGrid w:val="0"/>
        <w:spacing w:after="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 3号煤层</w:t>
      </w:r>
    </w:p>
    <w:p>
      <w:pPr>
        <w:widowControl w:val="0"/>
        <w:adjustRightInd w:val="0"/>
        <w:snapToGrid w:val="0"/>
        <w:spacing w:after="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利用钻孔中有6个钻孔见该煤层，煤层自然厚度0.20～0.45m，平均0.30m，埋藏深度23.46～165.37m，平均77.08m；利用钻孔中没有可采点。 </w:t>
      </w:r>
    </w:p>
    <w:p>
      <w:pPr>
        <w:widowControl w:val="0"/>
        <w:adjustRightInd w:val="0"/>
        <w:snapToGrid w:val="0"/>
        <w:spacing w:after="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 8号煤层</w:t>
      </w:r>
    </w:p>
    <w:p>
      <w:pPr>
        <w:widowControl w:val="0"/>
        <w:adjustRightInd w:val="0"/>
        <w:snapToGrid w:val="0"/>
        <w:spacing w:after="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利用钻孔中有38个钻孔见该煤层，煤层自然厚度0.20～3.03m，平均0.64m，埋藏深度55.83～241.60m，平均149.81m，利用钻孔仅HS124号钻孔可采，可采厚度1.10m。 </w:t>
      </w:r>
    </w:p>
    <w:p>
      <w:pPr>
        <w:widowControl w:val="0"/>
        <w:adjustRightInd w:val="0"/>
        <w:snapToGrid w:val="0"/>
        <w:spacing w:after="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3. 10号煤层</w:t>
      </w:r>
    </w:p>
    <w:p>
      <w:pPr>
        <w:widowControl w:val="0"/>
        <w:adjustRightInd w:val="0"/>
        <w:snapToGrid w:val="0"/>
        <w:spacing w:after="0"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利用钻孔中有12个钻孔见该煤层，煤层自然厚度0.15～0.56m，平均0.32m，埋藏深度81.77～203.70m，无可采点。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（二）煤质</w:t>
      </w:r>
    </w:p>
    <w:p>
      <w:pPr>
        <w:widowControl w:val="0"/>
        <w:tabs>
          <w:tab w:val="left" w:pos="2160"/>
          <w:tab w:val="left" w:pos="5040"/>
        </w:tabs>
        <w:adjustRightInd w:val="0"/>
        <w:snapToGrid w:val="0"/>
        <w:spacing w:after="0" w:line="580" w:lineRule="exact"/>
        <w:ind w:firstLine="640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各煤层为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低灰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～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高灰煤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、高挥发分、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特低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～中硫、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低磷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中低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～中高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 w:bidi="ar-SA"/>
        </w:rPr>
        <w:t>发热量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的长焰煤，是良好的动力用煤。</w:t>
      </w:r>
    </w:p>
    <w:p>
      <w:pPr>
        <w:numPr>
          <w:ilvl w:val="0"/>
          <w:numId w:val="1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资源储量</w:t>
      </w:r>
    </w:p>
    <w:p>
      <w:pPr>
        <w:spacing w:after="0" w:line="58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截止2019年3月31日，核实区共估算资源量255万吨；其中保有资源量156万吨，消耗资源量99万吨。保有资源量中探明的内蕴经济资源量（331）24万吨，控制的内蕴经济资源量（332）82万吨，推断的内蕴经济资源量（333）50万吨；消耗资源量中探明的内蕴经济资源量（331）76万吨，控制的内蕴经济资源量（332）12万吨，推断的内蕴经济资源量（333）11万吨。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六、工作程度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经过对以往地质资料的综合分析，确定核实区的勘查程度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达到了露天勘探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七、有关说明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after="0" w:line="580" w:lineRule="exact"/>
        <w:ind w:lef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核实区东部有以往地方煤矿开采形成的采空区，未来开采过程中要注意采空区积水及</w:t>
      </w:r>
      <w:r>
        <w:rPr>
          <w:rFonts w:hint="eastAsia" w:ascii="仿宋" w:hAnsi="仿宋" w:eastAsia="仿宋" w:cs="仿宋"/>
          <w:sz w:val="32"/>
          <w:szCs w:val="32"/>
        </w:rPr>
        <w:t>未来露天剥离过程中机械设备掉入。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after="0" w:line="580" w:lineRule="exact"/>
        <w:ind w:lef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核实区距黄河较近，黄河水又是奥陶系灰岩水的主要补给来源，黄河水位的抬高，直接影响奥陶系灰岩水的水位。建议煤矿在未来生产过程中加强奥灰水水位观测，防止发生透水事故。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after="0" w:line="580" w:lineRule="exact"/>
        <w:ind w:lef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本区煤层有自燃倾向，未来采出的煤不宜长期堆积，防止煤层自燃。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after="0" w:line="580" w:lineRule="exact"/>
        <w:ind w:lef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本区2008年3月11至2019年3月31日消耗的 69万吨资源储量为哈尔乌素露天煤矿未有矿权之前开采，建议这69万吨消耗储量在挂牌出让时计入资源总量。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after="0" w:line="580" w:lineRule="exact"/>
        <w:ind w:lef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核实区开采方式为露天开采，煤层埋藏较浅，核实区东南部存在煤层露头，不利于煤层气赋存，虽然核实区没有进行过煤层气工作，但对核实区开采影响不大。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77354C"/>
    <w:multiLevelType w:val="singleLevel"/>
    <w:tmpl w:val="A977354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D35506B"/>
    <w:multiLevelType w:val="multilevel"/>
    <w:tmpl w:val="3D35506B"/>
    <w:lvl w:ilvl="0" w:tentative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7B56"/>
    <w:rsid w:val="013C7C76"/>
    <w:rsid w:val="023C676E"/>
    <w:rsid w:val="02667697"/>
    <w:rsid w:val="02D72A69"/>
    <w:rsid w:val="02DB171D"/>
    <w:rsid w:val="039E46E0"/>
    <w:rsid w:val="042D44DF"/>
    <w:rsid w:val="08F478EB"/>
    <w:rsid w:val="0B273422"/>
    <w:rsid w:val="0B64353D"/>
    <w:rsid w:val="0B9C5057"/>
    <w:rsid w:val="0BB422B4"/>
    <w:rsid w:val="0BB6034C"/>
    <w:rsid w:val="0C5A314D"/>
    <w:rsid w:val="0D0036CC"/>
    <w:rsid w:val="0D4F4AE4"/>
    <w:rsid w:val="0F4D3BEA"/>
    <w:rsid w:val="102F2774"/>
    <w:rsid w:val="11423498"/>
    <w:rsid w:val="117D795F"/>
    <w:rsid w:val="123D358A"/>
    <w:rsid w:val="12F7043E"/>
    <w:rsid w:val="133C4B9D"/>
    <w:rsid w:val="13C24671"/>
    <w:rsid w:val="13D9631E"/>
    <w:rsid w:val="13E43162"/>
    <w:rsid w:val="148655B2"/>
    <w:rsid w:val="178C41E9"/>
    <w:rsid w:val="181035D6"/>
    <w:rsid w:val="18A94856"/>
    <w:rsid w:val="18E90341"/>
    <w:rsid w:val="19AD5F64"/>
    <w:rsid w:val="1AB37347"/>
    <w:rsid w:val="1BA14B3D"/>
    <w:rsid w:val="1D287A46"/>
    <w:rsid w:val="1E1D488E"/>
    <w:rsid w:val="1EA17FEF"/>
    <w:rsid w:val="1F0B7C5F"/>
    <w:rsid w:val="20725BB9"/>
    <w:rsid w:val="21195EBE"/>
    <w:rsid w:val="217F4785"/>
    <w:rsid w:val="21B20779"/>
    <w:rsid w:val="21C153EF"/>
    <w:rsid w:val="21DD10E4"/>
    <w:rsid w:val="2203036C"/>
    <w:rsid w:val="220F5004"/>
    <w:rsid w:val="229069FB"/>
    <w:rsid w:val="22FE6784"/>
    <w:rsid w:val="235F04A8"/>
    <w:rsid w:val="23E0381B"/>
    <w:rsid w:val="25101CFD"/>
    <w:rsid w:val="256B1DD4"/>
    <w:rsid w:val="257A0E81"/>
    <w:rsid w:val="2685140A"/>
    <w:rsid w:val="27E0603C"/>
    <w:rsid w:val="282B05B6"/>
    <w:rsid w:val="292D5D40"/>
    <w:rsid w:val="29784FDA"/>
    <w:rsid w:val="2A080217"/>
    <w:rsid w:val="2A187CFC"/>
    <w:rsid w:val="2B7042EA"/>
    <w:rsid w:val="2C6400D7"/>
    <w:rsid w:val="2C7F127F"/>
    <w:rsid w:val="2D5662CE"/>
    <w:rsid w:val="2D6A6F46"/>
    <w:rsid w:val="2E6B0B16"/>
    <w:rsid w:val="2E9A74D2"/>
    <w:rsid w:val="2EA000B3"/>
    <w:rsid w:val="327656E4"/>
    <w:rsid w:val="32A47ED4"/>
    <w:rsid w:val="33190B04"/>
    <w:rsid w:val="334D0D6F"/>
    <w:rsid w:val="349815C0"/>
    <w:rsid w:val="34D04ED3"/>
    <w:rsid w:val="352677CE"/>
    <w:rsid w:val="357B5362"/>
    <w:rsid w:val="373E2080"/>
    <w:rsid w:val="37525E16"/>
    <w:rsid w:val="37DF28BC"/>
    <w:rsid w:val="38AF7A18"/>
    <w:rsid w:val="38C315E2"/>
    <w:rsid w:val="393B3B75"/>
    <w:rsid w:val="39845DCA"/>
    <w:rsid w:val="39997EAF"/>
    <w:rsid w:val="3AE269D2"/>
    <w:rsid w:val="3D997369"/>
    <w:rsid w:val="3F8D0E93"/>
    <w:rsid w:val="40FC00AB"/>
    <w:rsid w:val="434D6B64"/>
    <w:rsid w:val="43CE2982"/>
    <w:rsid w:val="44FD4D47"/>
    <w:rsid w:val="4550029D"/>
    <w:rsid w:val="47DB3BC7"/>
    <w:rsid w:val="48782DE6"/>
    <w:rsid w:val="491F0552"/>
    <w:rsid w:val="498E3C96"/>
    <w:rsid w:val="49E220BA"/>
    <w:rsid w:val="49F50D43"/>
    <w:rsid w:val="4A744E4A"/>
    <w:rsid w:val="4A930FA8"/>
    <w:rsid w:val="4B171C26"/>
    <w:rsid w:val="4B4961C4"/>
    <w:rsid w:val="4C326CC0"/>
    <w:rsid w:val="4C6578D9"/>
    <w:rsid w:val="4D324344"/>
    <w:rsid w:val="4E1C66C1"/>
    <w:rsid w:val="4E662498"/>
    <w:rsid w:val="4E697EE7"/>
    <w:rsid w:val="4ECF50FF"/>
    <w:rsid w:val="4F026CD9"/>
    <w:rsid w:val="4F453268"/>
    <w:rsid w:val="50E73679"/>
    <w:rsid w:val="520D2301"/>
    <w:rsid w:val="52A97F1A"/>
    <w:rsid w:val="52AD3AEF"/>
    <w:rsid w:val="53A14FBB"/>
    <w:rsid w:val="556F3028"/>
    <w:rsid w:val="556F4081"/>
    <w:rsid w:val="55AD7840"/>
    <w:rsid w:val="578D7549"/>
    <w:rsid w:val="58EF1098"/>
    <w:rsid w:val="598D64D6"/>
    <w:rsid w:val="59A82935"/>
    <w:rsid w:val="5A065CBB"/>
    <w:rsid w:val="5A165A30"/>
    <w:rsid w:val="5AB05FC5"/>
    <w:rsid w:val="5B8B0FFA"/>
    <w:rsid w:val="5C706CA8"/>
    <w:rsid w:val="5F554308"/>
    <w:rsid w:val="602B3270"/>
    <w:rsid w:val="6085016E"/>
    <w:rsid w:val="61AB05FC"/>
    <w:rsid w:val="627B5B7B"/>
    <w:rsid w:val="62CB3222"/>
    <w:rsid w:val="62DB1246"/>
    <w:rsid w:val="637A0E5A"/>
    <w:rsid w:val="642A1D24"/>
    <w:rsid w:val="6492318E"/>
    <w:rsid w:val="651632BE"/>
    <w:rsid w:val="654F7C9D"/>
    <w:rsid w:val="660A22C4"/>
    <w:rsid w:val="680567C6"/>
    <w:rsid w:val="68110E50"/>
    <w:rsid w:val="684A3B6F"/>
    <w:rsid w:val="6AF81E00"/>
    <w:rsid w:val="6D4D6655"/>
    <w:rsid w:val="6D535020"/>
    <w:rsid w:val="6E4F63E1"/>
    <w:rsid w:val="6E9F5BAD"/>
    <w:rsid w:val="6F5C0488"/>
    <w:rsid w:val="711D44D9"/>
    <w:rsid w:val="71390C2C"/>
    <w:rsid w:val="71D31CD7"/>
    <w:rsid w:val="71DC23AF"/>
    <w:rsid w:val="731761FC"/>
    <w:rsid w:val="75E3536D"/>
    <w:rsid w:val="7669414B"/>
    <w:rsid w:val="767F38CC"/>
    <w:rsid w:val="76D55B10"/>
    <w:rsid w:val="77771368"/>
    <w:rsid w:val="77D71180"/>
    <w:rsid w:val="79AB26C3"/>
    <w:rsid w:val="7A377EE9"/>
    <w:rsid w:val="7A624CD7"/>
    <w:rsid w:val="7AB22990"/>
    <w:rsid w:val="7B79366F"/>
    <w:rsid w:val="7BED5C32"/>
    <w:rsid w:val="7D2B7052"/>
    <w:rsid w:val="7E0B65A5"/>
    <w:rsid w:val="7EC74B6C"/>
    <w:rsid w:val="7EF058F2"/>
    <w:rsid w:val="7F491B9E"/>
    <w:rsid w:val="7F7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eastAsia="幼圆"/>
      <w:b/>
      <w:spacing w:val="20"/>
      <w:sz w:val="28"/>
      <w:szCs w:val="2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tabs>
        <w:tab w:val="left" w:pos="630"/>
      </w:tabs>
      <w:autoSpaceDE w:val="0"/>
      <w:autoSpaceDN w:val="0"/>
      <w:adjustRightInd w:val="0"/>
      <w:snapToGrid w:val="0"/>
      <w:spacing w:line="240" w:lineRule="atLeast"/>
      <w:jc w:val="center"/>
    </w:pPr>
    <w:rPr>
      <w:rFonts w:ascii="Times New Roman" w:hAnsi="Times New Roman" w:eastAsia="微软简仿宋"/>
      <w:kern w:val="0"/>
      <w:sz w:val="18"/>
    </w:rPr>
  </w:style>
  <w:style w:type="paragraph" w:styleId="5">
    <w:name w:val="Plain Text"/>
    <w:basedOn w:val="1"/>
    <w:qFormat/>
    <w:uiPriority w:val="0"/>
    <w:rPr>
      <w:rFonts w:hint="eastAsia" w:ascii="宋体" w:hAnsi="Courier New"/>
    </w:rPr>
  </w:style>
  <w:style w:type="paragraph" w:styleId="6">
    <w:name w:val="Body Text Indent 2"/>
    <w:basedOn w:val="1"/>
    <w:qFormat/>
    <w:uiPriority w:val="99"/>
    <w:pPr>
      <w:ind w:firstLine="600"/>
    </w:pPr>
    <w:rPr>
      <w:rFonts w:ascii="仿宋_GB2312" w:hAnsi="Times New Roman" w:eastAsia="仿宋_GB2312"/>
      <w:sz w:val="32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4"/>
    </w:rPr>
  </w:style>
  <w:style w:type="paragraph" w:styleId="8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4"/>
    <w:qFormat/>
    <w:uiPriority w:val="99"/>
    <w:pPr>
      <w:autoSpaceDE/>
      <w:autoSpaceDN/>
      <w:adjustRightInd/>
      <w:snapToGrid/>
      <w:spacing w:after="120" w:line="240" w:lineRule="auto"/>
      <w:ind w:firstLine="420" w:firstLineChars="100"/>
      <w:jc w:val="both"/>
    </w:p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样式 宋体 小四 行距: 1.5 倍行距1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Cs w:val="20"/>
    </w:rPr>
  </w:style>
  <w:style w:type="paragraph" w:customStyle="1" w:styleId="15">
    <w:name w:val="於"/>
    <w:basedOn w:val="1"/>
    <w:qFormat/>
    <w:uiPriority w:val="0"/>
    <w:rPr>
      <w:rFonts w:eastAsia="宋体"/>
    </w:rPr>
  </w:style>
  <w:style w:type="paragraph" w:customStyle="1" w:styleId="16">
    <w:name w:val="p17"/>
    <w:basedOn w:val="1"/>
    <w:qFormat/>
    <w:uiPriority w:val="0"/>
    <w:pPr>
      <w:widowControl/>
      <w:spacing w:line="500" w:lineRule="atLeast"/>
      <w:ind w:firstLine="420"/>
    </w:pPr>
    <w:rPr>
      <w:rFonts w:hint="default" w:ascii="仿宋_GB2312" w:hAnsi="宋体" w:eastAsia="仿宋_GB2312" w:cs="宋体"/>
      <w:kern w:val="0"/>
      <w:szCs w:val="21"/>
    </w:rPr>
  </w:style>
  <w:style w:type="paragraph" w:customStyle="1" w:styleId="1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8">
    <w:name w:val="正文a"/>
    <w:basedOn w:val="1"/>
    <w:qFormat/>
    <w:uiPriority w:val="0"/>
    <w:pPr>
      <w:spacing w:line="320" w:lineRule="exact"/>
      <w:ind w:firstLine="420" w:firstLineChars="200"/>
    </w:pPr>
    <w:rPr>
      <w:rFonts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2018-10-10T01:04:00Z</dcterms:created>
  <dc:creator>huang</dc:creator>
  <cp:lastModifiedBy>huang</cp:lastModifiedBy>
  <dcterms:modified xsi:type="dcterms:W3CDTF">2020-01-20T01:40:11Z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