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spacing w:before="120" w:after="120" w:line="319" w:lineRule="auto"/>
        <w:jc w:val="right"/>
        <w:rPr>
          <w:rFonts w:eastAsia="楷体"/>
          <w:b/>
          <w:bCs/>
          <w:kern w:val="2"/>
          <w:lang w:eastAsia="zh-CN"/>
        </w:rPr>
      </w:pPr>
      <w:bookmarkStart w:id="0" w:name="ptFiId_708358492343246848_2328056"/>
      <w:bookmarkEnd w:id="0"/>
      <w:r>
        <w:rPr>
          <w:rFonts w:eastAsia="楷体"/>
          <w:b/>
          <w:bCs/>
          <w:kern w:val="2"/>
          <w:lang w:eastAsia="zh-CN"/>
        </w:rPr>
        <w:t>合同编号：_________________</w:t>
      </w:r>
    </w:p>
    <w:p>
      <w:pPr>
        <w:adjustRightInd/>
        <w:spacing w:before="120" w:after="120" w:line="319" w:lineRule="auto"/>
        <w:jc w:val="both"/>
        <w:rPr>
          <w:rFonts w:eastAsia="楷体"/>
          <w:b/>
          <w:bCs/>
          <w:kern w:val="2"/>
          <w:sz w:val="21"/>
          <w:szCs w:val="20"/>
          <w:lang w:eastAsia="zh-CN"/>
        </w:rPr>
      </w:pPr>
    </w:p>
    <w:p>
      <w:pPr>
        <w:adjustRightInd/>
        <w:spacing w:before="120" w:after="120" w:line="319" w:lineRule="auto"/>
        <w:jc w:val="both"/>
        <w:rPr>
          <w:rFonts w:eastAsia="楷体"/>
          <w:b/>
          <w:bCs/>
          <w:kern w:val="2"/>
          <w:sz w:val="21"/>
          <w:szCs w:val="20"/>
          <w:lang w:eastAsia="zh-CN"/>
        </w:rPr>
      </w:pPr>
    </w:p>
    <w:p>
      <w:pPr>
        <w:spacing w:line="360" w:lineRule="auto"/>
        <w:jc w:val="center"/>
        <w:rPr>
          <w:rFonts w:eastAsia="楷体"/>
          <w:b/>
          <w:bCs/>
          <w:kern w:val="2"/>
          <w:sz w:val="44"/>
          <w:szCs w:val="44"/>
          <w:lang w:eastAsia="zh-CN"/>
        </w:rPr>
      </w:pPr>
      <w:r>
        <w:rPr>
          <w:rFonts w:hint="eastAsia" w:eastAsia="楷体"/>
          <w:b/>
          <w:bCs/>
          <w:kern w:val="2"/>
          <w:sz w:val="44"/>
          <w:szCs w:val="44"/>
          <w:shd w:val="clear" w:color="060000" w:fill="D9D9D9"/>
          <w:lang w:val="en-US" w:eastAsia="zh-CN"/>
        </w:rPr>
        <w:t>中国石油天然气股份有限公司内蒙古鄂尔多斯市销售分公司零售供油合同</w:t>
      </w:r>
      <w:r>
        <w:rPr>
          <w:rFonts w:eastAsia="楷体"/>
          <w:b/>
          <w:bCs/>
          <w:kern w:val="2"/>
          <w:sz w:val="44"/>
          <w:szCs w:val="44"/>
          <w:lang w:eastAsia="zh-CN"/>
        </w:rPr>
        <w:cr/>
      </w:r>
    </w:p>
    <w:p>
      <w:pPr>
        <w:adjustRightInd/>
        <w:spacing w:before="120" w:after="120" w:line="319" w:lineRule="auto"/>
        <w:jc w:val="center"/>
        <w:rPr>
          <w:rFonts w:eastAsia="楷体"/>
          <w:b/>
          <w:bCs/>
          <w:kern w:val="2"/>
          <w:sz w:val="44"/>
          <w:szCs w:val="44"/>
          <w:lang w:eastAsia="zh-CN"/>
        </w:rPr>
      </w:pPr>
    </w:p>
    <w:p>
      <w:pPr>
        <w:pStyle w:val="36"/>
        <w:widowControl w:val="0"/>
        <w:pBdr>
          <w:top w:val="none" w:color="auto" w:sz="0" w:space="0"/>
        </w:pBdr>
        <w:spacing w:line="319" w:lineRule="auto"/>
        <w:jc w:val="center"/>
        <w:rPr>
          <w:rFonts w:ascii="Times New Roman" w:hAnsi="Times New Roman" w:eastAsia="楷体"/>
          <w:szCs w:val="44"/>
          <w:lang w:eastAsia="zh-CN"/>
        </w:rPr>
      </w:pPr>
    </w:p>
    <w:p>
      <w:pPr>
        <w:adjustRightInd/>
        <w:spacing w:before="120" w:after="120" w:line="319" w:lineRule="auto"/>
        <w:jc w:val="center"/>
        <w:rPr>
          <w:rFonts w:eastAsia="楷体"/>
          <w:b/>
          <w:bCs/>
          <w:kern w:val="2"/>
          <w:sz w:val="32"/>
          <w:szCs w:val="32"/>
          <w:lang w:eastAsia="zh-CN"/>
        </w:rPr>
      </w:pPr>
    </w:p>
    <w:p>
      <w:pPr>
        <w:adjustRightInd/>
        <w:spacing w:before="120" w:after="120" w:line="319" w:lineRule="auto"/>
        <w:jc w:val="center"/>
        <w:rPr>
          <w:rFonts w:eastAsia="楷体"/>
          <w:b/>
          <w:bCs/>
          <w:kern w:val="2"/>
          <w:sz w:val="32"/>
          <w:szCs w:val="32"/>
          <w:lang w:eastAsia="zh-CN"/>
        </w:rPr>
      </w:pPr>
    </w:p>
    <w:p>
      <w:pPr>
        <w:adjustRightInd/>
        <w:spacing w:before="120" w:after="120" w:line="319" w:lineRule="auto"/>
        <w:jc w:val="center"/>
        <w:rPr>
          <w:rFonts w:eastAsia="楷体"/>
          <w:b/>
          <w:bCs/>
          <w:kern w:val="2"/>
          <w:sz w:val="32"/>
          <w:szCs w:val="32"/>
          <w:lang w:eastAsia="zh-CN"/>
        </w:rPr>
      </w:pPr>
    </w:p>
    <w:p>
      <w:pPr>
        <w:adjustRightInd/>
        <w:spacing w:before="120" w:after="120" w:line="319" w:lineRule="auto"/>
        <w:jc w:val="center"/>
        <w:rPr>
          <w:rFonts w:eastAsia="楷体"/>
          <w:b/>
          <w:bCs/>
          <w:kern w:val="2"/>
          <w:sz w:val="32"/>
          <w:szCs w:val="32"/>
          <w:lang w:eastAsia="zh-CN"/>
        </w:rPr>
      </w:pPr>
      <w:r>
        <w:rPr>
          <w:rFonts w:eastAsia="楷体"/>
          <w:b/>
          <w:bCs/>
          <w:kern w:val="2"/>
          <w:sz w:val="32"/>
          <w:szCs w:val="32"/>
          <w:lang w:eastAsia="zh-CN"/>
        </w:rPr>
        <w:t>【</w:t>
      </w:r>
      <w:r>
        <w:rPr>
          <w:rFonts w:hint="eastAsia" w:ascii="楷体" w:hAnsi="楷体" w:eastAsia="楷体" w:cs="楷体"/>
          <w:b/>
          <w:bCs/>
          <w:color w:val="auto"/>
          <w:sz w:val="36"/>
          <w:szCs w:val="36"/>
          <w:highlight w:val="none"/>
          <w:u w:val="none"/>
        </w:rPr>
        <w:t>中国石油天然气股份有限公司内蒙古鄂尔多斯市销售分公司</w:t>
      </w:r>
      <w:r>
        <w:rPr>
          <w:rFonts w:eastAsia="楷体"/>
          <w:b/>
          <w:bCs/>
          <w:kern w:val="2"/>
          <w:sz w:val="32"/>
          <w:szCs w:val="32"/>
          <w:lang w:eastAsia="zh-CN"/>
        </w:rPr>
        <w:t>】</w:t>
      </w:r>
    </w:p>
    <w:p>
      <w:pPr>
        <w:adjustRightInd/>
        <w:spacing w:before="120" w:after="120" w:line="319" w:lineRule="auto"/>
        <w:jc w:val="center"/>
        <w:rPr>
          <w:rFonts w:eastAsia="楷体"/>
          <w:b/>
          <w:bCs/>
          <w:kern w:val="2"/>
          <w:sz w:val="32"/>
          <w:szCs w:val="32"/>
          <w:lang w:eastAsia="zh-CN"/>
        </w:rPr>
      </w:pPr>
      <w:r>
        <w:rPr>
          <w:rFonts w:eastAsia="楷体"/>
          <w:b/>
          <w:bCs/>
          <w:kern w:val="2"/>
          <w:sz w:val="32"/>
          <w:szCs w:val="32"/>
          <w:lang w:eastAsia="zh-CN"/>
        </w:rPr>
        <w:t>与</w:t>
      </w:r>
    </w:p>
    <w:p>
      <w:pPr>
        <w:adjustRightInd/>
        <w:spacing w:before="120" w:after="120" w:line="319" w:lineRule="auto"/>
        <w:jc w:val="center"/>
        <w:rPr>
          <w:rFonts w:eastAsia="楷体"/>
          <w:b/>
          <w:bCs/>
          <w:kern w:val="2"/>
          <w:sz w:val="32"/>
          <w:szCs w:val="32"/>
          <w:lang w:eastAsia="zh-CN"/>
        </w:rPr>
      </w:pPr>
      <w:r>
        <w:rPr>
          <w:rFonts w:eastAsia="楷体"/>
          <w:b/>
          <w:bCs/>
          <w:kern w:val="2"/>
          <w:sz w:val="32"/>
          <w:szCs w:val="32"/>
          <w:lang w:eastAsia="zh-CN"/>
        </w:rPr>
        <w:t>【</w:t>
      </w:r>
      <w:r>
        <w:rPr>
          <w:rFonts w:hint="eastAsia" w:ascii="楷体" w:hAnsi="楷体" w:eastAsia="楷体" w:cs="楷体"/>
          <w:b/>
          <w:bCs/>
          <w:color w:val="auto"/>
          <w:sz w:val="36"/>
          <w:szCs w:val="36"/>
          <w:highlight w:val="none"/>
          <w:u w:val="none"/>
          <w:lang w:val="en-US" w:eastAsia="zh-CN"/>
        </w:rPr>
        <w:t xml:space="preserve"> 准格尔旗审计局 </w:t>
      </w:r>
      <w:r>
        <w:rPr>
          <w:rFonts w:eastAsia="楷体"/>
          <w:b/>
          <w:bCs/>
          <w:kern w:val="2"/>
          <w:sz w:val="32"/>
          <w:szCs w:val="32"/>
          <w:lang w:eastAsia="zh-CN"/>
        </w:rPr>
        <w:t>】</w:t>
      </w:r>
    </w:p>
    <w:p>
      <w:pPr>
        <w:adjustRightInd/>
        <w:spacing w:before="120" w:after="120" w:line="319" w:lineRule="auto"/>
        <w:jc w:val="center"/>
        <w:rPr>
          <w:rFonts w:eastAsia="楷体"/>
          <w:b/>
          <w:bCs/>
          <w:kern w:val="2"/>
          <w:sz w:val="21"/>
          <w:szCs w:val="20"/>
          <w:lang w:eastAsia="zh-CN"/>
        </w:rPr>
      </w:pPr>
    </w:p>
    <w:p>
      <w:pPr>
        <w:adjustRightInd/>
        <w:spacing w:before="120" w:after="120" w:line="319" w:lineRule="auto"/>
        <w:jc w:val="center"/>
        <w:rPr>
          <w:rFonts w:eastAsia="楷体"/>
          <w:b/>
          <w:bCs/>
          <w:kern w:val="2"/>
          <w:sz w:val="21"/>
          <w:szCs w:val="20"/>
          <w:lang w:eastAsia="zh-CN"/>
        </w:rPr>
      </w:pPr>
    </w:p>
    <w:p>
      <w:pPr>
        <w:adjustRightInd/>
        <w:spacing w:before="120" w:after="120" w:line="319" w:lineRule="auto"/>
        <w:jc w:val="center"/>
        <w:rPr>
          <w:rFonts w:eastAsia="楷体"/>
          <w:b/>
          <w:bCs/>
          <w:kern w:val="2"/>
          <w:sz w:val="21"/>
          <w:szCs w:val="20"/>
          <w:lang w:eastAsia="zh-CN"/>
        </w:rPr>
      </w:pPr>
    </w:p>
    <w:p>
      <w:pPr>
        <w:adjustRightInd/>
        <w:spacing w:before="120" w:after="120" w:line="319" w:lineRule="auto"/>
        <w:jc w:val="center"/>
        <w:rPr>
          <w:rFonts w:eastAsia="楷体"/>
          <w:b/>
          <w:bCs/>
          <w:kern w:val="2"/>
          <w:sz w:val="32"/>
          <w:szCs w:val="32"/>
          <w:lang w:eastAsia="zh-CN"/>
        </w:rPr>
      </w:pPr>
    </w:p>
    <w:p>
      <w:pPr>
        <w:adjustRightInd/>
        <w:spacing w:before="120" w:after="120" w:line="319" w:lineRule="auto"/>
        <w:jc w:val="center"/>
        <w:rPr>
          <w:rFonts w:eastAsia="楷体"/>
          <w:color w:val="000000"/>
          <w:sz w:val="28"/>
          <w:lang w:eastAsia="zh-CN"/>
        </w:rPr>
      </w:pPr>
      <w:r>
        <w:rPr>
          <w:rFonts w:eastAsia="楷体"/>
          <w:color w:val="000000"/>
          <w:sz w:val="28"/>
          <w:lang w:eastAsia="zh-CN"/>
        </w:rPr>
        <w:br w:type="page"/>
      </w:r>
      <w:bookmarkStart w:id="1" w:name="_DV_M3"/>
      <w:bookmarkEnd w:id="1"/>
      <w:bookmarkStart w:id="2" w:name="_DV_M2"/>
      <w:bookmarkEnd w:id="2"/>
      <w:bookmarkStart w:id="3" w:name="_DV_M1"/>
      <w:bookmarkEnd w:id="3"/>
      <w:bookmarkStart w:id="4" w:name="_DV_M4"/>
      <w:bookmarkEnd w:id="4"/>
    </w:p>
    <w:p>
      <w:pPr>
        <w:adjustRightInd/>
        <w:spacing w:before="120" w:after="120" w:line="319" w:lineRule="auto"/>
        <w:jc w:val="center"/>
        <w:rPr>
          <w:rFonts w:eastAsia="楷体"/>
          <w:b/>
          <w:color w:val="000000"/>
          <w:sz w:val="28"/>
          <w:szCs w:val="28"/>
        </w:rPr>
      </w:pPr>
      <w:r>
        <w:rPr>
          <w:rFonts w:eastAsia="楷体"/>
          <w:b/>
          <w:color w:val="000000"/>
          <w:sz w:val="28"/>
          <w:szCs w:val="28"/>
        </w:rPr>
        <w:t>目  录</w:t>
      </w:r>
    </w:p>
    <w:p>
      <w:pPr>
        <w:pStyle w:val="11"/>
        <w:tabs>
          <w:tab w:val="right" w:leader="dot" w:pos="9070"/>
          <w:tab w:val="clear" w:pos="8296"/>
        </w:tabs>
        <w:spacing w:line="319" w:lineRule="auto"/>
        <w:rPr>
          <w:rFonts w:eastAsia="楷体"/>
          <w:kern w:val="2"/>
          <w:lang w:eastAsia="zh-CN"/>
        </w:rPr>
      </w:pPr>
      <w:r>
        <w:rPr>
          <w:rFonts w:eastAsia="楷体"/>
          <w:color w:val="000000"/>
          <w:lang w:eastAsia="zh-CN"/>
        </w:rPr>
        <w:fldChar w:fldCharType="begin"/>
      </w:r>
      <w:r>
        <w:rPr>
          <w:rFonts w:eastAsia="楷体"/>
          <w:color w:val="000000"/>
          <w:lang w:eastAsia="zh-CN"/>
        </w:rPr>
        <w:instrText xml:space="preserve"> TOC \o "1-1" \h \z \u </w:instrText>
      </w:r>
      <w:r>
        <w:rPr>
          <w:rFonts w:eastAsia="楷体"/>
          <w:color w:val="000000"/>
          <w:lang w:eastAsia="zh-CN"/>
        </w:rPr>
        <w:fldChar w:fldCharType="separate"/>
      </w:r>
      <w:r>
        <w:fldChar w:fldCharType="begin"/>
      </w:r>
      <w:r>
        <w:instrText xml:space="preserve"> HYPERLINK \l "_Toc157276986" </w:instrText>
      </w:r>
      <w:r>
        <w:fldChar w:fldCharType="separate"/>
      </w:r>
      <w:r>
        <w:rPr>
          <w:rStyle w:val="17"/>
          <w:rFonts w:eastAsia="楷体"/>
          <w:lang w:eastAsia="zh-CN"/>
        </w:rPr>
        <w:t>1</w:t>
      </w:r>
      <w:r>
        <w:rPr>
          <w:rFonts w:eastAsia="楷体"/>
          <w:kern w:val="2"/>
          <w:lang w:eastAsia="zh-CN"/>
        </w:rPr>
        <w:tab/>
      </w:r>
      <w:r>
        <w:rPr>
          <w:rStyle w:val="17"/>
          <w:rFonts w:eastAsia="楷体"/>
          <w:lang w:eastAsia="zh-CN"/>
        </w:rPr>
        <w:t>定义</w:t>
      </w:r>
      <w:r>
        <w:rPr>
          <w:rFonts w:eastAsia="楷体"/>
        </w:rPr>
        <w:tab/>
      </w:r>
      <w:r>
        <w:rPr>
          <w:rFonts w:eastAsia="楷体"/>
        </w:rPr>
        <w:fldChar w:fldCharType="begin"/>
      </w:r>
      <w:r>
        <w:rPr>
          <w:rFonts w:eastAsia="楷体"/>
        </w:rPr>
        <w:instrText xml:space="preserve"> PAGEREF _Toc157276986 \h </w:instrText>
      </w:r>
      <w:r>
        <w:rPr>
          <w:rFonts w:eastAsia="楷体"/>
        </w:rPr>
        <w:fldChar w:fldCharType="separate"/>
      </w:r>
      <w:r>
        <w:rPr>
          <w:rFonts w:eastAsia="楷体"/>
        </w:rPr>
        <w:t>3</w:t>
      </w:r>
      <w:r>
        <w:rPr>
          <w:rFonts w:eastAsia="楷体"/>
        </w:rPr>
        <w:fldChar w:fldCharType="end"/>
      </w:r>
      <w:r>
        <w:rPr>
          <w:rFonts w:eastAsia="楷体"/>
        </w:rPr>
        <w:fldChar w:fldCharType="end"/>
      </w:r>
    </w:p>
    <w:p>
      <w:pPr>
        <w:pStyle w:val="11"/>
        <w:tabs>
          <w:tab w:val="right" w:leader="dot" w:pos="9070"/>
          <w:tab w:val="clear" w:pos="8296"/>
        </w:tabs>
        <w:spacing w:line="319" w:lineRule="auto"/>
        <w:rPr>
          <w:rFonts w:eastAsia="楷体"/>
          <w:kern w:val="2"/>
          <w:lang w:eastAsia="zh-CN"/>
        </w:rPr>
      </w:pPr>
      <w:r>
        <w:fldChar w:fldCharType="begin"/>
      </w:r>
      <w:r>
        <w:instrText xml:space="preserve"> HYPERLINK \l "_Toc157276987" </w:instrText>
      </w:r>
      <w:r>
        <w:fldChar w:fldCharType="separate"/>
      </w:r>
      <w:r>
        <w:rPr>
          <w:rStyle w:val="17"/>
          <w:rFonts w:eastAsia="楷体"/>
          <w:lang/>
        </w:rPr>
        <w:t>2</w:t>
      </w:r>
      <w:r>
        <w:rPr>
          <w:rFonts w:eastAsia="楷体"/>
          <w:kern w:val="2"/>
          <w:lang w:eastAsia="zh-CN"/>
        </w:rPr>
        <w:tab/>
      </w:r>
      <w:r>
        <w:rPr>
          <w:rStyle w:val="17"/>
          <w:rFonts w:eastAsia="楷体"/>
        </w:rPr>
        <w:t>油品质量标准</w:t>
      </w:r>
      <w:r>
        <w:rPr>
          <w:rFonts w:eastAsia="楷体"/>
        </w:rPr>
        <w:tab/>
      </w:r>
      <w:r>
        <w:rPr>
          <w:rFonts w:eastAsia="楷体"/>
        </w:rPr>
        <w:fldChar w:fldCharType="begin"/>
      </w:r>
      <w:r>
        <w:rPr>
          <w:rFonts w:eastAsia="楷体"/>
        </w:rPr>
        <w:instrText xml:space="preserve"> PAGEREF _Toc157276987 \h </w:instrText>
      </w:r>
      <w:r>
        <w:rPr>
          <w:rFonts w:eastAsia="楷体"/>
        </w:rPr>
        <w:fldChar w:fldCharType="separate"/>
      </w:r>
      <w:r>
        <w:rPr>
          <w:rFonts w:eastAsia="楷体"/>
        </w:rPr>
        <w:t>5</w:t>
      </w:r>
      <w:r>
        <w:rPr>
          <w:rFonts w:eastAsia="楷体"/>
        </w:rPr>
        <w:fldChar w:fldCharType="end"/>
      </w:r>
      <w:r>
        <w:rPr>
          <w:rFonts w:eastAsia="楷体"/>
        </w:rPr>
        <w:fldChar w:fldCharType="end"/>
      </w:r>
    </w:p>
    <w:p>
      <w:pPr>
        <w:pStyle w:val="11"/>
        <w:tabs>
          <w:tab w:val="right" w:leader="dot" w:pos="9070"/>
          <w:tab w:val="clear" w:pos="8296"/>
        </w:tabs>
        <w:spacing w:line="319" w:lineRule="auto"/>
        <w:rPr>
          <w:rFonts w:eastAsia="楷体"/>
          <w:kern w:val="2"/>
          <w:lang w:eastAsia="zh-CN"/>
        </w:rPr>
      </w:pPr>
      <w:r>
        <w:fldChar w:fldCharType="begin"/>
      </w:r>
      <w:r>
        <w:instrText xml:space="preserve"> HYPERLINK \l "_Toc157276988" </w:instrText>
      </w:r>
      <w:r>
        <w:fldChar w:fldCharType="separate"/>
      </w:r>
      <w:r>
        <w:rPr>
          <w:rStyle w:val="17"/>
          <w:rFonts w:eastAsia="楷体"/>
          <w:lang/>
        </w:rPr>
        <w:t>3</w:t>
      </w:r>
      <w:r>
        <w:rPr>
          <w:rFonts w:eastAsia="楷体"/>
          <w:kern w:val="2"/>
          <w:lang w:eastAsia="zh-CN"/>
        </w:rPr>
        <w:tab/>
      </w:r>
      <w:r>
        <w:rPr>
          <w:rStyle w:val="17"/>
          <w:rFonts w:eastAsia="楷体"/>
        </w:rPr>
        <w:t>油品结算价格</w:t>
      </w:r>
      <w:r>
        <w:rPr>
          <w:rFonts w:eastAsia="楷体"/>
        </w:rPr>
        <w:tab/>
      </w:r>
      <w:r>
        <w:rPr>
          <w:rFonts w:eastAsia="楷体"/>
        </w:rPr>
        <w:fldChar w:fldCharType="begin"/>
      </w:r>
      <w:r>
        <w:rPr>
          <w:rFonts w:eastAsia="楷体"/>
        </w:rPr>
        <w:instrText xml:space="preserve"> PAGEREF _Toc157276988 \h </w:instrText>
      </w:r>
      <w:r>
        <w:rPr>
          <w:rFonts w:eastAsia="楷体"/>
        </w:rPr>
        <w:fldChar w:fldCharType="separate"/>
      </w:r>
      <w:r>
        <w:rPr>
          <w:rFonts w:eastAsia="楷体"/>
        </w:rPr>
        <w:t>5</w:t>
      </w:r>
      <w:r>
        <w:rPr>
          <w:rFonts w:eastAsia="楷体"/>
        </w:rPr>
        <w:fldChar w:fldCharType="end"/>
      </w:r>
      <w:r>
        <w:rPr>
          <w:rFonts w:eastAsia="楷体"/>
        </w:rPr>
        <w:fldChar w:fldCharType="end"/>
      </w:r>
    </w:p>
    <w:p>
      <w:pPr>
        <w:pStyle w:val="11"/>
        <w:tabs>
          <w:tab w:val="right" w:leader="dot" w:pos="9070"/>
          <w:tab w:val="clear" w:pos="8296"/>
        </w:tabs>
        <w:spacing w:line="319" w:lineRule="auto"/>
        <w:rPr>
          <w:rFonts w:eastAsia="楷体"/>
          <w:kern w:val="2"/>
          <w:lang w:eastAsia="zh-CN"/>
        </w:rPr>
      </w:pPr>
      <w:r>
        <w:fldChar w:fldCharType="begin"/>
      </w:r>
      <w:r>
        <w:instrText xml:space="preserve"> HYPERLINK \l "_Toc157276989" </w:instrText>
      </w:r>
      <w:r>
        <w:fldChar w:fldCharType="separate"/>
      </w:r>
      <w:r>
        <w:rPr>
          <w:rStyle w:val="17"/>
          <w:rFonts w:eastAsia="楷体"/>
          <w:lang/>
        </w:rPr>
        <w:t>4</w:t>
      </w:r>
      <w:r>
        <w:rPr>
          <w:rFonts w:eastAsia="楷体"/>
          <w:kern w:val="2"/>
          <w:lang w:eastAsia="zh-CN"/>
        </w:rPr>
        <w:tab/>
      </w:r>
      <w:r>
        <w:rPr>
          <w:rStyle w:val="17"/>
          <w:rFonts w:eastAsia="楷体"/>
        </w:rPr>
        <w:t>结算</w:t>
      </w:r>
      <w:r>
        <w:rPr>
          <w:rFonts w:eastAsia="楷体"/>
        </w:rPr>
        <w:tab/>
      </w:r>
      <w:r>
        <w:rPr>
          <w:rFonts w:eastAsia="楷体"/>
        </w:rPr>
        <w:fldChar w:fldCharType="begin"/>
      </w:r>
      <w:r>
        <w:rPr>
          <w:rFonts w:eastAsia="楷体"/>
        </w:rPr>
        <w:instrText xml:space="preserve"> PAGEREF _Toc157276989 \h </w:instrText>
      </w:r>
      <w:r>
        <w:rPr>
          <w:rFonts w:eastAsia="楷体"/>
        </w:rPr>
        <w:fldChar w:fldCharType="separate"/>
      </w:r>
      <w:r>
        <w:rPr>
          <w:rFonts w:eastAsia="楷体"/>
        </w:rPr>
        <w:t>7</w:t>
      </w:r>
      <w:r>
        <w:rPr>
          <w:rFonts w:eastAsia="楷体"/>
        </w:rPr>
        <w:fldChar w:fldCharType="end"/>
      </w:r>
      <w:r>
        <w:rPr>
          <w:rFonts w:eastAsia="楷体"/>
        </w:rPr>
        <w:fldChar w:fldCharType="end"/>
      </w:r>
    </w:p>
    <w:p>
      <w:pPr>
        <w:pStyle w:val="11"/>
        <w:tabs>
          <w:tab w:val="right" w:leader="dot" w:pos="9070"/>
          <w:tab w:val="clear" w:pos="8296"/>
        </w:tabs>
        <w:spacing w:line="319" w:lineRule="auto"/>
        <w:rPr>
          <w:rFonts w:eastAsia="楷体"/>
          <w:kern w:val="2"/>
          <w:lang w:eastAsia="zh-CN"/>
        </w:rPr>
      </w:pPr>
      <w:r>
        <w:fldChar w:fldCharType="begin"/>
      </w:r>
      <w:r>
        <w:instrText xml:space="preserve"> HYPERLINK \l "_Toc157276990" </w:instrText>
      </w:r>
      <w:r>
        <w:fldChar w:fldCharType="separate"/>
      </w:r>
      <w:r>
        <w:rPr>
          <w:rStyle w:val="17"/>
          <w:rFonts w:eastAsia="楷体"/>
          <w:lang/>
        </w:rPr>
        <w:t>5</w:t>
      </w:r>
      <w:r>
        <w:rPr>
          <w:rFonts w:eastAsia="楷体"/>
          <w:kern w:val="2"/>
          <w:lang w:eastAsia="zh-CN"/>
        </w:rPr>
        <w:tab/>
      </w:r>
      <w:r>
        <w:rPr>
          <w:rStyle w:val="17"/>
          <w:rFonts w:eastAsia="楷体"/>
        </w:rPr>
        <w:t>合同期</w:t>
      </w:r>
      <w:r>
        <w:rPr>
          <w:rFonts w:eastAsia="楷体"/>
        </w:rPr>
        <w:tab/>
      </w:r>
      <w:r>
        <w:rPr>
          <w:rFonts w:eastAsia="楷体"/>
        </w:rPr>
        <w:fldChar w:fldCharType="begin"/>
      </w:r>
      <w:r>
        <w:rPr>
          <w:rFonts w:eastAsia="楷体"/>
        </w:rPr>
        <w:instrText xml:space="preserve"> PAGEREF _Toc157276990 \h </w:instrText>
      </w:r>
      <w:r>
        <w:rPr>
          <w:rFonts w:eastAsia="楷体"/>
        </w:rPr>
        <w:fldChar w:fldCharType="separate"/>
      </w:r>
      <w:r>
        <w:rPr>
          <w:rFonts w:eastAsia="楷体"/>
        </w:rPr>
        <w:t>10</w:t>
      </w:r>
      <w:r>
        <w:rPr>
          <w:rFonts w:eastAsia="楷体"/>
        </w:rPr>
        <w:fldChar w:fldCharType="end"/>
      </w:r>
      <w:r>
        <w:rPr>
          <w:rFonts w:eastAsia="楷体"/>
        </w:rPr>
        <w:fldChar w:fldCharType="end"/>
      </w:r>
    </w:p>
    <w:p>
      <w:pPr>
        <w:pStyle w:val="11"/>
        <w:tabs>
          <w:tab w:val="right" w:leader="dot" w:pos="9070"/>
          <w:tab w:val="clear" w:pos="8296"/>
        </w:tabs>
        <w:spacing w:line="319" w:lineRule="auto"/>
        <w:rPr>
          <w:rFonts w:eastAsia="楷体"/>
          <w:kern w:val="2"/>
          <w:lang w:eastAsia="zh-CN"/>
        </w:rPr>
      </w:pPr>
      <w:r>
        <w:fldChar w:fldCharType="begin"/>
      </w:r>
      <w:r>
        <w:instrText xml:space="preserve"> HYPERLINK \l "_Toc157276991" </w:instrText>
      </w:r>
      <w:r>
        <w:fldChar w:fldCharType="separate"/>
      </w:r>
      <w:r>
        <w:rPr>
          <w:rStyle w:val="17"/>
          <w:rFonts w:eastAsia="楷体"/>
          <w:lang/>
        </w:rPr>
        <w:t>6</w:t>
      </w:r>
      <w:r>
        <w:rPr>
          <w:rFonts w:eastAsia="楷体"/>
          <w:kern w:val="2"/>
          <w:lang w:eastAsia="zh-CN"/>
        </w:rPr>
        <w:tab/>
      </w:r>
      <w:r>
        <w:rPr>
          <w:rStyle w:val="17"/>
          <w:rFonts w:eastAsia="楷体"/>
        </w:rPr>
        <w:t>供油方式</w:t>
      </w:r>
      <w:r>
        <w:rPr>
          <w:rFonts w:eastAsia="楷体"/>
        </w:rPr>
        <w:tab/>
      </w:r>
      <w:r>
        <w:rPr>
          <w:rFonts w:eastAsia="楷体"/>
        </w:rPr>
        <w:fldChar w:fldCharType="begin"/>
      </w:r>
      <w:r>
        <w:rPr>
          <w:rFonts w:eastAsia="楷体"/>
        </w:rPr>
        <w:instrText xml:space="preserve"> PAGEREF _Toc157276991 \h </w:instrText>
      </w:r>
      <w:r>
        <w:rPr>
          <w:rFonts w:eastAsia="楷体"/>
        </w:rPr>
        <w:fldChar w:fldCharType="separate"/>
      </w:r>
      <w:r>
        <w:rPr>
          <w:rFonts w:eastAsia="楷体"/>
        </w:rPr>
        <w:t>10</w:t>
      </w:r>
      <w:r>
        <w:rPr>
          <w:rFonts w:eastAsia="楷体"/>
        </w:rPr>
        <w:fldChar w:fldCharType="end"/>
      </w:r>
      <w:r>
        <w:rPr>
          <w:rFonts w:eastAsia="楷体"/>
        </w:rPr>
        <w:fldChar w:fldCharType="end"/>
      </w:r>
    </w:p>
    <w:p>
      <w:pPr>
        <w:pStyle w:val="11"/>
        <w:tabs>
          <w:tab w:val="right" w:leader="dot" w:pos="9070"/>
          <w:tab w:val="clear" w:pos="8296"/>
        </w:tabs>
        <w:spacing w:line="319" w:lineRule="auto"/>
        <w:rPr>
          <w:rFonts w:eastAsia="楷体"/>
          <w:kern w:val="2"/>
          <w:lang w:eastAsia="zh-CN"/>
        </w:rPr>
      </w:pPr>
      <w:r>
        <w:fldChar w:fldCharType="begin"/>
      </w:r>
      <w:r>
        <w:instrText xml:space="preserve"> HYPERLINK \l "_Toc157276992" </w:instrText>
      </w:r>
      <w:r>
        <w:fldChar w:fldCharType="separate"/>
      </w:r>
      <w:r>
        <w:rPr>
          <w:rStyle w:val="17"/>
          <w:rFonts w:eastAsia="楷体"/>
          <w:lang/>
        </w:rPr>
        <w:t>7</w:t>
      </w:r>
      <w:r>
        <w:rPr>
          <w:rFonts w:eastAsia="楷体"/>
          <w:kern w:val="2"/>
          <w:lang w:eastAsia="zh-CN"/>
        </w:rPr>
        <w:tab/>
      </w:r>
      <w:r>
        <w:rPr>
          <w:rStyle w:val="17"/>
          <w:rFonts w:eastAsia="楷体"/>
        </w:rPr>
        <w:t>验收</w:t>
      </w:r>
      <w:r>
        <w:rPr>
          <w:rFonts w:eastAsia="楷体"/>
        </w:rPr>
        <w:tab/>
      </w:r>
      <w:r>
        <w:rPr>
          <w:rFonts w:eastAsia="楷体"/>
        </w:rPr>
        <w:fldChar w:fldCharType="begin"/>
      </w:r>
      <w:r>
        <w:rPr>
          <w:rFonts w:eastAsia="楷体"/>
        </w:rPr>
        <w:instrText xml:space="preserve"> PAGEREF _Toc157276992 \h </w:instrText>
      </w:r>
      <w:r>
        <w:rPr>
          <w:rFonts w:eastAsia="楷体"/>
        </w:rPr>
        <w:fldChar w:fldCharType="separate"/>
      </w:r>
      <w:r>
        <w:rPr>
          <w:rFonts w:eastAsia="楷体"/>
        </w:rPr>
        <w:t>11</w:t>
      </w:r>
      <w:r>
        <w:rPr>
          <w:rFonts w:eastAsia="楷体"/>
        </w:rPr>
        <w:fldChar w:fldCharType="end"/>
      </w:r>
      <w:r>
        <w:rPr>
          <w:rFonts w:eastAsia="楷体"/>
        </w:rPr>
        <w:fldChar w:fldCharType="end"/>
      </w:r>
    </w:p>
    <w:p>
      <w:pPr>
        <w:pStyle w:val="11"/>
        <w:tabs>
          <w:tab w:val="right" w:leader="dot" w:pos="9070"/>
          <w:tab w:val="clear" w:pos="8296"/>
        </w:tabs>
        <w:spacing w:line="319" w:lineRule="auto"/>
        <w:rPr>
          <w:rFonts w:eastAsia="楷体"/>
          <w:kern w:val="2"/>
          <w:lang w:eastAsia="zh-CN"/>
        </w:rPr>
      </w:pPr>
      <w:r>
        <w:fldChar w:fldCharType="begin"/>
      </w:r>
      <w:r>
        <w:instrText xml:space="preserve"> HYPERLINK \l "_Toc157276993" </w:instrText>
      </w:r>
      <w:r>
        <w:fldChar w:fldCharType="separate"/>
      </w:r>
      <w:r>
        <w:rPr>
          <w:rStyle w:val="17"/>
          <w:rFonts w:eastAsia="楷体"/>
          <w:lang/>
        </w:rPr>
        <w:t>8</w:t>
      </w:r>
      <w:r>
        <w:rPr>
          <w:rFonts w:eastAsia="楷体"/>
          <w:kern w:val="2"/>
          <w:lang w:eastAsia="zh-CN"/>
        </w:rPr>
        <w:tab/>
      </w:r>
      <w:r>
        <w:rPr>
          <w:rStyle w:val="17"/>
          <w:rFonts w:eastAsia="楷体"/>
        </w:rPr>
        <w:t>违约责任</w:t>
      </w:r>
      <w:r>
        <w:rPr>
          <w:rFonts w:eastAsia="楷体"/>
        </w:rPr>
        <w:tab/>
      </w:r>
      <w:r>
        <w:rPr>
          <w:rFonts w:eastAsia="楷体"/>
        </w:rPr>
        <w:fldChar w:fldCharType="begin"/>
      </w:r>
      <w:r>
        <w:rPr>
          <w:rFonts w:eastAsia="楷体"/>
        </w:rPr>
        <w:instrText xml:space="preserve"> PAGEREF _Toc157276993 \h </w:instrText>
      </w:r>
      <w:r>
        <w:rPr>
          <w:rFonts w:eastAsia="楷体"/>
        </w:rPr>
        <w:fldChar w:fldCharType="separate"/>
      </w:r>
      <w:r>
        <w:rPr>
          <w:rFonts w:eastAsia="楷体"/>
        </w:rPr>
        <w:t>12</w:t>
      </w:r>
      <w:r>
        <w:rPr>
          <w:rFonts w:eastAsia="楷体"/>
        </w:rPr>
        <w:fldChar w:fldCharType="end"/>
      </w:r>
      <w:r>
        <w:rPr>
          <w:rFonts w:eastAsia="楷体"/>
        </w:rPr>
        <w:fldChar w:fldCharType="end"/>
      </w:r>
    </w:p>
    <w:p>
      <w:pPr>
        <w:pStyle w:val="11"/>
        <w:tabs>
          <w:tab w:val="right" w:leader="dot" w:pos="9070"/>
          <w:tab w:val="clear" w:pos="8296"/>
        </w:tabs>
        <w:spacing w:line="319" w:lineRule="auto"/>
        <w:rPr>
          <w:rFonts w:eastAsia="楷体"/>
          <w:kern w:val="2"/>
          <w:lang w:eastAsia="zh-CN"/>
        </w:rPr>
      </w:pPr>
      <w:r>
        <w:fldChar w:fldCharType="begin"/>
      </w:r>
      <w:r>
        <w:instrText xml:space="preserve"> HYPERLINK \l "_Toc157276994" </w:instrText>
      </w:r>
      <w:r>
        <w:fldChar w:fldCharType="separate"/>
      </w:r>
      <w:r>
        <w:rPr>
          <w:rStyle w:val="17"/>
          <w:rFonts w:eastAsia="楷体"/>
          <w:lang/>
        </w:rPr>
        <w:t>9</w:t>
      </w:r>
      <w:r>
        <w:rPr>
          <w:rFonts w:eastAsia="楷体"/>
          <w:kern w:val="2"/>
          <w:lang w:eastAsia="zh-CN"/>
        </w:rPr>
        <w:tab/>
      </w:r>
      <w:r>
        <w:rPr>
          <w:rStyle w:val="17"/>
          <w:rFonts w:eastAsia="楷体"/>
        </w:rPr>
        <w:t>陈述与保证</w:t>
      </w:r>
      <w:r>
        <w:rPr>
          <w:rFonts w:eastAsia="楷体"/>
        </w:rPr>
        <w:tab/>
      </w:r>
      <w:r>
        <w:rPr>
          <w:rFonts w:eastAsia="楷体"/>
        </w:rPr>
        <w:fldChar w:fldCharType="begin"/>
      </w:r>
      <w:r>
        <w:rPr>
          <w:rFonts w:eastAsia="楷体"/>
        </w:rPr>
        <w:instrText xml:space="preserve"> PAGEREF _Toc157276994 \h </w:instrText>
      </w:r>
      <w:r>
        <w:rPr>
          <w:rFonts w:eastAsia="楷体"/>
        </w:rPr>
        <w:fldChar w:fldCharType="separate"/>
      </w:r>
      <w:r>
        <w:rPr>
          <w:rFonts w:eastAsia="楷体"/>
        </w:rPr>
        <w:t>14</w:t>
      </w:r>
      <w:r>
        <w:rPr>
          <w:rFonts w:eastAsia="楷体"/>
        </w:rPr>
        <w:fldChar w:fldCharType="end"/>
      </w:r>
      <w:r>
        <w:rPr>
          <w:rFonts w:eastAsia="楷体"/>
        </w:rPr>
        <w:fldChar w:fldCharType="end"/>
      </w:r>
    </w:p>
    <w:p>
      <w:pPr>
        <w:pStyle w:val="11"/>
        <w:tabs>
          <w:tab w:val="right" w:leader="dot" w:pos="9070"/>
          <w:tab w:val="clear" w:pos="8296"/>
        </w:tabs>
        <w:spacing w:line="319" w:lineRule="auto"/>
        <w:rPr>
          <w:rFonts w:eastAsia="楷体"/>
          <w:kern w:val="2"/>
          <w:lang w:eastAsia="zh-CN"/>
        </w:rPr>
      </w:pPr>
      <w:r>
        <w:fldChar w:fldCharType="begin"/>
      </w:r>
      <w:r>
        <w:instrText xml:space="preserve"> HYPERLINK \l "_Toc157276995" </w:instrText>
      </w:r>
      <w:r>
        <w:fldChar w:fldCharType="separate"/>
      </w:r>
      <w:r>
        <w:rPr>
          <w:rStyle w:val="17"/>
          <w:rFonts w:eastAsia="楷体"/>
          <w:lang w:eastAsia="zh-CN"/>
        </w:rPr>
        <w:t>10</w:t>
      </w:r>
      <w:r>
        <w:rPr>
          <w:rFonts w:eastAsia="楷体"/>
          <w:kern w:val="2"/>
          <w:lang w:eastAsia="zh-CN"/>
        </w:rPr>
        <w:tab/>
      </w:r>
      <w:r>
        <w:rPr>
          <w:rStyle w:val="17"/>
          <w:rFonts w:eastAsia="楷体"/>
          <w:lang w:eastAsia="zh-CN"/>
        </w:rPr>
        <w:t>诚信合规</w:t>
      </w:r>
      <w:r>
        <w:rPr>
          <w:rFonts w:eastAsia="楷体"/>
        </w:rPr>
        <w:tab/>
      </w:r>
      <w:r>
        <w:rPr>
          <w:rFonts w:eastAsia="楷体"/>
        </w:rPr>
        <w:fldChar w:fldCharType="begin"/>
      </w:r>
      <w:r>
        <w:rPr>
          <w:rFonts w:eastAsia="楷体"/>
        </w:rPr>
        <w:instrText xml:space="preserve"> PAGEREF _Toc157276995 \h </w:instrText>
      </w:r>
      <w:r>
        <w:rPr>
          <w:rFonts w:eastAsia="楷体"/>
        </w:rPr>
        <w:fldChar w:fldCharType="separate"/>
      </w:r>
      <w:r>
        <w:rPr>
          <w:rFonts w:eastAsia="楷体"/>
        </w:rPr>
        <w:t>16</w:t>
      </w:r>
      <w:r>
        <w:rPr>
          <w:rFonts w:eastAsia="楷体"/>
        </w:rPr>
        <w:fldChar w:fldCharType="end"/>
      </w:r>
      <w:r>
        <w:rPr>
          <w:rFonts w:eastAsia="楷体"/>
        </w:rPr>
        <w:fldChar w:fldCharType="end"/>
      </w:r>
    </w:p>
    <w:p>
      <w:pPr>
        <w:pStyle w:val="11"/>
        <w:tabs>
          <w:tab w:val="right" w:leader="dot" w:pos="9070"/>
          <w:tab w:val="clear" w:pos="8296"/>
        </w:tabs>
        <w:spacing w:line="319" w:lineRule="auto"/>
        <w:rPr>
          <w:rFonts w:eastAsia="楷体"/>
          <w:kern w:val="2"/>
          <w:lang w:eastAsia="zh-CN"/>
        </w:rPr>
      </w:pPr>
      <w:r>
        <w:fldChar w:fldCharType="begin"/>
      </w:r>
      <w:r>
        <w:instrText xml:space="preserve"> HYPERLINK \l "_Toc157276996" </w:instrText>
      </w:r>
      <w:r>
        <w:fldChar w:fldCharType="separate"/>
      </w:r>
      <w:r>
        <w:rPr>
          <w:rStyle w:val="17"/>
          <w:rFonts w:eastAsia="楷体"/>
          <w:lang w:eastAsia="zh-CN"/>
        </w:rPr>
        <w:t>11</w:t>
      </w:r>
      <w:r>
        <w:rPr>
          <w:rFonts w:eastAsia="楷体"/>
          <w:kern w:val="2"/>
          <w:lang w:eastAsia="zh-CN"/>
        </w:rPr>
        <w:tab/>
      </w:r>
      <w:r>
        <w:rPr>
          <w:rStyle w:val="17"/>
          <w:rFonts w:eastAsia="楷体"/>
          <w:lang w:eastAsia="zh-CN"/>
        </w:rPr>
        <w:t>不可抗力</w:t>
      </w:r>
      <w:r>
        <w:rPr>
          <w:rFonts w:eastAsia="楷体"/>
        </w:rPr>
        <w:tab/>
      </w:r>
      <w:r>
        <w:rPr>
          <w:rFonts w:eastAsia="楷体"/>
        </w:rPr>
        <w:fldChar w:fldCharType="begin"/>
      </w:r>
      <w:r>
        <w:rPr>
          <w:rFonts w:eastAsia="楷体"/>
        </w:rPr>
        <w:instrText xml:space="preserve"> PAGEREF _Toc157276996 \h </w:instrText>
      </w:r>
      <w:r>
        <w:rPr>
          <w:rFonts w:eastAsia="楷体"/>
        </w:rPr>
        <w:fldChar w:fldCharType="separate"/>
      </w:r>
      <w:r>
        <w:rPr>
          <w:rFonts w:eastAsia="楷体"/>
        </w:rPr>
        <w:t>18</w:t>
      </w:r>
      <w:r>
        <w:rPr>
          <w:rFonts w:eastAsia="楷体"/>
        </w:rPr>
        <w:fldChar w:fldCharType="end"/>
      </w:r>
      <w:r>
        <w:rPr>
          <w:rFonts w:eastAsia="楷体"/>
        </w:rPr>
        <w:fldChar w:fldCharType="end"/>
      </w:r>
    </w:p>
    <w:p>
      <w:pPr>
        <w:pStyle w:val="11"/>
        <w:tabs>
          <w:tab w:val="right" w:leader="dot" w:pos="9070"/>
          <w:tab w:val="clear" w:pos="8296"/>
        </w:tabs>
        <w:spacing w:line="319" w:lineRule="auto"/>
        <w:rPr>
          <w:rFonts w:eastAsia="楷体"/>
          <w:kern w:val="2"/>
          <w:lang w:eastAsia="zh-CN"/>
        </w:rPr>
      </w:pPr>
      <w:r>
        <w:fldChar w:fldCharType="begin"/>
      </w:r>
      <w:r>
        <w:instrText xml:space="preserve"> HYPERLINK \l "_Toc157276997" </w:instrText>
      </w:r>
      <w:r>
        <w:fldChar w:fldCharType="separate"/>
      </w:r>
      <w:r>
        <w:rPr>
          <w:rStyle w:val="17"/>
          <w:rFonts w:eastAsia="楷体"/>
          <w:lang w:eastAsia="zh-CN"/>
        </w:rPr>
        <w:t>12</w:t>
      </w:r>
      <w:r>
        <w:rPr>
          <w:rFonts w:eastAsia="楷体"/>
          <w:kern w:val="2"/>
          <w:lang w:eastAsia="zh-CN"/>
        </w:rPr>
        <w:tab/>
      </w:r>
      <w:r>
        <w:rPr>
          <w:rStyle w:val="17"/>
          <w:rFonts w:eastAsia="楷体"/>
          <w:lang w:eastAsia="zh-CN"/>
        </w:rPr>
        <w:t>保密</w:t>
      </w:r>
      <w:r>
        <w:rPr>
          <w:rFonts w:eastAsia="楷体"/>
        </w:rPr>
        <w:tab/>
      </w:r>
      <w:r>
        <w:rPr>
          <w:rFonts w:eastAsia="楷体"/>
        </w:rPr>
        <w:fldChar w:fldCharType="begin"/>
      </w:r>
      <w:r>
        <w:rPr>
          <w:rFonts w:eastAsia="楷体"/>
        </w:rPr>
        <w:instrText xml:space="preserve"> PAGEREF _Toc157276997 \h </w:instrText>
      </w:r>
      <w:r>
        <w:rPr>
          <w:rFonts w:eastAsia="楷体"/>
        </w:rPr>
        <w:fldChar w:fldCharType="separate"/>
      </w:r>
      <w:r>
        <w:rPr>
          <w:rFonts w:eastAsia="楷体"/>
        </w:rPr>
        <w:t>19</w:t>
      </w:r>
      <w:r>
        <w:rPr>
          <w:rFonts w:eastAsia="楷体"/>
        </w:rPr>
        <w:fldChar w:fldCharType="end"/>
      </w:r>
      <w:r>
        <w:rPr>
          <w:rFonts w:eastAsia="楷体"/>
        </w:rPr>
        <w:fldChar w:fldCharType="end"/>
      </w:r>
    </w:p>
    <w:p>
      <w:pPr>
        <w:pStyle w:val="11"/>
        <w:tabs>
          <w:tab w:val="right" w:leader="dot" w:pos="9070"/>
          <w:tab w:val="clear" w:pos="8296"/>
        </w:tabs>
        <w:spacing w:line="319" w:lineRule="auto"/>
        <w:rPr>
          <w:rFonts w:eastAsia="楷体"/>
          <w:kern w:val="2"/>
          <w:lang w:eastAsia="zh-CN"/>
        </w:rPr>
      </w:pPr>
      <w:r>
        <w:fldChar w:fldCharType="begin"/>
      </w:r>
      <w:r>
        <w:instrText xml:space="preserve"> HYPERLINK \l "_Toc157276998" </w:instrText>
      </w:r>
      <w:r>
        <w:fldChar w:fldCharType="separate"/>
      </w:r>
      <w:r>
        <w:rPr>
          <w:rStyle w:val="17"/>
          <w:rFonts w:eastAsia="楷体"/>
          <w:lang w:eastAsia="zh-CN"/>
        </w:rPr>
        <w:t>13</w:t>
      </w:r>
      <w:r>
        <w:rPr>
          <w:rFonts w:eastAsia="楷体"/>
          <w:kern w:val="2"/>
          <w:lang w:eastAsia="zh-CN"/>
        </w:rPr>
        <w:tab/>
      </w:r>
      <w:r>
        <w:rPr>
          <w:rStyle w:val="17"/>
          <w:rFonts w:eastAsia="楷体"/>
          <w:lang w:eastAsia="zh-CN"/>
        </w:rPr>
        <w:t>通知</w:t>
      </w:r>
      <w:r>
        <w:rPr>
          <w:rFonts w:eastAsia="楷体"/>
        </w:rPr>
        <w:tab/>
      </w:r>
      <w:r>
        <w:rPr>
          <w:rFonts w:eastAsia="楷体"/>
        </w:rPr>
        <w:fldChar w:fldCharType="begin"/>
      </w:r>
      <w:r>
        <w:rPr>
          <w:rFonts w:eastAsia="楷体"/>
        </w:rPr>
        <w:instrText xml:space="preserve"> PAGEREF _Toc157276998 \h </w:instrText>
      </w:r>
      <w:r>
        <w:rPr>
          <w:rFonts w:eastAsia="楷体"/>
        </w:rPr>
        <w:fldChar w:fldCharType="separate"/>
      </w:r>
      <w:r>
        <w:rPr>
          <w:rFonts w:eastAsia="楷体"/>
        </w:rPr>
        <w:t>20</w:t>
      </w:r>
      <w:r>
        <w:rPr>
          <w:rFonts w:eastAsia="楷体"/>
        </w:rPr>
        <w:fldChar w:fldCharType="end"/>
      </w:r>
      <w:r>
        <w:rPr>
          <w:rFonts w:eastAsia="楷体"/>
        </w:rPr>
        <w:fldChar w:fldCharType="end"/>
      </w:r>
    </w:p>
    <w:p>
      <w:pPr>
        <w:pStyle w:val="11"/>
        <w:tabs>
          <w:tab w:val="right" w:leader="dot" w:pos="9070"/>
          <w:tab w:val="clear" w:pos="8296"/>
        </w:tabs>
        <w:spacing w:line="319" w:lineRule="auto"/>
        <w:rPr>
          <w:rFonts w:eastAsia="楷体"/>
          <w:kern w:val="2"/>
          <w:lang w:eastAsia="zh-CN"/>
        </w:rPr>
      </w:pPr>
      <w:r>
        <w:fldChar w:fldCharType="begin"/>
      </w:r>
      <w:r>
        <w:instrText xml:space="preserve"> HYPERLINK \l "_Toc157276999" </w:instrText>
      </w:r>
      <w:r>
        <w:fldChar w:fldCharType="separate"/>
      </w:r>
      <w:r>
        <w:rPr>
          <w:rStyle w:val="17"/>
          <w:rFonts w:eastAsia="楷体"/>
          <w:lang w:eastAsia="zh-CN"/>
        </w:rPr>
        <w:t>14</w:t>
      </w:r>
      <w:r>
        <w:rPr>
          <w:rFonts w:eastAsia="楷体"/>
          <w:kern w:val="2"/>
          <w:lang w:eastAsia="zh-CN"/>
        </w:rPr>
        <w:tab/>
      </w:r>
      <w:r>
        <w:rPr>
          <w:rStyle w:val="17"/>
          <w:rFonts w:eastAsia="楷体"/>
          <w:lang w:eastAsia="zh-CN"/>
        </w:rPr>
        <w:t>适用法律及争议解决</w:t>
      </w:r>
      <w:r>
        <w:rPr>
          <w:rFonts w:eastAsia="楷体"/>
        </w:rPr>
        <w:tab/>
      </w:r>
      <w:r>
        <w:rPr>
          <w:rFonts w:eastAsia="楷体"/>
        </w:rPr>
        <w:fldChar w:fldCharType="begin"/>
      </w:r>
      <w:r>
        <w:rPr>
          <w:rFonts w:eastAsia="楷体"/>
        </w:rPr>
        <w:instrText xml:space="preserve"> PAGEREF _Toc157276999 \h </w:instrText>
      </w:r>
      <w:r>
        <w:rPr>
          <w:rFonts w:eastAsia="楷体"/>
        </w:rPr>
        <w:fldChar w:fldCharType="separate"/>
      </w:r>
      <w:r>
        <w:rPr>
          <w:rFonts w:eastAsia="楷体"/>
        </w:rPr>
        <w:t>22</w:t>
      </w:r>
      <w:r>
        <w:rPr>
          <w:rFonts w:eastAsia="楷体"/>
        </w:rPr>
        <w:fldChar w:fldCharType="end"/>
      </w:r>
      <w:r>
        <w:rPr>
          <w:rFonts w:eastAsia="楷体"/>
        </w:rPr>
        <w:fldChar w:fldCharType="end"/>
      </w:r>
    </w:p>
    <w:p>
      <w:pPr>
        <w:pStyle w:val="11"/>
        <w:tabs>
          <w:tab w:val="right" w:leader="dot" w:pos="9070"/>
          <w:tab w:val="clear" w:pos="8296"/>
        </w:tabs>
        <w:spacing w:line="319" w:lineRule="auto"/>
        <w:rPr>
          <w:rFonts w:eastAsia="楷体"/>
          <w:kern w:val="2"/>
          <w:lang w:eastAsia="zh-CN"/>
        </w:rPr>
      </w:pPr>
      <w:r>
        <w:fldChar w:fldCharType="begin"/>
      </w:r>
      <w:r>
        <w:instrText xml:space="preserve"> HYPERLINK \l "_Toc157277000" </w:instrText>
      </w:r>
      <w:r>
        <w:fldChar w:fldCharType="separate"/>
      </w:r>
      <w:r>
        <w:rPr>
          <w:rStyle w:val="17"/>
          <w:rFonts w:eastAsia="楷体"/>
          <w:lang w:eastAsia="zh-CN"/>
        </w:rPr>
        <w:t>15</w:t>
      </w:r>
      <w:r>
        <w:rPr>
          <w:rFonts w:eastAsia="楷体"/>
          <w:kern w:val="2"/>
          <w:lang w:eastAsia="zh-CN"/>
        </w:rPr>
        <w:tab/>
      </w:r>
      <w:r>
        <w:rPr>
          <w:rStyle w:val="17"/>
          <w:rFonts w:eastAsia="楷体"/>
          <w:lang w:eastAsia="zh-CN"/>
        </w:rPr>
        <w:t>合同生效、变更与解除</w:t>
      </w:r>
      <w:r>
        <w:rPr>
          <w:rFonts w:eastAsia="楷体"/>
        </w:rPr>
        <w:tab/>
      </w:r>
      <w:r>
        <w:rPr>
          <w:rFonts w:eastAsia="楷体"/>
        </w:rPr>
        <w:fldChar w:fldCharType="begin"/>
      </w:r>
      <w:r>
        <w:rPr>
          <w:rFonts w:eastAsia="楷体"/>
        </w:rPr>
        <w:instrText xml:space="preserve"> PAGEREF _Toc157277000 \h </w:instrText>
      </w:r>
      <w:r>
        <w:rPr>
          <w:rFonts w:eastAsia="楷体"/>
        </w:rPr>
        <w:fldChar w:fldCharType="separate"/>
      </w:r>
      <w:r>
        <w:rPr>
          <w:rFonts w:eastAsia="楷体"/>
        </w:rPr>
        <w:t>23</w:t>
      </w:r>
      <w:r>
        <w:rPr>
          <w:rFonts w:eastAsia="楷体"/>
        </w:rPr>
        <w:fldChar w:fldCharType="end"/>
      </w:r>
      <w:r>
        <w:rPr>
          <w:rFonts w:eastAsia="楷体"/>
        </w:rPr>
        <w:fldChar w:fldCharType="end"/>
      </w:r>
    </w:p>
    <w:p>
      <w:pPr>
        <w:pStyle w:val="11"/>
        <w:tabs>
          <w:tab w:val="right" w:leader="dot" w:pos="9070"/>
          <w:tab w:val="clear" w:pos="8296"/>
        </w:tabs>
        <w:spacing w:before="120" w:after="120" w:line="319" w:lineRule="auto"/>
        <w:rPr>
          <w:rFonts w:eastAsia="楷体"/>
          <w:b/>
          <w:color w:val="000000"/>
          <w:kern w:val="2"/>
          <w:shd w:val="clear" w:color="040000" w:fill="D9D9D9"/>
          <w:lang w:eastAsia="zh-CN"/>
        </w:rPr>
      </w:pPr>
      <w:r>
        <w:rPr>
          <w:rFonts w:eastAsia="楷体"/>
          <w:color w:val="000000"/>
          <w:lang w:eastAsia="zh-CN"/>
        </w:rPr>
        <w:fldChar w:fldCharType="end"/>
      </w:r>
      <w:r>
        <w:rPr>
          <w:rFonts w:eastAsia="楷体"/>
          <w:color w:val="000000"/>
          <w:lang w:eastAsia="zh-CN"/>
        </w:rPr>
        <w:br w:type="page"/>
      </w:r>
      <w:bookmarkStart w:id="5" w:name="_DV_M28"/>
      <w:bookmarkEnd w:id="5"/>
      <w:bookmarkStart w:id="6" w:name="_DV_M29"/>
      <w:bookmarkEnd w:id="6"/>
      <w:bookmarkStart w:id="7" w:name="des1712627040783"/>
      <w:r>
        <w:rPr>
          <w:rFonts w:eastAsia="楷体"/>
          <w:color w:val="000000"/>
          <w:kern w:val="2"/>
          <w:shd w:val="clear" w:color="030000" w:fill="D9D9D9"/>
          <w:lang w:eastAsia="zh-CN"/>
        </w:rPr>
        <w:t>本</w:t>
      </w:r>
      <w:r>
        <w:rPr>
          <w:rFonts w:eastAsia="楷体"/>
          <w:bCs/>
          <w:color w:val="000000"/>
          <w:kern w:val="2"/>
          <w:shd w:val="clear" w:color="040000" w:fill="D9D9D9"/>
          <w:lang w:eastAsia="zh-CN"/>
        </w:rPr>
        <w:t>加油站定点加油合同</w:t>
      </w:r>
      <w:r>
        <w:rPr>
          <w:rFonts w:eastAsia="楷体"/>
          <w:color w:val="000000"/>
          <w:kern w:val="2"/>
          <w:shd w:val="clear" w:color="030000" w:fill="D9D9D9"/>
          <w:lang w:eastAsia="zh-CN"/>
        </w:rPr>
        <w:t>（“</w:t>
      </w:r>
      <w:r>
        <w:rPr>
          <w:rFonts w:eastAsia="楷体"/>
          <w:b/>
          <w:color w:val="000000"/>
          <w:kern w:val="2"/>
          <w:shd w:val="clear" w:color="040000" w:fill="D9D9D9"/>
          <w:lang w:eastAsia="zh-CN"/>
        </w:rPr>
        <w:t>本合同</w:t>
      </w:r>
      <w:r>
        <w:rPr>
          <w:rFonts w:eastAsia="楷体"/>
          <w:color w:val="000000"/>
          <w:kern w:val="2"/>
          <w:shd w:val="clear" w:color="030000" w:fill="D9D9D9"/>
          <w:lang w:eastAsia="zh-CN"/>
        </w:rPr>
        <w:t>”）由以下双方在签订。</w:t>
      </w:r>
      <w:bookmarkEnd w:id="7"/>
    </w:p>
    <w:p>
      <w:pPr>
        <w:adjustRightInd/>
        <w:snapToGrid w:val="0"/>
        <w:spacing w:before="120" w:after="120" w:line="319" w:lineRule="auto"/>
        <w:rPr>
          <w:rFonts w:eastAsia="楷体"/>
          <w:b/>
          <w:color w:val="000000"/>
          <w:kern w:val="2"/>
          <w:lang w:eastAsia="zh-CN"/>
        </w:rPr>
      </w:pPr>
    </w:p>
    <w:p>
      <w:pPr>
        <w:tabs>
          <w:tab w:val="left" w:pos="1548"/>
        </w:tabs>
        <w:adjustRightInd/>
        <w:spacing w:before="120" w:after="120" w:line="319" w:lineRule="auto"/>
        <w:rPr>
          <w:rFonts w:eastAsia="楷体"/>
          <w:color w:val="000000"/>
          <w:kern w:val="2"/>
          <w:lang w:eastAsia="zh-CN"/>
        </w:rPr>
      </w:pPr>
      <w:r>
        <w:rPr>
          <w:rFonts w:eastAsia="楷体"/>
          <w:color w:val="000000"/>
          <w:kern w:val="2"/>
          <w:lang w:eastAsia="zh-CN"/>
        </w:rPr>
        <w:t>甲方（供方）：</w:t>
      </w:r>
    </w:p>
    <w:p>
      <w:pPr>
        <w:tabs>
          <w:tab w:val="left" w:pos="1548"/>
        </w:tabs>
        <w:adjustRightInd/>
        <w:spacing w:before="120" w:after="120" w:line="319" w:lineRule="auto"/>
        <w:rPr>
          <w:rFonts w:eastAsia="楷体"/>
          <w:b/>
          <w:color w:val="000000"/>
          <w:kern w:val="2"/>
          <w:lang w:eastAsia="zh-CN"/>
        </w:rPr>
      </w:pPr>
      <w:r>
        <w:rPr>
          <w:rFonts w:eastAsia="楷体"/>
          <w:color w:val="000000"/>
          <w:kern w:val="2"/>
          <w:lang w:eastAsia="zh-CN"/>
        </w:rPr>
        <w:t>住所：</w:t>
      </w:r>
    </w:p>
    <w:p>
      <w:pPr>
        <w:tabs>
          <w:tab w:val="left" w:pos="1548"/>
        </w:tabs>
        <w:adjustRightInd/>
        <w:spacing w:before="120" w:after="120" w:line="319" w:lineRule="auto"/>
        <w:rPr>
          <w:rFonts w:eastAsia="楷体"/>
          <w:color w:val="000000"/>
          <w:kern w:val="2"/>
          <w:lang w:eastAsia="zh-CN"/>
        </w:rPr>
      </w:pPr>
      <w:r>
        <w:rPr>
          <w:rFonts w:eastAsia="楷体"/>
          <w:color w:val="000000"/>
          <w:kern w:val="2"/>
          <w:lang w:eastAsia="zh-CN"/>
        </w:rPr>
        <w:t>企业（法人）统一社会信用代码：</w:t>
      </w:r>
    </w:p>
    <w:p>
      <w:pPr>
        <w:tabs>
          <w:tab w:val="left" w:pos="1548"/>
        </w:tabs>
        <w:adjustRightInd/>
        <w:spacing w:before="120" w:after="120" w:line="319" w:lineRule="auto"/>
        <w:rPr>
          <w:rFonts w:eastAsia="楷体"/>
          <w:color w:val="000000"/>
          <w:kern w:val="2"/>
          <w:lang w:eastAsia="zh-CN"/>
        </w:rPr>
      </w:pPr>
      <w:r>
        <w:rPr>
          <w:rFonts w:eastAsia="楷体"/>
          <w:color w:val="000000"/>
          <w:kern w:val="2"/>
          <w:lang w:eastAsia="zh-CN"/>
        </w:rPr>
        <w:t>法定代表（负责）人：</w:t>
      </w:r>
    </w:p>
    <w:p>
      <w:pPr>
        <w:tabs>
          <w:tab w:val="left" w:pos="1548"/>
        </w:tabs>
        <w:adjustRightInd/>
        <w:spacing w:before="120" w:after="120" w:line="319" w:lineRule="auto"/>
        <w:rPr>
          <w:rFonts w:eastAsia="楷体"/>
          <w:b/>
          <w:color w:val="000000"/>
          <w:kern w:val="2"/>
          <w:lang w:eastAsia="zh-CN"/>
        </w:rPr>
      </w:pPr>
    </w:p>
    <w:p>
      <w:pPr>
        <w:adjustRightInd/>
        <w:spacing w:before="120" w:after="120" w:line="319" w:lineRule="auto"/>
        <w:jc w:val="both"/>
        <w:rPr>
          <w:rFonts w:eastAsia="楷体"/>
          <w:color w:val="000000"/>
          <w:kern w:val="2"/>
          <w:lang w:eastAsia="zh-CN"/>
        </w:rPr>
      </w:pPr>
      <w:r>
        <w:rPr>
          <w:rFonts w:eastAsia="楷体"/>
          <w:color w:val="000000"/>
          <w:kern w:val="2"/>
          <w:lang w:eastAsia="zh-CN"/>
        </w:rPr>
        <w:t>乙方（需方）：</w:t>
      </w:r>
      <w:r>
        <w:rPr>
          <w:rFonts w:hint="eastAsia" w:eastAsia="楷体"/>
          <w:color w:val="000000"/>
          <w:kern w:val="2"/>
          <w:lang w:eastAsia="zh-CN"/>
        </w:rPr>
        <w:t>准格尔旗审计局</w:t>
      </w:r>
    </w:p>
    <w:p>
      <w:pPr>
        <w:tabs>
          <w:tab w:val="left" w:pos="1548"/>
        </w:tabs>
        <w:adjustRightInd/>
        <w:spacing w:before="120" w:after="120" w:line="319" w:lineRule="auto"/>
        <w:rPr>
          <w:rFonts w:eastAsia="楷体"/>
          <w:color w:val="000000"/>
          <w:kern w:val="2"/>
          <w:lang w:eastAsia="zh-CN"/>
        </w:rPr>
      </w:pPr>
      <w:r>
        <w:rPr>
          <w:rFonts w:hint="eastAsia" w:eastAsia="楷体"/>
          <w:color w:val="000000"/>
          <w:kern w:val="2"/>
          <w:lang w:val="en-US" w:eastAsia="zh-CN"/>
        </w:rPr>
        <w:t xml:space="preserve">       </w:t>
      </w:r>
    </w:p>
    <w:p>
      <w:pPr>
        <w:tabs>
          <w:tab w:val="left" w:pos="1548"/>
        </w:tabs>
        <w:adjustRightInd/>
        <w:spacing w:before="120" w:after="120" w:line="319" w:lineRule="auto"/>
        <w:rPr>
          <w:rFonts w:eastAsia="楷体"/>
          <w:color w:val="000000"/>
          <w:kern w:val="2"/>
          <w:lang w:eastAsia="zh-CN"/>
        </w:rPr>
      </w:pPr>
      <w:r>
        <w:rPr>
          <w:rFonts w:eastAsia="楷体"/>
          <w:color w:val="000000"/>
          <w:kern w:val="2"/>
          <w:lang w:eastAsia="zh-CN"/>
        </w:rPr>
        <w:t>住所：</w:t>
      </w:r>
      <w:r>
        <w:rPr>
          <w:rFonts w:hint="eastAsia" w:eastAsia="楷体"/>
          <w:color w:val="000000"/>
          <w:kern w:val="2"/>
          <w:lang w:eastAsia="zh-CN"/>
        </w:rPr>
        <w:t>准格尔旗大路新区建业大厦 8 号楼 6 层</w:t>
      </w:r>
    </w:p>
    <w:p>
      <w:pPr>
        <w:tabs>
          <w:tab w:val="left" w:pos="1548"/>
        </w:tabs>
        <w:adjustRightInd/>
        <w:spacing w:before="120" w:after="120" w:line="319" w:lineRule="auto"/>
        <w:rPr>
          <w:rFonts w:eastAsia="楷体"/>
          <w:color w:val="000000"/>
          <w:kern w:val="2"/>
          <w:lang w:eastAsia="zh-CN"/>
        </w:rPr>
      </w:pPr>
      <w:r>
        <w:rPr>
          <w:rFonts w:eastAsia="楷体"/>
          <w:color w:val="000000"/>
          <w:kern w:val="2"/>
          <w:lang w:eastAsia="zh-CN"/>
        </w:rPr>
        <w:t>企业（法人）统一社会信用代码：</w:t>
      </w:r>
      <w:r>
        <w:rPr>
          <w:rFonts w:hint="eastAsia" w:eastAsia="楷体"/>
          <w:color w:val="000000"/>
          <w:kern w:val="2"/>
          <w:lang w:eastAsia="zh-CN"/>
        </w:rPr>
        <w:t>1115272301173240XY</w:t>
      </w:r>
    </w:p>
    <w:p>
      <w:pPr>
        <w:tabs>
          <w:tab w:val="left" w:pos="1548"/>
        </w:tabs>
        <w:adjustRightInd/>
        <w:spacing w:before="120" w:after="120" w:line="319" w:lineRule="auto"/>
        <w:rPr>
          <w:rFonts w:eastAsia="楷体"/>
          <w:color w:val="000000"/>
          <w:kern w:val="2"/>
          <w:lang w:eastAsia="zh-CN"/>
        </w:rPr>
      </w:pPr>
      <w:r>
        <w:rPr>
          <w:rFonts w:eastAsia="楷体"/>
          <w:color w:val="000000"/>
          <w:kern w:val="2"/>
          <w:lang w:eastAsia="zh-CN"/>
        </w:rPr>
        <w:t>法定代表（负责）人：</w:t>
      </w:r>
      <w:r>
        <w:rPr>
          <w:rFonts w:hint="eastAsia" w:eastAsia="楷体"/>
          <w:color w:val="000000"/>
          <w:kern w:val="2"/>
          <w:lang w:eastAsia="zh-CN"/>
        </w:rPr>
        <w:t>鲁攀林</w:t>
      </w:r>
    </w:p>
    <w:p>
      <w:pPr>
        <w:adjustRightInd/>
        <w:spacing w:before="120" w:after="120" w:line="319" w:lineRule="auto"/>
        <w:jc w:val="both"/>
        <w:rPr>
          <w:rFonts w:eastAsia="楷体"/>
          <w:color w:val="000000"/>
          <w:kern w:val="2"/>
          <w:lang w:eastAsia="zh-CN"/>
        </w:rPr>
      </w:pPr>
      <w:r>
        <w:rPr>
          <w:rFonts w:eastAsia="楷体"/>
          <w:color w:val="000000"/>
          <w:kern w:val="2"/>
          <w:lang w:eastAsia="zh-CN"/>
        </w:rPr>
        <w:t>甲方和乙方以下合称“</w:t>
      </w:r>
      <w:r>
        <w:rPr>
          <w:rFonts w:eastAsia="楷体"/>
          <w:b/>
          <w:color w:val="000000"/>
          <w:kern w:val="2"/>
          <w:lang w:eastAsia="zh-CN"/>
        </w:rPr>
        <w:t>双方</w:t>
      </w:r>
      <w:r>
        <w:rPr>
          <w:rFonts w:eastAsia="楷体"/>
          <w:color w:val="000000"/>
          <w:kern w:val="2"/>
          <w:lang w:eastAsia="zh-CN"/>
        </w:rPr>
        <w:t>”，单称“</w:t>
      </w:r>
      <w:r>
        <w:rPr>
          <w:rFonts w:eastAsia="楷体"/>
          <w:b/>
          <w:color w:val="000000"/>
          <w:kern w:val="2"/>
          <w:lang w:eastAsia="zh-CN"/>
        </w:rPr>
        <w:t>一方</w:t>
      </w:r>
      <w:r>
        <w:rPr>
          <w:rFonts w:eastAsia="楷体"/>
          <w:color w:val="000000"/>
          <w:kern w:val="2"/>
          <w:lang w:eastAsia="zh-CN"/>
        </w:rPr>
        <w:t>”。</w:t>
      </w:r>
    </w:p>
    <w:p>
      <w:pPr>
        <w:adjustRightInd/>
        <w:spacing w:before="120" w:after="120" w:line="319" w:lineRule="auto"/>
        <w:ind w:firstLine="480" w:firstLineChars="200"/>
        <w:jc w:val="both"/>
        <w:rPr>
          <w:rFonts w:eastAsia="楷体"/>
          <w:color w:val="000000"/>
          <w:lang w:eastAsia="zh-CN"/>
        </w:rPr>
      </w:pPr>
      <w:bookmarkStart w:id="8" w:name="_DV_M47"/>
      <w:bookmarkEnd w:id="8"/>
      <w:bookmarkStart w:id="9" w:name="_DV_M37"/>
      <w:bookmarkEnd w:id="9"/>
      <w:bookmarkStart w:id="10" w:name="_DV_M30"/>
      <w:bookmarkEnd w:id="10"/>
      <w:bookmarkStart w:id="11" w:name="_DV_M33"/>
      <w:bookmarkEnd w:id="11"/>
      <w:bookmarkStart w:id="12" w:name="_Toc214867924"/>
      <w:bookmarkStart w:id="13" w:name="_Toc220406347"/>
      <w:bookmarkStart w:id="14" w:name="_Toc224727255"/>
      <w:bookmarkStart w:id="15" w:name="_Toc220410950"/>
      <w:bookmarkStart w:id="16" w:name="_Toc220406573"/>
      <w:r>
        <w:rPr>
          <w:rFonts w:eastAsia="楷体"/>
          <w:color w:val="000000"/>
          <w:lang w:eastAsia="zh-CN"/>
        </w:rPr>
        <w:t>依照《中华人民共和国民法典》及其它有关法律、法规的规定，遵循平等、自愿、公平和诚实信用的原则，双方就乙方在甲方加油站定点加油事宜协商一致，订立本合同。</w:t>
      </w:r>
    </w:p>
    <w:p>
      <w:pPr>
        <w:pStyle w:val="29"/>
        <w:tabs>
          <w:tab w:val="left" w:pos="709"/>
        </w:tabs>
        <w:spacing w:before="120" w:after="120" w:line="319" w:lineRule="auto"/>
        <w:ind w:left="709" w:hanging="709"/>
        <w:jc w:val="both"/>
        <w:rPr>
          <w:rFonts w:ascii="Times New Roman" w:hAnsi="Times New Roman" w:eastAsia="楷体" w:cs="Times New Roman"/>
          <w:color w:val="000000"/>
          <w:sz w:val="24"/>
          <w:szCs w:val="24"/>
          <w:lang w:eastAsia="zh-CN"/>
        </w:rPr>
      </w:pPr>
      <w:bookmarkStart w:id="17" w:name="_Toc508005075"/>
      <w:bookmarkStart w:id="18" w:name="_Toc90454435"/>
      <w:bookmarkStart w:id="19" w:name="_Toc157276986"/>
      <w:bookmarkStart w:id="20" w:name="_Toc417060686"/>
      <w:r>
        <w:rPr>
          <w:rFonts w:ascii="Times New Roman" w:hAnsi="Times New Roman" w:eastAsia="楷体" w:cs="Times New Roman"/>
          <w:color w:val="000000"/>
          <w:sz w:val="24"/>
          <w:szCs w:val="24"/>
          <w:lang w:eastAsia="zh-CN"/>
        </w:rPr>
        <w:t>定义</w:t>
      </w:r>
      <w:bookmarkEnd w:id="12"/>
      <w:bookmarkEnd w:id="13"/>
      <w:bookmarkEnd w:id="14"/>
      <w:bookmarkEnd w:id="15"/>
      <w:bookmarkEnd w:id="16"/>
      <w:bookmarkEnd w:id="17"/>
      <w:bookmarkEnd w:id="18"/>
      <w:bookmarkEnd w:id="19"/>
      <w:bookmarkEnd w:id="20"/>
      <w:bookmarkStart w:id="21" w:name="_DV_M48"/>
      <w:bookmarkEnd w:id="21"/>
      <w:bookmarkStart w:id="22" w:name="_DV_M49"/>
      <w:bookmarkEnd w:id="22"/>
      <w:bookmarkStart w:id="23" w:name="_Toc220410951"/>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lang/>
        </w:rPr>
      </w:pPr>
      <w:r>
        <w:rPr>
          <w:rFonts w:ascii="Times New Roman" w:hAnsi="Times New Roman" w:eastAsia="楷体" w:cs="Times New Roman"/>
          <w:color w:val="000000"/>
          <w:sz w:val="24"/>
          <w:szCs w:val="24"/>
          <w:lang/>
        </w:rPr>
        <w:t>双方同意，除非本合同另有约定，以下名词应具有下述含义：</w:t>
      </w:r>
    </w:p>
    <w:tbl>
      <w:tblPr>
        <w:tblW w:w="91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3"/>
        <w:gridCol w:w="7257"/>
        <w:gridCol w:w="143"/>
      </w:tblGrid>
      <w:tr>
        <w:trPr>
          <w:jc w:val="center"/>
        </w:trPr>
        <w:tc>
          <w:tcPr>
            <w:tcW w:w="1743" w:type="dxa"/>
            <w:vAlign w:val="top"/>
          </w:tcPr>
          <w:p>
            <w:pPr>
              <w:adjustRightInd/>
              <w:spacing w:before="120" w:after="120" w:line="319" w:lineRule="auto"/>
              <w:jc w:val="both"/>
              <w:rPr>
                <w:rFonts w:eastAsia="楷体"/>
                <w:b/>
                <w:color w:val="000000"/>
                <w:lang w:eastAsia="zh-CN"/>
              </w:rPr>
            </w:pPr>
            <w:r>
              <w:rPr>
                <w:rFonts w:eastAsia="楷体"/>
                <w:b/>
                <w:color w:val="000000"/>
                <w:lang w:eastAsia="zh-CN"/>
              </w:rPr>
              <w:t>本合同</w:t>
            </w:r>
          </w:p>
        </w:tc>
        <w:tc>
          <w:tcPr>
            <w:tcW w:w="7400" w:type="dxa"/>
            <w:gridSpan w:val="2"/>
            <w:vAlign w:val="top"/>
          </w:tcPr>
          <w:p>
            <w:pPr>
              <w:adjustRightInd/>
              <w:spacing w:before="120" w:after="120" w:line="319" w:lineRule="auto"/>
              <w:jc w:val="both"/>
              <w:rPr>
                <w:rFonts w:eastAsia="楷体"/>
                <w:color w:val="000000"/>
                <w:lang w:eastAsia="zh-CN"/>
              </w:rPr>
            </w:pPr>
            <w:r>
              <w:rPr>
                <w:rFonts w:eastAsia="楷体"/>
                <w:color w:val="000000"/>
                <w:lang w:eastAsia="zh-CN"/>
              </w:rPr>
              <w:t>指本</w:t>
            </w:r>
            <w:r>
              <w:rPr>
                <w:rFonts w:eastAsia="楷体"/>
                <w:bCs/>
                <w:color w:val="000000"/>
                <w:lang w:eastAsia="zh-CN"/>
              </w:rPr>
              <w:t>加油站定点加油合同</w:t>
            </w:r>
            <w:r>
              <w:rPr>
                <w:rFonts w:eastAsia="楷体"/>
                <w:color w:val="000000"/>
                <w:lang w:eastAsia="zh-CN"/>
              </w:rPr>
              <w:t>和所有附件（如有），以及本合同可能做出的有效修订、补充和更改。</w:t>
            </w:r>
          </w:p>
        </w:tc>
      </w:tr>
      <w:tr>
        <w:trPr>
          <w:jc w:val="center"/>
        </w:trPr>
        <w:tc>
          <w:tcPr>
            <w:tcW w:w="1743" w:type="dxa"/>
            <w:vAlign w:val="top"/>
          </w:tcPr>
          <w:p>
            <w:pPr>
              <w:adjustRightInd/>
              <w:spacing w:before="120" w:after="120" w:line="319" w:lineRule="auto"/>
              <w:jc w:val="both"/>
              <w:rPr>
                <w:rFonts w:eastAsia="楷体"/>
                <w:b/>
                <w:color w:val="000000"/>
                <w:lang w:eastAsia="zh-CN"/>
              </w:rPr>
            </w:pPr>
            <w:r>
              <w:rPr>
                <w:rFonts w:eastAsia="楷体"/>
                <w:b/>
                <w:color w:val="000000"/>
                <w:lang w:eastAsia="zh-CN"/>
              </w:rPr>
              <w:t>合同期</w:t>
            </w:r>
          </w:p>
        </w:tc>
        <w:tc>
          <w:tcPr>
            <w:tcW w:w="7400" w:type="dxa"/>
            <w:gridSpan w:val="2"/>
            <w:vAlign w:val="top"/>
          </w:tcPr>
          <w:p>
            <w:pPr>
              <w:adjustRightInd/>
              <w:spacing w:before="120" w:after="120" w:line="319" w:lineRule="auto"/>
              <w:jc w:val="both"/>
              <w:rPr>
                <w:rFonts w:eastAsia="楷体"/>
                <w:color w:val="000000"/>
                <w:lang w:eastAsia="zh-CN"/>
              </w:rPr>
            </w:pPr>
            <w:r>
              <w:rPr>
                <w:rFonts w:eastAsia="楷体"/>
                <w:color w:val="000000"/>
                <w:lang w:eastAsia="zh-CN"/>
              </w:rPr>
              <w:t>指本合同第5.1条约定的含义。</w:t>
            </w:r>
          </w:p>
        </w:tc>
      </w:tr>
      <w:tr>
        <w:trPr>
          <w:jc w:val="center"/>
        </w:trPr>
        <w:tc>
          <w:tcPr>
            <w:tcW w:w="1743" w:type="dxa"/>
            <w:vAlign w:val="top"/>
          </w:tcPr>
          <w:p>
            <w:pPr>
              <w:adjustRightInd/>
              <w:spacing w:before="120" w:after="120" w:line="319" w:lineRule="auto"/>
              <w:jc w:val="both"/>
              <w:rPr>
                <w:rFonts w:eastAsia="楷体"/>
                <w:b/>
                <w:color w:val="000000"/>
                <w:lang w:eastAsia="zh-CN"/>
              </w:rPr>
            </w:pPr>
            <w:bookmarkStart w:id="24" w:name="des1712627099327"/>
            <w:r>
              <w:rPr>
                <w:rFonts w:eastAsia="楷体"/>
                <w:b/>
                <w:color w:val="000000"/>
                <w:shd w:val="clear" w:color="030000" w:fill="D9D9D9"/>
                <w:lang w:eastAsia="zh-CN"/>
              </w:rPr>
              <w:t>定点加油</w:t>
            </w:r>
            <w:bookmarkEnd w:id="24"/>
          </w:p>
        </w:tc>
        <w:tc>
          <w:tcPr>
            <w:tcW w:w="7400" w:type="dxa"/>
            <w:gridSpan w:val="2"/>
            <w:vAlign w:val="top"/>
          </w:tcPr>
          <w:p>
            <w:pPr>
              <w:adjustRightInd/>
              <w:spacing w:before="120" w:after="120" w:line="319" w:lineRule="auto"/>
              <w:jc w:val="both"/>
              <w:rPr>
                <w:rFonts w:eastAsia="楷体"/>
                <w:color w:val="000000"/>
                <w:lang w:eastAsia="zh-CN"/>
              </w:rPr>
            </w:pPr>
            <w:r>
              <w:rPr>
                <w:rFonts w:eastAsia="楷体"/>
                <w:color w:val="000000"/>
                <w:lang w:eastAsia="zh-CN"/>
              </w:rPr>
              <w:t>指乙方车辆根据本合同约定的条件在甲方指定的加油站加油。</w:t>
            </w:r>
            <w:r>
              <w:rPr>
                <w:rFonts w:hint="eastAsia" w:eastAsia="楷体"/>
                <w:color w:val="000000"/>
                <w:lang w:val="en-US" w:eastAsia="zh-CN"/>
              </w:rPr>
              <w:t xml:space="preserve"> </w:t>
            </w:r>
          </w:p>
        </w:tc>
      </w:tr>
      <w:tr>
        <w:trPr>
          <w:jc w:val="center"/>
        </w:trPr>
        <w:tc>
          <w:tcPr>
            <w:tcW w:w="1743" w:type="dxa"/>
            <w:vAlign w:val="top"/>
          </w:tcPr>
          <w:p>
            <w:pPr>
              <w:adjustRightInd/>
              <w:spacing w:before="120" w:after="120" w:line="319" w:lineRule="auto"/>
              <w:jc w:val="both"/>
              <w:rPr>
                <w:rFonts w:eastAsia="楷体"/>
                <w:b/>
                <w:color w:val="000000"/>
                <w:lang w:eastAsia="zh-CN"/>
              </w:rPr>
            </w:pPr>
            <w:r>
              <w:rPr>
                <w:rFonts w:eastAsia="楷体"/>
                <w:b/>
                <w:color w:val="000000"/>
                <w:lang w:eastAsia="zh-CN"/>
              </w:rPr>
              <w:t>提油日</w:t>
            </w:r>
          </w:p>
        </w:tc>
        <w:tc>
          <w:tcPr>
            <w:tcW w:w="7400" w:type="dxa"/>
            <w:gridSpan w:val="2"/>
            <w:vAlign w:val="top"/>
          </w:tcPr>
          <w:p>
            <w:pPr>
              <w:adjustRightInd/>
              <w:spacing w:before="120" w:after="120" w:line="319" w:lineRule="auto"/>
              <w:jc w:val="both"/>
              <w:rPr>
                <w:rFonts w:eastAsia="楷体"/>
                <w:color w:val="000000"/>
                <w:lang w:eastAsia="zh-CN"/>
              </w:rPr>
            </w:pPr>
            <w:r>
              <w:rPr>
                <w:rFonts w:eastAsia="楷体"/>
                <w:color w:val="000000"/>
                <w:lang w:eastAsia="zh-CN"/>
              </w:rPr>
              <w:t>指乙方车辆在甲方加油站定点加注成品油的当日。</w:t>
            </w:r>
          </w:p>
        </w:tc>
      </w:tr>
      <w:tr>
        <w:trPr>
          <w:jc w:val="center"/>
        </w:trPr>
        <w:tc>
          <w:tcPr>
            <w:tcW w:w="1743" w:type="dxa"/>
            <w:vAlign w:val="top"/>
          </w:tcPr>
          <w:p>
            <w:pPr>
              <w:adjustRightInd/>
              <w:spacing w:before="120" w:after="120" w:line="319" w:lineRule="auto"/>
              <w:jc w:val="both"/>
              <w:rPr>
                <w:rFonts w:eastAsia="楷体"/>
                <w:b/>
                <w:color w:val="000000"/>
                <w:lang w:eastAsia="zh-CN"/>
              </w:rPr>
            </w:pPr>
            <w:r>
              <w:rPr>
                <w:rFonts w:eastAsia="楷体"/>
                <w:b/>
                <w:color w:val="000000"/>
                <w:lang w:eastAsia="zh-CN"/>
              </w:rPr>
              <w:t>优惠后单价</w:t>
            </w:r>
          </w:p>
        </w:tc>
        <w:tc>
          <w:tcPr>
            <w:tcW w:w="7400" w:type="dxa"/>
            <w:gridSpan w:val="2"/>
            <w:vAlign w:val="top"/>
          </w:tcPr>
          <w:p>
            <w:pPr>
              <w:adjustRightInd/>
              <w:spacing w:before="120" w:after="120" w:line="319" w:lineRule="auto"/>
              <w:jc w:val="both"/>
              <w:rPr>
                <w:rFonts w:eastAsia="楷体"/>
                <w:color w:val="000000"/>
                <w:lang w:eastAsia="zh-CN"/>
              </w:rPr>
            </w:pPr>
            <w:r>
              <w:rPr>
                <w:rFonts w:eastAsia="楷体"/>
                <w:color w:val="000000"/>
                <w:lang w:eastAsia="zh-CN"/>
              </w:rPr>
              <w:t>指提油日甲方向乙方供应每一升成品油的优惠价格。</w:t>
            </w:r>
          </w:p>
        </w:tc>
      </w:tr>
      <w:tr>
        <w:trPr>
          <w:jc w:val="center"/>
        </w:trPr>
        <w:tc>
          <w:tcPr>
            <w:tcW w:w="1743" w:type="dxa"/>
            <w:vAlign w:val="top"/>
          </w:tcPr>
          <w:p>
            <w:pPr>
              <w:adjustRightInd/>
              <w:spacing w:before="120" w:after="120" w:line="319" w:lineRule="auto"/>
              <w:jc w:val="both"/>
              <w:rPr>
                <w:rFonts w:eastAsia="楷体"/>
                <w:b/>
                <w:color w:val="000000"/>
                <w:lang w:eastAsia="zh-CN"/>
              </w:rPr>
            </w:pPr>
            <w:r>
              <w:rPr>
                <w:rFonts w:eastAsia="楷体"/>
                <w:b/>
                <w:color w:val="000000"/>
                <w:lang w:eastAsia="zh-CN"/>
              </w:rPr>
              <w:t>结算单价</w:t>
            </w:r>
          </w:p>
        </w:tc>
        <w:tc>
          <w:tcPr>
            <w:tcW w:w="7400" w:type="dxa"/>
            <w:gridSpan w:val="2"/>
            <w:vAlign w:val="top"/>
          </w:tcPr>
          <w:p>
            <w:pPr>
              <w:adjustRightInd/>
              <w:spacing w:before="120" w:after="120" w:line="319" w:lineRule="auto"/>
              <w:jc w:val="both"/>
              <w:rPr>
                <w:rFonts w:eastAsia="楷体"/>
                <w:color w:val="000000"/>
                <w:lang w:eastAsia="zh-CN"/>
              </w:rPr>
            </w:pPr>
            <w:r>
              <w:rPr>
                <w:rFonts w:eastAsia="楷体"/>
                <w:color w:val="000000"/>
                <w:lang w:eastAsia="zh-CN"/>
              </w:rPr>
              <w:t>指提油日乙方在甲方加油站提油时实际适用的每一升成品油的结算价格，一般情况下等于优惠后单价。</w:t>
            </w:r>
          </w:p>
        </w:tc>
      </w:tr>
      <w:tr>
        <w:trPr>
          <w:jc w:val="center"/>
        </w:trPr>
        <w:tc>
          <w:tcPr>
            <w:tcW w:w="1743" w:type="dxa"/>
            <w:vAlign w:val="top"/>
          </w:tcPr>
          <w:p>
            <w:pPr>
              <w:adjustRightInd/>
              <w:spacing w:before="120" w:after="120" w:line="319" w:lineRule="auto"/>
              <w:jc w:val="both"/>
              <w:rPr>
                <w:rFonts w:eastAsia="楷体"/>
                <w:b/>
                <w:color w:val="000000"/>
                <w:lang w:eastAsia="zh-CN"/>
              </w:rPr>
            </w:pPr>
            <w:r>
              <w:rPr>
                <w:rFonts w:eastAsia="楷体"/>
                <w:b/>
                <w:color w:val="000000"/>
                <w:lang w:eastAsia="zh-CN"/>
              </w:rPr>
              <w:t>预付款结算</w:t>
            </w:r>
          </w:p>
        </w:tc>
        <w:tc>
          <w:tcPr>
            <w:tcW w:w="7400" w:type="dxa"/>
            <w:gridSpan w:val="2"/>
            <w:vAlign w:val="top"/>
          </w:tcPr>
          <w:p>
            <w:pPr>
              <w:adjustRightInd/>
              <w:spacing w:before="120" w:after="120" w:line="319" w:lineRule="auto"/>
              <w:jc w:val="both"/>
              <w:rPr>
                <w:rFonts w:eastAsia="楷体"/>
                <w:color w:val="000000"/>
                <w:lang w:eastAsia="zh-CN"/>
              </w:rPr>
            </w:pPr>
            <w:bookmarkStart w:id="25" w:name="OLE_LINK13"/>
            <w:bookmarkStart w:id="26" w:name="OLE_LINK12"/>
            <w:r>
              <w:rPr>
                <w:rFonts w:eastAsia="楷体"/>
                <w:color w:val="000000"/>
                <w:lang w:eastAsia="zh-CN"/>
              </w:rPr>
              <w:t>指乙方办理加油凭证并预先储值，每次提油时按照实际发生额由甲方扣除对应储值款项的结算方式</w:t>
            </w:r>
            <w:bookmarkEnd w:id="25"/>
            <w:bookmarkEnd w:id="26"/>
            <w:r>
              <w:rPr>
                <w:rFonts w:eastAsia="楷体"/>
                <w:color w:val="000000"/>
                <w:lang w:eastAsia="zh-CN"/>
              </w:rPr>
              <w:t>。</w:t>
            </w:r>
          </w:p>
        </w:tc>
      </w:tr>
      <w:tr>
        <w:trPr>
          <w:jc w:val="center"/>
        </w:trPr>
        <w:tc>
          <w:tcPr>
            <w:tcW w:w="1743" w:type="dxa"/>
            <w:vAlign w:val="top"/>
          </w:tcPr>
          <w:p>
            <w:pPr>
              <w:adjustRightInd/>
              <w:spacing w:before="120" w:after="120" w:line="319" w:lineRule="auto"/>
              <w:jc w:val="both"/>
              <w:rPr>
                <w:rFonts w:eastAsia="楷体"/>
                <w:b/>
                <w:color w:val="000000"/>
                <w:lang w:eastAsia="zh-CN"/>
              </w:rPr>
            </w:pPr>
            <w:r>
              <w:rPr>
                <w:rFonts w:eastAsia="楷体"/>
                <w:b/>
                <w:color w:val="000000"/>
                <w:lang w:eastAsia="zh-CN"/>
              </w:rPr>
              <w:t>加油凭证</w:t>
            </w:r>
          </w:p>
        </w:tc>
        <w:tc>
          <w:tcPr>
            <w:tcW w:w="7400" w:type="dxa"/>
            <w:gridSpan w:val="2"/>
            <w:vAlign w:val="top"/>
          </w:tcPr>
          <w:p>
            <w:pPr>
              <w:adjustRightInd/>
              <w:spacing w:before="120" w:after="120" w:line="319" w:lineRule="auto"/>
              <w:jc w:val="both"/>
              <w:rPr>
                <w:rFonts w:eastAsia="楷体"/>
                <w:color w:val="000000"/>
                <w:lang w:eastAsia="zh-CN"/>
              </w:rPr>
            </w:pPr>
            <w:r>
              <w:rPr>
                <w:rFonts w:eastAsia="楷体"/>
                <w:color w:val="000000"/>
                <w:lang w:eastAsia="zh-CN"/>
              </w:rPr>
              <w:t>指甲方根据乙方储值金额、车辆台数等信息向乙方出具的用于定点加油结算的微芯片卡片，也包括乙方通过甲方移动电子支付平台（如手机APP）支付时所使用的虚拟权益卡或其他可以通过验证乙方用户名、密码、移动支付二维码等信息并完成支付的电子媒介。</w:t>
            </w:r>
          </w:p>
        </w:tc>
      </w:tr>
      <w:tr>
        <w:trPr>
          <w:jc w:val="center"/>
        </w:trPr>
        <w:tc>
          <w:tcPr>
            <w:tcW w:w="1743" w:type="dxa"/>
            <w:vAlign w:val="top"/>
          </w:tcPr>
          <w:p>
            <w:pPr>
              <w:adjustRightInd/>
              <w:spacing w:before="120" w:after="120" w:line="319" w:lineRule="auto"/>
              <w:jc w:val="both"/>
              <w:rPr>
                <w:rFonts w:eastAsia="楷体"/>
                <w:b/>
                <w:color w:val="0000FF"/>
                <w:shd w:val="clear" w:color="030000" w:fill="D9D9D9"/>
                <w:lang w:eastAsia="zh-CN"/>
              </w:rPr>
            </w:pPr>
            <w:bookmarkStart w:id="27" w:name="des1712627120559"/>
            <w:r>
              <w:rPr>
                <w:rFonts w:eastAsia="楷体"/>
                <w:b/>
                <w:color w:val="0000FF"/>
                <w:shd w:val="clear" w:color="030000" w:fill="D9D9D9"/>
                <w:lang w:eastAsia="zh-CN"/>
              </w:rPr>
              <w:t>【滚动结算</w:t>
            </w:r>
          </w:p>
        </w:tc>
        <w:tc>
          <w:tcPr>
            <w:tcW w:w="7400" w:type="dxa"/>
            <w:gridSpan w:val="2"/>
            <w:vAlign w:val="top"/>
          </w:tcPr>
          <w:p>
            <w:pPr>
              <w:adjustRightInd/>
              <w:spacing w:before="120" w:after="120" w:line="319" w:lineRule="auto"/>
              <w:jc w:val="both"/>
              <w:rPr>
                <w:rFonts w:eastAsia="楷体"/>
                <w:color w:val="0000FF"/>
                <w:shd w:val="clear" w:color="020000" w:fill="D9D9D9"/>
                <w:lang w:eastAsia="zh-CN"/>
              </w:rPr>
            </w:pPr>
            <w:r>
              <w:rPr>
                <w:rFonts w:eastAsia="楷体"/>
                <w:color w:val="0000FF"/>
                <w:shd w:val="clear" w:color="020000" w:fill="D9D9D9"/>
                <w:lang w:eastAsia="zh-CN"/>
              </w:rPr>
              <w:t>指乙方定期与甲方结算过去一定期间内实际发生的加油款总额的结算方式，一般为按月滚动结算</w:t>
            </w:r>
            <w:r>
              <w:rPr>
                <w:rFonts w:eastAsia="楷体"/>
                <w:color w:val="000000"/>
                <w:shd w:val="clear" w:color="020000" w:fill="D9D9D9"/>
                <w:lang w:eastAsia="zh-CN"/>
              </w:rPr>
              <w:t>。</w:t>
            </w:r>
            <w:r>
              <w:rPr>
                <w:rFonts w:eastAsia="楷体"/>
                <w:color w:val="0000FF"/>
                <w:shd w:val="clear" w:color="020000" w:fill="D9D9D9"/>
                <w:lang w:eastAsia="zh-CN"/>
              </w:rPr>
              <w:t>】</w:t>
            </w:r>
          </w:p>
        </w:tc>
      </w:tr>
      <w:tr>
        <w:trPr>
          <w:jc w:val="center"/>
        </w:trPr>
        <w:tc>
          <w:tcPr>
            <w:tcW w:w="1743" w:type="dxa"/>
            <w:vAlign w:val="top"/>
          </w:tcPr>
          <w:p>
            <w:pPr>
              <w:adjustRightInd/>
              <w:spacing w:before="120" w:after="120" w:line="319" w:lineRule="auto"/>
              <w:jc w:val="both"/>
              <w:rPr>
                <w:rFonts w:eastAsia="楷体"/>
                <w:b/>
                <w:color w:val="0000FF"/>
                <w:shd w:val="clear" w:color="030000" w:fill="D9D9D9"/>
                <w:lang w:eastAsia="zh-CN"/>
              </w:rPr>
            </w:pPr>
            <w:r>
              <w:rPr>
                <w:rFonts w:eastAsia="楷体"/>
                <w:b/>
                <w:color w:val="0000FF"/>
                <w:shd w:val="clear" w:color="030000" w:fill="D9D9D9"/>
                <w:lang w:eastAsia="zh-CN"/>
              </w:rPr>
              <w:t>【履约保证金</w:t>
            </w:r>
          </w:p>
        </w:tc>
        <w:tc>
          <w:tcPr>
            <w:tcW w:w="7400" w:type="dxa"/>
            <w:gridSpan w:val="2"/>
            <w:vAlign w:val="top"/>
          </w:tcPr>
          <w:p>
            <w:pPr>
              <w:adjustRightInd/>
              <w:spacing w:before="120" w:after="120" w:line="319" w:lineRule="auto"/>
              <w:jc w:val="both"/>
              <w:rPr>
                <w:rFonts w:eastAsia="楷体"/>
                <w:b/>
                <w:color w:val="0000FF"/>
                <w:shd w:val="clear" w:color="030000" w:fill="D9D9D9"/>
                <w:lang w:eastAsia="zh-CN"/>
              </w:rPr>
            </w:pPr>
            <w:r>
              <w:rPr>
                <w:rFonts w:eastAsia="楷体"/>
                <w:color w:val="0000FF"/>
                <w:shd w:val="clear" w:color="020000" w:fill="D9D9D9"/>
                <w:lang w:eastAsia="zh-CN"/>
              </w:rPr>
              <w:t>指适用滚动结算方式时乙方向甲方缴纳的作为油款结算保证的款项</w:t>
            </w:r>
            <w:r>
              <w:rPr>
                <w:rFonts w:eastAsia="楷体"/>
                <w:color w:val="000000"/>
                <w:shd w:val="clear" w:color="020000" w:fill="D9D9D9"/>
                <w:lang w:eastAsia="zh-CN"/>
              </w:rPr>
              <w:t>。</w:t>
            </w:r>
            <w:r>
              <w:rPr>
                <w:rFonts w:eastAsia="楷体"/>
                <w:b/>
                <w:color w:val="0000FF"/>
                <w:shd w:val="clear" w:color="030000" w:fill="D9D9D9"/>
                <w:lang w:eastAsia="zh-CN"/>
              </w:rPr>
              <w:t>】</w:t>
            </w:r>
          </w:p>
        </w:tc>
      </w:tr>
      <w:tr>
        <w:trPr>
          <w:gridAfter w:val="1"/>
          <w:wAfter w:w="143" w:type="dxa"/>
          <w:jc w:val="center"/>
        </w:trPr>
        <w:tc>
          <w:tcPr>
            <w:tcW w:w="1743" w:type="dxa"/>
            <w:vAlign w:val="top"/>
          </w:tcPr>
          <w:p>
            <w:pPr>
              <w:adjustRightInd/>
              <w:spacing w:before="120" w:after="120" w:line="319" w:lineRule="auto"/>
              <w:jc w:val="both"/>
              <w:rPr>
                <w:rFonts w:eastAsia="楷体"/>
                <w:b/>
                <w:color w:val="000000"/>
                <w:lang w:eastAsia="zh-CN"/>
              </w:rPr>
            </w:pPr>
            <w:r>
              <w:rPr>
                <w:rFonts w:eastAsia="楷体"/>
                <w:b/>
                <w:color w:val="000000"/>
                <w:lang w:eastAsia="zh-CN"/>
              </w:rPr>
              <w:t>自然月</w:t>
            </w:r>
          </w:p>
        </w:tc>
        <w:tc>
          <w:tcPr>
            <w:tcW w:w="7257" w:type="dxa"/>
            <w:vAlign w:val="top"/>
          </w:tcPr>
          <w:p>
            <w:pPr>
              <w:adjustRightInd/>
              <w:spacing w:before="120" w:after="120" w:line="319" w:lineRule="auto"/>
              <w:jc w:val="both"/>
              <w:rPr>
                <w:rFonts w:eastAsia="楷体"/>
                <w:color w:val="000000"/>
                <w:lang w:eastAsia="zh-CN"/>
              </w:rPr>
            </w:pPr>
            <w:r>
              <w:rPr>
                <w:rFonts w:eastAsia="楷体"/>
                <w:color w:val="000000"/>
                <w:lang w:eastAsia="zh-CN"/>
              </w:rPr>
              <w:t>指每个月的1日至该月的最后一日。</w:t>
            </w:r>
            <w:bookmarkEnd w:id="23"/>
          </w:p>
        </w:tc>
      </w:tr>
    </w:tbl>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lang/>
        </w:rPr>
      </w:pPr>
      <w:bookmarkStart w:id="28" w:name="_Toc224727256"/>
      <w:bookmarkStart w:id="29" w:name="_DV_C63"/>
      <w:bookmarkStart w:id="30" w:name="_Toc417060687"/>
      <w:r>
        <w:rPr>
          <w:rFonts w:ascii="Times New Roman" w:hAnsi="Times New Roman" w:eastAsia="楷体" w:cs="Times New Roman"/>
          <w:color w:val="000000"/>
          <w:sz w:val="24"/>
          <w:szCs w:val="24"/>
          <w:lang/>
        </w:rPr>
        <w:t>除非上下文另有要求，否则在本合同中：</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szCs w:val="24"/>
        </w:rPr>
        <w:t>对任何文件（包括本合同）或其任何部分或条款的提及应理解为是对经不时</w:t>
      </w:r>
      <w:r>
        <w:rPr>
          <w:rFonts w:ascii="Times New Roman" w:hAnsi="Times New Roman" w:eastAsia="楷体" w:cs="Times New Roman"/>
          <w:color w:val="000000"/>
          <w:sz w:val="24"/>
        </w:rPr>
        <w:t>修订、修改或补充的该文件或者该部分或该条款的提及。</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凡是提及“甲方”或“供方”、“乙方”或“需方”的，均包括该方的权利继承人和经许可的受让人。</w:t>
      </w:r>
      <w:bookmarkStart w:id="31" w:name="_Toc508005077"/>
      <w:bookmarkStart w:id="32" w:name="_Toc501441760"/>
      <w:bookmarkStart w:id="33" w:name="_Toc25491"/>
      <w:bookmarkStart w:id="34" w:name="_Toc15851"/>
    </w:p>
    <w:p>
      <w:pPr>
        <w:pStyle w:val="29"/>
        <w:tabs>
          <w:tab w:val="left" w:pos="709"/>
        </w:tabs>
        <w:spacing w:before="120" w:after="120" w:line="319" w:lineRule="auto"/>
        <w:ind w:left="539" w:hanging="539"/>
        <w:jc w:val="both"/>
        <w:rPr>
          <w:rFonts w:ascii="Times New Roman" w:hAnsi="Times New Roman" w:eastAsia="楷体" w:cs="Times New Roman"/>
          <w:color w:val="000000"/>
          <w:sz w:val="24"/>
        </w:rPr>
      </w:pPr>
      <w:bookmarkStart w:id="35" w:name="_Toc157276987"/>
      <w:bookmarkStart w:id="36" w:name="des1712627252504"/>
      <w:bookmarkStart w:id="37" w:name="_Toc90454436"/>
      <w:bookmarkStart w:id="38" w:name="_Toc234908838"/>
      <w:bookmarkStart w:id="39" w:name="_Toc235005481"/>
      <w:r>
        <w:rPr>
          <w:rFonts w:ascii="Times New Roman" w:hAnsi="Times New Roman" w:eastAsia="楷体" w:cs="Times New Roman"/>
          <w:color w:val="000000"/>
          <w:sz w:val="24"/>
          <w:shd w:val="clear" w:color="030000" w:fill="D9D9D9"/>
        </w:rPr>
        <w:t>油品质量标准</w:t>
      </w:r>
      <w:bookmarkEnd w:id="35"/>
      <w:bookmarkEnd w:id="36"/>
      <w:bookmarkEnd w:id="37"/>
      <w:r>
        <w:rPr>
          <w:rFonts w:ascii="Times New Roman" w:hAnsi="Times New Roman" w:eastAsia="楷体" w:cs="Times New Roman"/>
          <w:color w:val="000000"/>
          <w:sz w:val="24"/>
        </w:rPr>
        <w:t xml:space="preserve">  </w:t>
      </w:r>
      <w:bookmarkEnd w:id="38"/>
      <w:bookmarkEnd w:id="39"/>
    </w:p>
    <w:p>
      <w:pPr>
        <w:pStyle w:val="32"/>
        <w:numPr>
          <w:ilvl w:val="1"/>
          <w:numId w:val="0"/>
        </w:numPr>
        <w:tabs>
          <w:tab w:val="left" w:pos="720"/>
          <w:tab w:val="clear" w:pos="709"/>
        </w:tabs>
        <w:adjustRightInd/>
        <w:snapToGrid/>
        <w:spacing w:before="120" w:after="120" w:line="319" w:lineRule="auto"/>
        <w:ind w:left="566" w:leftChars="236"/>
        <w:rPr>
          <w:rFonts w:ascii="Times New Roman" w:hAnsi="Times New Roman" w:eastAsia="楷体" w:cs="Times New Roman"/>
          <w:color w:val="000000"/>
          <w:sz w:val="24"/>
          <w:lang/>
        </w:rPr>
      </w:pPr>
      <w:bookmarkStart w:id="40" w:name="_Toc234908839"/>
      <w:bookmarkStart w:id="41" w:name="_Toc235005482"/>
      <w:r>
        <w:rPr>
          <w:rFonts w:ascii="Times New Roman" w:hAnsi="Times New Roman" w:eastAsia="楷体" w:cs="Times New Roman"/>
          <w:color w:val="000000"/>
          <w:sz w:val="24"/>
          <w:lang/>
        </w:rPr>
        <w:t>甲方向乙方提供的油品应符合等适用的国家标准（包括其不时更新的标准）。</w:t>
      </w:r>
    </w:p>
    <w:p>
      <w:pPr>
        <w:pStyle w:val="29"/>
        <w:tabs>
          <w:tab w:val="left" w:pos="709"/>
        </w:tabs>
        <w:spacing w:before="120" w:after="120" w:line="319" w:lineRule="auto"/>
        <w:ind w:left="709" w:hanging="709"/>
        <w:jc w:val="both"/>
        <w:rPr>
          <w:rFonts w:ascii="Times New Roman" w:hAnsi="Times New Roman" w:eastAsia="楷体" w:cs="Times New Roman"/>
          <w:color w:val="000000"/>
          <w:sz w:val="24"/>
        </w:rPr>
      </w:pPr>
      <w:bookmarkStart w:id="42" w:name="_Toc153098202"/>
      <w:bookmarkEnd w:id="42"/>
      <w:bookmarkStart w:id="43" w:name="_Toc90454437"/>
      <w:bookmarkStart w:id="44" w:name="_Toc157276988"/>
      <w:r>
        <w:rPr>
          <w:rFonts w:ascii="Times New Roman" w:hAnsi="Times New Roman" w:eastAsia="楷体" w:cs="Times New Roman"/>
          <w:color w:val="000000"/>
          <w:sz w:val="24"/>
        </w:rPr>
        <w:t>油品结算价格</w:t>
      </w:r>
      <w:bookmarkEnd w:id="40"/>
      <w:bookmarkEnd w:id="41"/>
      <w:bookmarkEnd w:id="43"/>
      <w:bookmarkEnd w:id="44"/>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hd w:val="clear" w:color="030000" w:fill="D9D9D9"/>
          <w:lang/>
        </w:rPr>
      </w:pPr>
      <w:bookmarkStart w:id="45" w:name="des1712627326136"/>
      <w:r>
        <w:rPr>
          <w:rFonts w:ascii="Times New Roman" w:hAnsi="Times New Roman" w:eastAsia="楷体" w:cs="Times New Roman"/>
          <w:color w:val="000000"/>
          <w:sz w:val="24"/>
          <w:shd w:val="clear" w:color="030000" w:fill="D9D9D9"/>
          <w:lang/>
        </w:rPr>
        <w:t>甲方向乙方提供定点加油服务的优惠后单价为提油日对应规格油品的挂牌价按照优惠幅度折算后的折扣价格：</w:t>
      </w:r>
      <w:bookmarkEnd w:id="45"/>
    </w:p>
    <w:p>
      <w:pPr>
        <w:pStyle w:val="32"/>
        <w:numPr>
          <w:ilvl w:val="1"/>
          <w:numId w:val="0"/>
        </w:numPr>
        <w:tabs>
          <w:tab w:val="left" w:pos="720"/>
          <w:tab w:val="clear" w:pos="709"/>
        </w:tabs>
        <w:adjustRightInd/>
        <w:snapToGrid/>
        <w:spacing w:before="120" w:after="120" w:line="319" w:lineRule="auto"/>
        <w:ind w:leftChars="0" w:right="24" w:rightChars="10"/>
        <w:rPr>
          <w:rFonts w:ascii="Times New Roman" w:hAnsi="Times New Roman" w:eastAsia="楷体" w:cs="Times New Roman"/>
          <w:color w:val="000000"/>
          <w:sz w:val="24"/>
          <w:lang/>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446"/>
        <w:gridCol w:w="1446"/>
        <w:gridCol w:w="1446"/>
        <w:gridCol w:w="1446"/>
        <w:gridCol w:w="1696"/>
      </w:tblGrid>
      <w:tr>
        <w:tc>
          <w:tcPr>
            <w:tcW w:w="1446" w:type="dxa"/>
            <w:vAlign w:val="center"/>
          </w:tcPr>
          <w:p>
            <w:pPr>
              <w:spacing w:line="319" w:lineRule="auto"/>
              <w:jc w:val="center"/>
              <w:rPr>
                <w:rFonts w:eastAsia="楷体"/>
              </w:rPr>
            </w:pPr>
            <w:r>
              <w:rPr>
                <w:rFonts w:eastAsia="楷体"/>
              </w:rPr>
              <w:t>油品规格</w:t>
            </w:r>
          </w:p>
        </w:tc>
        <w:tc>
          <w:tcPr>
            <w:tcW w:w="1446" w:type="dxa"/>
            <w:vAlign w:val="center"/>
          </w:tcPr>
          <w:p>
            <w:pPr>
              <w:spacing w:line="319" w:lineRule="auto"/>
              <w:jc w:val="center"/>
              <w:rPr>
                <w:rFonts w:eastAsia="楷体"/>
              </w:rPr>
            </w:pPr>
            <w:r>
              <w:rPr>
                <w:rFonts w:eastAsia="楷体"/>
                <w:u w:val="single"/>
              </w:rPr>
              <w:t xml:space="preserve">   </w:t>
            </w:r>
            <w:r>
              <w:rPr>
                <w:rFonts w:eastAsia="楷体"/>
              </w:rPr>
              <w:t>#柴油</w:t>
            </w:r>
          </w:p>
        </w:tc>
        <w:tc>
          <w:tcPr>
            <w:tcW w:w="1446" w:type="dxa"/>
            <w:vAlign w:val="center"/>
          </w:tcPr>
          <w:p>
            <w:pPr>
              <w:spacing w:line="319" w:lineRule="auto"/>
              <w:jc w:val="center"/>
              <w:rPr>
                <w:rFonts w:eastAsia="楷体"/>
              </w:rPr>
            </w:pPr>
            <w:r>
              <w:rPr>
                <w:rFonts w:eastAsia="楷体"/>
                <w:u w:val="single"/>
              </w:rPr>
              <w:t xml:space="preserve">   </w:t>
            </w:r>
            <w:r>
              <w:rPr>
                <w:rFonts w:eastAsia="楷体"/>
              </w:rPr>
              <w:t>#柴油</w:t>
            </w:r>
          </w:p>
        </w:tc>
        <w:tc>
          <w:tcPr>
            <w:tcW w:w="1446" w:type="dxa"/>
            <w:vAlign w:val="center"/>
          </w:tcPr>
          <w:p>
            <w:pPr>
              <w:spacing w:line="319" w:lineRule="auto"/>
              <w:jc w:val="center"/>
              <w:rPr>
                <w:rFonts w:eastAsia="楷体"/>
              </w:rPr>
            </w:pPr>
            <w:r>
              <w:rPr>
                <w:rFonts w:eastAsia="楷体"/>
                <w:u w:val="single"/>
              </w:rPr>
              <w:t xml:space="preserve">    </w:t>
            </w:r>
            <w:r>
              <w:rPr>
                <w:rFonts w:eastAsia="楷体"/>
              </w:rPr>
              <w:t>#汽油</w:t>
            </w:r>
          </w:p>
        </w:tc>
        <w:tc>
          <w:tcPr>
            <w:tcW w:w="1446" w:type="dxa"/>
            <w:vAlign w:val="center"/>
          </w:tcPr>
          <w:p>
            <w:pPr>
              <w:spacing w:line="319" w:lineRule="auto"/>
              <w:jc w:val="center"/>
              <w:rPr>
                <w:rFonts w:eastAsia="楷体"/>
              </w:rPr>
            </w:pPr>
            <w:r>
              <w:rPr>
                <w:rFonts w:eastAsia="楷体"/>
                <w:u w:val="single"/>
              </w:rPr>
              <w:t xml:space="preserve">    </w:t>
            </w:r>
            <w:r>
              <w:rPr>
                <w:rFonts w:eastAsia="楷体"/>
              </w:rPr>
              <w:t>#汽油</w:t>
            </w:r>
          </w:p>
        </w:tc>
        <w:tc>
          <w:tcPr>
            <w:tcW w:w="1696" w:type="dxa"/>
            <w:vAlign w:val="center"/>
          </w:tcPr>
          <w:p>
            <w:pPr>
              <w:spacing w:line="319" w:lineRule="auto"/>
              <w:jc w:val="center"/>
              <w:rPr>
                <w:rFonts w:eastAsia="楷体"/>
              </w:rPr>
            </w:pPr>
            <w:r>
              <w:rPr>
                <w:rFonts w:eastAsia="楷体"/>
                <w:u w:val="single"/>
              </w:rPr>
              <w:t xml:space="preserve">    </w:t>
            </w:r>
            <w:r>
              <w:rPr>
                <w:rFonts w:eastAsia="楷体"/>
              </w:rPr>
              <w:t>#汽油</w:t>
            </w:r>
          </w:p>
        </w:tc>
      </w:tr>
      <w:tr>
        <w:tc>
          <w:tcPr>
            <w:tcW w:w="1446" w:type="dxa"/>
            <w:vAlign w:val="center"/>
          </w:tcPr>
          <w:p>
            <w:pPr>
              <w:spacing w:line="319" w:lineRule="auto"/>
              <w:jc w:val="center"/>
              <w:rPr>
                <w:rFonts w:eastAsia="楷体"/>
              </w:rPr>
            </w:pPr>
            <w:r>
              <w:rPr>
                <w:rFonts w:eastAsia="楷体"/>
              </w:rPr>
              <w:t>油品价格</w:t>
            </w:r>
          </w:p>
        </w:tc>
        <w:tc>
          <w:tcPr>
            <w:tcW w:w="1446" w:type="dxa"/>
            <w:vAlign w:val="center"/>
          </w:tcPr>
          <w:p>
            <w:pPr>
              <w:spacing w:line="319" w:lineRule="auto"/>
              <w:jc w:val="center"/>
              <w:rPr>
                <w:rFonts w:eastAsia="楷体"/>
              </w:rPr>
            </w:pPr>
            <w:r>
              <w:rPr>
                <w:rFonts w:eastAsia="楷体"/>
              </w:rPr>
              <w:t>当日挂牌价</w:t>
            </w:r>
          </w:p>
        </w:tc>
        <w:tc>
          <w:tcPr>
            <w:tcW w:w="1446" w:type="dxa"/>
            <w:vAlign w:val="center"/>
          </w:tcPr>
          <w:p>
            <w:pPr>
              <w:spacing w:line="319" w:lineRule="auto"/>
              <w:jc w:val="center"/>
              <w:rPr>
                <w:rFonts w:eastAsia="楷体"/>
              </w:rPr>
            </w:pPr>
            <w:r>
              <w:rPr>
                <w:rFonts w:eastAsia="楷体"/>
              </w:rPr>
              <w:t>当日挂牌价</w:t>
            </w:r>
          </w:p>
        </w:tc>
        <w:tc>
          <w:tcPr>
            <w:tcW w:w="1446" w:type="dxa"/>
            <w:vAlign w:val="center"/>
          </w:tcPr>
          <w:p>
            <w:pPr>
              <w:spacing w:line="319" w:lineRule="auto"/>
              <w:jc w:val="center"/>
              <w:rPr>
                <w:rFonts w:eastAsia="楷体"/>
              </w:rPr>
            </w:pPr>
            <w:r>
              <w:rPr>
                <w:rFonts w:eastAsia="楷体"/>
              </w:rPr>
              <w:t>当日挂牌价</w:t>
            </w:r>
          </w:p>
        </w:tc>
        <w:tc>
          <w:tcPr>
            <w:tcW w:w="1446" w:type="dxa"/>
            <w:vAlign w:val="center"/>
          </w:tcPr>
          <w:p>
            <w:pPr>
              <w:spacing w:line="319" w:lineRule="auto"/>
              <w:jc w:val="center"/>
              <w:rPr>
                <w:rFonts w:eastAsia="楷体"/>
              </w:rPr>
            </w:pPr>
            <w:r>
              <w:rPr>
                <w:rFonts w:eastAsia="楷体"/>
              </w:rPr>
              <w:t>当日挂牌价</w:t>
            </w:r>
          </w:p>
        </w:tc>
        <w:tc>
          <w:tcPr>
            <w:tcW w:w="1696" w:type="dxa"/>
            <w:vAlign w:val="center"/>
          </w:tcPr>
          <w:p>
            <w:pPr>
              <w:spacing w:line="319" w:lineRule="auto"/>
              <w:jc w:val="center"/>
              <w:rPr>
                <w:rFonts w:eastAsia="楷体"/>
              </w:rPr>
            </w:pPr>
            <w:r>
              <w:rPr>
                <w:rFonts w:eastAsia="楷体"/>
              </w:rPr>
              <w:t>当日挂牌价</w:t>
            </w:r>
          </w:p>
        </w:tc>
      </w:tr>
      <w:tr>
        <w:tc>
          <w:tcPr>
            <w:tcW w:w="1446" w:type="dxa"/>
            <w:vAlign w:val="center"/>
          </w:tcPr>
          <w:p>
            <w:pPr>
              <w:spacing w:line="319" w:lineRule="auto"/>
              <w:jc w:val="center"/>
              <w:rPr>
                <w:rFonts w:eastAsia="楷体"/>
              </w:rPr>
            </w:pPr>
            <w:r>
              <w:rPr>
                <w:rFonts w:eastAsia="楷体"/>
              </w:rPr>
              <w:t>优惠幅度</w:t>
            </w:r>
          </w:p>
        </w:tc>
        <w:tc>
          <w:tcPr>
            <w:tcW w:w="1446" w:type="dxa"/>
            <w:vAlign w:val="center"/>
          </w:tcPr>
          <w:p>
            <w:pPr>
              <w:spacing w:line="319" w:lineRule="auto"/>
              <w:jc w:val="center"/>
              <w:rPr>
                <w:rFonts w:hint="eastAsia" w:eastAsia="楷体"/>
                <w:color w:val="auto"/>
                <w:lang w:val="en-US" w:eastAsia="zh-CN"/>
              </w:rPr>
            </w:pPr>
            <w:r>
              <w:rPr>
                <w:rFonts w:hint="eastAsia" w:eastAsia="楷体"/>
                <w:color w:val="auto"/>
                <w:lang w:val="en-US" w:eastAsia="zh-CN"/>
              </w:rPr>
              <w:t>/</w:t>
            </w:r>
          </w:p>
        </w:tc>
        <w:tc>
          <w:tcPr>
            <w:tcW w:w="1446" w:type="dxa"/>
            <w:vAlign w:val="center"/>
          </w:tcPr>
          <w:p>
            <w:pPr>
              <w:spacing w:line="319" w:lineRule="auto"/>
              <w:jc w:val="center"/>
              <w:rPr>
                <w:rFonts w:hint="eastAsia" w:eastAsia="楷体"/>
                <w:color w:val="auto"/>
                <w:lang w:val="en-US" w:eastAsia="zh-CN"/>
              </w:rPr>
            </w:pPr>
            <w:r>
              <w:rPr>
                <w:rFonts w:hint="eastAsia" w:eastAsia="楷体"/>
                <w:color w:val="auto"/>
                <w:lang w:val="en-US" w:eastAsia="zh-CN"/>
              </w:rPr>
              <w:t>/</w:t>
            </w:r>
          </w:p>
        </w:tc>
        <w:tc>
          <w:tcPr>
            <w:tcW w:w="1446" w:type="dxa"/>
            <w:vAlign w:val="center"/>
          </w:tcPr>
          <w:p>
            <w:pPr>
              <w:spacing w:line="319" w:lineRule="auto"/>
              <w:jc w:val="center"/>
              <w:rPr>
                <w:rFonts w:hint="eastAsia" w:eastAsia="楷体"/>
                <w:color w:val="auto"/>
                <w:lang w:val="en-US" w:eastAsia="zh-CN"/>
              </w:rPr>
            </w:pPr>
            <w:r>
              <w:rPr>
                <w:rFonts w:hint="eastAsia" w:eastAsia="楷体"/>
                <w:color w:val="auto"/>
                <w:lang w:val="en-US" w:eastAsia="zh-CN"/>
              </w:rPr>
              <w:t>/</w:t>
            </w:r>
          </w:p>
        </w:tc>
        <w:tc>
          <w:tcPr>
            <w:tcW w:w="1446" w:type="dxa"/>
            <w:vAlign w:val="center"/>
          </w:tcPr>
          <w:p>
            <w:pPr>
              <w:spacing w:line="319" w:lineRule="auto"/>
              <w:jc w:val="center"/>
              <w:rPr>
                <w:rFonts w:hint="eastAsia" w:eastAsia="楷体"/>
                <w:color w:val="auto"/>
                <w:lang w:val="en-US" w:eastAsia="zh-CN"/>
              </w:rPr>
            </w:pPr>
            <w:r>
              <w:rPr>
                <w:rFonts w:hint="eastAsia" w:eastAsia="楷体"/>
                <w:color w:val="auto"/>
                <w:lang w:val="en-US" w:eastAsia="zh-CN"/>
              </w:rPr>
              <w:t>/</w:t>
            </w:r>
          </w:p>
        </w:tc>
        <w:tc>
          <w:tcPr>
            <w:tcW w:w="1696" w:type="dxa"/>
            <w:vAlign w:val="center"/>
          </w:tcPr>
          <w:p>
            <w:pPr>
              <w:spacing w:line="319" w:lineRule="auto"/>
              <w:jc w:val="center"/>
              <w:rPr>
                <w:rFonts w:hint="eastAsia" w:eastAsia="楷体"/>
                <w:color w:val="auto"/>
                <w:lang w:val="en-US" w:eastAsia="zh-CN"/>
              </w:rPr>
            </w:pPr>
            <w:r>
              <w:rPr>
                <w:rFonts w:hint="eastAsia" w:eastAsia="楷体"/>
                <w:color w:val="auto"/>
                <w:lang w:val="en-US" w:eastAsia="zh-CN"/>
              </w:rPr>
              <w:t>/</w:t>
            </w:r>
          </w:p>
        </w:tc>
      </w:tr>
      <w:tr>
        <w:tc>
          <w:tcPr>
            <w:tcW w:w="1446" w:type="dxa"/>
            <w:vAlign w:val="center"/>
          </w:tcPr>
          <w:p>
            <w:pPr>
              <w:spacing w:line="319" w:lineRule="auto"/>
              <w:jc w:val="center"/>
              <w:rPr>
                <w:rFonts w:eastAsia="楷体"/>
              </w:rPr>
            </w:pPr>
            <w:r>
              <w:rPr>
                <w:rFonts w:eastAsia="楷体"/>
              </w:rPr>
              <w:t>阶梯优惠</w:t>
            </w:r>
          </w:p>
          <w:p>
            <w:pPr>
              <w:spacing w:line="319" w:lineRule="auto"/>
              <w:jc w:val="center"/>
              <w:rPr>
                <w:rFonts w:eastAsia="楷体"/>
              </w:rPr>
            </w:pPr>
            <w:r>
              <w:rPr>
                <w:rFonts w:eastAsia="楷体"/>
              </w:rPr>
              <w:t>幅度</w:t>
            </w:r>
          </w:p>
        </w:tc>
        <w:tc>
          <w:tcPr>
            <w:tcW w:w="1446" w:type="dxa"/>
            <w:vAlign w:val="center"/>
          </w:tcPr>
          <w:p>
            <w:pPr>
              <w:spacing w:line="319" w:lineRule="auto"/>
              <w:jc w:val="center"/>
              <w:rPr>
                <w:rFonts w:hint="eastAsia" w:eastAsia="楷体"/>
                <w:color w:val="auto"/>
                <w:lang w:val="en-US" w:eastAsia="zh-CN"/>
              </w:rPr>
            </w:pPr>
            <w:r>
              <w:rPr>
                <w:rFonts w:hint="eastAsia" w:eastAsia="楷体"/>
                <w:color w:val="auto"/>
                <w:lang w:val="en-US" w:eastAsia="zh-CN"/>
              </w:rPr>
              <w:t>/</w:t>
            </w:r>
          </w:p>
        </w:tc>
        <w:tc>
          <w:tcPr>
            <w:tcW w:w="1446" w:type="dxa"/>
            <w:vAlign w:val="center"/>
          </w:tcPr>
          <w:p>
            <w:pPr>
              <w:spacing w:line="319" w:lineRule="auto"/>
              <w:jc w:val="center"/>
              <w:rPr>
                <w:rFonts w:hint="eastAsia" w:eastAsia="楷体"/>
                <w:color w:val="auto"/>
                <w:lang w:val="en-US" w:eastAsia="zh-CN"/>
              </w:rPr>
            </w:pPr>
            <w:r>
              <w:rPr>
                <w:rFonts w:hint="eastAsia" w:eastAsia="楷体"/>
                <w:color w:val="auto"/>
                <w:lang w:val="en-US" w:eastAsia="zh-CN"/>
              </w:rPr>
              <w:t>/</w:t>
            </w:r>
          </w:p>
        </w:tc>
        <w:tc>
          <w:tcPr>
            <w:tcW w:w="1446" w:type="dxa"/>
            <w:vAlign w:val="center"/>
          </w:tcPr>
          <w:p>
            <w:pPr>
              <w:spacing w:line="319" w:lineRule="auto"/>
              <w:jc w:val="center"/>
              <w:rPr>
                <w:rFonts w:hint="eastAsia" w:eastAsia="楷体"/>
                <w:color w:val="auto"/>
                <w:lang w:val="en-US" w:eastAsia="zh-CN"/>
              </w:rPr>
            </w:pPr>
            <w:r>
              <w:rPr>
                <w:rFonts w:hint="eastAsia" w:eastAsia="楷体"/>
                <w:color w:val="auto"/>
                <w:lang w:val="en-US" w:eastAsia="zh-CN"/>
              </w:rPr>
              <w:t>/</w:t>
            </w:r>
          </w:p>
        </w:tc>
        <w:tc>
          <w:tcPr>
            <w:tcW w:w="1446" w:type="dxa"/>
            <w:vAlign w:val="center"/>
          </w:tcPr>
          <w:p>
            <w:pPr>
              <w:spacing w:line="319" w:lineRule="auto"/>
              <w:jc w:val="center"/>
              <w:rPr>
                <w:rFonts w:hint="eastAsia" w:eastAsia="楷体"/>
                <w:color w:val="auto"/>
                <w:lang w:val="en-US" w:eastAsia="zh-CN"/>
              </w:rPr>
            </w:pPr>
            <w:r>
              <w:rPr>
                <w:rFonts w:hint="eastAsia" w:eastAsia="楷体"/>
                <w:color w:val="auto"/>
                <w:lang w:val="en-US" w:eastAsia="zh-CN"/>
              </w:rPr>
              <w:t>/</w:t>
            </w:r>
          </w:p>
        </w:tc>
        <w:tc>
          <w:tcPr>
            <w:tcW w:w="1696" w:type="dxa"/>
            <w:vAlign w:val="center"/>
          </w:tcPr>
          <w:p>
            <w:pPr>
              <w:spacing w:line="319" w:lineRule="auto"/>
              <w:jc w:val="center"/>
              <w:rPr>
                <w:rFonts w:hint="eastAsia" w:eastAsia="楷体"/>
                <w:color w:val="auto"/>
                <w:lang w:val="en-US" w:eastAsia="zh-CN"/>
              </w:rPr>
            </w:pPr>
            <w:r>
              <w:rPr>
                <w:rFonts w:hint="eastAsia" w:eastAsia="楷体"/>
                <w:color w:val="auto"/>
                <w:lang w:val="en-US" w:eastAsia="zh-CN"/>
              </w:rPr>
              <w:t>/</w:t>
            </w:r>
          </w:p>
        </w:tc>
      </w:tr>
      <w:tr>
        <w:tc>
          <w:tcPr>
            <w:tcW w:w="1446" w:type="dxa"/>
            <w:vAlign w:val="center"/>
          </w:tcPr>
          <w:p>
            <w:pPr>
              <w:spacing w:line="319" w:lineRule="auto"/>
              <w:jc w:val="center"/>
              <w:rPr>
                <w:rFonts w:eastAsia="楷体"/>
              </w:rPr>
            </w:pPr>
            <w:r>
              <w:rPr>
                <w:rFonts w:eastAsia="楷体"/>
              </w:rPr>
              <w:t>备注</w:t>
            </w:r>
          </w:p>
        </w:tc>
        <w:tc>
          <w:tcPr>
            <w:tcW w:w="1446" w:type="dxa"/>
            <w:vAlign w:val="center"/>
          </w:tcPr>
          <w:p>
            <w:pPr>
              <w:spacing w:line="319" w:lineRule="auto"/>
              <w:jc w:val="center"/>
              <w:rPr>
                <w:rFonts w:eastAsia="楷体"/>
                <w:color w:val="0000FF"/>
              </w:rPr>
            </w:pPr>
          </w:p>
        </w:tc>
        <w:tc>
          <w:tcPr>
            <w:tcW w:w="1446" w:type="dxa"/>
            <w:vAlign w:val="center"/>
          </w:tcPr>
          <w:p>
            <w:pPr>
              <w:spacing w:line="319" w:lineRule="auto"/>
              <w:jc w:val="center"/>
              <w:rPr>
                <w:rFonts w:eastAsia="楷体"/>
                <w:color w:val="0000FF"/>
              </w:rPr>
            </w:pPr>
          </w:p>
        </w:tc>
        <w:tc>
          <w:tcPr>
            <w:tcW w:w="1446" w:type="dxa"/>
            <w:vAlign w:val="center"/>
          </w:tcPr>
          <w:p>
            <w:pPr>
              <w:spacing w:line="319" w:lineRule="auto"/>
              <w:jc w:val="center"/>
              <w:rPr>
                <w:rFonts w:eastAsia="楷体"/>
                <w:color w:val="0000FF"/>
              </w:rPr>
            </w:pPr>
          </w:p>
        </w:tc>
        <w:tc>
          <w:tcPr>
            <w:tcW w:w="1446" w:type="dxa"/>
            <w:vAlign w:val="center"/>
          </w:tcPr>
          <w:p>
            <w:pPr>
              <w:spacing w:line="319" w:lineRule="auto"/>
              <w:jc w:val="center"/>
              <w:rPr>
                <w:rFonts w:eastAsia="楷体"/>
                <w:color w:val="0000FF"/>
              </w:rPr>
            </w:pPr>
          </w:p>
        </w:tc>
        <w:tc>
          <w:tcPr>
            <w:tcW w:w="1696" w:type="dxa"/>
            <w:vAlign w:val="center"/>
          </w:tcPr>
          <w:p>
            <w:pPr>
              <w:spacing w:line="319" w:lineRule="auto"/>
              <w:jc w:val="center"/>
              <w:rPr>
                <w:rFonts w:eastAsia="楷体"/>
                <w:color w:val="0000FF"/>
              </w:rPr>
            </w:pPr>
          </w:p>
        </w:tc>
      </w:tr>
    </w:tbl>
    <w:p>
      <w:pPr>
        <w:pStyle w:val="32"/>
        <w:numPr>
          <w:ilvl w:val="1"/>
          <w:numId w:val="0"/>
        </w:numPr>
        <w:tabs>
          <w:tab w:val="left" w:pos="720"/>
          <w:tab w:val="clear" w:pos="709"/>
        </w:tabs>
        <w:adjustRightInd/>
        <w:snapToGrid/>
        <w:spacing w:before="120" w:after="120" w:line="319" w:lineRule="auto"/>
        <w:ind w:left="709" w:hanging="567"/>
        <w:rPr>
          <w:rFonts w:hint="default" w:ascii="Times New Roman" w:hAnsi="Times New Roman" w:eastAsia="楷体" w:cs="Times New Roman"/>
          <w:color w:val="000000"/>
          <w:sz w:val="24"/>
          <w:lang w:val="en-US" w:eastAsia="zh-CN"/>
        </w:rPr>
      </w:pPr>
      <w:r>
        <w:rPr>
          <w:rFonts w:hint="eastAsia" w:ascii="Times New Roman" w:hAnsi="Times New Roman" w:eastAsia="楷体" w:cs="Times New Roman"/>
          <w:color w:val="000000"/>
          <w:sz w:val="24"/>
          <w:lang w:val="en-US" w:eastAsia="zh-CN"/>
        </w:rPr>
        <w:t xml:space="preserve">  </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lang/>
        </w:rPr>
      </w:pPr>
      <w:bookmarkStart w:id="46" w:name="des1712628594829"/>
      <w:r>
        <w:rPr>
          <w:rFonts w:ascii="Times New Roman" w:hAnsi="Times New Roman" w:eastAsia="楷体" w:cs="Times New Roman"/>
          <w:color w:val="000000"/>
          <w:sz w:val="24"/>
          <w:shd w:val="clear" w:color="030000" w:fill="D9D9D9"/>
          <w:lang/>
        </w:rPr>
        <w:t>甲方采取油品价格促销活动期间，本合同项下油品结算价格为</w:t>
      </w:r>
      <w:r>
        <w:rPr>
          <w:rFonts w:hint="eastAsia" w:ascii="Times New Roman" w:hAnsi="Times New Roman" w:eastAsia="楷体" w:cs="Times New Roman"/>
          <w:color w:val="000000"/>
          <w:shd w:val="clear" w:color="020000" w:fill="D9D9D9"/>
        </w:rPr>
        <w:t>。</w:t>
      </w:r>
      <w:bookmarkEnd w:id="46"/>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lang/>
        </w:rPr>
      </w:pPr>
      <w:r>
        <w:rPr>
          <w:rFonts w:ascii="Times New Roman" w:hAnsi="Times New Roman" w:eastAsia="楷体" w:cs="Times New Roman"/>
          <w:color w:val="000000"/>
          <w:sz w:val="24"/>
          <w:lang/>
        </w:rPr>
        <w:t>乙方每台车辆单次加油的结算总价=结算单价×实际加油量。除甲方油品资源供应紧张时，结算单价=优惠后单价。</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B0F0"/>
          <w:sz w:val="24"/>
          <w:lang/>
        </w:rPr>
      </w:pPr>
      <w:r>
        <w:rPr>
          <w:rFonts w:ascii="Times New Roman" w:hAnsi="Times New Roman" w:eastAsia="楷体" w:cs="Times New Roman"/>
          <w:color w:val="000000"/>
          <w:sz w:val="24"/>
          <w:lang/>
        </w:rPr>
        <w:t>在油品资源市场供需正常情况下，</w:t>
      </w:r>
      <w:bookmarkStart w:id="47" w:name="des1712628912276"/>
      <w:r>
        <w:rPr>
          <w:rFonts w:ascii="Times New Roman" w:hAnsi="Times New Roman" w:eastAsia="楷体" w:cs="Times New Roman"/>
          <w:color w:val="000000"/>
          <w:sz w:val="24"/>
          <w:shd w:val="clear" w:color="030000" w:fill="D9D9D9"/>
          <w:lang/>
        </w:rPr>
        <w:t>乙方应保证每月提油量</w:t>
      </w:r>
      <w:bookmarkEnd w:id="47"/>
      <w:r>
        <w:rPr>
          <w:rFonts w:ascii="Times New Roman" w:hAnsi="Times New Roman" w:eastAsia="楷体" w:cs="Times New Roman"/>
          <w:color w:val="000000"/>
          <w:sz w:val="24"/>
          <w:lang/>
        </w:rPr>
        <w:t>不低于吨。否则，甲方有权对乙方的优惠。</w:t>
      </w:r>
    </w:p>
    <w:p>
      <w:pPr>
        <w:pStyle w:val="32"/>
        <w:numPr>
          <w:ilvl w:val="1"/>
          <w:numId w:val="0"/>
        </w:numPr>
        <w:tabs>
          <w:tab w:val="left" w:pos="720"/>
          <w:tab w:val="clear" w:pos="709"/>
        </w:tabs>
        <w:adjustRightInd/>
        <w:snapToGrid/>
        <w:spacing w:before="120" w:after="120" w:line="319" w:lineRule="auto"/>
        <w:ind w:left="720"/>
        <w:rPr>
          <w:rFonts w:ascii="Times New Roman" w:hAnsi="Times New Roman" w:eastAsia="楷体" w:cs="Times New Roman"/>
          <w:color w:val="00B0F0"/>
          <w:sz w:val="24"/>
          <w:lang/>
        </w:rPr>
      </w:pPr>
      <w:r>
        <w:rPr>
          <w:rFonts w:ascii="Times New Roman" w:hAnsi="Times New Roman" w:eastAsia="楷体" w:cs="Times New Roman"/>
          <w:color w:val="0000FF"/>
          <w:sz w:val="24"/>
          <w:lang/>
        </w:rPr>
        <w:t>【本合同生效后，甲方给予乙方两个月观察期。观察期满且乙方每月提油量不低于___</w:t>
      </w:r>
      <w:r>
        <w:rPr>
          <w:rFonts w:hint="eastAsia" w:ascii="Times New Roman" w:hAnsi="Times New Roman" w:eastAsia="楷体" w:cs="Times New Roman"/>
          <w:color w:val="0000FF"/>
          <w:sz w:val="24"/>
          <w:lang w:val="en-US" w:eastAsia="zh-CN"/>
        </w:rPr>
        <w:t>/</w:t>
      </w:r>
      <w:r>
        <w:rPr>
          <w:rFonts w:ascii="Times New Roman" w:hAnsi="Times New Roman" w:eastAsia="楷体" w:cs="Times New Roman"/>
          <w:color w:val="0000FF"/>
          <w:sz w:val="24"/>
          <w:lang/>
        </w:rPr>
        <w:t>___吨时，可继续在本合同期内享受优惠后单价。否则甲方有权取消乙方优惠资格。】</w:t>
      </w:r>
    </w:p>
    <w:p>
      <w:pPr>
        <w:pStyle w:val="32"/>
        <w:numPr>
          <w:ilvl w:val="1"/>
          <w:numId w:val="0"/>
        </w:numPr>
        <w:tabs>
          <w:tab w:val="left" w:pos="720"/>
          <w:tab w:val="clear" w:pos="709"/>
        </w:tabs>
        <w:adjustRightInd/>
        <w:snapToGrid/>
        <w:spacing w:before="120" w:after="120" w:line="319" w:lineRule="auto"/>
        <w:ind w:left="720"/>
        <w:rPr>
          <w:rFonts w:ascii="Times New Roman" w:hAnsi="Times New Roman" w:eastAsia="楷体" w:cs="Times New Roman"/>
          <w:color w:val="0000FF"/>
          <w:sz w:val="24"/>
          <w:lang/>
        </w:rPr>
      </w:pPr>
      <w:r>
        <w:rPr>
          <w:rFonts w:ascii="Times New Roman" w:hAnsi="Times New Roman" w:eastAsia="楷体" w:cs="Times New Roman"/>
          <w:color w:val="0000FF"/>
          <w:sz w:val="24"/>
          <w:lang/>
        </w:rPr>
        <w:t>【在油品资源市场供需正常情况下，乙方应保证年度提油量（从本合同生效之日起算）不低于__</w:t>
      </w:r>
      <w:r>
        <w:rPr>
          <w:rFonts w:hint="eastAsia" w:ascii="Times New Roman" w:hAnsi="Times New Roman" w:eastAsia="楷体" w:cs="Times New Roman"/>
          <w:color w:val="0000FF"/>
          <w:sz w:val="24"/>
          <w:lang w:val="en-US" w:eastAsia="zh-CN"/>
        </w:rPr>
        <w:t>/</w:t>
      </w:r>
      <w:r>
        <w:rPr>
          <w:rFonts w:ascii="Times New Roman" w:hAnsi="Times New Roman" w:eastAsia="楷体" w:cs="Times New Roman"/>
          <w:color w:val="0000FF"/>
          <w:sz w:val="24"/>
          <w:lang/>
        </w:rPr>
        <w:t>__吨。否则，甲方有权要求乙方退回已享受的部分或全部折扣金额。】</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FF"/>
          <w:sz w:val="24"/>
          <w:shd w:val="clear" w:color="030000" w:fill="D9D9D9"/>
          <w:lang/>
        </w:rPr>
      </w:pPr>
      <w:bookmarkStart w:id="48" w:name="des1712628987532"/>
      <w:r>
        <w:rPr>
          <w:rFonts w:ascii="Times New Roman" w:hAnsi="Times New Roman" w:eastAsia="楷体" w:cs="Times New Roman"/>
          <w:color w:val="0000FF"/>
          <w:sz w:val="24"/>
          <w:shd w:val="clear" w:color="030000" w:fill="D9D9D9"/>
          <w:lang/>
        </w:rPr>
        <w:t>【甲方油品资源供应紧张时，甲乙双方另行签署补充协议，或通过其他书面方式确认油品资源供应紧张情况后暂停/调减乙方适用的优惠条件。】</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hd w:val="clear" w:color="030000" w:fill="D9D9D9"/>
          <w:lang/>
        </w:rPr>
      </w:pPr>
      <w:bookmarkStart w:id="49" w:name="OLE_LINK3"/>
      <w:bookmarkStart w:id="50" w:name="OLE_LINK4"/>
      <w:r>
        <w:rPr>
          <w:rFonts w:ascii="Times New Roman" w:hAnsi="Times New Roman" w:eastAsia="楷体" w:cs="Times New Roman"/>
          <w:color w:val="000000"/>
          <w:sz w:val="24"/>
          <w:shd w:val="clear" w:color="030000" w:fill="D9D9D9"/>
          <w:lang/>
        </w:rPr>
        <w:t>甲方油品资源供应紧张时，在可以调集资源的前提下将尽量优先向乙方供应油品，价格以提油日加油站挂牌价为准。具体适用如下条：</w:t>
      </w:r>
    </w:p>
    <w:p>
      <w:pPr>
        <w:pStyle w:val="34"/>
        <w:tabs>
          <w:tab w:val="left" w:pos="709"/>
          <w:tab w:val="left" w:pos="850"/>
          <w:tab w:val="clear" w:pos="1800"/>
        </w:tabs>
        <w:adjustRightInd/>
        <w:snapToGrid/>
        <w:spacing w:before="120" w:after="120" w:line="319" w:lineRule="auto"/>
        <w:ind w:left="1440" w:hanging="720"/>
        <w:rPr>
          <w:rFonts w:ascii="Times New Roman" w:hAnsi="Times New Roman" w:eastAsia="楷体" w:cs="Times New Roman"/>
          <w:color w:val="000000"/>
          <w:sz w:val="24"/>
          <w:shd w:val="clear" w:color="030000" w:fill="D9D9D9"/>
        </w:rPr>
      </w:pPr>
      <w:r>
        <w:rPr>
          <w:rFonts w:ascii="Times New Roman" w:hAnsi="Times New Roman" w:eastAsia="楷体" w:cs="Times New Roman"/>
          <w:color w:val="000000"/>
          <w:sz w:val="24"/>
          <w:shd w:val="clear" w:color="030000" w:fill="D9D9D9"/>
        </w:rPr>
        <w:t>乙方暂时不享受第3.1条约定的优惠后单价</w:t>
      </w:r>
      <w:r>
        <w:rPr>
          <w:rFonts w:ascii="Times New Roman" w:hAnsi="Times New Roman" w:eastAsia="楷体" w:cs="Times New Roman"/>
          <w:color w:val="000000"/>
          <w:sz w:val="24"/>
          <w:szCs w:val="24"/>
          <w:shd w:val="clear" w:color="040000" w:fill="D9D9D9"/>
        </w:rPr>
        <w:t>；</w:t>
      </w:r>
      <w:r>
        <w:rPr>
          <w:rFonts w:ascii="Times New Roman" w:hAnsi="Times New Roman" w:eastAsia="楷体" w:cs="Times New Roman"/>
          <w:color w:val="000000"/>
          <w:sz w:val="24"/>
          <w:shd w:val="clear" w:color="030000" w:fill="D9D9D9"/>
        </w:rPr>
        <w:t>待油品资源供应平稳后，继续按照3.1条约定执行。</w:t>
      </w:r>
    </w:p>
    <w:p>
      <w:pPr>
        <w:pStyle w:val="34"/>
        <w:tabs>
          <w:tab w:val="left" w:pos="709"/>
          <w:tab w:val="left" w:pos="850"/>
          <w:tab w:val="clear" w:pos="1800"/>
        </w:tabs>
        <w:adjustRightInd/>
        <w:snapToGrid/>
        <w:spacing w:before="120" w:after="120" w:line="319" w:lineRule="auto"/>
        <w:ind w:left="1440" w:hanging="720"/>
        <w:rPr>
          <w:rFonts w:ascii="Times New Roman" w:hAnsi="Times New Roman" w:eastAsia="楷体" w:cs="Times New Roman"/>
          <w:color w:val="000000"/>
          <w:sz w:val="24"/>
          <w:shd w:val="clear" w:color="030000" w:fill="D9D9D9"/>
        </w:rPr>
      </w:pPr>
      <w:r>
        <w:rPr>
          <w:rFonts w:ascii="Times New Roman" w:hAnsi="Times New Roman" w:eastAsia="楷体" w:cs="Times New Roman"/>
          <w:color w:val="000000"/>
          <w:sz w:val="24"/>
          <w:shd w:val="clear" w:color="030000" w:fill="D9D9D9"/>
        </w:rPr>
        <w:t>甲方可视油品供应状况，降低或暂停乙方享受的优惠幅度。待油品资源供应平稳后，继续按照3.1条约定执行。调整期间，甲方可暂停乙方享受的优惠幅度，或将优惠幅度降低至。</w:t>
      </w:r>
    </w:p>
    <w:p>
      <w:pPr>
        <w:pStyle w:val="32"/>
        <w:numPr>
          <w:ilvl w:val="1"/>
          <w:numId w:val="0"/>
        </w:numPr>
        <w:tabs>
          <w:tab w:val="left" w:pos="720"/>
          <w:tab w:val="clear" w:pos="709"/>
        </w:tabs>
        <w:adjustRightInd/>
        <w:snapToGrid/>
        <w:spacing w:before="120" w:after="120" w:line="319" w:lineRule="auto"/>
        <w:ind w:left="720"/>
        <w:rPr>
          <w:rFonts w:ascii="Times New Roman" w:hAnsi="Times New Roman" w:eastAsia="楷体" w:cs="Times New Roman"/>
          <w:color w:val="0000FF"/>
          <w:sz w:val="24"/>
          <w:shd w:val="clear" w:color="030000" w:fill="D9D9D9"/>
          <w:lang/>
        </w:rPr>
      </w:pPr>
      <w:r>
        <w:rPr>
          <w:rFonts w:ascii="Times New Roman" w:hAnsi="Times New Roman" w:eastAsia="楷体" w:cs="Times New Roman"/>
          <w:color w:val="0000FF"/>
          <w:sz w:val="24"/>
          <w:shd w:val="clear" w:color="030000" w:fill="D9D9D9"/>
          <w:lang/>
        </w:rPr>
        <w:t>【暂停或调减乙方优惠幅度前，甲方应通过书面形式向乙方发函告知，函件自甲方发出时生效】。</w:t>
      </w:r>
      <w:bookmarkEnd w:id="48"/>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lang/>
        </w:rPr>
      </w:pPr>
      <w:r>
        <w:rPr>
          <w:rFonts w:ascii="Times New Roman" w:hAnsi="Times New Roman" w:eastAsia="楷体" w:cs="Times New Roman"/>
          <w:color w:val="000000"/>
          <w:sz w:val="24"/>
          <w:lang/>
        </w:rPr>
        <w:t>其他约定：。</w:t>
      </w:r>
      <w:bookmarkEnd w:id="49"/>
      <w:bookmarkEnd w:id="50"/>
    </w:p>
    <w:p>
      <w:pPr>
        <w:pStyle w:val="29"/>
        <w:tabs>
          <w:tab w:val="left" w:pos="709"/>
        </w:tabs>
        <w:spacing w:before="120" w:after="120" w:line="319" w:lineRule="auto"/>
        <w:ind w:left="851" w:hanging="851"/>
        <w:jc w:val="both"/>
        <w:rPr>
          <w:rFonts w:ascii="Times New Roman" w:hAnsi="Times New Roman" w:eastAsia="楷体" w:cs="Times New Roman"/>
          <w:color w:val="000000"/>
          <w:sz w:val="24"/>
        </w:rPr>
      </w:pPr>
      <w:bookmarkStart w:id="51" w:name="_Toc90413906"/>
      <w:bookmarkEnd w:id="51"/>
      <w:bookmarkStart w:id="52" w:name="_Toc90413908"/>
      <w:bookmarkEnd w:id="52"/>
      <w:bookmarkStart w:id="53" w:name="_Toc90413907"/>
      <w:bookmarkEnd w:id="53"/>
      <w:bookmarkStart w:id="54" w:name="_Toc90413914"/>
      <w:bookmarkEnd w:id="54"/>
      <w:bookmarkStart w:id="55" w:name="_Toc90413909"/>
      <w:bookmarkEnd w:id="55"/>
      <w:bookmarkStart w:id="56" w:name="_Toc90454438"/>
      <w:bookmarkStart w:id="57" w:name="_Toc157276989"/>
      <w:r>
        <w:rPr>
          <w:rFonts w:ascii="Times New Roman" w:hAnsi="Times New Roman" w:eastAsia="楷体" w:cs="Times New Roman"/>
          <w:color w:val="000000"/>
          <w:sz w:val="24"/>
        </w:rPr>
        <w:t>结算</w:t>
      </w:r>
      <w:bookmarkEnd w:id="56"/>
      <w:bookmarkEnd w:id="57"/>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lang/>
        </w:rPr>
      </w:pPr>
      <w:r>
        <w:rPr>
          <w:rFonts w:ascii="Times New Roman" w:hAnsi="Times New Roman" w:eastAsia="楷体" w:cs="Times New Roman"/>
          <w:color w:val="000000"/>
          <w:sz w:val="24"/>
          <w:lang/>
        </w:rPr>
        <w:t>双方约定采取以下</w:t>
      </w:r>
      <w:r>
        <w:rPr>
          <w:rFonts w:hint="eastAsia" w:ascii="Times New Roman" w:hAnsi="Times New Roman" w:eastAsia="楷体" w:cs="Times New Roman"/>
          <w:color w:val="000000"/>
          <w:sz w:val="24"/>
          <w:lang/>
        </w:rPr>
        <w:t>第</w:t>
      </w:r>
      <w:r>
        <w:rPr>
          <w:rFonts w:hint="eastAsia" w:ascii="Times New Roman" w:hAnsi="Times New Roman" w:eastAsia="楷体" w:cs="Times New Roman"/>
          <w:color w:val="000000"/>
          <w:sz w:val="24"/>
        </w:rPr>
        <w:t>条约定的</w:t>
      </w:r>
      <w:r>
        <w:rPr>
          <w:rFonts w:ascii="Times New Roman" w:hAnsi="Times New Roman" w:eastAsia="楷体" w:cs="Times New Roman"/>
          <w:color w:val="000000"/>
          <w:sz w:val="24"/>
          <w:lang/>
        </w:rPr>
        <w:t>付款方式:</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适用预付款结算方式。乙方向甲方预先支付一定金额的加油款项，乙方应</w:t>
      </w:r>
      <w:r>
        <w:rPr>
          <w:rFonts w:ascii="Times New Roman" w:hAnsi="Times New Roman" w:eastAsia="楷体" w:cs="Times New Roman"/>
          <w:color w:val="0000FF"/>
          <w:sz w:val="24"/>
        </w:rPr>
        <w:t>【自本合同签订后</w:t>
      </w:r>
      <w:bookmarkStart w:id="58" w:name="OLE_LINK14"/>
      <w:r>
        <w:rPr>
          <w:rFonts w:ascii="Times New Roman" w:hAnsi="Times New Roman" w:eastAsia="楷体" w:cs="Times New Roman"/>
          <w:color w:val="0000FF"/>
          <w:sz w:val="24"/>
        </w:rPr>
        <w:t>__</w:t>
      </w:r>
      <w:r>
        <w:rPr>
          <w:rFonts w:hint="eastAsia" w:ascii="Times New Roman" w:hAnsi="Times New Roman" w:eastAsia="楷体" w:cs="Times New Roman"/>
          <w:color w:val="0000FF"/>
          <w:sz w:val="24"/>
          <w:lang w:val="en-US" w:eastAsia="zh-CN"/>
        </w:rPr>
        <w:t>/</w:t>
      </w:r>
      <w:r>
        <w:rPr>
          <w:rFonts w:ascii="Times New Roman" w:hAnsi="Times New Roman" w:eastAsia="楷体" w:cs="Times New Roman"/>
          <w:color w:val="0000FF"/>
          <w:sz w:val="24"/>
        </w:rPr>
        <w:t>__</w:t>
      </w:r>
      <w:bookmarkEnd w:id="58"/>
      <w:r>
        <w:rPr>
          <w:rFonts w:ascii="Times New Roman" w:hAnsi="Times New Roman" w:eastAsia="楷体" w:cs="Times New Roman"/>
          <w:color w:val="0000FF"/>
          <w:sz w:val="24"/>
        </w:rPr>
        <w:t>日内】</w:t>
      </w:r>
      <w:r>
        <w:rPr>
          <w:rFonts w:ascii="Times New Roman" w:hAnsi="Times New Roman" w:eastAsia="楷体" w:cs="Times New Roman"/>
          <w:color w:val="000000"/>
          <w:sz w:val="24"/>
        </w:rPr>
        <w:t>办理预付款手续，向甲方预先支付</w:t>
      </w:r>
      <w:bookmarkStart w:id="59" w:name="OLE_LINK15"/>
      <w:r>
        <w:rPr>
          <w:rFonts w:ascii="Times New Roman" w:hAnsi="Times New Roman" w:eastAsia="楷体" w:cs="Times New Roman"/>
          <w:color w:val="000000"/>
          <w:sz w:val="24"/>
        </w:rPr>
        <w:t>_____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___</w:t>
      </w:r>
      <w:bookmarkEnd w:id="59"/>
      <w:r>
        <w:rPr>
          <w:rFonts w:ascii="Times New Roman" w:hAnsi="Times New Roman" w:eastAsia="楷体" w:cs="Times New Roman"/>
          <w:color w:val="000000"/>
          <w:sz w:val="24"/>
        </w:rPr>
        <w:t>元（含税）的加油款项，其中增值税金额为_____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___元，不含税金额为____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___元，增值税为____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___元，税率为____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__%。甲方为乙方办理加油凭证并预先储值，每次加油时按照乙方实际提油量扣除对应储值款项。当乙方油款金额不足__</w:t>
      </w:r>
      <w:r>
        <w:rPr>
          <w:rFonts w:hint="eastAsia" w:ascii="Times New Roman" w:hAnsi="Times New Roman" w:eastAsia="楷体" w:cs="Times New Roman"/>
          <w:color w:val="000000"/>
          <w:sz w:val="24"/>
          <w:lang w:val="en-US" w:eastAsia="zh-CN"/>
        </w:rPr>
        <w:t>/</w:t>
      </w:r>
      <w:r>
        <w:rPr>
          <w:rFonts w:ascii="Times New Roman" w:hAnsi="Times New Roman" w:eastAsia="楷体" w:cs="Times New Roman"/>
          <w:color w:val="000000"/>
          <w:sz w:val="24"/>
        </w:rPr>
        <w:t>__元时，甲方及时通知乙方进行储值。</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FF"/>
          <w:sz w:val="24"/>
        </w:rPr>
      </w:pPr>
      <w:r>
        <w:rPr>
          <w:rFonts w:ascii="Times New Roman" w:hAnsi="Times New Roman" w:eastAsia="楷体" w:cs="Times New Roman"/>
          <w:color w:val="0000FF"/>
          <w:sz w:val="24"/>
        </w:rPr>
        <w:t>【适用按月/季度</w:t>
      </w:r>
      <w:bookmarkStart w:id="60" w:name="des1712629146634"/>
      <w:r>
        <w:rPr>
          <w:rFonts w:ascii="Times New Roman" w:hAnsi="Times New Roman" w:eastAsia="楷体" w:cs="Times New Roman"/>
          <w:color w:val="0000FF"/>
          <w:sz w:val="24"/>
          <w:shd w:val="clear" w:color="030000" w:fill="D9D9D9"/>
        </w:rPr>
        <w:t>滚动结算</w:t>
      </w:r>
      <w:bookmarkEnd w:id="60"/>
      <w:r>
        <w:rPr>
          <w:rFonts w:ascii="Times New Roman" w:hAnsi="Times New Roman" w:eastAsia="楷体" w:cs="Times New Roman"/>
          <w:color w:val="0000FF"/>
          <w:sz w:val="24"/>
        </w:rPr>
        <w:t>。乙方应于本合同生效后___</w:t>
      </w:r>
      <w:r>
        <w:rPr>
          <w:rFonts w:hint="eastAsia" w:ascii="Times New Roman" w:hAnsi="Times New Roman" w:eastAsia="楷体" w:cs="Times New Roman"/>
          <w:color w:val="0000FF"/>
          <w:sz w:val="24"/>
          <w:lang w:val="en-US" w:eastAsia="zh-CN"/>
        </w:rPr>
        <w:t>/</w:t>
      </w:r>
      <w:r>
        <w:rPr>
          <w:rFonts w:ascii="Times New Roman" w:hAnsi="Times New Roman" w:eastAsia="楷体" w:cs="Times New Roman"/>
          <w:color w:val="0000FF"/>
          <w:sz w:val="24"/>
        </w:rPr>
        <w:t>___内预先交纳____</w:t>
      </w:r>
      <w:r>
        <w:rPr>
          <w:rFonts w:hint="eastAsia" w:ascii="Times New Roman" w:hAnsi="Times New Roman" w:eastAsia="楷体" w:cs="Times New Roman"/>
          <w:color w:val="0000FF"/>
          <w:sz w:val="24"/>
          <w:lang w:val="en-US" w:eastAsia="zh-CN"/>
        </w:rPr>
        <w:t>/</w:t>
      </w:r>
      <w:r>
        <w:rPr>
          <w:rFonts w:ascii="Times New Roman" w:hAnsi="Times New Roman" w:eastAsia="楷体" w:cs="Times New Roman"/>
          <w:color w:val="0000FF"/>
          <w:sz w:val="24"/>
        </w:rPr>
        <w:t>____元履约保证金作为滚动结算油款的保证。乙方向甲方支付上一个自然月/季度乙方全部车辆实际发生的结算总价。履约保证金将于本合同终止后无息退还乙方，但甲方有权在书面通知乙方后以保证金直接抵扣乙方欠款及违约金。】</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FF"/>
          <w:sz w:val="24"/>
        </w:rPr>
      </w:pPr>
      <w:r>
        <w:rPr>
          <w:rFonts w:ascii="Times New Roman" w:hAnsi="Times New Roman" w:eastAsia="楷体" w:cs="Times New Roman"/>
          <w:color w:val="0000FF"/>
          <w:sz w:val="24"/>
        </w:rPr>
        <w:t>【乙方每月滚动结算限额为元。乙方当月全部车辆的结算总价超过滚动结算限额的，甲方有权要求乙方提前结算油款或追加履约保证金。乙方未提前结算的，甲方有权直接以履约保证金抵扣相应油款及利息且有权在乙方结算欠款前暂停乙方提油。】</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其他约定：。</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lang/>
        </w:rPr>
      </w:pPr>
      <w:r>
        <w:rPr>
          <w:rFonts w:ascii="Times New Roman" w:hAnsi="Times New Roman" w:eastAsia="楷体" w:cs="Times New Roman"/>
          <w:color w:val="000000"/>
          <w:sz w:val="24"/>
          <w:lang/>
        </w:rPr>
        <w:t>加油凭证</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FF"/>
          <w:sz w:val="24"/>
        </w:rPr>
      </w:pPr>
      <w:r>
        <w:rPr>
          <w:rFonts w:ascii="Times New Roman" w:hAnsi="Times New Roman" w:eastAsia="楷体" w:cs="Times New Roman"/>
          <w:color w:val="000000"/>
          <w:sz w:val="24"/>
        </w:rPr>
        <w:t>甲方收到乙方后日以内，应当根据乙方提供的相关信息出具加油凭证。</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shd w:val="clear" w:color="030000" w:fill="D9D9D9"/>
        </w:rPr>
      </w:pPr>
      <w:bookmarkStart w:id="61" w:name="des1712629245448"/>
      <w:r>
        <w:rPr>
          <w:rFonts w:ascii="Times New Roman" w:hAnsi="Times New Roman" w:eastAsia="楷体" w:cs="Times New Roman"/>
          <w:color w:val="000000"/>
          <w:sz w:val="24"/>
          <w:shd w:val="clear" w:color="030000" w:fill="D9D9D9"/>
        </w:rPr>
        <w:t>乙方应对其授权领取、管理、使用加油凭证的工作人员履行严格的管理及告知义务。首次办理加油凭证时，应根据甲方要求提供乙方法定代表人证明书、委托代理人身份证明及授权委托书（需明确授权范围）等文件。乙方委托代理人所作出的行为均视为乙方行为，由乙方承担全部责任。</w:t>
      </w:r>
      <w:bookmarkEnd w:id="61"/>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乙方使用IC卡加油的，通过以下第种方式结算：</w:t>
      </w:r>
    </w:p>
    <w:p>
      <w:pPr>
        <w:numPr>
          <w:ilvl w:val="0"/>
          <w:numId w:val="6"/>
        </w:numPr>
        <w:adjustRightInd/>
        <w:spacing w:before="120" w:after="120" w:line="319" w:lineRule="auto"/>
        <w:ind w:left="1418" w:hanging="709"/>
        <w:jc w:val="both"/>
        <w:rPr>
          <w:rFonts w:eastAsia="楷体"/>
          <w:color w:val="000000"/>
          <w:lang w:eastAsia="zh-CN"/>
        </w:rPr>
      </w:pPr>
      <w:r>
        <w:rPr>
          <w:rFonts w:eastAsia="楷体"/>
          <w:color w:val="000000"/>
          <w:lang w:eastAsia="zh-CN"/>
        </w:rPr>
        <w:t>甲方从IC卡余额中按照优惠后的价格直接扣除油款，余额不足元的，乙方应在当时缴款储值，否则乙方有权用尽IC卡内余额，但不得超额加油，余额用尽时甲方停止为乙方加油；</w:t>
      </w:r>
    </w:p>
    <w:p>
      <w:pPr>
        <w:numPr>
          <w:ilvl w:val="0"/>
          <w:numId w:val="6"/>
        </w:numPr>
        <w:adjustRightInd/>
        <w:spacing w:before="120" w:after="120" w:line="319" w:lineRule="auto"/>
        <w:ind w:left="1418" w:hanging="709"/>
        <w:jc w:val="both"/>
        <w:rPr>
          <w:rFonts w:eastAsia="楷体"/>
          <w:color w:val="0000FF"/>
          <w:lang w:eastAsia="zh-CN"/>
        </w:rPr>
      </w:pPr>
      <w:r>
        <w:rPr>
          <w:rFonts w:eastAsia="楷体"/>
          <w:color w:val="0000FF"/>
          <w:lang w:eastAsia="zh-CN"/>
        </w:rPr>
        <w:t>甲方从IC卡余额中按照优惠前的价格扣除油款，优惠金额次月返还，即按月统计乙方总提油量后计算优惠总额，通过充值方式将优惠金额返还至客户IC卡。</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bookmarkStart w:id="62" w:name="des1712629309026"/>
      <w:r>
        <w:rPr>
          <w:rFonts w:ascii="Times New Roman" w:hAnsi="Times New Roman" w:eastAsia="楷体" w:cs="Times New Roman"/>
          <w:color w:val="000000"/>
          <w:sz w:val="24"/>
          <w:shd w:val="clear" w:color="030000" w:fill="D9D9D9"/>
        </w:rPr>
        <w:t>其他约定</w:t>
      </w:r>
      <w:bookmarkEnd w:id="62"/>
      <w:r>
        <w:rPr>
          <w:rFonts w:ascii="Times New Roman" w:hAnsi="Times New Roman" w:eastAsia="楷体" w:cs="Times New Roman"/>
          <w:color w:val="000000"/>
          <w:sz w:val="24"/>
        </w:rPr>
        <w:t>：。</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lang/>
        </w:rPr>
      </w:pPr>
      <w:r>
        <w:rPr>
          <w:rFonts w:ascii="Times New Roman" w:hAnsi="Times New Roman" w:eastAsia="楷体" w:cs="Times New Roman"/>
          <w:color w:val="000000"/>
          <w:sz w:val="24"/>
          <w:lang/>
        </w:rPr>
        <w:t>双方定于每月日进行对账核算。核算数额无法对应的，双方应及时查找问题，并通过核查加油凭证记录、IC卡扣费记录等方式确认实际发生的加油量及金额。如有错漏，根据实际情况由甲方办理退款或由乙方补缴油款。</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lang/>
        </w:rPr>
      </w:pPr>
      <w:r>
        <w:rPr>
          <w:rFonts w:ascii="Times New Roman" w:hAnsi="Times New Roman" w:eastAsia="楷体" w:cs="Times New Roman"/>
          <w:color w:val="000000"/>
          <w:sz w:val="24"/>
          <w:lang/>
        </w:rPr>
        <w:t>加油凭证/IC卡不得兑换现金或用作加油以外的其它消费功能。</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B0F0"/>
          <w:sz w:val="24"/>
          <w:lang/>
        </w:rPr>
      </w:pPr>
      <w:r>
        <w:rPr>
          <w:rFonts w:ascii="Times New Roman" w:hAnsi="Times New Roman" w:eastAsia="楷体" w:cs="Times New Roman"/>
          <w:color w:val="000000"/>
          <w:sz w:val="24"/>
          <w:lang/>
        </w:rPr>
        <w:t>其他约定</w:t>
      </w:r>
      <w:r>
        <w:rPr>
          <w:rFonts w:ascii="Times New Roman" w:hAnsi="Times New Roman" w:eastAsia="楷体" w:cs="Times New Roman"/>
          <w:color w:val="000000"/>
          <w:sz w:val="24"/>
        </w:rPr>
        <w:t>。</w:t>
      </w:r>
    </w:p>
    <w:p>
      <w:pPr>
        <w:pStyle w:val="29"/>
        <w:tabs>
          <w:tab w:val="left" w:pos="709"/>
        </w:tabs>
        <w:spacing w:before="120" w:after="120" w:line="319" w:lineRule="auto"/>
        <w:ind w:left="709" w:hanging="709"/>
        <w:jc w:val="both"/>
        <w:rPr>
          <w:rFonts w:ascii="Times New Roman" w:hAnsi="Times New Roman" w:eastAsia="楷体" w:cs="Times New Roman"/>
          <w:color w:val="000000"/>
          <w:sz w:val="24"/>
        </w:rPr>
      </w:pPr>
      <w:bookmarkStart w:id="63" w:name="_Toc90454439"/>
      <w:bookmarkStart w:id="64" w:name="_Toc157276990"/>
      <w:bookmarkStart w:id="65" w:name="_Toc235005484"/>
      <w:bookmarkStart w:id="66" w:name="_Toc234908841"/>
      <w:r>
        <w:rPr>
          <w:rFonts w:ascii="Times New Roman" w:hAnsi="Times New Roman" w:eastAsia="楷体" w:cs="Times New Roman"/>
          <w:color w:val="000000"/>
          <w:sz w:val="24"/>
        </w:rPr>
        <w:t>合同期</w:t>
      </w:r>
      <w:bookmarkEnd w:id="63"/>
      <w:bookmarkEnd w:id="64"/>
    </w:p>
    <w:p>
      <w:pPr>
        <w:pStyle w:val="32"/>
        <w:spacing w:line="319" w:lineRule="auto"/>
        <w:ind w:hanging="709"/>
        <w:rPr>
          <w:rFonts w:ascii="Times New Roman" w:hAnsi="Times New Roman" w:eastAsia="楷体" w:cs="Times New Roman"/>
          <w:color w:val="000000"/>
          <w:sz w:val="24"/>
          <w:lang/>
        </w:rPr>
      </w:pPr>
      <w:r>
        <w:rPr>
          <w:rFonts w:ascii="Times New Roman" w:hAnsi="Times New Roman" w:eastAsia="楷体" w:cs="Times New Roman"/>
          <w:color w:val="000000"/>
          <w:sz w:val="24"/>
          <w:lang/>
        </w:rPr>
        <w:t>双方在本合同项下从事定点加油交易的期限（简称“</w:t>
      </w:r>
      <w:r>
        <w:rPr>
          <w:rFonts w:ascii="Times New Roman" w:hAnsi="Times New Roman" w:eastAsia="楷体" w:cs="Times New Roman"/>
          <w:b/>
          <w:color w:val="000000"/>
          <w:sz w:val="24"/>
          <w:lang/>
        </w:rPr>
        <w:t>合同期</w:t>
      </w:r>
      <w:r>
        <w:rPr>
          <w:rFonts w:ascii="Times New Roman" w:hAnsi="Times New Roman" w:eastAsia="楷体" w:cs="Times New Roman"/>
          <w:color w:val="000000"/>
          <w:sz w:val="24"/>
          <w:lang/>
        </w:rPr>
        <w:t>”）为</w:t>
      </w:r>
    </w:p>
    <w:p>
      <w:pPr>
        <w:pStyle w:val="32"/>
        <w:numPr>
          <w:ilvl w:val="1"/>
          <w:numId w:val="3"/>
        </w:numPr>
        <w:spacing w:line="319" w:lineRule="auto"/>
        <w:ind w:hanging="709"/>
        <w:rPr>
          <w:rFonts w:ascii="Times New Roman" w:hAnsi="Times New Roman" w:eastAsia="楷体" w:cs="Times New Roman"/>
          <w:color w:val="000000"/>
          <w:sz w:val="24"/>
          <w:lang/>
        </w:rPr>
      </w:pPr>
      <w:r>
        <w:rPr>
          <w:rFonts w:ascii="Times New Roman" w:hAnsi="Times New Roman" w:eastAsia="楷体" w:cs="Times New Roman"/>
          <w:color w:val="000000"/>
          <w:sz w:val="24"/>
          <w:lang/>
        </w:rPr>
        <w:t>合同期满，乙方加油凭证/IC卡仍有余额的，可继续使用，但不享受优惠后单价。</w:t>
      </w:r>
    </w:p>
    <w:p>
      <w:pPr>
        <w:pStyle w:val="32"/>
        <w:spacing w:line="319" w:lineRule="auto"/>
        <w:ind w:hanging="709"/>
        <w:rPr>
          <w:rFonts w:ascii="Times New Roman" w:hAnsi="Times New Roman" w:eastAsia="楷体" w:cs="Times New Roman"/>
          <w:color w:val="000000"/>
          <w:sz w:val="24"/>
          <w:lang/>
        </w:rPr>
      </w:pPr>
      <w:r>
        <w:rPr>
          <w:rFonts w:ascii="Times New Roman" w:hAnsi="Times New Roman" w:eastAsia="楷体" w:cs="Times New Roman"/>
          <w:color w:val="000000"/>
          <w:sz w:val="24"/>
          <w:lang/>
        </w:rPr>
        <w:t>经双方协商一致，可通过签订补充合同的方式变更本合同的期限。</w:t>
      </w:r>
    </w:p>
    <w:p>
      <w:pPr>
        <w:pStyle w:val="32"/>
        <w:spacing w:line="319" w:lineRule="auto"/>
        <w:ind w:hanging="709"/>
        <w:rPr>
          <w:rFonts w:ascii="Times New Roman" w:hAnsi="Times New Roman" w:eastAsia="楷体" w:cs="Times New Roman"/>
          <w:color w:val="0000FF"/>
          <w:sz w:val="24"/>
          <w:shd w:val="clear" w:color="030000" w:fill="D9D9D9"/>
          <w:lang/>
        </w:rPr>
      </w:pPr>
      <w:bookmarkStart w:id="67" w:name="des1715407953746"/>
      <w:r>
        <w:rPr>
          <w:rFonts w:ascii="Times New Roman" w:hAnsi="Times New Roman" w:eastAsia="楷体" w:cs="Times New Roman"/>
          <w:color w:val="0000FF"/>
          <w:sz w:val="24"/>
          <w:shd w:val="clear" w:color="030000" w:fill="D9D9D9"/>
          <w:lang/>
        </w:rPr>
        <w:t>【在本合同期内，甲方有权在每一自然年的1月的任一日对乙方根据本合同约定享受的油品优惠政策进行调整，并书面告知乙方。如乙方不接受调整后的优惠政策的，可与甲方通过书面方式解除本合同。】</w:t>
      </w:r>
      <w:bookmarkEnd w:id="67"/>
    </w:p>
    <w:p>
      <w:pPr>
        <w:pStyle w:val="29"/>
        <w:tabs>
          <w:tab w:val="left" w:pos="709"/>
        </w:tabs>
        <w:spacing w:before="120" w:after="120" w:line="319" w:lineRule="auto"/>
        <w:ind w:left="709" w:hanging="567"/>
        <w:jc w:val="both"/>
        <w:rPr>
          <w:rFonts w:ascii="Times New Roman" w:hAnsi="Times New Roman" w:eastAsia="楷体" w:cs="Times New Roman"/>
          <w:color w:val="000000"/>
          <w:sz w:val="24"/>
        </w:rPr>
      </w:pPr>
      <w:bookmarkStart w:id="68" w:name="_Toc153098206"/>
      <w:bookmarkEnd w:id="68"/>
      <w:bookmarkStart w:id="69" w:name="_Toc157276991"/>
      <w:bookmarkStart w:id="70" w:name="_Toc90454440"/>
      <w:r>
        <w:rPr>
          <w:rFonts w:ascii="Times New Roman" w:hAnsi="Times New Roman" w:eastAsia="楷体" w:cs="Times New Roman"/>
          <w:color w:val="000000"/>
          <w:sz w:val="24"/>
        </w:rPr>
        <w:t>供油方式</w:t>
      </w:r>
      <w:bookmarkEnd w:id="65"/>
      <w:bookmarkEnd w:id="66"/>
      <w:bookmarkEnd w:id="69"/>
      <w:bookmarkEnd w:id="70"/>
    </w:p>
    <w:p>
      <w:pPr>
        <w:pStyle w:val="32"/>
        <w:spacing w:line="319" w:lineRule="auto"/>
        <w:rPr>
          <w:rFonts w:ascii="Times New Roman" w:hAnsi="Times New Roman" w:eastAsia="楷体" w:cs="Times New Roman"/>
          <w:color w:val="000000"/>
          <w:sz w:val="24"/>
          <w:lang/>
        </w:rPr>
      </w:pPr>
      <w:r>
        <w:rPr>
          <w:rFonts w:ascii="Times New Roman" w:hAnsi="Times New Roman" w:eastAsia="楷体" w:cs="Times New Roman"/>
          <w:color w:val="000000"/>
          <w:sz w:val="24"/>
          <w:lang/>
        </w:rPr>
        <w:t>乙方持加油凭证在本合同约定的加油站定点加油。甲方加油员加油时，有权利但无义务核对加油凭证所记载信息</w:t>
      </w:r>
      <w:r>
        <w:rPr>
          <w:rFonts w:ascii="Times New Roman" w:hAnsi="Times New Roman" w:eastAsia="楷体" w:cs="Times New Roman"/>
          <w:color w:val="000000"/>
          <w:sz w:val="24"/>
          <w:szCs w:val="24"/>
          <w:lang/>
        </w:rPr>
        <w:t>，</w:t>
      </w:r>
      <w:r>
        <w:rPr>
          <w:rFonts w:ascii="Times New Roman" w:hAnsi="Times New Roman" w:eastAsia="楷体" w:cs="Times New Roman"/>
          <w:color w:val="000000"/>
          <w:sz w:val="24"/>
          <w:lang/>
        </w:rPr>
        <w:t>如存在不一致情况，甲方有权拒绝办理加油业务。乙方人员在自助加油机加油的，应当遵守本合同约定，不得外借、冒用加油凭证，或从事其他损害甲方利益的行为，否则应承担违约责任。</w:t>
      </w:r>
    </w:p>
    <w:p>
      <w:pPr>
        <w:pStyle w:val="32"/>
        <w:spacing w:line="319" w:lineRule="auto"/>
        <w:rPr>
          <w:rFonts w:ascii="Times New Roman" w:hAnsi="Times New Roman" w:eastAsia="楷体" w:cs="Times New Roman"/>
          <w:color w:val="000000"/>
          <w:sz w:val="24"/>
          <w:lang/>
        </w:rPr>
      </w:pPr>
      <w:r>
        <w:rPr>
          <w:rFonts w:ascii="Times New Roman" w:hAnsi="Times New Roman" w:eastAsia="楷体" w:cs="Times New Roman"/>
          <w:color w:val="000000"/>
          <w:sz w:val="24"/>
          <w:lang/>
        </w:rPr>
        <w:t>甲方办理加油凭证工本费，该凭证在使用过程中如有损坏或遗失，乙方应于损坏或遗失或指导损坏或遗失后小时内通知甲方，并办理挂失手续，持证人凭单位证明和本人身份证到甲方补办新证。乙方未及时履行通知义务的，加油凭证丢失后的风险（包括但不限于加油凭证被冒用等风险）由乙方自行承担。</w:t>
      </w:r>
    </w:p>
    <w:p>
      <w:pPr>
        <w:pStyle w:val="32"/>
        <w:spacing w:line="319" w:lineRule="auto"/>
        <w:rPr>
          <w:rFonts w:ascii="Times New Roman" w:hAnsi="Times New Roman" w:eastAsia="楷体" w:cs="Times New Roman"/>
          <w:color w:val="000000"/>
          <w:sz w:val="24"/>
          <w:lang/>
        </w:rPr>
      </w:pPr>
      <w:r>
        <w:rPr>
          <w:rFonts w:ascii="Times New Roman" w:hAnsi="Times New Roman" w:eastAsia="楷体" w:cs="Times New Roman"/>
          <w:color w:val="000000"/>
          <w:sz w:val="24"/>
          <w:lang/>
        </w:rPr>
        <w:t>本合同生效后10日内，乙方应当向甲方提供如下信息：</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shd w:val="clear" w:color="030000" w:fill="D9D9D9"/>
        </w:rPr>
      </w:pPr>
      <w:bookmarkStart w:id="71" w:name="des1715407980055"/>
      <w:r>
        <w:rPr>
          <w:rFonts w:ascii="Times New Roman" w:hAnsi="Times New Roman" w:eastAsia="楷体" w:cs="Times New Roman"/>
          <w:color w:val="000000"/>
          <w:sz w:val="24"/>
          <w:shd w:val="clear" w:color="030000" w:fill="D9D9D9"/>
          <w:lang/>
        </w:rPr>
        <w:t>企业客户：企业</w:t>
      </w:r>
      <w:r>
        <w:rPr>
          <w:rFonts w:ascii="Times New Roman" w:hAnsi="Times New Roman" w:eastAsia="楷体" w:cs="Times New Roman"/>
          <w:color w:val="000000"/>
          <w:sz w:val="24"/>
          <w:shd w:val="clear" w:color="030000" w:fill="D9D9D9"/>
        </w:rPr>
        <w:t>全称、营业执照复印件（加盖公章）、驾驶员姓名、签名样本、行驶证复印件</w:t>
      </w:r>
      <w:bookmarkEnd w:id="71"/>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FF"/>
          <w:sz w:val="24"/>
          <w:shd w:val="clear" w:color="030000" w:fill="D9D9D9"/>
        </w:rPr>
      </w:pPr>
      <w:bookmarkStart w:id="72" w:name="des1715407991766"/>
      <w:r>
        <w:rPr>
          <w:rFonts w:ascii="Times New Roman" w:hAnsi="Times New Roman" w:eastAsia="楷体" w:cs="Times New Roman"/>
          <w:color w:val="0000FF"/>
          <w:sz w:val="24"/>
          <w:shd w:val="clear" w:color="030000" w:fill="D9D9D9"/>
        </w:rPr>
        <w:t>【个人客户：姓名、车牌号、电话、本人有效证件原件（如身份证、驾驶证、军官证等）。】</w:t>
      </w:r>
      <w:bookmarkEnd w:id="72"/>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本合同履行过程中上述信息发生变化的，乙方应立即以书面形式告知甲方，否则引起的不利后果（包括但不限于甲方按照原有信息向乙方提供加油服务或拒绝加油服务所造成的损失）由乙方自行承担。</w:t>
      </w:r>
    </w:p>
    <w:p>
      <w:pPr>
        <w:pStyle w:val="32"/>
        <w:spacing w:line="319" w:lineRule="auto"/>
        <w:rPr>
          <w:rFonts w:ascii="Times New Roman" w:hAnsi="Times New Roman" w:eastAsia="楷体" w:cs="Times New Roman"/>
          <w:color w:val="000000"/>
          <w:sz w:val="24"/>
          <w:lang/>
        </w:rPr>
      </w:pPr>
      <w:r>
        <w:rPr>
          <w:rFonts w:ascii="Times New Roman" w:hAnsi="Times New Roman" w:eastAsia="楷体" w:cs="Times New Roman"/>
          <w:color w:val="000000"/>
          <w:sz w:val="24"/>
          <w:lang/>
        </w:rPr>
        <w:t>如市场油品供应紧张，甲方应尽量按照本合同第3条约定优先保证对乙方用车供油。</w:t>
      </w:r>
    </w:p>
    <w:p>
      <w:pPr>
        <w:pStyle w:val="32"/>
        <w:spacing w:line="319" w:lineRule="auto"/>
        <w:rPr>
          <w:rFonts w:ascii="Times New Roman" w:hAnsi="Times New Roman" w:eastAsia="楷体" w:cs="Times New Roman"/>
          <w:color w:val="000000"/>
          <w:sz w:val="24"/>
          <w:lang/>
        </w:rPr>
      </w:pPr>
      <w:r>
        <w:rPr>
          <w:rFonts w:ascii="Times New Roman" w:hAnsi="Times New Roman" w:eastAsia="楷体" w:cs="Times New Roman"/>
          <w:color w:val="000000"/>
          <w:sz w:val="24"/>
          <w:lang/>
        </w:rPr>
        <w:t>其他约定</w:t>
      </w:r>
    </w:p>
    <w:p>
      <w:pPr>
        <w:pStyle w:val="29"/>
        <w:tabs>
          <w:tab w:val="left" w:pos="709"/>
        </w:tabs>
        <w:spacing w:before="120" w:after="120" w:line="319" w:lineRule="auto"/>
        <w:ind w:left="851" w:hanging="709"/>
        <w:jc w:val="both"/>
        <w:rPr>
          <w:rFonts w:ascii="Times New Roman" w:hAnsi="Times New Roman" w:eastAsia="楷体" w:cs="Times New Roman"/>
          <w:color w:val="000000"/>
          <w:sz w:val="24"/>
        </w:rPr>
      </w:pPr>
      <w:bookmarkStart w:id="73" w:name="_Toc234908842"/>
      <w:bookmarkStart w:id="74" w:name="_Toc235005485"/>
      <w:bookmarkStart w:id="75" w:name="_Toc157276992"/>
      <w:bookmarkStart w:id="76" w:name="_Toc90454441"/>
      <w:r>
        <w:rPr>
          <w:rFonts w:ascii="Times New Roman" w:hAnsi="Times New Roman" w:eastAsia="楷体" w:cs="Times New Roman"/>
          <w:color w:val="000000"/>
          <w:sz w:val="24"/>
        </w:rPr>
        <w:t>验收</w:t>
      </w:r>
      <w:bookmarkEnd w:id="73"/>
      <w:bookmarkEnd w:id="74"/>
      <w:bookmarkEnd w:id="75"/>
      <w:bookmarkEnd w:id="76"/>
    </w:p>
    <w:p>
      <w:pPr>
        <w:pStyle w:val="32"/>
        <w:spacing w:line="319" w:lineRule="auto"/>
        <w:rPr>
          <w:rFonts w:ascii="Times New Roman" w:hAnsi="Times New Roman" w:eastAsia="楷体" w:cs="Times New Roman"/>
          <w:color w:val="000000"/>
          <w:sz w:val="24"/>
          <w:lang/>
        </w:rPr>
      </w:pPr>
      <w:r>
        <w:rPr>
          <w:rFonts w:ascii="Times New Roman" w:hAnsi="Times New Roman" w:eastAsia="楷体" w:cs="Times New Roman"/>
          <w:color w:val="000000"/>
          <w:sz w:val="24"/>
          <w:lang/>
        </w:rPr>
        <w:t>乙方提油时应现场对油品的数量、质量验收，如有异议，应现场提出并由双方协商解决。如协商不成，双方一致同意将有质量争议的油品检验样品送交甲方所在地质量检验部门，检验结果为最终结果，双方均不得提出异议。检验费由提出质量异议一方预付，如检验结果为油品质量存在问题，检验费由甲方承担，如油品质量不存在问题，检验费由乙方承担。</w:t>
      </w:r>
    </w:p>
    <w:p>
      <w:pPr>
        <w:pStyle w:val="32"/>
        <w:spacing w:line="319" w:lineRule="auto"/>
        <w:rPr>
          <w:rFonts w:ascii="Times New Roman" w:hAnsi="Times New Roman" w:eastAsia="楷体" w:cs="Times New Roman"/>
          <w:color w:val="000000"/>
          <w:sz w:val="24"/>
          <w:lang/>
        </w:rPr>
      </w:pPr>
      <w:bookmarkStart w:id="77" w:name="des1715408022839"/>
      <w:r>
        <w:rPr>
          <w:rFonts w:ascii="Times New Roman" w:hAnsi="Times New Roman" w:eastAsia="楷体" w:cs="Times New Roman"/>
          <w:color w:val="000000"/>
          <w:sz w:val="24"/>
          <w:shd w:val="clear" w:color="030000" w:fill="D9D9D9"/>
          <w:lang/>
        </w:rPr>
        <w:t>乙方车辆驶离加油站后，行驶过程中如发现油品质量问题，应及时通知甲方，甲方应在内派人和乙方据实查明原因。如确系甲方责任，双方共同确认经济损失、赔偿范围及数额。</w:t>
      </w:r>
      <w:bookmarkEnd w:id="77"/>
    </w:p>
    <w:p>
      <w:pPr>
        <w:pStyle w:val="32"/>
        <w:tabs>
          <w:tab w:val="clear" w:pos="709"/>
        </w:tabs>
        <w:spacing w:line="319" w:lineRule="auto"/>
        <w:ind w:left="567"/>
        <w:rPr>
          <w:rFonts w:ascii="Times New Roman" w:hAnsi="Times New Roman" w:eastAsia="楷体" w:cs="Times New Roman"/>
          <w:color w:val="000000"/>
          <w:sz w:val="24"/>
          <w:lang/>
        </w:rPr>
      </w:pPr>
      <w:r>
        <w:rPr>
          <w:rFonts w:ascii="Times New Roman" w:hAnsi="Times New Roman" w:eastAsia="楷体" w:cs="Times New Roman"/>
          <w:color w:val="000000"/>
          <w:sz w:val="24"/>
          <w:lang/>
        </w:rPr>
        <w:t>其他约定：</w:t>
      </w:r>
    </w:p>
    <w:p>
      <w:pPr>
        <w:pStyle w:val="29"/>
        <w:tabs>
          <w:tab w:val="left" w:pos="709"/>
        </w:tabs>
        <w:spacing w:before="120" w:after="120" w:line="319" w:lineRule="auto"/>
        <w:ind w:left="539" w:hanging="539"/>
        <w:jc w:val="both"/>
        <w:rPr>
          <w:rFonts w:ascii="Times New Roman" w:hAnsi="Times New Roman" w:eastAsia="楷体" w:cs="Times New Roman"/>
          <w:color w:val="000000"/>
          <w:sz w:val="24"/>
          <w:lang w:eastAsia="zh-CN"/>
        </w:rPr>
      </w:pPr>
      <w:bookmarkStart w:id="78" w:name="_Toc153098209"/>
      <w:bookmarkEnd w:id="78"/>
      <w:bookmarkStart w:id="79" w:name="_Toc90454442"/>
      <w:bookmarkStart w:id="80" w:name="_Toc157276993"/>
      <w:bookmarkStart w:id="81" w:name="des1715408063888"/>
      <w:r>
        <w:rPr>
          <w:rFonts w:ascii="Times New Roman" w:hAnsi="Times New Roman" w:eastAsia="楷体" w:cs="Times New Roman"/>
          <w:color w:val="000000"/>
          <w:sz w:val="24"/>
          <w:shd w:val="clear" w:color="030000" w:fill="D9D9D9"/>
        </w:rPr>
        <w:t>违约责任</w:t>
      </w:r>
      <w:bookmarkEnd w:id="79"/>
      <w:bookmarkEnd w:id="80"/>
      <w:bookmarkEnd w:id="81"/>
    </w:p>
    <w:p>
      <w:pPr>
        <w:pStyle w:val="32"/>
        <w:adjustRightInd/>
        <w:snapToGrid/>
        <w:spacing w:before="120" w:after="120" w:line="319" w:lineRule="auto"/>
        <w:ind w:left="720" w:hanging="720"/>
        <w:rPr>
          <w:rFonts w:ascii="Times New Roman" w:hAnsi="Times New Roman" w:eastAsia="楷体" w:cs="Times New Roman"/>
          <w:color w:val="000000"/>
          <w:sz w:val="24"/>
          <w:lang/>
        </w:rPr>
      </w:pPr>
      <w:r>
        <w:rPr>
          <w:rFonts w:ascii="Times New Roman" w:hAnsi="Times New Roman" w:eastAsia="楷体" w:cs="Times New Roman"/>
          <w:color w:val="000000"/>
          <w:sz w:val="24"/>
          <w:lang/>
        </w:rPr>
        <w:t>甲方违约责任</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甲方无正当理由拒绝向乙方供油的，应当承担违约金元/次。</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甲方</w:t>
      </w:r>
      <w:r>
        <w:rPr>
          <w:rFonts w:ascii="Times New Roman" w:hAnsi="Times New Roman" w:eastAsia="楷体" w:cs="Times New Roman"/>
          <w:color w:val="000000"/>
          <w:sz w:val="24"/>
          <w:lang/>
        </w:rPr>
        <w:t>供油计量不足的，应补足油量，并按照不足油量的%承担违约责任；</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甲方供油不符合本合同约定的质量标准，应按照当次加油价格的%承担违约责任；</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bookmarkStart w:id="82" w:name="OLE_LINK41"/>
      <w:r>
        <w:rPr>
          <w:rFonts w:ascii="Times New Roman" w:hAnsi="Times New Roman" w:eastAsia="楷体" w:cs="Times New Roman"/>
          <w:color w:val="000000"/>
          <w:sz w:val="24"/>
          <w:lang/>
        </w:rPr>
        <w:t>甲方人员引导乙方加油人员套现或使用加油凭证/IC卡购置其它物品的，应向乙方赔偿等额油款</w:t>
      </w:r>
      <w:bookmarkEnd w:id="82"/>
      <w:r>
        <w:rPr>
          <w:rFonts w:ascii="Times New Roman" w:hAnsi="Times New Roman" w:eastAsia="楷体" w:cs="Times New Roman"/>
          <w:color w:val="000000"/>
          <w:sz w:val="24"/>
          <w:lang/>
        </w:rPr>
        <w:t>。</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lang/>
        </w:rPr>
        <w:t>其他约定：</w:t>
      </w:r>
    </w:p>
    <w:p>
      <w:pPr>
        <w:pStyle w:val="32"/>
        <w:adjustRightInd/>
        <w:snapToGrid/>
        <w:spacing w:before="120" w:after="120" w:line="319" w:lineRule="auto"/>
        <w:ind w:left="720" w:hanging="720"/>
        <w:rPr>
          <w:rFonts w:ascii="Times New Roman" w:hAnsi="Times New Roman" w:eastAsia="楷体" w:cs="Times New Roman"/>
          <w:color w:val="000000"/>
          <w:sz w:val="24"/>
          <w:lang/>
        </w:rPr>
      </w:pPr>
      <w:r>
        <w:rPr>
          <w:rFonts w:ascii="Times New Roman" w:hAnsi="Times New Roman" w:eastAsia="楷体" w:cs="Times New Roman"/>
          <w:color w:val="000000"/>
          <w:sz w:val="24"/>
          <w:lang/>
        </w:rPr>
        <w:t>乙方违约责任</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lang/>
        </w:rPr>
      </w:pPr>
      <w:r>
        <w:rPr>
          <w:rFonts w:ascii="Times New Roman" w:hAnsi="Times New Roman" w:eastAsia="楷体" w:cs="Times New Roman"/>
          <w:color w:val="000000"/>
          <w:sz w:val="24"/>
          <w:lang/>
        </w:rPr>
        <w:t>适用预付款结算方式，但甲方同意乙方少量赊购的，如乙方未在1个工作日内补足欠款，每逾期1日，应向甲方支付迟延支付金额0.5%的违约金；</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FF"/>
          <w:sz w:val="24"/>
          <w:lang/>
        </w:rPr>
      </w:pPr>
      <w:r>
        <w:rPr>
          <w:rFonts w:ascii="Times New Roman" w:hAnsi="Times New Roman" w:eastAsia="楷体" w:cs="Times New Roman"/>
          <w:color w:val="0000FF"/>
          <w:sz w:val="24"/>
          <w:lang/>
        </w:rPr>
        <w:t>【适用滚动结算方式时，如乙方未按本合同约定付款，甲方有权以履约保证金直接抵扣油款，如履约保证金不足抵扣的，除补足油款外，每逾期1日，乙方应向甲方支付迟延支付金额0.5%的违约金。】</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lang/>
        </w:rPr>
      </w:pPr>
      <w:r>
        <w:rPr>
          <w:rFonts w:ascii="Times New Roman" w:hAnsi="Times New Roman" w:eastAsia="楷体" w:cs="Times New Roman"/>
          <w:color w:val="000000"/>
          <w:sz w:val="24"/>
          <w:lang/>
        </w:rPr>
        <w:t>如因乙方加油人员弄虚作假，导致甲方为错误车辆加油的，乙方应承担由此给甲方造成的全部损失。</w:t>
      </w:r>
    </w:p>
    <w:p>
      <w:pPr>
        <w:pStyle w:val="34"/>
        <w:tabs>
          <w:tab w:val="left" w:pos="709"/>
          <w:tab w:val="left" w:pos="850"/>
          <w:tab w:val="clear" w:pos="1800"/>
        </w:tabs>
        <w:adjustRightInd/>
        <w:snapToGrid/>
        <w:spacing w:before="120" w:after="120" w:line="319" w:lineRule="auto"/>
        <w:ind w:left="1440" w:hanging="720"/>
        <w:rPr>
          <w:rFonts w:ascii="Times New Roman" w:hAnsi="Times New Roman" w:eastAsia="楷体" w:cs="Times New Roman"/>
          <w:color w:val="000000"/>
          <w:sz w:val="24"/>
          <w:lang/>
        </w:rPr>
      </w:pPr>
      <w:r>
        <w:rPr>
          <w:rFonts w:ascii="Times New Roman" w:hAnsi="Times New Roman" w:eastAsia="楷体" w:cs="Times New Roman"/>
          <w:color w:val="000000"/>
          <w:sz w:val="24"/>
          <w:lang/>
        </w:rPr>
        <w:t>乙方车辆在甲方加油站内加油应遵守甲方的安全规定，听从甲方工作人员的指挥。如违反甲方安全规定或不听从甲方工作人员指挥的，甲方有权拒绝为乙方相应车辆加油。甲方如因此遭受损失的，乙方应承担赔偿责任，甲方有权从乙方预存油款或履约保证金中直接扣除相应款项，不足部分有权继续向乙方追偿。</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lang/>
        </w:rPr>
      </w:pPr>
      <w:r>
        <w:rPr>
          <w:rFonts w:ascii="Times New Roman" w:hAnsi="Times New Roman" w:eastAsia="楷体" w:cs="Times New Roman"/>
          <w:color w:val="000000"/>
          <w:sz w:val="24"/>
          <w:lang/>
        </w:rPr>
        <w:t>乙方加油人员套现或利用加油凭证/IC卡购置其它物品的，应按套现金额或购置其他物品所花费金额的%承担违约责任。</w:t>
      </w:r>
    </w:p>
    <w:p>
      <w:pPr>
        <w:pStyle w:val="34"/>
        <w:tabs>
          <w:tab w:val="left" w:pos="709"/>
          <w:tab w:val="left" w:pos="850"/>
          <w:tab w:val="clear" w:pos="1800"/>
        </w:tabs>
        <w:adjustRightInd/>
        <w:snapToGrid/>
        <w:spacing w:before="120" w:after="120" w:line="319" w:lineRule="auto"/>
        <w:ind w:left="1440" w:hanging="720"/>
        <w:rPr>
          <w:rFonts w:ascii="Times New Roman" w:hAnsi="Times New Roman" w:eastAsia="楷体" w:cs="Times New Roman"/>
          <w:color w:val="000000"/>
          <w:sz w:val="24"/>
          <w:lang/>
        </w:rPr>
      </w:pPr>
      <w:r>
        <w:rPr>
          <w:rFonts w:ascii="Times New Roman" w:hAnsi="Times New Roman" w:eastAsia="楷体" w:cs="Times New Roman"/>
          <w:color w:val="000000"/>
          <w:sz w:val="24"/>
          <w:lang/>
        </w:rPr>
        <w:t>乙方违反本合同第9.3条约定的陈述和保证的，均视为乙方违约，甲方可采取包括但不限于暂停或取消乙方优惠资格、要求乙方返还已享受的优惠额度对应的金额等措施</w:t>
      </w:r>
      <w:r>
        <w:rPr>
          <w:rFonts w:ascii="Times New Roman" w:hAnsi="Times New Roman" w:eastAsia="楷体" w:cs="Times New Roman"/>
          <w:color w:val="000000"/>
          <w:sz w:val="24"/>
          <w:szCs w:val="24"/>
          <w:lang/>
        </w:rPr>
        <w:t>，</w:t>
      </w:r>
      <w:r>
        <w:rPr>
          <w:rFonts w:ascii="Times New Roman" w:hAnsi="Times New Roman" w:eastAsia="楷体" w:cs="Times New Roman"/>
          <w:color w:val="000000"/>
          <w:sz w:val="24"/>
          <w:lang/>
        </w:rPr>
        <w:t>并要求乙方承担违约责任。因乙方违约导致甲方遭受政府机构、司法机构处罚、追责及任何第三方索赔等，该等责任由乙方承担。</w:t>
      </w:r>
    </w:p>
    <w:p>
      <w:pPr>
        <w:pStyle w:val="32"/>
        <w:adjustRightInd/>
        <w:snapToGrid/>
        <w:spacing w:before="120" w:after="120" w:line="319" w:lineRule="auto"/>
        <w:ind w:left="720" w:hanging="720"/>
        <w:rPr>
          <w:rFonts w:ascii="Times New Roman" w:hAnsi="Times New Roman" w:eastAsia="楷体" w:cs="Times New Roman"/>
          <w:color w:val="000000"/>
          <w:sz w:val="24"/>
          <w:lang/>
        </w:rPr>
      </w:pPr>
      <w:r>
        <w:rPr>
          <w:rFonts w:ascii="Times New Roman" w:hAnsi="Times New Roman" w:eastAsia="楷体" w:cs="Times New Roman"/>
          <w:color w:val="000000"/>
          <w:sz w:val="24"/>
          <w:lang/>
        </w:rPr>
        <w:t>任何一方违反本合同约定，违约方应赔偿由此给守约方造成的损失。如双方均有过错的，按过错比例承担相应责任。</w:t>
      </w:r>
    </w:p>
    <w:p>
      <w:pPr>
        <w:pStyle w:val="32"/>
        <w:adjustRightInd/>
        <w:snapToGrid/>
        <w:spacing w:before="120" w:after="120" w:line="319" w:lineRule="auto"/>
        <w:ind w:left="720" w:hanging="720"/>
        <w:rPr>
          <w:rFonts w:ascii="Times New Roman" w:hAnsi="Times New Roman" w:eastAsia="楷体" w:cs="Times New Roman"/>
          <w:color w:val="000000"/>
          <w:sz w:val="24"/>
          <w:lang/>
        </w:rPr>
      </w:pPr>
      <w:bookmarkStart w:id="83" w:name="OLE_LINK24"/>
      <w:bookmarkStart w:id="84" w:name="OLE_LINK25"/>
      <w:r>
        <w:rPr>
          <w:rFonts w:ascii="Times New Roman" w:hAnsi="Times New Roman" w:eastAsia="楷体" w:cs="Times New Roman"/>
          <w:color w:val="000000"/>
          <w:sz w:val="24"/>
          <w:lang/>
        </w:rPr>
        <w:t>其他约定：</w:t>
      </w:r>
      <w:bookmarkEnd w:id="83"/>
      <w:bookmarkEnd w:id="84"/>
    </w:p>
    <w:p>
      <w:pPr>
        <w:pStyle w:val="29"/>
        <w:tabs>
          <w:tab w:val="left" w:pos="709"/>
        </w:tabs>
        <w:spacing w:before="120" w:after="120" w:line="319" w:lineRule="auto"/>
        <w:ind w:left="709" w:hanging="709"/>
        <w:jc w:val="both"/>
        <w:rPr>
          <w:rFonts w:ascii="Times New Roman" w:hAnsi="Times New Roman" w:eastAsia="楷体" w:cs="Times New Roman"/>
          <w:color w:val="000000"/>
          <w:sz w:val="24"/>
        </w:rPr>
      </w:pPr>
      <w:bookmarkStart w:id="85" w:name="_Toc153098211"/>
      <w:bookmarkEnd w:id="85"/>
      <w:bookmarkStart w:id="86" w:name="_Toc90454443"/>
      <w:bookmarkStart w:id="87" w:name="_Toc157276994"/>
      <w:r>
        <w:rPr>
          <w:rFonts w:ascii="Times New Roman" w:hAnsi="Times New Roman" w:eastAsia="楷体" w:cs="Times New Roman"/>
          <w:color w:val="000000"/>
          <w:sz w:val="24"/>
        </w:rPr>
        <w:t>陈述与保证</w:t>
      </w:r>
      <w:bookmarkEnd w:id="31"/>
      <w:bookmarkEnd w:id="32"/>
      <w:bookmarkEnd w:id="33"/>
      <w:bookmarkEnd w:id="34"/>
      <w:bookmarkEnd w:id="86"/>
      <w:bookmarkEnd w:id="87"/>
    </w:p>
    <w:p>
      <w:pPr>
        <w:pStyle w:val="32"/>
        <w:adjustRightInd/>
        <w:snapToGrid/>
        <w:spacing w:before="120" w:after="120" w:line="319" w:lineRule="auto"/>
        <w:ind w:left="720" w:hanging="720"/>
        <w:rPr>
          <w:rFonts w:ascii="Times New Roman" w:hAnsi="Times New Roman" w:eastAsia="楷体" w:cs="Times New Roman"/>
          <w:color w:val="000000"/>
          <w:sz w:val="24"/>
          <w:lang/>
        </w:rPr>
      </w:pPr>
      <w:r>
        <w:rPr>
          <w:rFonts w:ascii="Times New Roman" w:hAnsi="Times New Roman" w:eastAsia="楷体" w:cs="Times New Roman"/>
          <w:color w:val="000000"/>
          <w:sz w:val="24"/>
          <w:lang/>
        </w:rPr>
        <w:t>双方</w:t>
      </w:r>
      <w:r>
        <w:rPr>
          <w:rFonts w:ascii="Times New Roman" w:hAnsi="Times New Roman" w:eastAsia="楷体" w:cs="Times New Roman"/>
          <w:color w:val="000000"/>
          <w:sz w:val="24"/>
          <w:szCs w:val="24"/>
          <w:lang/>
        </w:rPr>
        <w:t>分别就其自身情况向相对方</w:t>
      </w:r>
      <w:r>
        <w:rPr>
          <w:rFonts w:ascii="Times New Roman" w:hAnsi="Times New Roman" w:eastAsia="楷体" w:cs="Times New Roman"/>
          <w:color w:val="000000"/>
          <w:sz w:val="24"/>
          <w:lang/>
        </w:rPr>
        <w:t>陈述和保证：</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双方依照其注册地法律合法设立和有效存续，并符合各项法律规定。</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shd w:val="clear" w:color="030000" w:fill="D9D9D9"/>
        </w:rPr>
      </w:pPr>
      <w:bookmarkStart w:id="88" w:name="des1715408118120"/>
      <w:r>
        <w:rPr>
          <w:rFonts w:ascii="Times New Roman" w:hAnsi="Times New Roman" w:eastAsia="楷体" w:cs="Times New Roman"/>
          <w:color w:val="000000"/>
          <w:sz w:val="24"/>
          <w:shd w:val="clear" w:color="030000" w:fill="D9D9D9"/>
        </w:rPr>
        <w:t>双方拥有订立本合同所需的必要授权和批准，且拥有充分履行其在本合同项下的每一义务，以及按照本合同规定管理其财产、资产以开展其业务的必要授权和批准。</w:t>
      </w:r>
      <w:bookmarkEnd w:id="88"/>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双方已采取授权其订立本合同所需的行动，且其在本合同上签名的代表拥有充分授权签署本合同并受本合同约束。</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本合同构成该方合法、有效、具有约束力的义务。</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双方签署本合同或该方履行其在本合同项下的义务，将不抵触其营业执照、内部规章或章程的任何规定，或任何政府部门或机构的任何法律、规章、条例、授权或批准，或该方为一方或约束该方的任何合同或协议的任何规定，或导致对前述各项的违反或违约。</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既没有涉及本合同标的或者会在任何方面影响该方签订或履行本合同的能力的诉讼、仲裁或者法律、行政或其它程序或政府调查正在对该方进行，且据该方所知，其亦未受到此种程序或调查的威胁。</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lang/>
        </w:rPr>
      </w:pPr>
      <w:bookmarkStart w:id="89" w:name="_Toc27250"/>
      <w:r>
        <w:rPr>
          <w:rFonts w:ascii="Times New Roman" w:hAnsi="Times New Roman" w:eastAsia="楷体" w:cs="Times New Roman"/>
          <w:color w:val="000000"/>
          <w:sz w:val="24"/>
          <w:lang/>
        </w:rPr>
        <w:t>甲方特此</w:t>
      </w:r>
      <w:r>
        <w:rPr>
          <w:rFonts w:ascii="Times New Roman" w:hAnsi="Times New Roman" w:eastAsia="楷体" w:cs="Times New Roman"/>
          <w:color w:val="000000"/>
          <w:sz w:val="24"/>
          <w:szCs w:val="24"/>
          <w:lang/>
        </w:rPr>
        <w:t>承诺，</w:t>
      </w:r>
      <w:bookmarkStart w:id="90" w:name="_Hlk152655892"/>
      <w:r>
        <w:rPr>
          <w:rFonts w:ascii="Times New Roman" w:hAnsi="Times New Roman" w:eastAsia="楷体" w:cs="Times New Roman"/>
          <w:color w:val="000000"/>
          <w:sz w:val="24"/>
          <w:szCs w:val="24"/>
          <w:lang/>
        </w:rPr>
        <w:t>在本合同有效期内</w:t>
      </w:r>
      <w:bookmarkEnd w:id="90"/>
      <w:r>
        <w:rPr>
          <w:rFonts w:ascii="Times New Roman" w:hAnsi="Times New Roman" w:eastAsia="楷体" w:cs="Times New Roman"/>
          <w:color w:val="000000"/>
          <w:sz w:val="24"/>
          <w:lang/>
        </w:rPr>
        <w:t>：</w:t>
      </w:r>
      <w:bookmarkEnd w:id="89"/>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拥有在本合同履行地销售成品油的资质并确保该资质持续有效。</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按照国家有关安全规定、技术标准等要求供油。</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甲方将合理审慎提供加油服务，履行其在本合同项下的义务，行使其在本合同项下的权利。</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lang/>
        </w:rPr>
      </w:pPr>
      <w:bookmarkStart w:id="91" w:name="_Toc27068"/>
      <w:r>
        <w:rPr>
          <w:rFonts w:ascii="Times New Roman" w:hAnsi="Times New Roman" w:eastAsia="楷体" w:cs="Times New Roman"/>
          <w:color w:val="000000"/>
          <w:sz w:val="24"/>
          <w:lang/>
        </w:rPr>
        <w:t>乙方特此</w:t>
      </w:r>
      <w:r>
        <w:rPr>
          <w:rFonts w:ascii="Times New Roman" w:hAnsi="Times New Roman" w:eastAsia="楷体" w:cs="Times New Roman"/>
          <w:color w:val="000000"/>
          <w:sz w:val="24"/>
          <w:szCs w:val="24"/>
          <w:lang/>
        </w:rPr>
        <w:t>承诺，在本合同有效期内</w:t>
      </w:r>
      <w:r>
        <w:rPr>
          <w:rFonts w:ascii="Times New Roman" w:hAnsi="Times New Roman" w:eastAsia="楷体" w:cs="Times New Roman"/>
          <w:color w:val="000000"/>
          <w:sz w:val="24"/>
          <w:lang/>
        </w:rPr>
        <w:t>：</w:t>
      </w:r>
      <w:bookmarkEnd w:id="91"/>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乙方将合理审慎提油，履行其在本合同项下的义务，行使其在本合同项下的权利。</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乙方提油后均用于日常生产、经营，不变更加注的成品油的用途，不转卖、变卖成品油。</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shd w:val="clear" w:color="030000" w:fill="D9D9D9"/>
        </w:rPr>
      </w:pPr>
      <w:bookmarkStart w:id="92" w:name="des1715408138631"/>
      <w:r>
        <w:rPr>
          <w:rFonts w:ascii="Times New Roman" w:hAnsi="Times New Roman" w:eastAsia="楷体" w:cs="Times New Roman"/>
          <w:color w:val="000000"/>
          <w:sz w:val="24"/>
          <w:shd w:val="clear" w:color="030000" w:fill="D9D9D9"/>
        </w:rPr>
        <w:t>加油车辆权属不存在任何争议或瑕疵。如存在因车辆租赁、挂靠等情形引发的任何争议均由乙方承担法律责任。任何情况下乙方不得以此为由拖欠甲方油款。</w:t>
      </w:r>
      <w:bookmarkEnd w:id="92"/>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乙方对所办理的加油凭证使用进行管理，加油凭证仅供乙方自身使用，并确保其用途合法合规。乙方不得将加油凭证交由加油站代管或出租、转让、转借给乙方车辆以外的任何用户使用，不得与任何主体通过“共享”、“拼单”等方式，共用加油凭证。乙方不得以任何形式将加油卡转售第三方，致使甲方为非乙方车辆加油。</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乙方应按照实际生产经营需求加油，不得超过其自身实际提油量单独或联合任何主体实施套取或虚开增值税发票等触犯《刑法》、违反国家税法及增值税管理法规及政策的行为。亦不得以任何形式将加油凭证用于集资活动或将加油凭证包装成为金融产品谋利。</w:t>
      </w:r>
    </w:p>
    <w:p>
      <w:pPr>
        <w:pStyle w:val="34"/>
        <w:tabs>
          <w:tab w:val="left" w:pos="709"/>
          <w:tab w:val="left" w:pos="850"/>
          <w:tab w:val="left" w:pos="1440"/>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rPr>
      </w:pPr>
      <w:r>
        <w:rPr>
          <w:rFonts w:ascii="Times New Roman" w:hAnsi="Times New Roman" w:eastAsia="楷体" w:cs="Times New Roman"/>
          <w:color w:val="000000"/>
          <w:sz w:val="24"/>
        </w:rPr>
        <w:t>乙方确认根据自己的意愿，自主与甲方达成本合同，并已熟知其签订本合同的权益与在本合同项下的义务。</w:t>
      </w:r>
      <w:bookmarkEnd w:id="28"/>
      <w:bookmarkEnd w:id="29"/>
      <w:bookmarkEnd w:id="30"/>
      <w:bookmarkStart w:id="93" w:name="_Toc508005091"/>
    </w:p>
    <w:p>
      <w:pPr>
        <w:pStyle w:val="29"/>
        <w:tabs>
          <w:tab w:val="left" w:pos="709"/>
        </w:tabs>
        <w:spacing w:before="120" w:after="120" w:line="319" w:lineRule="auto"/>
        <w:ind w:left="539" w:hanging="539"/>
        <w:jc w:val="both"/>
        <w:rPr>
          <w:rFonts w:ascii="Times New Roman" w:hAnsi="Times New Roman" w:eastAsia="楷体" w:cs="Times New Roman"/>
          <w:color w:val="000000"/>
          <w:sz w:val="24"/>
          <w:szCs w:val="24"/>
          <w:shd w:val="clear" w:color="040000" w:fill="D9D9D9"/>
          <w:lang w:eastAsia="zh-CN"/>
        </w:rPr>
      </w:pPr>
      <w:bookmarkStart w:id="94" w:name="_Toc153098213"/>
      <w:bookmarkEnd w:id="94"/>
      <w:bookmarkStart w:id="95" w:name="_Toc157276995"/>
      <w:bookmarkStart w:id="96" w:name="_Toc90454444"/>
      <w:bookmarkStart w:id="97" w:name="_Toc62759281"/>
      <w:bookmarkStart w:id="98" w:name="des1715408188502"/>
      <w:bookmarkStart w:id="99" w:name="OLE_LINK28"/>
      <w:bookmarkStart w:id="100" w:name="OLE_LINK29"/>
      <w:r>
        <w:rPr>
          <w:rFonts w:ascii="Times New Roman" w:hAnsi="Times New Roman" w:eastAsia="楷体" w:cs="Times New Roman"/>
          <w:color w:val="000000"/>
          <w:sz w:val="24"/>
          <w:szCs w:val="24"/>
          <w:shd w:val="clear" w:color="040000" w:fill="D9D9D9"/>
          <w:lang w:eastAsia="zh-CN"/>
        </w:rPr>
        <w:t>诚信合规</w:t>
      </w:r>
      <w:bookmarkEnd w:id="95"/>
      <w:bookmarkEnd w:id="96"/>
      <w:bookmarkEnd w:id="97"/>
      <w:bookmarkEnd w:id="98"/>
    </w:p>
    <w:p>
      <w:pPr>
        <w:pStyle w:val="32"/>
        <w:adjustRightInd/>
        <w:snapToGrid/>
        <w:spacing w:before="120" w:after="120" w:line="319" w:lineRule="auto"/>
        <w:ind w:left="720" w:hanging="720"/>
        <w:rPr>
          <w:rFonts w:ascii="Times New Roman" w:hAnsi="Times New Roman" w:eastAsia="楷体" w:cs="Times New Roman"/>
          <w:color w:val="000000"/>
          <w:sz w:val="24"/>
          <w:szCs w:val="24"/>
          <w:lang/>
        </w:rPr>
      </w:pPr>
      <w:r>
        <w:rPr>
          <w:rFonts w:ascii="Times New Roman" w:hAnsi="Times New Roman" w:eastAsia="楷体" w:cs="Times New Roman"/>
          <w:color w:val="000000"/>
          <w:sz w:val="24"/>
          <w:szCs w:val="24"/>
          <w:lang/>
        </w:rPr>
        <w:t>合同双方应坚持公平公正、诚实信用原则，严格遵守国家关于市场准入、招标投标、工程建设、安全环保质量管理、经营活动与市场竞争的法律法规，以及关于诚信、合规的各项规定，并严格执行合同文件。</w:t>
      </w:r>
    </w:p>
    <w:p>
      <w:pPr>
        <w:pStyle w:val="32"/>
        <w:adjustRightInd/>
        <w:snapToGrid/>
        <w:spacing w:before="120" w:after="120" w:line="319" w:lineRule="auto"/>
        <w:ind w:left="720" w:hanging="720"/>
        <w:rPr>
          <w:rFonts w:ascii="Times New Roman" w:hAnsi="Times New Roman" w:eastAsia="楷体" w:cs="Times New Roman"/>
          <w:color w:val="000000"/>
          <w:sz w:val="24"/>
          <w:szCs w:val="24"/>
          <w:shd w:val="clear" w:color="040000" w:fill="D9D9D9"/>
          <w:lang/>
        </w:rPr>
      </w:pPr>
      <w:bookmarkStart w:id="101" w:name="_Toc28174548"/>
      <w:bookmarkStart w:id="102" w:name="_Toc27429424"/>
      <w:bookmarkStart w:id="103" w:name="des1715408158802"/>
      <w:r>
        <w:rPr>
          <w:rFonts w:ascii="Times New Roman" w:hAnsi="Times New Roman" w:eastAsia="楷体" w:cs="Times New Roman"/>
          <w:color w:val="000000"/>
          <w:sz w:val="24"/>
          <w:szCs w:val="24"/>
          <w:shd w:val="clear" w:color="040000" w:fill="D9D9D9"/>
          <w:lang/>
        </w:rPr>
        <w:t>乙方（包括其关联方、代理商、供应商、服务商等，下同）声明，已从中国石油天然气集团有限公司（甲方的直接母公司和/或最终母公司）门户网站（http://www.cnpc.com.cn/cnpc/index.shtml）上阅知《中国石油诚信合规手册》内容，并承诺在履行本合同以及因此开展的相关交易活动过程中遵守该手册阐明的诚信合规原则。</w:t>
      </w:r>
      <w:bookmarkEnd w:id="101"/>
      <w:bookmarkEnd w:id="102"/>
      <w:bookmarkEnd w:id="103"/>
    </w:p>
    <w:p>
      <w:pPr>
        <w:pStyle w:val="32"/>
        <w:adjustRightInd/>
        <w:snapToGrid/>
        <w:spacing w:before="120" w:after="120" w:line="319" w:lineRule="auto"/>
        <w:ind w:left="720" w:hanging="720"/>
        <w:rPr>
          <w:rFonts w:ascii="Times New Roman" w:hAnsi="Times New Roman" w:eastAsia="楷体" w:cs="Times New Roman"/>
          <w:color w:val="000000"/>
          <w:sz w:val="24"/>
          <w:szCs w:val="24"/>
          <w:lang/>
        </w:rPr>
      </w:pPr>
      <w:r>
        <w:rPr>
          <w:rFonts w:ascii="Times New Roman" w:hAnsi="Times New Roman" w:eastAsia="楷体" w:cs="Times New Roman"/>
          <w:color w:val="000000"/>
          <w:sz w:val="24"/>
          <w:szCs w:val="24"/>
          <w:lang/>
        </w:rPr>
        <w:t>乙方在履行本合同以及因此开展的相关交易活动过程中，不得为谋取不正当利益给予国家机关、国家工作人员财物贿赂和非财产性利益贿赂，或向国家工作人员介绍财物贿赂和非财产性利益贿赂；不得为下述目的向任何国家工作人员支付任何款项和报酬：（1）影响国家工作人员以职务身份作出的行为或决定；（2）诱使国家工作人员对政府机构开展的工作施加其影响；（3）诱使或奖励国家工作人员做出不当行为或发挥不当作用。</w:t>
      </w:r>
    </w:p>
    <w:p>
      <w:pPr>
        <w:pStyle w:val="32"/>
        <w:adjustRightInd/>
        <w:snapToGrid/>
        <w:spacing w:before="120" w:after="120" w:line="319" w:lineRule="auto"/>
        <w:ind w:left="720" w:hanging="720"/>
        <w:rPr>
          <w:rFonts w:ascii="Times New Roman" w:hAnsi="Times New Roman" w:eastAsia="楷体" w:cs="Times New Roman"/>
          <w:color w:val="000000"/>
          <w:sz w:val="24"/>
          <w:szCs w:val="24"/>
          <w:lang/>
        </w:rPr>
      </w:pPr>
      <w:bookmarkStart w:id="104" w:name="_Toc28174551"/>
      <w:bookmarkStart w:id="105" w:name="_Toc27429426"/>
      <w:r>
        <w:rPr>
          <w:rFonts w:ascii="Times New Roman" w:hAnsi="Times New Roman" w:eastAsia="楷体" w:cs="Times New Roman"/>
          <w:color w:val="000000"/>
          <w:sz w:val="24"/>
          <w:szCs w:val="24"/>
          <w:lang/>
        </w:rPr>
        <w:t>乙方在履行本合同以及因此开展的相关交易活动过程中，应确保其行为符合有关国家法律法规、监管要求、商业惯例、行业准则及甲方相关规章制度的规定，不得为谋取不正当利益违规行事，包括但不限于：（1）直接或间接给予甲方工作人员及其近亲属任何好处，包括但不限于给予现金及现金等价物、礼金、贵重物品、有价证券、回扣；资助出国、房屋装修；免费提供通讯和交通工具、家电及高档办公用品等物品；报销或承担旅游、宴请、娱乐健身等费用；给予就业机会等非财产性利益；（2）擅自与甲方工作人员就工程承包、工程费用、材料设备供应、工作量变动、验收、质量问题处理等进行私下商谈或者达成默契。</w:t>
      </w:r>
      <w:bookmarkEnd w:id="104"/>
      <w:bookmarkEnd w:id="105"/>
    </w:p>
    <w:p>
      <w:pPr>
        <w:pStyle w:val="32"/>
        <w:adjustRightInd/>
        <w:snapToGrid/>
        <w:spacing w:before="120" w:after="120" w:line="319" w:lineRule="auto"/>
        <w:ind w:left="720" w:hanging="720"/>
        <w:rPr>
          <w:rFonts w:ascii="Times New Roman" w:hAnsi="Times New Roman" w:eastAsia="楷体" w:cs="Times New Roman"/>
          <w:color w:val="000000"/>
          <w:sz w:val="24"/>
          <w:szCs w:val="24"/>
          <w:lang/>
        </w:rPr>
      </w:pPr>
      <w:bookmarkStart w:id="106" w:name="_Toc28174553"/>
      <w:bookmarkStart w:id="107" w:name="_Toc27429428"/>
      <w:r>
        <w:rPr>
          <w:rFonts w:ascii="Times New Roman" w:hAnsi="Times New Roman" w:eastAsia="楷体" w:cs="Times New Roman"/>
          <w:color w:val="000000"/>
          <w:sz w:val="24"/>
          <w:szCs w:val="24"/>
          <w:lang/>
        </w:rPr>
        <w:t>乙方应采取有效措施确保前述合规义务的履行，包括但不限于：（1）制定合规管理制度，建立合规管理流程，开展合规教育培训，落实违规责任追究；（2）确保在其账簿和记录中准确地记录与本合同有关的所有交易，以便真实反映所涉及的业务活动。收到甲方书面要求后日内，乙方应提供相应书面材料，证明其已采取相关措施。</w:t>
      </w:r>
      <w:bookmarkEnd w:id="106"/>
      <w:bookmarkEnd w:id="107"/>
    </w:p>
    <w:p>
      <w:pPr>
        <w:pStyle w:val="32"/>
        <w:adjustRightInd/>
        <w:snapToGrid/>
        <w:spacing w:before="120" w:after="120" w:line="319" w:lineRule="auto"/>
        <w:ind w:left="720" w:hanging="720"/>
        <w:rPr>
          <w:rFonts w:ascii="Times New Roman" w:hAnsi="Times New Roman" w:eastAsia="楷体" w:cs="Times New Roman"/>
          <w:color w:val="000000"/>
          <w:sz w:val="24"/>
          <w:szCs w:val="24"/>
          <w:lang/>
        </w:rPr>
      </w:pPr>
      <w:bookmarkStart w:id="108" w:name="_Toc28174554"/>
      <w:bookmarkStart w:id="109" w:name="_Toc27429429"/>
      <w:r>
        <w:rPr>
          <w:rFonts w:ascii="Times New Roman" w:hAnsi="Times New Roman" w:eastAsia="楷体" w:cs="Times New Roman"/>
          <w:color w:val="000000"/>
          <w:sz w:val="24"/>
          <w:szCs w:val="24"/>
          <w:lang/>
        </w:rPr>
        <w:t>如乙方及其工作人员未履行上述义务，甲方有权要求乙方整改，乙方应自行承担费用进行整改。因乙方违规行为产生的后果，乙方应自行承担相关损失、赔偿、费用、罚金和罚款等，并保证甲方免责；同时，甲方有权视乙方违规程度同时或单独采取不同救济措施，包括要求乙方停止违规行为、暂停付款、要求乙方退还已支付款项、要求乙方支付本合同加油费%的违约金、解除合同、取消乙方市场准入资格等；乙方支付的违约金不足以弥补甲方损失的，还应继续承担甲方由此遭受的所有损失</w:t>
      </w:r>
      <w:bookmarkEnd w:id="108"/>
      <w:r>
        <w:rPr>
          <w:rFonts w:ascii="Times New Roman" w:hAnsi="Times New Roman" w:eastAsia="楷体" w:cs="Times New Roman"/>
          <w:color w:val="000000"/>
          <w:sz w:val="24"/>
          <w:szCs w:val="24"/>
          <w:lang/>
        </w:rPr>
        <w:t>。</w:t>
      </w:r>
    </w:p>
    <w:p>
      <w:pPr>
        <w:pStyle w:val="32"/>
        <w:adjustRightInd/>
        <w:snapToGrid/>
        <w:spacing w:before="120" w:after="120" w:line="319" w:lineRule="auto"/>
        <w:ind w:left="720" w:hanging="720"/>
        <w:rPr>
          <w:rFonts w:ascii="Times New Roman" w:hAnsi="Times New Roman" w:eastAsia="楷体" w:cs="Times New Roman"/>
          <w:color w:val="000000"/>
          <w:sz w:val="24"/>
          <w:szCs w:val="24"/>
          <w:lang/>
        </w:rPr>
      </w:pPr>
      <w:r>
        <w:rPr>
          <w:rFonts w:ascii="Times New Roman" w:hAnsi="Times New Roman" w:eastAsia="楷体" w:cs="Times New Roman"/>
          <w:color w:val="000000"/>
          <w:sz w:val="24"/>
          <w:szCs w:val="24"/>
          <w:lang/>
        </w:rPr>
        <w:t>甲方及其工作人员在履行本合同以及因此开展的相关交易活动过程中，不得为谋取不正当利益直接或间接向乙方主动索取或接受任何好处，包括但不限于：（1）以任何形式向乙方索要赞助、回扣，接受礼金、有价证券、贵重物品，收受交通和通讯工具、家电及高档办公用品等；（2）接受乙方提供的房屋装修或以考察、参观等名义参加乙方安排的国内外旅游活动；（3）参加可能影响其公正履职的宴请、高消费娱乐、婚丧嫁娶等活动；（4）在乙方报销任何应由其单位或个人支付的费用；（5）向乙方和相关单位介绍甲方工作人员的配偶、子女、亲属参与同甲方工程项目合同有关的任何活动，包括但不限于同工程项目合同有关的设备及材料采购、工程分包、提供服务和劳务等经济活动；（6）向乙方和相关单位推荐分包商或要求乙方和相关单位购买工程项目合同约定以外的材料、设备等。如乙方发现甲方及其工作人员存在违规行为，应主动向甲方纪检监察部门报告。</w:t>
      </w:r>
    </w:p>
    <w:p>
      <w:pPr>
        <w:pStyle w:val="32"/>
        <w:adjustRightInd/>
        <w:snapToGrid/>
        <w:spacing w:before="120" w:after="120" w:line="319" w:lineRule="auto"/>
        <w:ind w:left="720" w:hanging="720"/>
        <w:rPr>
          <w:rFonts w:ascii="Times New Roman" w:hAnsi="Times New Roman" w:eastAsia="楷体" w:cs="Times New Roman"/>
          <w:color w:val="000000"/>
          <w:sz w:val="24"/>
          <w:szCs w:val="24"/>
          <w:lang/>
        </w:rPr>
      </w:pPr>
      <w:r>
        <w:rPr>
          <w:rFonts w:ascii="Times New Roman" w:hAnsi="Times New Roman" w:eastAsia="楷体" w:cs="Times New Roman"/>
          <w:color w:val="000000"/>
          <w:sz w:val="24"/>
          <w:szCs w:val="24"/>
          <w:lang/>
        </w:rPr>
        <w:t>其他约定：</w:t>
      </w:r>
      <w:bookmarkEnd w:id="109"/>
    </w:p>
    <w:p>
      <w:pPr>
        <w:pStyle w:val="29"/>
        <w:tabs>
          <w:tab w:val="left" w:pos="709"/>
        </w:tabs>
        <w:spacing w:before="120" w:after="120" w:line="319" w:lineRule="auto"/>
        <w:ind w:left="851" w:hanging="851"/>
        <w:jc w:val="both"/>
        <w:rPr>
          <w:rFonts w:ascii="Times New Roman" w:hAnsi="Times New Roman" w:eastAsia="楷体" w:cs="Times New Roman"/>
          <w:color w:val="000000"/>
          <w:sz w:val="24"/>
          <w:szCs w:val="24"/>
          <w:shd w:val="clear" w:color="040000" w:fill="D9D9D9"/>
          <w:lang w:eastAsia="zh-CN"/>
        </w:rPr>
      </w:pPr>
      <w:bookmarkStart w:id="110" w:name="_Toc153098215"/>
      <w:bookmarkEnd w:id="110"/>
      <w:bookmarkStart w:id="111" w:name="_Toc157276996"/>
      <w:bookmarkStart w:id="112" w:name="_Toc90454445"/>
      <w:bookmarkStart w:id="113" w:name="des1715408216040"/>
      <w:r>
        <w:rPr>
          <w:rFonts w:ascii="Times New Roman" w:hAnsi="Times New Roman" w:eastAsia="楷体" w:cs="Times New Roman"/>
          <w:color w:val="000000"/>
          <w:sz w:val="24"/>
          <w:szCs w:val="24"/>
          <w:shd w:val="clear" w:color="040000" w:fill="D9D9D9"/>
          <w:lang w:eastAsia="zh-CN"/>
        </w:rPr>
        <w:t>不可抗力</w:t>
      </w:r>
      <w:bookmarkEnd w:id="111"/>
      <w:bookmarkEnd w:id="112"/>
      <w:bookmarkEnd w:id="113"/>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lang/>
        </w:rPr>
      </w:pPr>
      <w:r>
        <w:rPr>
          <w:rFonts w:ascii="Times New Roman" w:hAnsi="Times New Roman" w:eastAsia="楷体" w:cs="Times New Roman"/>
          <w:color w:val="000000"/>
          <w:sz w:val="24"/>
          <w:szCs w:val="24"/>
          <w:lang/>
        </w:rPr>
        <w:t>不可抗力事件是指合同当事人不能预见、不能避免且不能克服的客观情况，包括但不限于地震、水灾、火灾（非人为）、雷击、雪灾、瘟疫、流行性疾病、海啸、风暴潮、台风、泥石流、滑坡等自然灾害；战争、骚乱、戒严、暴动、恐怖袭击、罢工、内乱等社会事件及政府征用、征收、禁令等行为导致无法履行合同的情形。</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lang/>
        </w:rPr>
      </w:pPr>
      <w:r>
        <w:rPr>
          <w:rFonts w:ascii="Times New Roman" w:hAnsi="Times New Roman" w:eastAsia="楷体" w:cs="Times New Roman"/>
          <w:color w:val="000000"/>
          <w:sz w:val="24"/>
          <w:szCs w:val="24"/>
          <w:lang/>
        </w:rPr>
        <w:t>由于不可抗力原因，使双方或任何一方不能履行或者不能完全履行合同义务时，受到不可抗力影响的一方应采取有效措施，尽量避免或减少损失，将损失降低到最低程度，在不可抗力发生后小时内以书面形式通知对方，并在其后日内向对方提供有效证明文件。一方未尽通知义务或未采取措施避免、减少损失的，应就扩大的损失承担相应的赔偿责任。</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lang/>
        </w:rPr>
      </w:pPr>
      <w:r>
        <w:rPr>
          <w:rFonts w:ascii="Times New Roman" w:hAnsi="Times New Roman" w:eastAsia="楷体" w:cs="Times New Roman"/>
          <w:color w:val="000000"/>
          <w:sz w:val="24"/>
          <w:szCs w:val="24"/>
          <w:lang/>
        </w:rPr>
        <w:t>因不可抗力无法按期履行、不能履行或者不能完全履行本合同的，根据不可抗力的影响，受不可抗力影响的一方全部或部分免除责任，但法律另有规定的除外。如发生延迟履行，在延迟履行期间发生不可抗力事件导致延迟履行方无法履行其合同义务，延迟履行方不能就延迟履行期间的不可抗力事件免责。</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lang/>
        </w:rPr>
      </w:pPr>
      <w:r>
        <w:rPr>
          <w:rFonts w:ascii="Times New Roman" w:hAnsi="Times New Roman" w:eastAsia="楷体" w:cs="Times New Roman"/>
          <w:color w:val="000000"/>
          <w:sz w:val="24"/>
          <w:szCs w:val="24"/>
          <w:lang/>
        </w:rPr>
        <w:t>在受不可抗力影响一方遵守法律规定及本合同约定的前提下，因不可抗力致使合同无法按期履行或不能履行所造成的损失由双方各自承担（为避免疑问，由于任何一方过错引起的损失除外）。</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lang/>
        </w:rPr>
        <w:t>如果因不可抗力的影响致使本合同中止履行日以上时，双方应就继续履行本合同进行协商，</w:t>
      </w:r>
      <w:bookmarkStart w:id="114" w:name="_Hlk152003456"/>
      <w:r>
        <w:rPr>
          <w:rFonts w:ascii="Times New Roman" w:hAnsi="Times New Roman" w:eastAsia="楷体" w:cs="Times New Roman"/>
          <w:sz w:val="24"/>
          <w:szCs w:val="24"/>
        </w:rPr>
        <w:t>在日内</w:t>
      </w:r>
      <w:bookmarkEnd w:id="114"/>
      <w:r>
        <w:rPr>
          <w:rFonts w:ascii="Times New Roman" w:hAnsi="Times New Roman" w:eastAsia="楷体" w:cs="Times New Roman"/>
          <w:color w:val="000000"/>
          <w:sz w:val="24"/>
          <w:szCs w:val="24"/>
          <w:lang/>
        </w:rPr>
        <w:t>协商不成则任一方均有权解除本合同。当一方因上述原因解除本合同时，应当以书面形式通知另一方。通知送达另一方时本合同终止。</w:t>
      </w:r>
      <w:bookmarkEnd w:id="93"/>
    </w:p>
    <w:p>
      <w:pPr>
        <w:pStyle w:val="29"/>
        <w:tabs>
          <w:tab w:val="left" w:pos="709"/>
        </w:tabs>
        <w:spacing w:before="120" w:after="120" w:line="319" w:lineRule="auto"/>
        <w:ind w:left="851" w:hanging="851"/>
        <w:jc w:val="both"/>
        <w:rPr>
          <w:rFonts w:ascii="Times New Roman" w:hAnsi="Times New Roman" w:eastAsia="楷体" w:cs="Times New Roman"/>
          <w:color w:val="000000"/>
          <w:sz w:val="24"/>
          <w:szCs w:val="24"/>
          <w:shd w:val="clear" w:color="040000" w:fill="D9D9D9"/>
          <w:lang w:eastAsia="zh-CN"/>
        </w:rPr>
      </w:pPr>
      <w:bookmarkStart w:id="115" w:name="_Toc71750984"/>
      <w:bookmarkEnd w:id="115"/>
      <w:bookmarkStart w:id="116" w:name="_Toc71836741"/>
      <w:bookmarkEnd w:id="116"/>
      <w:bookmarkStart w:id="117" w:name="_DV_M415"/>
      <w:bookmarkEnd w:id="117"/>
      <w:bookmarkStart w:id="118" w:name="_Toc71750986"/>
      <w:bookmarkEnd w:id="118"/>
      <w:bookmarkStart w:id="119" w:name="_Toc71750920"/>
      <w:bookmarkEnd w:id="119"/>
      <w:bookmarkStart w:id="120" w:name="_DV_M414"/>
      <w:bookmarkEnd w:id="120"/>
      <w:bookmarkStart w:id="121" w:name="_Toc71750918"/>
      <w:bookmarkEnd w:id="121"/>
      <w:bookmarkStart w:id="122" w:name="_Toc71750988"/>
      <w:bookmarkEnd w:id="122"/>
      <w:bookmarkStart w:id="123" w:name="_DV_M413"/>
      <w:bookmarkEnd w:id="123"/>
      <w:bookmarkStart w:id="124" w:name="_Toc71750921"/>
      <w:bookmarkEnd w:id="124"/>
      <w:bookmarkStart w:id="125" w:name="_Toc71836739"/>
      <w:bookmarkEnd w:id="125"/>
      <w:bookmarkStart w:id="126" w:name="_Toc71836735"/>
      <w:bookmarkEnd w:id="126"/>
      <w:bookmarkStart w:id="127" w:name="_Toc71836737"/>
      <w:bookmarkEnd w:id="127"/>
      <w:bookmarkStart w:id="128" w:name="_Toc71750919"/>
      <w:bookmarkEnd w:id="128"/>
      <w:bookmarkStart w:id="129" w:name="_Toc71750985"/>
      <w:bookmarkEnd w:id="129"/>
      <w:bookmarkStart w:id="130" w:name="_Toc71836742"/>
      <w:bookmarkEnd w:id="130"/>
      <w:bookmarkStart w:id="131" w:name="_Toc71750917"/>
      <w:bookmarkEnd w:id="131"/>
      <w:bookmarkStart w:id="132" w:name="_Toc71750922"/>
      <w:bookmarkEnd w:id="132"/>
      <w:bookmarkStart w:id="133" w:name="_Toc153098217"/>
      <w:bookmarkEnd w:id="133"/>
      <w:bookmarkStart w:id="134" w:name="_Toc71836736"/>
      <w:bookmarkEnd w:id="134"/>
      <w:bookmarkStart w:id="135" w:name="_Toc71836740"/>
      <w:bookmarkEnd w:id="135"/>
      <w:bookmarkStart w:id="136" w:name="_Toc71750989"/>
      <w:bookmarkEnd w:id="136"/>
      <w:bookmarkStart w:id="137" w:name="_Toc71750983"/>
      <w:bookmarkEnd w:id="137"/>
      <w:bookmarkStart w:id="138" w:name="_DV_M426"/>
      <w:bookmarkEnd w:id="138"/>
      <w:bookmarkStart w:id="139" w:name="_Toc71750916"/>
      <w:bookmarkEnd w:id="139"/>
      <w:bookmarkStart w:id="140" w:name="_DV_M421"/>
      <w:bookmarkEnd w:id="140"/>
      <w:bookmarkStart w:id="141" w:name="_Toc71750990"/>
      <w:bookmarkEnd w:id="141"/>
      <w:bookmarkStart w:id="142" w:name="_DV_M442"/>
      <w:bookmarkEnd w:id="142"/>
      <w:bookmarkStart w:id="143" w:name="_DV_M418"/>
      <w:bookmarkEnd w:id="143"/>
      <w:bookmarkStart w:id="144" w:name="_Toc71836738"/>
      <w:bookmarkEnd w:id="144"/>
      <w:bookmarkStart w:id="145" w:name="_DV_M419"/>
      <w:bookmarkEnd w:id="145"/>
      <w:bookmarkStart w:id="146" w:name="_Toc71750987"/>
      <w:bookmarkEnd w:id="146"/>
      <w:bookmarkStart w:id="147" w:name="_Toc71750915"/>
      <w:bookmarkEnd w:id="147"/>
      <w:bookmarkStart w:id="148" w:name="_Toc508005093"/>
      <w:bookmarkStart w:id="149" w:name="_Toc90454446"/>
      <w:bookmarkStart w:id="150" w:name="_Toc157276997"/>
      <w:bookmarkStart w:id="151" w:name="_Toc220406587"/>
      <w:bookmarkStart w:id="152" w:name="_Toc220406361"/>
      <w:bookmarkStart w:id="153" w:name="_Toc224727272"/>
      <w:bookmarkStart w:id="154" w:name="_Toc417060700"/>
      <w:bookmarkStart w:id="155" w:name="_Toc214867938"/>
      <w:bookmarkStart w:id="156" w:name="confidential18"/>
      <w:bookmarkStart w:id="157" w:name="des1715408243531"/>
      <w:r>
        <w:rPr>
          <w:rFonts w:ascii="Times New Roman" w:hAnsi="Times New Roman" w:eastAsia="楷体" w:cs="Times New Roman"/>
          <w:color w:val="000000"/>
          <w:sz w:val="24"/>
          <w:szCs w:val="24"/>
          <w:shd w:val="clear" w:color="040000" w:fill="D9D9D9"/>
          <w:lang w:eastAsia="zh-CN"/>
        </w:rPr>
        <w:t>保密</w:t>
      </w:r>
      <w:bookmarkEnd w:id="148"/>
      <w:bookmarkEnd w:id="149"/>
      <w:bookmarkEnd w:id="150"/>
      <w:bookmarkEnd w:id="151"/>
      <w:bookmarkEnd w:id="152"/>
      <w:bookmarkEnd w:id="153"/>
      <w:bookmarkEnd w:id="154"/>
      <w:bookmarkEnd w:id="155"/>
      <w:bookmarkEnd w:id="156"/>
      <w:bookmarkEnd w:id="157"/>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bookmarkStart w:id="158" w:name="_DV_M443"/>
      <w:bookmarkEnd w:id="158"/>
      <w:bookmarkStart w:id="159" w:name="confidential1"/>
      <w:bookmarkStart w:id="160" w:name="_Toc54884515"/>
      <w:r>
        <w:rPr>
          <w:rFonts w:ascii="Times New Roman" w:hAnsi="Times New Roman" w:eastAsia="楷体" w:cs="Times New Roman"/>
          <w:color w:val="000000"/>
          <w:sz w:val="24"/>
          <w:szCs w:val="24"/>
        </w:rPr>
        <w:t>双方同意，当事人一方对在订立和履行本合同过程中知悉的另一方的商业秘密，技术秘密，其他商业、技术、管理及财务信息（合称“</w:t>
      </w:r>
      <w:r>
        <w:rPr>
          <w:rFonts w:ascii="Times New Roman" w:hAnsi="Times New Roman" w:eastAsia="楷体" w:cs="Times New Roman"/>
          <w:b/>
          <w:color w:val="000000"/>
          <w:sz w:val="24"/>
          <w:szCs w:val="24"/>
        </w:rPr>
        <w:t>保密信息</w:t>
      </w:r>
      <w:r>
        <w:rPr>
          <w:rFonts w:ascii="Times New Roman" w:hAnsi="Times New Roman" w:eastAsia="楷体" w:cs="Times New Roman"/>
          <w:color w:val="000000"/>
          <w:sz w:val="24"/>
          <w:szCs w:val="24"/>
        </w:rPr>
        <w:t>”），负有保密责任。未经同意，不得对外泄露或用于本合同以外的目的。一方泄露或者在本合同以外使用该保密信息给另一方造成损失的，应向另一方支付合同价款%的违约金。如该方支付的违约金不足以弥补另一方损失的，还应继续承担另一方由此遭受的所有损失。</w:t>
      </w:r>
      <w:bookmarkEnd w:id="159"/>
      <w:bookmarkEnd w:id="160"/>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本合同约定的保密信息不包括以下信息：</w:t>
      </w:r>
    </w:p>
    <w:p>
      <w:pPr>
        <w:pStyle w:val="34"/>
        <w:tabs>
          <w:tab w:val="left" w:pos="709"/>
          <w:tab w:val="left" w:pos="850"/>
          <w:tab w:val="left" w:pos="1440"/>
          <w:tab w:val="left" w:pos="1843"/>
          <w:tab w:val="left" w:pos="2421"/>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在从对方获得前，一方已经掌握且对方不反对使用或披露的信息；</w:t>
      </w:r>
    </w:p>
    <w:p>
      <w:pPr>
        <w:pStyle w:val="34"/>
        <w:tabs>
          <w:tab w:val="left" w:pos="709"/>
          <w:tab w:val="left" w:pos="850"/>
          <w:tab w:val="left" w:pos="1440"/>
          <w:tab w:val="left" w:pos="1843"/>
          <w:tab w:val="left" w:pos="2421"/>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已经为公众所知的信息，但该等信息为公众所知是由于一方违反本合同约定的除外；</w:t>
      </w:r>
    </w:p>
    <w:p>
      <w:pPr>
        <w:pStyle w:val="34"/>
        <w:tabs>
          <w:tab w:val="left" w:pos="709"/>
          <w:tab w:val="left" w:pos="850"/>
          <w:tab w:val="left" w:pos="1440"/>
          <w:tab w:val="left" w:pos="1843"/>
          <w:tab w:val="left" w:pos="2421"/>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一方按照有管辖权的法院或其他有权机关的合法要求而披露的信息；</w:t>
      </w:r>
    </w:p>
    <w:p>
      <w:pPr>
        <w:pStyle w:val="34"/>
        <w:tabs>
          <w:tab w:val="left" w:pos="709"/>
          <w:tab w:val="left" w:pos="850"/>
          <w:tab w:val="left" w:pos="1440"/>
          <w:tab w:val="left" w:pos="1843"/>
          <w:tab w:val="left" w:pos="2421"/>
          <w:tab w:val="clear" w:pos="1428"/>
          <w:tab w:val="clear" w:pos="1800"/>
        </w:tabs>
        <w:adjustRightInd/>
        <w:snapToGrid/>
        <w:spacing w:before="120" w:after="120" w:line="319" w:lineRule="auto"/>
        <w:ind w:left="144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依一方的书面授权而向第三方披露的信息。</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bookmarkStart w:id="161" w:name="_Toc54884517"/>
      <w:r>
        <w:rPr>
          <w:rFonts w:ascii="Times New Roman" w:hAnsi="Times New Roman" w:eastAsia="楷体" w:cs="Times New Roman"/>
          <w:color w:val="000000"/>
          <w:sz w:val="24"/>
          <w:szCs w:val="24"/>
        </w:rPr>
        <w:t>本合同的无效、变更、解除、履行完毕等不影响本条款的效力，在发生上述情形下，双方仍应履行保密义务。</w:t>
      </w:r>
      <w:bookmarkEnd w:id="161"/>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lang w:eastAsia="zh-CN"/>
        </w:rPr>
      </w:pPr>
      <w:bookmarkStart w:id="162" w:name="_Toc54884518"/>
      <w:r>
        <w:rPr>
          <w:rFonts w:ascii="Times New Roman" w:hAnsi="Times New Roman" w:eastAsia="楷体" w:cs="Times New Roman"/>
          <w:color w:val="000000"/>
          <w:sz w:val="24"/>
          <w:szCs w:val="24"/>
        </w:rPr>
        <w:t>保密期限为本合同有效期及本合同终止后年。</w:t>
      </w:r>
      <w:bookmarkEnd w:id="162"/>
      <w:bookmarkStart w:id="163" w:name="_DV_M445"/>
      <w:bookmarkEnd w:id="163"/>
      <w:bookmarkStart w:id="164" w:name="_Toc90454447"/>
      <w:bookmarkStart w:id="165" w:name="_Toc508005094"/>
    </w:p>
    <w:p>
      <w:pPr>
        <w:pStyle w:val="29"/>
        <w:tabs>
          <w:tab w:val="left" w:pos="709"/>
        </w:tabs>
        <w:spacing w:before="120" w:after="120" w:line="319" w:lineRule="auto"/>
        <w:ind w:left="709" w:hanging="709"/>
        <w:jc w:val="both"/>
        <w:rPr>
          <w:rFonts w:ascii="Times New Roman" w:hAnsi="Times New Roman" w:eastAsia="楷体" w:cs="Times New Roman"/>
          <w:color w:val="000000"/>
          <w:sz w:val="24"/>
          <w:szCs w:val="24"/>
          <w:lang w:eastAsia="zh-CN"/>
        </w:rPr>
      </w:pPr>
      <w:bookmarkStart w:id="166" w:name="_Toc157276998"/>
      <w:r>
        <w:rPr>
          <w:rFonts w:ascii="Times New Roman" w:hAnsi="Times New Roman" w:eastAsia="楷体" w:cs="Times New Roman"/>
          <w:color w:val="000000"/>
          <w:sz w:val="24"/>
          <w:szCs w:val="24"/>
          <w:lang w:eastAsia="zh-CN"/>
        </w:rPr>
        <w:t>通知</w:t>
      </w:r>
      <w:bookmarkEnd w:id="164"/>
      <w:bookmarkEnd w:id="166"/>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与本合同有关的批准文件、通知、证明、证书、指示、指令、要求、请求、意见、确定和决定等，均应采用书面形式或合同双方确认的其他形式，并应在合同约定的期限内送达接收人。</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除非本合同另有约定，本合同项下双方之间的通知均可通过传真、邮递、快递、电子邮件或双方同意的其他方式送达以下地址：</w:t>
      </w:r>
    </w:p>
    <w:p>
      <w:pPr>
        <w:spacing w:before="120" w:after="120" w:line="319" w:lineRule="auto"/>
        <w:ind w:left="709"/>
        <w:rPr>
          <w:rFonts w:eastAsia="楷体"/>
          <w:lang w:eastAsia="zh-CN"/>
        </w:rPr>
      </w:pPr>
      <w:r>
        <w:rPr>
          <w:rFonts w:eastAsia="楷体"/>
          <w:lang w:eastAsia="zh-CN"/>
        </w:rPr>
        <w:t>甲方名称：</w:t>
      </w:r>
      <w:r>
        <w:rPr>
          <w:rFonts w:hint="eastAsia" w:ascii="楷体" w:hAnsi="楷体" w:eastAsia="楷体" w:cs="楷体"/>
          <w:color w:val="auto"/>
          <w:sz w:val="24"/>
          <w:szCs w:val="24"/>
          <w:highlight w:val="yellow"/>
          <w:u w:val="single"/>
        </w:rPr>
        <w:t>中国石油天然气股份有限公司内蒙古鄂尔多斯市销售分公司</w:t>
      </w:r>
    </w:p>
    <w:p>
      <w:pPr>
        <w:spacing w:before="120" w:after="120" w:line="319" w:lineRule="auto"/>
        <w:ind w:left="720"/>
        <w:rPr>
          <w:rFonts w:hint="default" w:eastAsia="楷体"/>
          <w:lang w:val="en-US" w:eastAsia="zh-CN"/>
        </w:rPr>
      </w:pPr>
      <w:r>
        <w:rPr>
          <w:rFonts w:eastAsia="楷体"/>
          <w:lang w:eastAsia="zh-CN"/>
        </w:rPr>
        <w:t>联系人：</w:t>
      </w:r>
      <w:r>
        <w:rPr>
          <w:rFonts w:hint="eastAsia" w:eastAsia="楷体"/>
          <w:u w:val="single"/>
          <w:lang w:val="en-US" w:eastAsia="zh-CN"/>
        </w:rPr>
        <w:t xml:space="preserve">   </w:t>
      </w:r>
      <w:r>
        <w:rPr>
          <w:rFonts w:hint="eastAsia" w:eastAsia="楷体"/>
          <w:highlight w:val="yellow"/>
          <w:u w:val="single"/>
          <w:lang w:val="en-US" w:eastAsia="zh-CN"/>
        </w:rPr>
        <w:t xml:space="preserve">周润祥   </w:t>
      </w:r>
      <w:r>
        <w:rPr>
          <w:rFonts w:hint="eastAsia" w:eastAsia="楷体"/>
          <w:u w:val="single"/>
          <w:lang w:val="en-US" w:eastAsia="zh-CN"/>
        </w:rPr>
        <w:t xml:space="preserve">    </w:t>
      </w:r>
    </w:p>
    <w:p>
      <w:pPr>
        <w:spacing w:before="120" w:after="120" w:line="319" w:lineRule="auto"/>
        <w:ind w:left="720"/>
        <w:rPr>
          <w:rFonts w:hint="eastAsia" w:eastAsia="楷体"/>
          <w:u w:val="single"/>
          <w:shd w:val="clear" w:color="auto" w:fill="auto"/>
          <w:lang w:val="en-US" w:eastAsia="zh-CN"/>
        </w:rPr>
      </w:pPr>
      <w:r>
        <w:rPr>
          <w:rFonts w:eastAsia="楷体"/>
          <w:shd w:val="clear" w:color="auto" w:fill="auto"/>
          <w:lang w:eastAsia="zh-CN"/>
        </w:rPr>
        <w:t>联系电话：</w:t>
      </w:r>
      <w:r>
        <w:rPr>
          <w:rFonts w:hint="eastAsia" w:eastAsia="楷体"/>
          <w:u w:val="single"/>
          <w:shd w:val="clear" w:color="auto" w:fill="auto"/>
          <w:lang w:val="en-US" w:eastAsia="zh-CN"/>
        </w:rPr>
        <w:t xml:space="preserve">   </w:t>
      </w:r>
      <w:r>
        <w:rPr>
          <w:rFonts w:hint="eastAsia" w:eastAsia="楷体"/>
          <w:highlight w:val="yellow"/>
          <w:u w:val="single"/>
          <w:shd w:val="clear" w:color="auto" w:fill="auto"/>
          <w:lang w:val="en-US" w:eastAsia="zh-CN"/>
        </w:rPr>
        <w:t xml:space="preserve"> 13848540095   </w:t>
      </w:r>
      <w:r>
        <w:rPr>
          <w:rFonts w:hint="eastAsia" w:eastAsia="楷体"/>
          <w:u w:val="single"/>
          <w:shd w:val="clear" w:color="auto" w:fill="auto"/>
          <w:lang w:val="en-US" w:eastAsia="zh-CN"/>
        </w:rPr>
        <w:t xml:space="preserve">   </w:t>
      </w:r>
    </w:p>
    <w:p>
      <w:pPr>
        <w:spacing w:before="120" w:after="120" w:line="319" w:lineRule="auto"/>
        <w:ind w:left="720"/>
        <w:rPr>
          <w:rFonts w:eastAsia="楷体"/>
          <w:lang w:eastAsia="zh-CN"/>
        </w:rPr>
      </w:pPr>
      <w:r>
        <w:rPr>
          <w:rFonts w:eastAsia="楷体"/>
          <w:lang w:eastAsia="zh-CN"/>
        </w:rPr>
        <w:t>传真号码：___________</w:t>
      </w:r>
    </w:p>
    <w:p>
      <w:pPr>
        <w:spacing w:before="120" w:after="120" w:line="319" w:lineRule="auto"/>
        <w:ind w:left="720"/>
        <w:rPr>
          <w:rFonts w:hint="default" w:ascii="楷体" w:hAnsi="楷体" w:eastAsia="楷体" w:cs="楷体"/>
          <w:color w:val="auto"/>
          <w:sz w:val="24"/>
          <w:szCs w:val="24"/>
          <w:highlight w:val="none"/>
          <w:u w:val="single"/>
          <w:lang w:val="en-US" w:eastAsia="zh-CN"/>
        </w:rPr>
      </w:pPr>
      <w:r>
        <w:rPr>
          <w:rFonts w:eastAsia="楷体"/>
          <w:lang w:eastAsia="zh-CN"/>
        </w:rPr>
        <w:t>通讯地址：</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yellow"/>
          <w:u w:val="single"/>
          <w:lang w:val="en-US" w:eastAsia="zh-CN"/>
        </w:rPr>
        <w:t>薛家湾镇 滨河加油站</w:t>
      </w:r>
      <w:r>
        <w:rPr>
          <w:rFonts w:hint="eastAsia" w:ascii="楷体" w:hAnsi="楷体" w:eastAsia="楷体" w:cs="楷体"/>
          <w:color w:val="auto"/>
          <w:sz w:val="24"/>
          <w:szCs w:val="24"/>
          <w:highlight w:val="none"/>
          <w:u w:val="single"/>
          <w:lang w:val="en-US" w:eastAsia="zh-CN"/>
        </w:rPr>
        <w:t xml:space="preserve">       </w:t>
      </w:r>
    </w:p>
    <w:p>
      <w:pPr>
        <w:spacing w:before="120" w:after="120" w:line="319" w:lineRule="auto"/>
        <w:ind w:left="720"/>
        <w:rPr>
          <w:rFonts w:hint="eastAsia" w:eastAsia="楷体"/>
          <w:u w:val="single"/>
          <w:lang w:val="en-US" w:eastAsia="zh-CN"/>
        </w:rPr>
      </w:pPr>
      <w:r>
        <w:rPr>
          <w:rFonts w:eastAsia="楷体"/>
          <w:lang w:eastAsia="zh-CN"/>
        </w:rPr>
        <w:t>邮政编码：</w:t>
      </w:r>
      <w:r>
        <w:rPr>
          <w:rFonts w:hint="eastAsia" w:eastAsia="楷体"/>
          <w:u w:val="single"/>
          <w:lang w:val="en-US" w:eastAsia="zh-CN"/>
        </w:rPr>
        <w:t xml:space="preserve">            </w:t>
      </w:r>
    </w:p>
    <w:p>
      <w:pPr>
        <w:spacing w:before="120" w:after="120" w:line="319" w:lineRule="auto"/>
        <w:ind w:left="720"/>
        <w:rPr>
          <w:rFonts w:eastAsia="楷体"/>
          <w:i/>
          <w:lang w:eastAsia="zh-CN"/>
        </w:rPr>
      </w:pPr>
      <w:r>
        <w:rPr>
          <w:rFonts w:eastAsia="楷体"/>
          <w:lang w:eastAsia="zh-CN"/>
        </w:rPr>
        <w:t>电子邮件：</w:t>
      </w:r>
      <w:r>
        <w:rPr>
          <w:rFonts w:hint="eastAsia" w:eastAsia="楷体"/>
          <w:u w:val="single"/>
          <w:lang w:val="en-US" w:eastAsia="zh-CN"/>
        </w:rPr>
        <w:t xml:space="preserve">           </w:t>
      </w:r>
    </w:p>
    <w:p>
      <w:pPr>
        <w:spacing w:before="120" w:after="120" w:line="319" w:lineRule="auto"/>
        <w:ind w:left="720"/>
        <w:rPr>
          <w:rFonts w:eastAsia="楷体"/>
          <w:i/>
          <w:lang w:eastAsia="zh-CN"/>
        </w:rPr>
      </w:pPr>
    </w:p>
    <w:p>
      <w:pPr>
        <w:spacing w:before="120" w:after="120" w:line="319" w:lineRule="auto"/>
        <w:ind w:left="720"/>
        <w:rPr>
          <w:rFonts w:hint="default" w:eastAsia="楷体"/>
          <w:lang w:val="en-US" w:eastAsia="zh-CN"/>
        </w:rPr>
      </w:pPr>
      <w:r>
        <w:rPr>
          <w:rFonts w:eastAsia="楷体"/>
          <w:lang w:eastAsia="zh-CN"/>
        </w:rPr>
        <w:t>乙方名称</w:t>
      </w:r>
      <w:r>
        <w:rPr>
          <w:rFonts w:hint="eastAsia" w:eastAsia="楷体"/>
          <w:lang w:val="en-US" w:eastAsia="zh-CN"/>
        </w:rPr>
        <w:t xml:space="preserve">: </w:t>
      </w:r>
      <w:r>
        <w:rPr>
          <w:rFonts w:hint="eastAsia" w:eastAsia="楷体"/>
          <w:color w:val="auto"/>
          <w:highlight w:val="yellow"/>
          <w:u w:val="single"/>
          <w:lang w:val="en-US" w:eastAsia="zh-CN"/>
        </w:rPr>
        <w:t xml:space="preserve">  准格尔旗审计局          </w:t>
      </w:r>
    </w:p>
    <w:p>
      <w:pPr>
        <w:spacing w:before="120" w:after="120" w:line="319" w:lineRule="auto"/>
        <w:ind w:left="720"/>
        <w:rPr>
          <w:rFonts w:hint="default" w:eastAsia="楷体"/>
          <w:color w:val="auto"/>
          <w:highlight w:val="none"/>
          <w:lang w:val="en-US" w:eastAsia="zh-CN"/>
        </w:rPr>
      </w:pPr>
      <w:r>
        <w:rPr>
          <w:rFonts w:eastAsia="楷体"/>
          <w:lang w:eastAsia="zh-CN"/>
        </w:rPr>
        <w:t>联系人：</w:t>
      </w:r>
      <w:r>
        <w:rPr>
          <w:rFonts w:hint="eastAsia" w:eastAsia="楷体"/>
          <w:color w:val="auto"/>
          <w:highlight w:val="none"/>
          <w:lang w:val="en-US" w:eastAsia="zh-CN"/>
        </w:rPr>
        <w:t xml:space="preserve">   孙志勇</w:t>
      </w:r>
      <w:r>
        <w:rPr>
          <w:rFonts w:hint="eastAsia" w:eastAsia="楷体"/>
          <w:color w:val="auto"/>
          <w:highlight w:val="yellow"/>
          <w:lang w:val="en-US" w:eastAsia="zh-CN"/>
        </w:rPr>
        <w:t xml:space="preserve">            </w:t>
      </w:r>
    </w:p>
    <w:p>
      <w:pPr>
        <w:spacing w:before="120" w:after="120" w:line="319" w:lineRule="auto"/>
        <w:ind w:left="720"/>
        <w:rPr>
          <w:rFonts w:hint="default" w:eastAsia="楷体"/>
          <w:color w:val="auto"/>
          <w:highlight w:val="yellow"/>
          <w:u w:val="single"/>
          <w:lang w:val="en-US" w:eastAsia="zh-CN"/>
        </w:rPr>
      </w:pPr>
      <w:r>
        <w:rPr>
          <w:rFonts w:eastAsia="楷体"/>
          <w:lang w:eastAsia="zh-CN"/>
        </w:rPr>
        <w:t>联系电话：</w:t>
      </w:r>
      <w:r>
        <w:rPr>
          <w:rFonts w:hint="eastAsia" w:eastAsia="楷体"/>
          <w:color w:val="auto"/>
          <w:highlight w:val="none"/>
          <w:u w:val="single"/>
          <w:lang w:val="en-US" w:eastAsia="zh-CN"/>
        </w:rPr>
        <w:t xml:space="preserve"> 18047716045</w:t>
      </w:r>
      <w:r>
        <w:rPr>
          <w:rFonts w:hint="eastAsia" w:eastAsia="楷体"/>
          <w:color w:val="auto"/>
          <w:highlight w:val="yellow"/>
          <w:u w:val="single"/>
          <w:lang w:val="en-US" w:eastAsia="zh-CN"/>
        </w:rPr>
        <w:t xml:space="preserve">     </w:t>
      </w:r>
    </w:p>
    <w:p>
      <w:pPr>
        <w:spacing w:before="120" w:after="120" w:line="319" w:lineRule="auto"/>
        <w:ind w:left="720"/>
        <w:rPr>
          <w:rFonts w:eastAsia="楷体"/>
          <w:lang w:eastAsia="zh-CN"/>
        </w:rPr>
      </w:pPr>
      <w:r>
        <w:rPr>
          <w:rFonts w:eastAsia="楷体"/>
          <w:lang w:eastAsia="zh-CN"/>
        </w:rPr>
        <w:t>传真号码：____________</w:t>
      </w:r>
    </w:p>
    <w:p>
      <w:pPr>
        <w:spacing w:before="120" w:after="120" w:line="319" w:lineRule="auto"/>
        <w:ind w:left="720"/>
        <w:rPr>
          <w:rFonts w:hint="default" w:eastAsia="楷体"/>
          <w:highlight w:val="yellow"/>
          <w:lang w:val="en-US" w:eastAsia="zh-CN"/>
        </w:rPr>
      </w:pPr>
      <w:r>
        <w:rPr>
          <w:rFonts w:eastAsia="楷体"/>
          <w:lang w:eastAsia="zh-CN"/>
        </w:rPr>
        <w:t>通讯地址：</w:t>
      </w:r>
      <w:r>
        <w:rPr>
          <w:rFonts w:hint="eastAsia" w:eastAsia="楷体"/>
          <w:color w:val="auto"/>
          <w:highlight w:val="none"/>
          <w:u w:val="single"/>
          <w:lang w:val="en-US" w:eastAsia="zh-CN"/>
        </w:rPr>
        <w:t xml:space="preserve"> 准格尔旗大路新区建业大厦 8 号楼 6 层</w:t>
      </w:r>
    </w:p>
    <w:p>
      <w:pPr>
        <w:spacing w:before="120" w:after="120" w:line="319" w:lineRule="auto"/>
        <w:ind w:left="720"/>
        <w:rPr>
          <w:rFonts w:hint="default" w:eastAsia="楷体"/>
          <w:lang w:val="en-US" w:eastAsia="zh-CN"/>
        </w:rPr>
      </w:pPr>
    </w:p>
    <w:p>
      <w:pPr>
        <w:spacing w:before="120" w:after="120" w:line="319" w:lineRule="auto"/>
        <w:ind w:left="720"/>
        <w:rPr>
          <w:rFonts w:hint="default" w:eastAsia="楷体"/>
          <w:i/>
          <w:lang w:val="en-US" w:eastAsia="zh-CN"/>
        </w:rPr>
      </w:pPr>
      <w:r>
        <w:rPr>
          <w:rFonts w:eastAsia="楷体"/>
          <w:lang w:eastAsia="zh-CN"/>
        </w:rPr>
        <w:t>邮政编码：</w:t>
      </w:r>
      <w:r>
        <w:rPr>
          <w:rFonts w:hint="eastAsia" w:eastAsia="楷体"/>
          <w:highlight w:val="yellow"/>
          <w:u w:val="single"/>
          <w:lang w:val="en-US" w:eastAsia="zh-CN"/>
        </w:rPr>
        <w:t xml:space="preserve"> </w:t>
      </w:r>
      <w:bookmarkStart w:id="199" w:name="_GoBack"/>
      <w:r>
        <w:rPr>
          <w:rFonts w:hint="eastAsia" w:eastAsia="楷体"/>
          <w:highlight w:val="yellow"/>
          <w:u w:val="single"/>
          <w:lang w:val="en-US" w:eastAsia="zh-CN"/>
        </w:rPr>
        <w:t xml:space="preserve">           </w:t>
      </w:r>
      <w:bookmarkEnd w:id="199"/>
      <w:r>
        <w:rPr>
          <w:rFonts w:hint="eastAsia" w:eastAsia="楷体"/>
          <w:highlight w:val="yellow"/>
          <w:u w:val="single"/>
          <w:lang w:val="en-US" w:eastAsia="zh-CN"/>
        </w:rPr>
        <w:t xml:space="preserve">  </w:t>
      </w:r>
      <w:r>
        <w:rPr>
          <w:rFonts w:hint="eastAsia" w:eastAsia="楷体"/>
          <w:u w:val="single"/>
          <w:lang w:val="en-US" w:eastAsia="zh-CN"/>
        </w:rPr>
        <w:t xml:space="preserve"> </w:t>
      </w:r>
    </w:p>
    <w:p>
      <w:pPr>
        <w:spacing w:before="120" w:after="120" w:line="319" w:lineRule="auto"/>
        <w:ind w:left="720"/>
        <w:rPr>
          <w:rFonts w:eastAsia="楷体"/>
          <w:lang w:eastAsia="zh-CN"/>
        </w:rPr>
      </w:pPr>
      <w:r>
        <w:rPr>
          <w:rFonts w:eastAsia="楷体"/>
          <w:lang w:eastAsia="zh-CN"/>
        </w:rPr>
        <w:t>电子邮件：</w:t>
      </w:r>
      <w:r>
        <w:rPr>
          <w:rFonts w:eastAsia="楷体"/>
          <w:i/>
          <w:lang w:eastAsia="zh-CN"/>
        </w:rPr>
        <w:t>____________</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shd w:val="clear" w:color="040000" w:fill="D9D9D9"/>
        </w:rPr>
      </w:pPr>
      <w:bookmarkStart w:id="167" w:name="des1715408282147"/>
      <w:r>
        <w:rPr>
          <w:rFonts w:ascii="Times New Roman" w:hAnsi="Times New Roman" w:eastAsia="楷体" w:cs="Times New Roman"/>
          <w:color w:val="000000"/>
          <w:sz w:val="24"/>
          <w:szCs w:val="24"/>
          <w:shd w:val="clear" w:color="040000" w:fill="D9D9D9"/>
        </w:rPr>
        <w:t>通知在下列日期视为送达被通知方：</w:t>
      </w:r>
      <w:bookmarkEnd w:id="167"/>
    </w:p>
    <w:p>
      <w:pPr>
        <w:numPr>
          <w:ilvl w:val="0"/>
          <w:numId w:val="7"/>
        </w:numPr>
        <w:adjustRightInd/>
        <w:spacing w:before="120" w:after="120" w:line="319" w:lineRule="auto"/>
        <w:ind w:hanging="562"/>
        <w:jc w:val="both"/>
        <w:rPr>
          <w:rFonts w:eastAsia="楷体"/>
          <w:snapToGrid w:val="0"/>
          <w:lang w:eastAsia="zh-CN"/>
        </w:rPr>
      </w:pPr>
      <w:r>
        <w:rPr>
          <w:rFonts w:eastAsia="楷体"/>
          <w:snapToGrid w:val="0"/>
          <w:lang w:eastAsia="zh-CN"/>
        </w:rPr>
        <w:t>由挂号信邮递，发出通知一方持有的挂号信回执所示日；</w:t>
      </w:r>
    </w:p>
    <w:p>
      <w:pPr>
        <w:numPr>
          <w:ilvl w:val="0"/>
          <w:numId w:val="7"/>
        </w:numPr>
        <w:adjustRightInd/>
        <w:spacing w:before="120" w:after="120" w:line="319" w:lineRule="auto"/>
        <w:ind w:hanging="562"/>
        <w:jc w:val="both"/>
        <w:rPr>
          <w:rFonts w:eastAsia="楷体"/>
          <w:snapToGrid w:val="0"/>
          <w:lang w:eastAsia="zh-CN"/>
        </w:rPr>
      </w:pPr>
      <w:r>
        <w:rPr>
          <w:rFonts w:eastAsia="楷体"/>
          <w:snapToGrid w:val="0"/>
          <w:lang w:eastAsia="zh-CN"/>
        </w:rPr>
        <w:t>由传真传送，收到成功发送确认后的第一个工作日；</w:t>
      </w:r>
    </w:p>
    <w:p>
      <w:pPr>
        <w:numPr>
          <w:ilvl w:val="0"/>
          <w:numId w:val="7"/>
        </w:numPr>
        <w:adjustRightInd/>
        <w:spacing w:before="120" w:after="120" w:line="319" w:lineRule="auto"/>
        <w:ind w:hanging="562"/>
        <w:jc w:val="both"/>
        <w:rPr>
          <w:rFonts w:eastAsia="楷体"/>
          <w:snapToGrid w:val="0"/>
          <w:lang w:eastAsia="zh-CN"/>
        </w:rPr>
      </w:pPr>
      <w:r>
        <w:rPr>
          <w:rFonts w:eastAsia="楷体"/>
          <w:snapToGrid w:val="0"/>
          <w:lang w:eastAsia="zh-CN"/>
        </w:rPr>
        <w:t>由特快专递发送，以收件人签收日为送达日，收件人未签收的，以寄出日后第四个工作日为送达日；</w:t>
      </w:r>
    </w:p>
    <w:p>
      <w:pPr>
        <w:numPr>
          <w:ilvl w:val="0"/>
          <w:numId w:val="7"/>
        </w:numPr>
        <w:adjustRightInd/>
        <w:spacing w:before="120" w:after="120" w:line="319" w:lineRule="auto"/>
        <w:ind w:hanging="562"/>
        <w:jc w:val="both"/>
        <w:rPr>
          <w:rFonts w:eastAsia="楷体"/>
          <w:snapToGrid w:val="0"/>
          <w:lang w:eastAsia="zh-CN"/>
        </w:rPr>
      </w:pPr>
      <w:r>
        <w:rPr>
          <w:rFonts w:eastAsia="楷体"/>
          <w:snapToGrid w:val="0"/>
          <w:lang w:eastAsia="zh-CN"/>
        </w:rPr>
        <w:t>由电子邮件发送，以发出通知一方邮件系统显示已成功投递对方服务器（包括但不限于收到被通知一方阅后自动回执）的当日。</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双方的通讯地址可作为法院、仲裁庭送达诉讼、仲裁文书的地址，一方的通讯地址或联系方式如发生变动，应在变动之日起日内书面通知对方，因未及时通知而造成的损失由通讯地址或联系方式变动方自行承担。</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双方应及时签收对方送达至约定地点和指定接收人的来往信函；如确有充分证据证明一方无正当理由拒不签收的，视为拒绝签收一方已签收。</w:t>
      </w:r>
    </w:p>
    <w:p>
      <w:pPr>
        <w:pStyle w:val="29"/>
        <w:tabs>
          <w:tab w:val="left" w:pos="709"/>
        </w:tabs>
        <w:spacing w:before="120" w:after="120" w:line="319" w:lineRule="auto"/>
        <w:ind w:left="851" w:hanging="851"/>
        <w:jc w:val="both"/>
        <w:rPr>
          <w:rFonts w:ascii="Times New Roman" w:hAnsi="Times New Roman" w:eastAsia="楷体" w:cs="Times New Roman"/>
          <w:color w:val="000000"/>
          <w:sz w:val="24"/>
          <w:szCs w:val="24"/>
          <w:lang w:eastAsia="zh-CN"/>
        </w:rPr>
      </w:pPr>
      <w:bookmarkStart w:id="168" w:name="_Toc157276999"/>
      <w:bookmarkStart w:id="169" w:name="_Toc90454448"/>
      <w:bookmarkStart w:id="170" w:name="_Toc62759285"/>
      <w:r>
        <w:rPr>
          <w:rFonts w:ascii="Times New Roman" w:hAnsi="Times New Roman" w:eastAsia="楷体" w:cs="Times New Roman"/>
          <w:color w:val="000000"/>
          <w:sz w:val="24"/>
          <w:szCs w:val="24"/>
          <w:lang w:eastAsia="zh-CN"/>
        </w:rPr>
        <w:t>适用法律及争议解决</w:t>
      </w:r>
      <w:bookmarkEnd w:id="168"/>
      <w:bookmarkEnd w:id="169"/>
      <w:bookmarkEnd w:id="170"/>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本合同适用中华人民共和国法律并依照其进行解释。</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因本合同引起的或与本合同有关的任何争议，双方应通过协商解决，协商开始后内仍无法达成一致的，按以下第种方式解决：</w:t>
      </w:r>
    </w:p>
    <w:p>
      <w:pPr>
        <w:numPr>
          <w:ilvl w:val="0"/>
          <w:numId w:val="8"/>
        </w:numPr>
        <w:adjustRightInd/>
        <w:spacing w:before="120" w:after="120" w:line="319" w:lineRule="auto"/>
        <w:ind w:hanging="562"/>
        <w:jc w:val="both"/>
        <w:rPr>
          <w:rFonts w:eastAsia="楷体"/>
          <w:snapToGrid w:val="0"/>
          <w:color w:val="0000FF"/>
          <w:shd w:val="clear" w:color="030000" w:fill="D9D9D9"/>
          <w:lang w:eastAsia="zh-CN"/>
        </w:rPr>
      </w:pPr>
      <w:bookmarkStart w:id="171" w:name="des1715408328466"/>
      <w:r>
        <w:rPr>
          <w:rFonts w:eastAsia="楷体"/>
          <w:color w:val="000000"/>
          <w:shd w:val="clear" w:color="020000" w:fill="D9D9D9"/>
          <w:lang w:eastAsia="zh-CN"/>
        </w:rPr>
        <w:t>向住所地有管辖权的人民法院提起诉讼</w:t>
      </w:r>
      <w:r>
        <w:rPr>
          <w:rFonts w:eastAsia="楷体"/>
          <w:snapToGrid w:val="0"/>
          <w:shd w:val="clear" w:color="020000" w:fill="D9D9D9"/>
          <w:lang w:eastAsia="zh-CN"/>
        </w:rPr>
        <w:t>。</w:t>
      </w:r>
      <w:bookmarkEnd w:id="171"/>
    </w:p>
    <w:p>
      <w:pPr>
        <w:numPr>
          <w:ilvl w:val="0"/>
          <w:numId w:val="8"/>
        </w:numPr>
        <w:adjustRightInd/>
        <w:spacing w:before="120" w:after="120" w:line="319" w:lineRule="auto"/>
        <w:ind w:hanging="562"/>
        <w:jc w:val="both"/>
        <w:rPr>
          <w:rFonts w:eastAsia="楷体"/>
          <w:snapToGrid w:val="0"/>
          <w:lang w:eastAsia="zh-CN"/>
        </w:rPr>
      </w:pPr>
      <w:r>
        <w:rPr>
          <w:rFonts w:eastAsia="楷体"/>
          <w:snapToGrid w:val="0"/>
          <w:lang w:eastAsia="zh-CN"/>
        </w:rPr>
        <w:t>提交仲裁委员会，按照申请仲裁时该会现行有效的仲裁规则在进行仲裁。仲裁语言为中文。仲裁裁决是终局的，对双方均有约束力。</w:t>
      </w:r>
    </w:p>
    <w:p>
      <w:pPr>
        <w:numPr>
          <w:ilvl w:val="0"/>
          <w:numId w:val="8"/>
        </w:numPr>
        <w:adjustRightInd/>
        <w:spacing w:before="120" w:after="120" w:line="319" w:lineRule="auto"/>
        <w:ind w:hanging="562"/>
        <w:jc w:val="both"/>
        <w:rPr>
          <w:rFonts w:eastAsia="楷体"/>
          <w:snapToGrid w:val="0"/>
          <w:shd w:val="clear" w:color="020000" w:fill="D9D9D9"/>
          <w:lang w:eastAsia="zh-CN"/>
        </w:rPr>
      </w:pPr>
      <w:bookmarkStart w:id="172" w:name="des1715408346758"/>
      <w:bookmarkStart w:id="173" w:name="_Hlk152236450"/>
      <w:r>
        <w:rPr>
          <w:rFonts w:eastAsia="楷体"/>
          <w:snapToGrid w:val="0"/>
          <w:shd w:val="clear" w:color="020000" w:fill="D9D9D9"/>
          <w:lang w:eastAsia="zh-CN"/>
        </w:rPr>
        <w:t>提交双方共同上级协调解决。</w:t>
      </w:r>
      <w:bookmarkEnd w:id="172"/>
      <w:bookmarkEnd w:id="173"/>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shd w:val="clear" w:color="040000" w:fill="D9D9D9"/>
        </w:rPr>
      </w:pPr>
      <w:bookmarkStart w:id="174" w:name="des1715408361029"/>
      <w:r>
        <w:rPr>
          <w:rFonts w:ascii="Times New Roman" w:hAnsi="Times New Roman" w:eastAsia="楷体" w:cs="Times New Roman"/>
          <w:color w:val="000000"/>
          <w:sz w:val="24"/>
          <w:szCs w:val="24"/>
          <w:shd w:val="clear" w:color="040000" w:fill="D9D9D9"/>
        </w:rPr>
        <w:t>在期间，本合同不涉及争议部分的条款仍须履行，双方均不得以解决争议为由拒不履行其在本合同项下的任何义务。</w:t>
      </w:r>
      <w:bookmarkEnd w:id="174"/>
    </w:p>
    <w:p>
      <w:pPr>
        <w:pStyle w:val="29"/>
        <w:tabs>
          <w:tab w:val="left" w:pos="709"/>
        </w:tabs>
        <w:spacing w:before="120" w:after="120" w:line="319" w:lineRule="auto"/>
        <w:ind w:left="709" w:hanging="709"/>
        <w:jc w:val="both"/>
        <w:rPr>
          <w:rFonts w:ascii="Times New Roman" w:hAnsi="Times New Roman" w:eastAsia="楷体" w:cs="Times New Roman"/>
          <w:color w:val="000000"/>
          <w:sz w:val="24"/>
          <w:szCs w:val="24"/>
          <w:shd w:val="clear" w:color="040000" w:fill="D9D9D9"/>
          <w:lang w:eastAsia="zh-CN"/>
        </w:rPr>
      </w:pPr>
      <w:bookmarkStart w:id="175" w:name="_Toc153098221"/>
      <w:bookmarkEnd w:id="175"/>
      <w:bookmarkStart w:id="176" w:name="_Toc90454449"/>
      <w:bookmarkStart w:id="177" w:name="_Toc157277000"/>
      <w:bookmarkStart w:id="178" w:name="des1715408381218"/>
      <w:r>
        <w:rPr>
          <w:rFonts w:ascii="Times New Roman" w:hAnsi="Times New Roman" w:eastAsia="楷体" w:cs="Times New Roman"/>
          <w:color w:val="000000"/>
          <w:sz w:val="24"/>
          <w:szCs w:val="24"/>
          <w:shd w:val="clear" w:color="040000" w:fill="D9D9D9"/>
          <w:lang w:eastAsia="zh-CN"/>
        </w:rPr>
        <w:t>合同生效、</w:t>
      </w:r>
      <w:bookmarkEnd w:id="176"/>
      <w:r>
        <w:rPr>
          <w:rFonts w:ascii="Times New Roman" w:hAnsi="Times New Roman" w:eastAsia="楷体" w:cs="Times New Roman"/>
          <w:color w:val="000000"/>
          <w:sz w:val="24"/>
          <w:szCs w:val="24"/>
          <w:shd w:val="clear" w:color="040000" w:fill="D9D9D9"/>
          <w:lang w:eastAsia="zh-CN"/>
        </w:rPr>
        <w:t>变更与解除</w:t>
      </w:r>
      <w:bookmarkEnd w:id="165"/>
      <w:bookmarkEnd w:id="177"/>
      <w:bookmarkEnd w:id="178"/>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本合同经双方协商一致，可以书面形式做出变更或解除。</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因合同变更导致的合同价款增减，双方按照本合同的约定处理；无相关约定的，双方协商解决。</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 xml:space="preserve">除本合同其他条款另有约定外，有下列情形之一的，甲方可单独解除合同，并以书面形式通知对方； </w:t>
      </w:r>
    </w:p>
    <w:p>
      <w:pPr>
        <w:pStyle w:val="34"/>
        <w:tabs>
          <w:tab w:val="left" w:pos="850"/>
          <w:tab w:val="clear" w:pos="567"/>
          <w:tab w:val="clear" w:pos="1428"/>
          <w:tab w:val="clear" w:pos="1571"/>
          <w:tab w:val="clear" w:pos="1800"/>
        </w:tabs>
        <w:adjustRightInd/>
        <w:snapToGrid/>
        <w:spacing w:before="120" w:after="120" w:line="319" w:lineRule="auto"/>
        <w:ind w:left="1416" w:leftChars="29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乙方严重违反了本合同（包括未支付或延迟支付任何应付款项达15日及以上的）；</w:t>
      </w:r>
    </w:p>
    <w:p>
      <w:pPr>
        <w:pStyle w:val="34"/>
        <w:tabs>
          <w:tab w:val="left" w:pos="850"/>
          <w:tab w:val="clear" w:pos="567"/>
          <w:tab w:val="clear" w:pos="1428"/>
          <w:tab w:val="clear" w:pos="1571"/>
          <w:tab w:val="clear" w:pos="1800"/>
        </w:tabs>
        <w:adjustRightInd/>
        <w:snapToGrid/>
        <w:spacing w:before="120" w:after="120" w:line="319" w:lineRule="auto"/>
        <w:ind w:left="1416" w:leftChars="29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除本合同另行约定外，乙方连续3个月未在甲方加油站加油；</w:t>
      </w:r>
    </w:p>
    <w:p>
      <w:pPr>
        <w:pStyle w:val="34"/>
        <w:tabs>
          <w:tab w:val="left" w:pos="850"/>
          <w:tab w:val="clear" w:pos="567"/>
          <w:tab w:val="clear" w:pos="1428"/>
          <w:tab w:val="clear" w:pos="1571"/>
          <w:tab w:val="clear" w:pos="1800"/>
        </w:tabs>
        <w:adjustRightInd/>
        <w:snapToGrid/>
        <w:spacing w:before="120" w:after="120" w:line="319" w:lineRule="auto"/>
        <w:ind w:left="1416" w:leftChars="29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乙方因破产、无偿债能力等进入清算程序；</w:t>
      </w:r>
    </w:p>
    <w:p>
      <w:pPr>
        <w:pStyle w:val="32"/>
        <w:adjustRightInd/>
        <w:snapToGrid/>
        <w:spacing w:before="120" w:after="120" w:line="319" w:lineRule="auto"/>
        <w:ind w:left="900" w:leftChars="75"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有下列情形之一的，乙方可单独解除合同，并以书面形式通知对方：</w:t>
      </w:r>
    </w:p>
    <w:p>
      <w:pPr>
        <w:pStyle w:val="34"/>
        <w:tabs>
          <w:tab w:val="left" w:pos="709"/>
          <w:tab w:val="left" w:pos="850"/>
        </w:tabs>
        <w:spacing w:line="319" w:lineRule="auto"/>
        <w:ind w:left="1418" w:hanging="710"/>
        <w:rPr>
          <w:rFonts w:ascii="Times New Roman" w:hAnsi="Times New Roman" w:eastAsia="楷体" w:cs="Times New Roman"/>
          <w:sz w:val="24"/>
        </w:rPr>
      </w:pPr>
      <w:r>
        <w:rPr>
          <w:rFonts w:ascii="Times New Roman" w:hAnsi="Times New Roman" w:eastAsia="楷体" w:cs="Times New Roman"/>
          <w:sz w:val="24"/>
        </w:rPr>
        <w:t>甲方严重违反了本合同，致使其合同目的无法实现；</w:t>
      </w:r>
    </w:p>
    <w:p>
      <w:pPr>
        <w:pStyle w:val="34"/>
        <w:tabs>
          <w:tab w:val="left" w:pos="709"/>
          <w:tab w:val="left" w:pos="850"/>
        </w:tabs>
        <w:spacing w:line="319" w:lineRule="auto"/>
        <w:ind w:left="1418" w:hanging="710"/>
        <w:rPr>
          <w:rFonts w:ascii="Times New Roman" w:hAnsi="Times New Roman" w:eastAsia="楷体" w:cs="Times New Roman"/>
          <w:sz w:val="24"/>
        </w:rPr>
      </w:pPr>
      <w:r>
        <w:rPr>
          <w:rFonts w:ascii="Times New Roman" w:hAnsi="Times New Roman" w:eastAsia="楷体" w:cs="Times New Roman"/>
          <w:sz w:val="24"/>
        </w:rPr>
        <w:t>甲方提供的油品存在质量问题，导致乙方的损失无法弥补；</w:t>
      </w:r>
    </w:p>
    <w:p>
      <w:pPr>
        <w:pStyle w:val="34"/>
        <w:tabs>
          <w:tab w:val="left" w:pos="709"/>
          <w:tab w:val="left" w:pos="850"/>
        </w:tabs>
        <w:spacing w:line="319" w:lineRule="auto"/>
        <w:ind w:left="1418" w:hanging="710"/>
        <w:rPr>
          <w:rFonts w:ascii="Times New Roman" w:hAnsi="Times New Roman" w:eastAsia="楷体" w:cs="Times New Roman"/>
          <w:color w:val="000000"/>
          <w:sz w:val="24"/>
          <w:szCs w:val="24"/>
        </w:rPr>
      </w:pPr>
      <w:r>
        <w:rPr>
          <w:rFonts w:ascii="Times New Roman" w:hAnsi="Times New Roman" w:eastAsia="楷体" w:cs="Times New Roman"/>
          <w:sz w:val="24"/>
        </w:rPr>
        <w:t>本合同履行期内，甲方不再拥有经营成品油销售业务所需的行政许可</w:t>
      </w:r>
      <w:r>
        <w:rPr>
          <w:rFonts w:ascii="Times New Roman" w:hAnsi="Times New Roman" w:eastAsia="楷体" w:cs="Times New Roman"/>
          <w:color w:val="000000"/>
          <w:sz w:val="24"/>
          <w:szCs w:val="24"/>
        </w:rPr>
        <w:t>和相关资质。</w:t>
      </w:r>
    </w:p>
    <w:p>
      <w:pPr>
        <w:pStyle w:val="32"/>
        <w:tabs>
          <w:tab w:val="clear" w:pos="709"/>
        </w:tabs>
        <w:adjustRightInd/>
        <w:snapToGrid/>
        <w:spacing w:before="120" w:after="120" w:line="319" w:lineRule="auto"/>
        <w:ind w:left="707" w:leftChars="38" w:hanging="616"/>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合同解除后，不影响双方在合同中约定的结算、保证、保密和争议解决条款的效力。</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FF"/>
          <w:sz w:val="24"/>
          <w:shd w:val="clear" w:color="030000" w:fill="D9D9D9"/>
        </w:rPr>
      </w:pPr>
      <w:bookmarkStart w:id="179" w:name="_DV_M458"/>
      <w:bookmarkEnd w:id="179"/>
      <w:bookmarkStart w:id="180" w:name="_DV_M452"/>
      <w:bookmarkEnd w:id="180"/>
      <w:bookmarkStart w:id="181" w:name="_DV_M448"/>
      <w:bookmarkEnd w:id="181"/>
      <w:bookmarkStart w:id="182" w:name="_DV_M446"/>
      <w:bookmarkEnd w:id="182"/>
      <w:bookmarkStart w:id="183" w:name="_Toc54884524"/>
      <w:bookmarkStart w:id="184" w:name="des1715408392403"/>
      <w:bookmarkStart w:id="185" w:name="_Toc224727279"/>
      <w:bookmarkStart w:id="186" w:name="_Toc220406593"/>
      <w:bookmarkStart w:id="187" w:name="_Toc220406367"/>
      <w:bookmarkStart w:id="188" w:name="_Toc508005098"/>
      <w:bookmarkStart w:id="189" w:name="_Toc214867944"/>
      <w:bookmarkStart w:id="190" w:name="_Toc417060705"/>
      <w:r>
        <w:rPr>
          <w:rFonts w:ascii="Times New Roman" w:hAnsi="Times New Roman" w:eastAsia="楷体" w:cs="Times New Roman"/>
          <w:color w:val="0000FF"/>
          <w:sz w:val="24"/>
          <w:szCs w:val="24"/>
          <w:shd w:val="clear" w:color="040000" w:fill="D9D9D9"/>
        </w:rPr>
        <w:t>【</w:t>
      </w:r>
      <w:r>
        <w:rPr>
          <w:rFonts w:ascii="Times New Roman" w:hAnsi="Times New Roman" w:eastAsia="楷体" w:cs="Times New Roman"/>
          <w:color w:val="0000FF"/>
          <w:sz w:val="24"/>
          <w:shd w:val="clear" w:color="030000" w:fill="D9D9D9"/>
        </w:rPr>
        <w:t>本合同</w:t>
      </w:r>
      <w:r>
        <w:rPr>
          <w:rFonts w:ascii="Times New Roman" w:hAnsi="Times New Roman" w:eastAsia="楷体" w:cs="Times New Roman"/>
          <w:color w:val="0000FF"/>
          <w:sz w:val="24"/>
          <w:szCs w:val="24"/>
          <w:shd w:val="clear" w:color="040000" w:fill="D9D9D9"/>
        </w:rPr>
        <w:t>自</w:t>
      </w:r>
      <w:r>
        <w:rPr>
          <w:rFonts w:ascii="Times New Roman" w:hAnsi="Times New Roman" w:eastAsia="楷体" w:cs="Times New Roman"/>
          <w:color w:val="0000FF"/>
          <w:sz w:val="24"/>
          <w:shd w:val="clear" w:color="030000" w:fill="D9D9D9"/>
        </w:rPr>
        <w:t>双方法定代表人（负责人）或授权代表</w:t>
      </w:r>
      <w:r>
        <w:rPr>
          <w:rFonts w:ascii="Times New Roman" w:hAnsi="Times New Roman" w:eastAsia="楷体" w:cs="Times New Roman"/>
          <w:color w:val="0000FF"/>
          <w:sz w:val="24"/>
          <w:szCs w:val="24"/>
          <w:shd w:val="clear" w:color="040000" w:fill="D9D9D9"/>
        </w:rPr>
        <w:t>【签字/或签章】</w:t>
      </w:r>
      <w:r>
        <w:rPr>
          <w:rFonts w:ascii="Times New Roman" w:hAnsi="Times New Roman" w:eastAsia="楷体" w:cs="Times New Roman"/>
          <w:color w:val="0000FF"/>
          <w:sz w:val="24"/>
          <w:shd w:val="clear" w:color="030000" w:fill="D9D9D9"/>
        </w:rPr>
        <w:t>并加盖合同专用章或公章</w:t>
      </w:r>
      <w:r>
        <w:rPr>
          <w:rFonts w:ascii="Times New Roman" w:hAnsi="Times New Roman" w:eastAsia="楷体" w:cs="Times New Roman"/>
          <w:color w:val="0000FF"/>
          <w:sz w:val="24"/>
          <w:szCs w:val="24"/>
          <w:shd w:val="clear" w:color="040000" w:fill="D9D9D9"/>
        </w:rPr>
        <w:t>之日起生效</w:t>
      </w:r>
      <w:bookmarkEnd w:id="183"/>
      <w:r>
        <w:rPr>
          <w:rFonts w:ascii="Times New Roman" w:hAnsi="Times New Roman" w:eastAsia="楷体" w:cs="Times New Roman"/>
          <w:color w:val="0000FF"/>
          <w:sz w:val="24"/>
          <w:szCs w:val="24"/>
          <w:shd w:val="clear" w:color="040000" w:fill="D9D9D9"/>
        </w:rPr>
        <w:t>】</w:t>
      </w:r>
      <w:bookmarkEnd w:id="184"/>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在本合同期满后，若双方尚未签署补充协议，双方同意按本合同约定继续执行三个月，如果三个月期满双方仍未就合同续期达成一致，甲方停止向乙方供油。</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本合同未尽事宜，由双方另行协商。对于本合同项下的任何修改、补充及变更，均应由双方协商一致并以书面形式做出，该等修改、补充及变更的书面协议将构成本合同的组成部分，与本合同具有同等法律效力。</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甲方必要时有权对本合同进行审计，乙方应无条件予以配合。</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r>
        <w:rPr>
          <w:rFonts w:ascii="Times New Roman" w:hAnsi="Times New Roman" w:eastAsia="楷体" w:cs="Times New Roman"/>
          <w:color w:val="000000"/>
          <w:sz w:val="24"/>
          <w:szCs w:val="24"/>
        </w:rPr>
        <w:t>本合同由正文和附件组成，附件是本合同不可分割的组成部分。附件内容与正文不一致时，以附件为准。</w:t>
      </w:r>
    </w:p>
    <w:p>
      <w:pPr>
        <w:pStyle w:val="32"/>
        <w:tabs>
          <w:tab w:val="left" w:pos="720"/>
          <w:tab w:val="clear" w:pos="709"/>
        </w:tabs>
        <w:adjustRightInd/>
        <w:snapToGrid/>
        <w:spacing w:before="120" w:after="120" w:line="319" w:lineRule="auto"/>
        <w:ind w:left="720" w:hanging="720"/>
        <w:rPr>
          <w:rFonts w:ascii="Times New Roman" w:hAnsi="Times New Roman" w:eastAsia="楷体" w:cs="Times New Roman"/>
          <w:color w:val="000000"/>
          <w:sz w:val="24"/>
          <w:szCs w:val="24"/>
        </w:rPr>
      </w:pPr>
      <w:bookmarkStart w:id="191" w:name="_Toc54884526"/>
      <w:r>
        <w:rPr>
          <w:rFonts w:ascii="Times New Roman" w:hAnsi="Times New Roman" w:eastAsia="楷体" w:cs="Times New Roman"/>
          <w:color w:val="000000"/>
          <w:sz w:val="24"/>
          <w:szCs w:val="24"/>
        </w:rPr>
        <w:t>每份文本均具有同等法律效力。</w:t>
      </w:r>
      <w:bookmarkEnd w:id="191"/>
      <w:bookmarkEnd w:id="99"/>
      <w:bookmarkEnd w:id="100"/>
      <w:bookmarkEnd w:id="185"/>
      <w:bookmarkEnd w:id="186"/>
      <w:bookmarkEnd w:id="187"/>
      <w:bookmarkEnd w:id="188"/>
      <w:bookmarkEnd w:id="189"/>
      <w:bookmarkEnd w:id="190"/>
    </w:p>
    <w:p>
      <w:pPr>
        <w:pStyle w:val="32"/>
        <w:numPr>
          <w:ilvl w:val="1"/>
          <w:numId w:val="0"/>
        </w:numPr>
        <w:tabs>
          <w:tab w:val="left" w:pos="567"/>
          <w:tab w:val="left" w:pos="720"/>
          <w:tab w:val="clear" w:pos="709"/>
        </w:tabs>
        <w:adjustRightInd/>
        <w:snapToGrid/>
        <w:spacing w:before="120" w:after="120" w:line="319" w:lineRule="auto"/>
        <w:ind w:left="680" w:hanging="680"/>
        <w:rPr>
          <w:rFonts w:ascii="Times New Roman" w:hAnsi="Times New Roman" w:eastAsia="楷体" w:cs="Times New Roman"/>
          <w:color w:val="000000"/>
          <w:sz w:val="24"/>
          <w:szCs w:val="24"/>
          <w:lang/>
        </w:rPr>
      </w:pPr>
      <w:bookmarkStart w:id="192" w:name="_DV_M486"/>
      <w:bookmarkEnd w:id="192"/>
      <w:bookmarkStart w:id="193" w:name="_DV_M489"/>
      <w:bookmarkEnd w:id="193"/>
      <w:bookmarkStart w:id="194" w:name="_DV_M488"/>
      <w:bookmarkEnd w:id="194"/>
      <w:bookmarkStart w:id="195" w:name="_DV_M485"/>
      <w:bookmarkEnd w:id="195"/>
      <w:bookmarkStart w:id="196" w:name="_DV_M487"/>
      <w:bookmarkEnd w:id="196"/>
      <w:r>
        <w:rPr>
          <w:rFonts w:ascii="Times New Roman" w:hAnsi="Times New Roman" w:eastAsia="楷体" w:cs="Times New Roman"/>
          <w:sz w:val="24"/>
          <w:szCs w:val="24"/>
          <w:lang/>
        </w:rPr>
        <w:t>【以下无正文】</w:t>
      </w:r>
    </w:p>
    <w:p>
      <w:pPr>
        <w:spacing w:before="120" w:after="120" w:line="319" w:lineRule="auto"/>
        <w:rPr>
          <w:rFonts w:eastAsia="楷体"/>
          <w:b/>
          <w:kern w:val="2"/>
          <w:shd w:val="clear" w:color="030000" w:fill="D9D9D9"/>
          <w:lang w:eastAsia="zh-CN"/>
        </w:rPr>
      </w:pPr>
      <w:bookmarkStart w:id="197" w:name="des1715408416453"/>
      <w:r>
        <w:rPr>
          <w:rFonts w:eastAsia="楷体"/>
          <w:color w:val="000000"/>
          <w:shd w:val="clear" w:color="020000" w:fill="D9D9D9"/>
          <w:lang w:eastAsia="zh-CN"/>
        </w:rPr>
        <w:br w:type="page"/>
      </w:r>
      <w:r>
        <w:rPr>
          <w:rFonts w:eastAsia="楷体"/>
          <w:b/>
          <w:kern w:val="2"/>
          <w:shd w:val="clear" w:color="030000" w:fill="D9D9D9"/>
          <w:lang w:eastAsia="zh-CN"/>
        </w:rPr>
        <w:t>【本页为《</w:t>
      </w:r>
      <w:r>
        <w:rPr>
          <w:rFonts w:eastAsia="楷体"/>
          <w:b/>
          <w:bCs/>
          <w:kern w:val="2"/>
          <w:shd w:val="clear" w:color="040000" w:fill="D9D9D9"/>
          <w:lang w:eastAsia="zh-CN"/>
        </w:rPr>
        <w:t>加油站定点加油合同</w:t>
      </w:r>
      <w:r>
        <w:rPr>
          <w:rFonts w:eastAsia="楷体"/>
          <w:b/>
          <w:kern w:val="2"/>
          <w:shd w:val="clear" w:color="030000" w:fill="D9D9D9"/>
          <w:lang w:eastAsia="zh-CN"/>
        </w:rPr>
        <w:t>》的签署页】</w:t>
      </w:r>
      <w:bookmarkEnd w:id="197"/>
    </w:p>
    <w:p>
      <w:pPr>
        <w:adjustRightInd/>
        <w:spacing w:before="120" w:after="120" w:line="319" w:lineRule="auto"/>
        <w:jc w:val="both"/>
        <w:rPr>
          <w:rFonts w:eastAsia="楷体"/>
          <w:kern w:val="2"/>
          <w:lang w:eastAsia="zh-CN"/>
        </w:rPr>
      </w:pPr>
    </w:p>
    <w:p>
      <w:pPr>
        <w:adjustRightInd/>
        <w:spacing w:before="120" w:after="120" w:line="319" w:lineRule="auto"/>
        <w:jc w:val="both"/>
        <w:rPr>
          <w:rFonts w:eastAsia="楷体"/>
          <w:b/>
          <w:kern w:val="2"/>
          <w:szCs w:val="22"/>
          <w:lang w:eastAsia="zh-CN"/>
        </w:rPr>
      </w:pPr>
      <w:r>
        <w:rPr>
          <w:rFonts w:eastAsia="楷体"/>
          <w:b/>
          <w:kern w:val="2"/>
          <w:szCs w:val="22"/>
          <w:lang w:eastAsia="zh-CN"/>
        </w:rPr>
        <w:t>甲方：</w:t>
      </w:r>
    </w:p>
    <w:p>
      <w:pPr>
        <w:adjustRightInd/>
        <w:spacing w:before="120" w:after="120" w:line="319" w:lineRule="auto"/>
        <w:jc w:val="both"/>
        <w:rPr>
          <w:rFonts w:eastAsia="楷体"/>
          <w:b/>
          <w:kern w:val="2"/>
          <w:szCs w:val="22"/>
          <w:lang w:eastAsia="zh-CN"/>
        </w:rPr>
      </w:pPr>
      <w:r>
        <w:rPr>
          <w:rFonts w:eastAsia="楷体"/>
          <w:b/>
          <w:kern w:val="2"/>
          <w:szCs w:val="22"/>
          <w:lang w:eastAsia="zh-CN"/>
        </w:rPr>
        <w:t>（公章或合同专用章）</w:t>
      </w:r>
    </w:p>
    <w:p>
      <w:pPr>
        <w:adjustRightInd/>
        <w:spacing w:before="120" w:after="120" w:line="319" w:lineRule="auto"/>
        <w:jc w:val="both"/>
        <w:rPr>
          <w:rFonts w:eastAsia="楷体"/>
          <w:kern w:val="2"/>
          <w:szCs w:val="22"/>
          <w:lang w:eastAsia="zh-CN"/>
        </w:rPr>
      </w:pPr>
      <w:r>
        <w:rPr>
          <w:rFonts w:eastAsia="楷体"/>
          <w:kern w:val="2"/>
          <w:szCs w:val="22"/>
          <w:lang w:eastAsia="zh-CN"/>
        </w:rPr>
        <w:t>法定代表人/负责人/授权代表签字（签章）：</w:t>
      </w:r>
      <w:r>
        <w:rPr>
          <w:rFonts w:eastAsia="楷体"/>
          <w:b/>
          <w:kern w:val="2"/>
          <w:szCs w:val="22"/>
          <w:lang w:eastAsia="zh-CN"/>
        </w:rPr>
        <w:t>_____________</w:t>
      </w:r>
      <w:r>
        <w:rPr>
          <w:rFonts w:eastAsia="楷体"/>
          <w:kern w:val="2"/>
          <w:szCs w:val="22"/>
          <w:lang w:eastAsia="zh-CN"/>
        </w:rPr>
        <w:t xml:space="preserve"> </w:t>
      </w:r>
    </w:p>
    <w:p>
      <w:pPr>
        <w:adjustRightInd/>
        <w:spacing w:before="120" w:after="120" w:line="319" w:lineRule="auto"/>
        <w:jc w:val="both"/>
        <w:rPr>
          <w:rFonts w:eastAsia="楷体"/>
          <w:kern w:val="2"/>
          <w:szCs w:val="22"/>
          <w:lang w:eastAsia="zh-CN"/>
        </w:rPr>
      </w:pPr>
      <w:r>
        <w:rPr>
          <w:rFonts w:eastAsia="楷体"/>
          <w:lang w:eastAsia="zh-CN"/>
        </w:rPr>
        <w:t>___________</w:t>
      </w:r>
      <w:r>
        <w:rPr>
          <w:rFonts w:eastAsia="楷体"/>
          <w:b/>
          <w:lang w:eastAsia="zh-CN"/>
        </w:rPr>
        <w:t>年</w:t>
      </w:r>
      <w:r>
        <w:rPr>
          <w:rFonts w:eastAsia="楷体"/>
          <w:lang w:eastAsia="zh-CN"/>
        </w:rPr>
        <w:t>_______</w:t>
      </w:r>
      <w:r>
        <w:rPr>
          <w:rFonts w:eastAsia="楷体"/>
          <w:b/>
          <w:lang w:eastAsia="zh-CN"/>
        </w:rPr>
        <w:t>月</w:t>
      </w:r>
      <w:r>
        <w:rPr>
          <w:rFonts w:eastAsia="楷体"/>
          <w:lang w:eastAsia="zh-CN"/>
        </w:rPr>
        <w:t>_______</w:t>
      </w:r>
      <w:r>
        <w:rPr>
          <w:rFonts w:eastAsia="楷体"/>
          <w:b/>
          <w:lang w:eastAsia="zh-CN"/>
        </w:rPr>
        <w:t>日</w:t>
      </w:r>
    </w:p>
    <w:p>
      <w:pPr>
        <w:adjustRightInd/>
        <w:spacing w:before="120" w:after="120" w:line="319" w:lineRule="auto"/>
        <w:jc w:val="both"/>
        <w:rPr>
          <w:rFonts w:eastAsia="楷体"/>
          <w:kern w:val="2"/>
          <w:szCs w:val="22"/>
          <w:lang w:eastAsia="zh-CN"/>
        </w:rPr>
      </w:pPr>
    </w:p>
    <w:p>
      <w:pPr>
        <w:adjustRightInd/>
        <w:spacing w:before="120" w:after="120" w:line="319" w:lineRule="auto"/>
        <w:jc w:val="both"/>
        <w:rPr>
          <w:rFonts w:eastAsia="楷体"/>
          <w:kern w:val="2"/>
          <w:szCs w:val="22"/>
          <w:lang w:eastAsia="zh-CN"/>
        </w:rPr>
      </w:pPr>
    </w:p>
    <w:p>
      <w:pPr>
        <w:adjustRightInd/>
        <w:spacing w:before="120" w:after="120" w:line="319" w:lineRule="auto"/>
        <w:jc w:val="both"/>
        <w:rPr>
          <w:rFonts w:eastAsia="楷体"/>
          <w:b/>
          <w:kern w:val="2"/>
          <w:szCs w:val="22"/>
          <w:lang w:eastAsia="zh-CN"/>
        </w:rPr>
      </w:pPr>
      <w:r>
        <w:rPr>
          <w:rFonts w:eastAsia="楷体"/>
          <w:b/>
          <w:kern w:val="2"/>
          <w:szCs w:val="22"/>
          <w:lang w:eastAsia="zh-CN"/>
        </w:rPr>
        <w:t>乙方：</w:t>
      </w:r>
    </w:p>
    <w:p>
      <w:pPr>
        <w:adjustRightInd/>
        <w:spacing w:before="120" w:after="120" w:line="319" w:lineRule="auto"/>
        <w:jc w:val="both"/>
        <w:rPr>
          <w:rFonts w:eastAsia="楷体"/>
          <w:b/>
          <w:kern w:val="2"/>
          <w:szCs w:val="22"/>
          <w:lang w:eastAsia="zh-CN"/>
        </w:rPr>
      </w:pPr>
      <w:r>
        <w:rPr>
          <w:rFonts w:eastAsia="楷体"/>
          <w:b/>
          <w:kern w:val="2"/>
          <w:szCs w:val="22"/>
          <w:lang w:eastAsia="zh-CN"/>
        </w:rPr>
        <w:t>（公章或合同专用章）</w:t>
      </w:r>
    </w:p>
    <w:p>
      <w:pPr>
        <w:numPr>
          <w:numId w:val="0"/>
        </w:numPr>
        <w:adjustRightInd/>
        <w:spacing w:before="120" w:after="120" w:line="319" w:lineRule="auto"/>
        <w:jc w:val="both"/>
        <w:outlineLvl w:val="1"/>
        <w:rPr>
          <w:rFonts w:eastAsia="楷体"/>
          <w:color w:val="000000"/>
          <w:szCs w:val="20"/>
          <w:lang w:eastAsia="zh-CN"/>
        </w:rPr>
      </w:pPr>
      <w:r>
        <w:rPr>
          <w:rFonts w:eastAsia="楷体"/>
          <w:color w:val="000000"/>
          <w:szCs w:val="20"/>
          <w:lang w:eastAsia="zh-CN"/>
        </w:rPr>
        <w:t>法定代表人/负责人/授权代表签字（签章）：</w:t>
      </w:r>
      <w:bookmarkStart w:id="198" w:name="EndRange"/>
      <w:bookmarkEnd w:id="198"/>
      <w:r>
        <w:rPr>
          <w:rFonts w:eastAsia="楷体"/>
          <w:b/>
          <w:szCs w:val="20"/>
          <w:lang w:eastAsia="zh-CN"/>
        </w:rPr>
        <w:t>_____________</w:t>
      </w:r>
    </w:p>
    <w:p>
      <w:pPr>
        <w:adjustRightInd/>
        <w:spacing w:before="120" w:after="120" w:line="319" w:lineRule="auto"/>
        <w:jc w:val="both"/>
        <w:rPr>
          <w:rFonts w:eastAsia="楷体"/>
          <w:kern w:val="2"/>
          <w:lang w:eastAsia="zh-CN"/>
        </w:rPr>
      </w:pPr>
      <w:r>
        <w:rPr>
          <w:rFonts w:eastAsia="楷体"/>
        </w:rPr>
        <w:t>___________</w:t>
      </w:r>
      <w:r>
        <w:rPr>
          <w:rFonts w:eastAsia="楷体"/>
          <w:b/>
        </w:rPr>
        <w:t>年</w:t>
      </w:r>
      <w:r>
        <w:rPr>
          <w:rFonts w:eastAsia="楷体"/>
        </w:rPr>
        <w:t>_______</w:t>
      </w:r>
      <w:r>
        <w:rPr>
          <w:rFonts w:eastAsia="楷体"/>
          <w:b/>
        </w:rPr>
        <w:t>月</w:t>
      </w:r>
      <w:r>
        <w:rPr>
          <w:rFonts w:eastAsia="楷体"/>
        </w:rPr>
        <w:t>_______</w:t>
      </w:r>
      <w:r>
        <w:rPr>
          <w:rFonts w:eastAsia="楷体"/>
          <w:b/>
        </w:rPr>
        <w:t>日</w:t>
      </w:r>
    </w:p>
    <w:p>
      <w:pPr>
        <w:adjustRightInd/>
        <w:spacing w:before="120" w:after="120" w:line="319" w:lineRule="auto"/>
        <w:jc w:val="both"/>
        <w:rPr>
          <w:rFonts w:eastAsia="楷体"/>
          <w:kern w:val="2"/>
          <w:lang w:eastAsia="zh-CN"/>
        </w:rPr>
      </w:pPr>
    </w:p>
    <w:p>
      <w:pPr>
        <w:adjustRightInd/>
        <w:spacing w:before="120" w:after="120" w:line="319" w:lineRule="auto"/>
        <w:jc w:val="both"/>
        <w:rPr>
          <w:rFonts w:eastAsia="楷体"/>
          <w:kern w:val="2"/>
          <w:lang w:eastAsia="zh-CN"/>
        </w:rPr>
      </w:pPr>
    </w:p>
    <w:p>
      <w:pPr>
        <w:adjustRightInd/>
        <w:spacing w:before="120" w:after="120" w:line="319" w:lineRule="auto"/>
        <w:jc w:val="both"/>
        <w:rPr>
          <w:rFonts w:eastAsia="楷体"/>
          <w:kern w:val="2"/>
          <w:lang w:eastAsia="zh-CN"/>
        </w:rPr>
      </w:pPr>
    </w:p>
    <w:p>
      <w:pPr>
        <w:pStyle w:val="32"/>
        <w:numPr>
          <w:ilvl w:val="1"/>
          <w:numId w:val="0"/>
        </w:numPr>
        <w:tabs>
          <w:tab w:val="left" w:pos="567"/>
          <w:tab w:val="left" w:pos="720"/>
          <w:tab w:val="clear" w:pos="709"/>
        </w:tabs>
        <w:adjustRightInd/>
        <w:snapToGrid/>
        <w:spacing w:before="120" w:after="120" w:line="319" w:lineRule="auto"/>
        <w:ind w:left="567" w:hanging="567"/>
        <w:rPr>
          <w:rFonts w:ascii="Times New Roman" w:hAnsi="Times New Roman" w:eastAsia="楷体" w:cs="Times New Roman"/>
          <w:color w:val="000000"/>
          <w:sz w:val="24"/>
          <w:szCs w:val="24"/>
        </w:rPr>
      </w:pPr>
    </w:p>
    <w:sectPr>
      <w:footerReference r:id="rId6" w:type="first"/>
      <w:headerReference r:id="rId4" w:type="default"/>
      <w:footerReference r:id="rId5" w:type="default"/>
      <w:pgSz w:w="11906" w:h="16838"/>
      <w:pgMar w:top="1701" w:right="1418" w:bottom="1418" w:left="1418"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Microsoft Sans Serif">
    <w:panose1 w:val="020B0604020202020204"/>
    <w:charset w:val="00"/>
    <w:family w:val="auto"/>
    <w:pitch w:val="default"/>
    <w:sig w:usb0="E1002AFF" w:usb1="C0000002" w:usb2="00000008" w:usb3="00000000" w:csb0="200101FF" w:csb1="20280000"/>
  </w:font>
  <w:font w:name="GarmdITC Bk BT">
    <w:altName w:val="Cambria"/>
    <w:panose1 w:val="00000000000000000000"/>
    <w:charset w:val="00"/>
    <w:family w:val="auto"/>
    <w:pitch w:val="default"/>
    <w:sig w:usb0="00000000" w:usb1="00000000" w:usb2="00000000" w:usb3="00000000" w:csb0="0000001B"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00000287" w:usb1="00000000" w:usb2="00000000" w:usb3="00000000" w:csb0="2000009F" w:csb1="DFD7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framePr w:wrap="around" w:hAnchor="margin" w:vAnchor="text" w:xAlign="center" w:y="1"/>
      <w:rPr>
        <w:rStyle w:val="45"/>
      </w:rPr>
    </w:pPr>
    <w:r>
      <w:fldChar w:fldCharType="begin"/>
    </w:r>
    <w:r>
      <w:rPr>
        <w:rStyle w:val="45"/>
      </w:rPr>
      <w:instrText xml:space="preserve">PAGE  </w:instrText>
    </w:r>
    <w:r>
      <w:fldChar w:fldCharType="separate"/>
    </w:r>
    <w:r>
      <w:rPr>
        <w:rStyle w:val="45"/>
      </w:rPr>
      <w:t>19</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center"/>
    </w:pPr>
    <w:r>
      <w:fldChar w:fldCharType="begin"/>
    </w:r>
    <w:r>
      <w:instrText xml:space="preserve">PAGE   \* MERGEFORMAT</w:instrText>
    </w:r>
    <w:r>
      <w:fldChar w:fldCharType="separate"/>
    </w:r>
    <w:r>
      <w:rPr>
        <w:lang w:val="zh-CN" w:eastAsia="zh-CN"/>
      </w:rPr>
      <w:t>26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spacing w:line="240" w:lineRule="auto"/>
      <w:jc w:val="right"/>
      <w:rPr>
        <w:rFonts w:hint="eastAsia" w:eastAsia="宋体"/>
        <w:lang w:eastAsia="zh-CN"/>
      </w:rPr>
    </w:pPr>
    <w:r>
      <w:rPr>
        <w:rFonts w:hint="eastAsia" w:ascii="Times New Roman" w:hAnsi="Times New Roman" w:eastAsia="宋体" w:cs="Times New Roman"/>
        <w:sz w:val="24"/>
        <w:szCs w:val="24"/>
        <w:lang w:val="en-US" w:eastAsia="zh-CN" w:bidi="ar-SA"/>
      </w:rPr>
      <w:pict>
        <v:shape id="图片框 1025" o:spid="_x0000_s1025" type="#_x0000_t75" style="height:0.05pt;width:0.0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multilevel"/>
    <w:tmpl w:val="0000000A"/>
    <w:lvl w:ilvl="0" w:tentative="1">
      <w:start w:val="1"/>
      <w:numFmt w:val="chineseCountingThousand"/>
      <w:pStyle w:val="26"/>
      <w:lvlText w:val="%1、"/>
      <w:lvlJc w:val="left"/>
      <w:pPr>
        <w:tabs>
          <w:tab w:val="left" w:pos="2835"/>
        </w:tabs>
        <w:ind w:left="2835" w:hanging="567"/>
      </w:pPr>
      <w:rPr>
        <w:rFonts w:hint="default" w:ascii="Arial" w:hAnsi="Arial" w:eastAsia="楷体_GB2312"/>
      </w:rPr>
    </w:lvl>
    <w:lvl w:ilvl="1" w:tentative="1">
      <w:start w:val="1"/>
      <w:numFmt w:val="decimal"/>
      <w:pStyle w:val="27"/>
      <w:lvlText w:val="%2."/>
      <w:lvlJc w:val="left"/>
      <w:pPr>
        <w:tabs>
          <w:tab w:val="left" w:pos="1134"/>
        </w:tabs>
        <w:ind w:left="1134" w:hanging="567"/>
      </w:pPr>
      <w:rPr>
        <w:rFonts w:hint="default" w:ascii="Arial" w:hAnsi="Arial" w:cs="Arial"/>
        <w:b w:val="0"/>
      </w:rPr>
    </w:lvl>
    <w:lvl w:ilvl="2" w:tentative="1">
      <w:start w:val="1"/>
      <w:numFmt w:val="lowerLetter"/>
      <w:lvlText w:val="(%3)"/>
      <w:lvlJc w:val="left"/>
      <w:pPr>
        <w:tabs>
          <w:tab w:val="left" w:pos="1985"/>
        </w:tabs>
        <w:ind w:left="1985" w:hanging="567"/>
      </w:pPr>
      <w:rPr>
        <w:rFonts w:hint="default" w:ascii="Arial" w:hAnsi="Arial"/>
        <w:sz w:val="24"/>
        <w:szCs w:val="24"/>
      </w:rPr>
    </w:lvl>
    <w:lvl w:ilvl="3" w:tentative="1">
      <w:start w:val="1"/>
      <w:numFmt w:val="lowerRoman"/>
      <w:lvlText w:val="(%4)"/>
      <w:lvlJc w:val="left"/>
      <w:pPr>
        <w:tabs>
          <w:tab w:val="left" w:pos="2268"/>
        </w:tabs>
        <w:ind w:left="2268" w:hanging="567"/>
      </w:pPr>
      <w:rPr>
        <w:rFonts w:hint="default" w:ascii="Arial" w:hAnsi="Arial"/>
        <w:b w:val="0"/>
        <w:i w:val="0"/>
        <w:sz w:val="20"/>
      </w:rPr>
    </w:lvl>
    <w:lvl w:ilvl="4" w:tentative="1">
      <w:start w:val="1"/>
      <w:numFmt w:val="upperLetter"/>
      <w:lvlText w:val="(%5)"/>
      <w:lvlJc w:val="left"/>
      <w:pPr>
        <w:tabs>
          <w:tab w:val="left" w:pos="2835"/>
        </w:tabs>
        <w:ind w:left="2835" w:hanging="567"/>
      </w:pPr>
      <w:rPr>
        <w:rFonts w:hint="default" w:ascii="Arial" w:hAnsi="Arial"/>
        <w:sz w:val="20"/>
      </w:rPr>
    </w:lvl>
    <w:lvl w:ilvl="5" w:tentative="1">
      <w:start w:val="1"/>
      <w:numFmt w:val="chineseCountingThousand"/>
      <w:lvlText w:val="附录 %6"/>
      <w:lvlJc w:val="left"/>
      <w:pPr>
        <w:tabs>
          <w:tab w:val="left" w:pos="567"/>
        </w:tabs>
        <w:ind w:left="567" w:hanging="567"/>
      </w:pPr>
      <w:rPr>
        <w:rFonts w:hint="eastAsia"/>
      </w:rPr>
    </w:lvl>
    <w:lvl w:ilvl="6" w:tentative="1">
      <w:start w:val="1"/>
      <w:numFmt w:val="decimal"/>
      <w:lvlText w:val="%7"/>
      <w:lvlJc w:val="left"/>
      <w:pPr>
        <w:tabs>
          <w:tab w:val="left" w:pos="567"/>
        </w:tabs>
        <w:ind w:left="1134" w:hanging="567"/>
      </w:pPr>
      <w:rPr>
        <w:rFonts w:hint="eastAsia"/>
      </w:rPr>
    </w:lvl>
    <w:lvl w:ilvl="7" w:tentative="1">
      <w:start w:val="1"/>
      <w:numFmt w:val="upperLetter"/>
      <w:lvlText w:val="附件 %8"/>
      <w:lvlJc w:val="left"/>
      <w:pPr>
        <w:tabs>
          <w:tab w:val="left" w:pos="567"/>
        </w:tabs>
        <w:ind w:left="0" w:firstLine="0"/>
      </w:pPr>
      <w:rPr>
        <w:rFonts w:hint="eastAsia"/>
      </w:rPr>
    </w:lvl>
    <w:lvl w:ilvl="8" w:tentative="1">
      <w:start w:val="1"/>
      <w:numFmt w:val="chineseCountingThousand"/>
      <w:lvlText w:val="第%9部分"/>
      <w:lvlJc w:val="left"/>
      <w:pPr>
        <w:tabs>
          <w:tab w:val="left" w:pos="567"/>
        </w:tabs>
        <w:ind w:left="567" w:hanging="567"/>
      </w:pPr>
      <w:rPr>
        <w:rFonts w:hint="eastAsia"/>
      </w:rPr>
    </w:lvl>
  </w:abstractNum>
  <w:abstractNum w:abstractNumId="11">
    <w:nsid w:val="0000000B"/>
    <w:multiLevelType w:val="singleLevel"/>
    <w:tmpl w:val="0000000B"/>
    <w:lvl w:ilvl="0" w:tentative="1">
      <w:start w:val="1"/>
      <w:numFmt w:val="decimal"/>
      <w:pStyle w:val="35"/>
      <w:lvlText w:val="(%1)"/>
      <w:lvlJc w:val="left"/>
      <w:pPr>
        <w:tabs>
          <w:tab w:val="left" w:pos="709"/>
        </w:tabs>
        <w:ind w:left="709" w:hanging="709"/>
      </w:pPr>
      <w:rPr>
        <w:rFonts w:hint="default" w:ascii="Times New Roman" w:hAnsi="Times New Roman" w:cs="Times New Roman"/>
        <w:b w:val="0"/>
        <w:i w:val="0"/>
        <w:sz w:val="22"/>
      </w:rPr>
    </w:lvl>
  </w:abstractNum>
  <w:abstractNum w:abstractNumId="12">
    <w:nsid w:val="0000000C"/>
    <w:multiLevelType w:val="multilevel"/>
    <w:tmpl w:val="0000000C"/>
    <w:lvl w:ilvl="0" w:tentative="1">
      <w:start w:val="1"/>
      <w:numFmt w:val="decimal"/>
      <w:pStyle w:val="30"/>
      <w:lvlText w:val="%1."/>
      <w:lvlJc w:val="left"/>
      <w:pPr>
        <w:tabs>
          <w:tab w:val="left" w:pos="709"/>
        </w:tabs>
        <w:ind w:left="709" w:hanging="709"/>
      </w:pPr>
      <w:rPr>
        <w:rFonts w:hint="default" w:ascii="Times New Roman" w:hAnsi="Times New Roman"/>
      </w:rPr>
    </w:lvl>
    <w:lvl w:ilvl="1" w:tentative="1">
      <w:start w:val="1"/>
      <w:numFmt w:val="decimal"/>
      <w:pStyle w:val="31"/>
      <w:lvlText w:val="%1.%2"/>
      <w:lvlJc w:val="left"/>
      <w:pPr>
        <w:tabs>
          <w:tab w:val="left" w:pos="709"/>
        </w:tabs>
        <w:ind w:left="709" w:hanging="709"/>
      </w:pPr>
      <w:rPr>
        <w:rFonts w:hint="default" w:ascii="Times New Roman" w:hAnsi="Times New Roman" w:cs="Microsoft Sans Serif"/>
        <w:b w:val="0"/>
        <w:i w:val="0"/>
        <w:sz w:val="24"/>
      </w:rPr>
    </w:lvl>
    <w:lvl w:ilvl="2" w:tentative="1">
      <w:start w:val="1"/>
      <w:numFmt w:val="lowerLetter"/>
      <w:pStyle w:val="39"/>
      <w:lvlText w:val="(%3)"/>
      <w:lvlJc w:val="left"/>
      <w:pPr>
        <w:tabs>
          <w:tab w:val="left" w:pos="1609"/>
        </w:tabs>
        <w:ind w:left="1609" w:hanging="709"/>
      </w:pPr>
      <w:rPr>
        <w:rFonts w:hint="default" w:ascii="Times New Roman" w:hAnsi="Times New Roman"/>
      </w:rPr>
    </w:lvl>
    <w:lvl w:ilvl="3" w:tentative="1">
      <w:start w:val="1"/>
      <w:numFmt w:val="lowerRoman"/>
      <w:pStyle w:val="43"/>
      <w:lvlText w:val="(%4)"/>
      <w:lvlJc w:val="left"/>
      <w:pPr>
        <w:tabs>
          <w:tab w:val="left" w:pos="2126"/>
        </w:tabs>
        <w:ind w:left="2126" w:hanging="708"/>
      </w:pPr>
      <w:rPr>
        <w:rFonts w:hint="default"/>
      </w:rPr>
    </w:lvl>
    <w:lvl w:ilvl="4" w:tentative="1">
      <w:start w:val="1"/>
      <w:numFmt w:val="upperLetter"/>
      <w:pStyle w:val="28"/>
      <w:lvlText w:val="(%5)"/>
      <w:lvlJc w:val="left"/>
      <w:pPr>
        <w:tabs>
          <w:tab w:val="left" w:pos="2835"/>
        </w:tabs>
        <w:ind w:left="2835" w:hanging="709"/>
      </w:pPr>
      <w:rPr>
        <w:rFonts w:hint="default"/>
      </w:rPr>
    </w:lvl>
    <w:lvl w:ilvl="5" w:tentative="1">
      <w:start w:val="1"/>
      <w:numFmt w:val="decimal"/>
      <w:pStyle w:val="41"/>
      <w:lvlText w:val="(%6)"/>
      <w:lvlJc w:val="left"/>
      <w:pPr>
        <w:tabs>
          <w:tab w:val="left" w:pos="3544"/>
        </w:tabs>
        <w:ind w:left="3544" w:hanging="709"/>
      </w:pPr>
      <w:rPr>
        <w:rFonts w:hint="default"/>
      </w:rPr>
    </w:lvl>
    <w:lvl w:ilvl="6" w:tentative="1">
      <w:start w:val="1"/>
      <w:numFmt w:val="decimal"/>
      <w:lvlText w:val="%7."/>
      <w:lvlJc w:val="left"/>
      <w:pPr>
        <w:tabs>
          <w:tab w:val="left" w:pos="709"/>
        </w:tabs>
        <w:ind w:left="709" w:hanging="709"/>
      </w:pPr>
      <w:rPr>
        <w:rFonts w:hint="default"/>
      </w:rPr>
    </w:lvl>
    <w:lvl w:ilvl="7" w:tentative="1">
      <w:start w:val="1"/>
      <w:numFmt w:val="lowerLetter"/>
      <w:lvlText w:val="(%8)"/>
      <w:lvlJc w:val="left"/>
      <w:pPr>
        <w:tabs>
          <w:tab w:val="left" w:pos="1418"/>
        </w:tabs>
        <w:ind w:left="1418" w:hanging="709"/>
      </w:pPr>
      <w:rPr>
        <w:rFonts w:hint="default"/>
      </w:rPr>
    </w:lvl>
    <w:lvl w:ilvl="8" w:tentative="1">
      <w:start w:val="1"/>
      <w:numFmt w:val="lowerRoman"/>
      <w:lvlText w:val="(%9)"/>
      <w:lvlJc w:val="left"/>
      <w:pPr>
        <w:tabs>
          <w:tab w:val="left" w:pos="2126"/>
        </w:tabs>
        <w:ind w:left="2126" w:hanging="708"/>
      </w:pPr>
      <w:rPr>
        <w:rFonts w:hint="default"/>
      </w:rPr>
    </w:lvl>
  </w:abstractNum>
  <w:abstractNum w:abstractNumId="13">
    <w:nsid w:val="0000000D"/>
    <w:multiLevelType w:val="multilevel"/>
    <w:tmpl w:val="0000000D"/>
    <w:lvl w:ilvl="0" w:tentative="1">
      <w:start w:val="1"/>
      <w:numFmt w:val="decimal"/>
      <w:lvlText w:val="(%1)"/>
      <w:lvlJc w:val="left"/>
      <w:pPr>
        <w:ind w:left="1271" w:hanging="420"/>
      </w:pPr>
      <w:rPr>
        <w:rFonts w:hint="default"/>
        <w:color w:val="000000"/>
        <w:sz w:val="24"/>
        <w:szCs w:val="24"/>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14">
    <w:nsid w:val="0000000E"/>
    <w:multiLevelType w:val="multilevel"/>
    <w:tmpl w:val="0000000E"/>
    <w:lvl w:ilvl="0" w:tentative="1">
      <w:start w:val="1"/>
      <w:numFmt w:val="decimal"/>
      <w:pStyle w:val="29"/>
      <w:lvlText w:val="%1"/>
      <w:lvlJc w:val="left"/>
      <w:pPr>
        <w:tabs>
          <w:tab w:val="left" w:pos="850"/>
        </w:tabs>
        <w:ind w:left="850" w:hanging="425"/>
      </w:pPr>
      <w:rPr>
        <w:rFonts w:hint="default" w:ascii="Times New Roman" w:hAnsi="Times New Roman" w:eastAsia="宋体" w:cs="Times New Roman"/>
        <w:sz w:val="24"/>
        <w:szCs w:val="24"/>
        <w:lang/>
      </w:rPr>
    </w:lvl>
    <w:lvl w:ilvl="1" w:tentative="1">
      <w:start w:val="1"/>
      <w:numFmt w:val="decimal"/>
      <w:pStyle w:val="32"/>
      <w:lvlText w:val="%1.%2"/>
      <w:lvlJc w:val="left"/>
      <w:pPr>
        <w:tabs>
          <w:tab w:val="left" w:pos="709"/>
        </w:tabs>
        <w:ind w:left="709" w:hanging="567"/>
      </w:pPr>
      <w:rPr>
        <w:rFonts w:hint="eastAsia" w:ascii="Times New Roman" w:hAnsi="Times New Roman" w:cs="Times New Roman"/>
        <w:b w:val="0"/>
        <w:snapToGrid w:val="0"/>
        <w:color w:val="auto"/>
        <w:spacing w:val="-10"/>
        <w:kern w:val="0"/>
        <w:sz w:val="24"/>
        <w:szCs w:val="28"/>
        <w:lang/>
      </w:rPr>
    </w:lvl>
    <w:lvl w:ilvl="2" w:tentative="1">
      <w:start w:val="1"/>
      <w:numFmt w:val="decimal"/>
      <w:lvlText w:val="%1.%2.%3"/>
      <w:lvlJc w:val="left"/>
      <w:pPr>
        <w:tabs>
          <w:tab w:val="left" w:pos="1428"/>
        </w:tabs>
        <w:ind w:left="1275" w:hanging="567"/>
      </w:pPr>
      <w:rPr>
        <w:rFonts w:hint="default" w:ascii="楷体" w:hAnsi="楷体" w:eastAsia="楷体" w:cs="Times New Roman"/>
        <w:snapToGrid w:val="0"/>
        <w:color w:val="000000"/>
        <w:spacing w:val="-10"/>
        <w:kern w:val="0"/>
        <w:sz w:val="24"/>
        <w:szCs w:val="24"/>
      </w:rPr>
    </w:lvl>
    <w:lvl w:ilvl="3" w:tentative="1">
      <w:start w:val="1"/>
      <w:numFmt w:val="lowerLetter"/>
      <w:lvlText w:val="(%4)"/>
      <w:lvlJc w:val="left"/>
      <w:pPr>
        <w:tabs>
          <w:tab w:val="left" w:pos="1316"/>
        </w:tabs>
        <w:ind w:left="1316" w:hanging="465"/>
      </w:pPr>
      <w:rPr>
        <w:rFonts w:hint="default"/>
        <w:sz w:val="28"/>
      </w:rPr>
    </w:lvl>
    <w:lvl w:ilvl="4" w:tentative="1">
      <w:start w:val="1"/>
      <w:numFmt w:val="decimal"/>
      <w:lvlText w:val="%1.%2.%3.%4.%5"/>
      <w:lvlJc w:val="left"/>
      <w:pPr>
        <w:tabs>
          <w:tab w:val="left" w:pos="2356"/>
        </w:tabs>
        <w:ind w:left="2126" w:hanging="850"/>
      </w:pPr>
      <w:rPr>
        <w:rFonts w:hint="eastAsia"/>
      </w:rPr>
    </w:lvl>
    <w:lvl w:ilvl="5" w:tentative="1">
      <w:start w:val="1"/>
      <w:numFmt w:val="decimal"/>
      <w:lvlText w:val="%1.%2.%3.%4.%5.%6"/>
      <w:lvlJc w:val="left"/>
      <w:pPr>
        <w:tabs>
          <w:tab w:val="left" w:pos="3141"/>
        </w:tabs>
        <w:ind w:left="2835" w:hanging="1134"/>
      </w:pPr>
      <w:rPr>
        <w:rFonts w:hint="eastAsia"/>
      </w:rPr>
    </w:lvl>
    <w:lvl w:ilvl="6" w:tentative="1">
      <w:start w:val="1"/>
      <w:numFmt w:val="decimal"/>
      <w:lvlText w:val="%1.%2.%3.%4.%5.%6.%7"/>
      <w:lvlJc w:val="left"/>
      <w:pPr>
        <w:tabs>
          <w:tab w:val="left" w:pos="3566"/>
        </w:tabs>
        <w:ind w:left="3402" w:hanging="1276"/>
      </w:pPr>
      <w:rPr>
        <w:rFonts w:hint="eastAsia"/>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5137"/>
        </w:tabs>
        <w:ind w:left="4677" w:hanging="1700"/>
      </w:pPr>
      <w:rPr>
        <w:rFonts w:hint="eastAsia"/>
      </w:rPr>
    </w:lvl>
  </w:abstractNum>
  <w:abstractNum w:abstractNumId="15">
    <w:nsid w:val="0000000F"/>
    <w:multiLevelType w:val="multilevel"/>
    <w:tmpl w:val="0000000F"/>
    <w:lvl w:ilvl="0" w:tentative="1">
      <w:start w:val="1"/>
      <w:numFmt w:val="decimal"/>
      <w:lvlText w:val="(%1)"/>
      <w:lvlJc w:val="left"/>
      <w:pPr>
        <w:ind w:left="1270" w:hanging="420"/>
      </w:pPr>
      <w:rPr>
        <w:rFonts w:hint="default"/>
        <w:sz w:val="24"/>
        <w:szCs w:val="24"/>
      </w:rPr>
    </w:lvl>
    <w:lvl w:ilvl="1" w:tentative="1">
      <w:start w:val="1"/>
      <w:numFmt w:val="lowerLetter"/>
      <w:lvlText w:val="%2)"/>
      <w:lvlJc w:val="left"/>
      <w:pPr>
        <w:ind w:left="1690" w:hanging="420"/>
      </w:pPr>
    </w:lvl>
    <w:lvl w:ilvl="2" w:tentative="1">
      <w:start w:val="1"/>
      <w:numFmt w:val="lowerRoman"/>
      <w:lvlText w:val="%3."/>
      <w:lvlJc w:val="right"/>
      <w:pPr>
        <w:ind w:left="2110" w:hanging="420"/>
      </w:pPr>
    </w:lvl>
    <w:lvl w:ilvl="3" w:tentative="1">
      <w:start w:val="1"/>
      <w:numFmt w:val="decimal"/>
      <w:lvlText w:val="%4."/>
      <w:lvlJc w:val="left"/>
      <w:pPr>
        <w:ind w:left="2530" w:hanging="420"/>
      </w:pPr>
    </w:lvl>
    <w:lvl w:ilvl="4" w:tentative="1">
      <w:start w:val="1"/>
      <w:numFmt w:val="lowerLetter"/>
      <w:lvlText w:val="%5)"/>
      <w:lvlJc w:val="left"/>
      <w:pPr>
        <w:ind w:left="2950" w:hanging="420"/>
      </w:pPr>
    </w:lvl>
    <w:lvl w:ilvl="5" w:tentative="1">
      <w:start w:val="1"/>
      <w:numFmt w:val="lowerRoman"/>
      <w:lvlText w:val="%6."/>
      <w:lvlJc w:val="right"/>
      <w:pPr>
        <w:ind w:left="3370" w:hanging="420"/>
      </w:pPr>
    </w:lvl>
    <w:lvl w:ilvl="6" w:tentative="1">
      <w:start w:val="1"/>
      <w:numFmt w:val="decimal"/>
      <w:lvlText w:val="%7."/>
      <w:lvlJc w:val="left"/>
      <w:pPr>
        <w:ind w:left="3790" w:hanging="420"/>
      </w:pPr>
    </w:lvl>
    <w:lvl w:ilvl="7" w:tentative="1">
      <w:start w:val="1"/>
      <w:numFmt w:val="lowerLetter"/>
      <w:lvlText w:val="%8)"/>
      <w:lvlJc w:val="left"/>
      <w:pPr>
        <w:ind w:left="4210" w:hanging="420"/>
      </w:pPr>
    </w:lvl>
    <w:lvl w:ilvl="8" w:tentative="1">
      <w:start w:val="1"/>
      <w:numFmt w:val="lowerRoman"/>
      <w:lvlText w:val="%9."/>
      <w:lvlJc w:val="right"/>
      <w:pPr>
        <w:ind w:left="4630" w:hanging="420"/>
      </w:pPr>
    </w:lvl>
  </w:abstractNum>
  <w:abstractNum w:abstractNumId="16">
    <w:nsid w:val="00000010"/>
    <w:multiLevelType w:val="multilevel"/>
    <w:tmpl w:val="00000010"/>
    <w:lvl w:ilvl="0" w:tentative="1">
      <w:start w:val="1"/>
      <w:numFmt w:val="decimal"/>
      <w:lvlText w:val="(%1)"/>
      <w:lvlJc w:val="left"/>
      <w:pPr>
        <w:ind w:left="1271" w:hanging="420"/>
      </w:pPr>
      <w:rPr>
        <w:rFonts w:hint="default"/>
        <w:sz w:val="24"/>
        <w:szCs w:val="24"/>
      </w:rPr>
    </w:lvl>
    <w:lvl w:ilvl="1" w:tentative="1">
      <w:start w:val="1"/>
      <w:numFmt w:val="lowerLetter"/>
      <w:lvlText w:val="%2)"/>
      <w:lvlJc w:val="left"/>
      <w:pPr>
        <w:ind w:left="1691" w:hanging="420"/>
      </w:pPr>
    </w:lvl>
    <w:lvl w:ilvl="2" w:tentative="1">
      <w:start w:val="1"/>
      <w:numFmt w:val="lowerRoman"/>
      <w:lvlText w:val="%3."/>
      <w:lvlJc w:val="right"/>
      <w:pPr>
        <w:ind w:left="2111" w:hanging="420"/>
      </w:pPr>
    </w:lvl>
    <w:lvl w:ilvl="3" w:tentative="1">
      <w:start w:val="1"/>
      <w:numFmt w:val="decimal"/>
      <w:lvlText w:val="%4."/>
      <w:lvlJc w:val="left"/>
      <w:pPr>
        <w:ind w:left="2531" w:hanging="420"/>
      </w:pPr>
    </w:lvl>
    <w:lvl w:ilvl="4" w:tentative="1">
      <w:start w:val="1"/>
      <w:numFmt w:val="lowerLetter"/>
      <w:lvlText w:val="%5)"/>
      <w:lvlJc w:val="left"/>
      <w:pPr>
        <w:ind w:left="2951" w:hanging="420"/>
      </w:pPr>
    </w:lvl>
    <w:lvl w:ilvl="5" w:tentative="1">
      <w:start w:val="1"/>
      <w:numFmt w:val="lowerRoman"/>
      <w:lvlText w:val="%6."/>
      <w:lvlJc w:val="right"/>
      <w:pPr>
        <w:ind w:left="3371" w:hanging="420"/>
      </w:pPr>
    </w:lvl>
    <w:lvl w:ilvl="6" w:tentative="1">
      <w:start w:val="1"/>
      <w:numFmt w:val="decimal"/>
      <w:lvlText w:val="%7."/>
      <w:lvlJc w:val="left"/>
      <w:pPr>
        <w:ind w:left="3791" w:hanging="420"/>
      </w:pPr>
    </w:lvl>
    <w:lvl w:ilvl="7" w:tentative="1">
      <w:start w:val="1"/>
      <w:numFmt w:val="lowerLetter"/>
      <w:lvlText w:val="%8)"/>
      <w:lvlJc w:val="left"/>
      <w:pPr>
        <w:ind w:left="4211" w:hanging="420"/>
      </w:pPr>
    </w:lvl>
    <w:lvl w:ilvl="8" w:tentative="1">
      <w:start w:val="1"/>
      <w:numFmt w:val="lowerRoman"/>
      <w:lvlText w:val="%9."/>
      <w:lvlJc w:val="right"/>
      <w:pPr>
        <w:ind w:left="4631" w:hanging="420"/>
      </w:pPr>
    </w:lvl>
  </w:abstractNum>
  <w:abstractNum w:abstractNumId="17">
    <w:nsid w:val="00000011"/>
    <w:multiLevelType w:val="multilevel"/>
    <w:tmpl w:val="00000011"/>
    <w:lvl w:ilvl="0" w:tentative="1">
      <w:start w:val="1"/>
      <w:numFmt w:val="decimal"/>
      <w:pStyle w:val="38"/>
      <w:lvlText w:val="%1."/>
      <w:lvlJc w:val="left"/>
      <w:pPr>
        <w:tabs>
          <w:tab w:val="left" w:pos="425"/>
        </w:tabs>
        <w:ind w:left="425" w:hanging="425"/>
      </w:pPr>
    </w:lvl>
    <w:lvl w:ilvl="1" w:tentative="1">
      <w:start w:val="1"/>
      <w:numFmt w:val="decimal"/>
      <w:lvlText w:val="%1.%2."/>
      <w:lvlJc w:val="left"/>
      <w:pPr>
        <w:tabs>
          <w:tab w:val="left" w:pos="567"/>
        </w:tabs>
        <w:ind w:left="567" w:hanging="567"/>
      </w:pPr>
    </w:lvl>
    <w:lvl w:ilvl="2" w:tentative="1">
      <w:start w:val="1"/>
      <w:numFmt w:val="decimal"/>
      <w:lvlText w:val="%1.%2.%3."/>
      <w:lvlJc w:val="left"/>
      <w:pPr>
        <w:tabs>
          <w:tab w:val="left" w:pos="709"/>
        </w:tabs>
        <w:ind w:left="709" w:hanging="709"/>
      </w:pPr>
    </w:lvl>
    <w:lvl w:ilvl="3" w:tentative="1">
      <w:start w:val="1"/>
      <w:numFmt w:val="decimal"/>
      <w:lvlText w:val="%1.%2.%3.%4."/>
      <w:lvlJc w:val="left"/>
      <w:pPr>
        <w:tabs>
          <w:tab w:val="left" w:pos="851"/>
        </w:tabs>
        <w:ind w:left="851" w:hanging="851"/>
      </w:pPr>
    </w:lvl>
    <w:lvl w:ilvl="4" w:tentative="1">
      <w:start w:val="1"/>
      <w:numFmt w:val="decimal"/>
      <w:lvlText w:val="%1.%2.%3.%4.%5."/>
      <w:lvlJc w:val="left"/>
      <w:pPr>
        <w:tabs>
          <w:tab w:val="left" w:pos="992"/>
        </w:tabs>
        <w:ind w:left="992" w:hanging="992"/>
      </w:pPr>
    </w:lvl>
    <w:lvl w:ilvl="5" w:tentative="1">
      <w:start w:val="1"/>
      <w:numFmt w:val="decimal"/>
      <w:lvlText w:val="%1.%2.%3.%4.%5.%6."/>
      <w:lvlJc w:val="left"/>
      <w:pPr>
        <w:tabs>
          <w:tab w:val="left" w:pos="1134"/>
        </w:tabs>
        <w:ind w:left="1134" w:hanging="1134"/>
      </w:pPr>
    </w:lvl>
    <w:lvl w:ilvl="6" w:tentative="1">
      <w:start w:val="1"/>
      <w:numFmt w:val="decimal"/>
      <w:lvlText w:val="%1.%2.%3.%4.%5.%6.%7."/>
      <w:lvlJc w:val="left"/>
      <w:pPr>
        <w:tabs>
          <w:tab w:val="left" w:pos="1276"/>
        </w:tabs>
        <w:ind w:left="1276" w:hanging="1276"/>
      </w:pPr>
    </w:lvl>
    <w:lvl w:ilvl="7" w:tentative="1">
      <w:start w:val="1"/>
      <w:numFmt w:val="decimal"/>
      <w:lvlText w:val="%1.%2.%3.%4.%5.%6.%7.%8."/>
      <w:lvlJc w:val="left"/>
      <w:pPr>
        <w:tabs>
          <w:tab w:val="left" w:pos="1418"/>
        </w:tabs>
        <w:ind w:left="1418" w:hanging="1418"/>
      </w:pPr>
    </w:lvl>
    <w:lvl w:ilvl="8" w:tentative="1">
      <w:start w:val="1"/>
      <w:numFmt w:val="decimal"/>
      <w:lvlText w:val="%1.%2.%3.%4.%5.%6.%7.%8.%9."/>
      <w:lvlJc w:val="left"/>
      <w:pPr>
        <w:tabs>
          <w:tab w:val="left" w:pos="1559"/>
        </w:tabs>
        <w:ind w:left="1559" w:hanging="1559"/>
      </w:pPr>
    </w:lvl>
  </w:abstractNum>
  <w:num w:numId="1">
    <w:abstractNumId w:val="10"/>
  </w:num>
  <w:num w:numId="2">
    <w:abstractNumId w:val="12"/>
  </w:num>
  <w:num w:numId="3">
    <w:abstractNumId w:val="14"/>
  </w:num>
  <w:num w:numId="4">
    <w:abstractNumId w:val="11"/>
  </w:num>
  <w:num w:numId="5">
    <w:abstractNumId w:val="17"/>
  </w:num>
  <w:num w:numId="6">
    <w:abstractNumId w:val="13"/>
  </w:num>
  <w:num w:numId="7">
    <w:abstractNumId w:val="16"/>
  </w:num>
  <w:num w:numId="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autoSpaceDE w:val="0"/>
      <w:autoSpaceDN w:val="0"/>
      <w:adjustRightInd w:val="0"/>
    </w:pPr>
    <w:rPr>
      <w:rFonts w:ascii="Times New Roman" w:hAnsi="Times New Roman" w:eastAsia="宋体" w:cs="Times New Roman"/>
      <w:sz w:val="24"/>
      <w:szCs w:val="24"/>
      <w:lang w:val="en-US" w:eastAsia="en-US" w:bidi="ar-SA"/>
    </w:rPr>
  </w:style>
  <w:style w:type="paragraph" w:styleId="2">
    <w:name w:val="heading 1"/>
    <w:basedOn w:val="1"/>
    <w:next w:val="3"/>
    <w:link w:val="47"/>
    <w:pPr>
      <w:keepNext/>
      <w:jc w:val="center"/>
      <w:outlineLvl w:val="0"/>
    </w:pPr>
    <w:rPr>
      <w:rFonts w:ascii="Arial" w:hAnsi="Arial" w:eastAsia="黑体"/>
      <w:bCs/>
      <w:iCs/>
      <w:sz w:val="48"/>
      <w:szCs w:val="18"/>
      <w:lang w:val="en-US" w:eastAsia="en-US" w:bidi="ar-SA"/>
    </w:rPr>
  </w:style>
  <w:style w:type="paragraph" w:styleId="4">
    <w:name w:val="heading 2"/>
    <w:basedOn w:val="1"/>
    <w:next w:val="1"/>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1"/>
    <w:pPr>
      <w:keepNext/>
      <w:keepLines/>
      <w:spacing w:before="260" w:after="260" w:line="416" w:lineRule="auto"/>
      <w:outlineLvl w:val="2"/>
    </w:pPr>
    <w:rPr>
      <w:b/>
      <w:bCs/>
      <w:sz w:val="32"/>
      <w:szCs w:val="32"/>
      <w:lang w:eastAsia="en-US"/>
    </w:rPr>
  </w:style>
  <w:style w:type="character" w:default="1" w:styleId="15">
    <w:name w:val="Default Paragraph Font"/>
  </w:style>
  <w:style w:type="paragraph" w:customStyle="1" w:styleId="3">
    <w:name w:val="Body Text 1"/>
    <w:basedOn w:val="1"/>
    <w:pPr>
      <w:ind w:left="4320" w:hanging="3600"/>
    </w:pPr>
    <w:rPr>
      <w:lang w:eastAsia="zh-TW"/>
    </w:rPr>
  </w:style>
  <w:style w:type="paragraph" w:styleId="6">
    <w:name w:val="annotation text"/>
    <w:basedOn w:val="1"/>
  </w:style>
  <w:style w:type="paragraph" w:styleId="7">
    <w:name w:val="Body Text"/>
    <w:basedOn w:val="1"/>
    <w:pPr>
      <w:spacing w:after="120"/>
    </w:pPr>
  </w:style>
  <w:style w:type="paragraph" w:styleId="8">
    <w:name w:val="批注框文本"/>
    <w:basedOn w:val="1"/>
    <w:rPr>
      <w:sz w:val="18"/>
      <w:szCs w:val="18"/>
    </w:rPr>
  </w:style>
  <w:style w:type="paragraph" w:styleId="9">
    <w:name w:val="footer"/>
    <w:basedOn w:val="1"/>
    <w:next w:val="1"/>
    <w:link w:val="48"/>
    <w:pPr>
      <w:tabs>
        <w:tab w:val="center" w:pos="4320"/>
        <w:tab w:val="right" w:pos="8640"/>
      </w:tabs>
    </w:pPr>
    <w:rPr>
      <w:sz w:val="24"/>
      <w:szCs w:val="24"/>
      <w:lang w:eastAsia="en-US"/>
    </w:rPr>
  </w:style>
  <w:style w:type="paragraph" w:styleId="10">
    <w:name w:val="header"/>
    <w:basedOn w:val="1"/>
    <w:next w:val="1"/>
    <w:pPr>
      <w:tabs>
        <w:tab w:val="center" w:pos="4320"/>
        <w:tab w:val="right" w:pos="8640"/>
      </w:tabs>
    </w:pPr>
  </w:style>
  <w:style w:type="paragraph" w:styleId="11">
    <w:name w:val="toc 1"/>
    <w:basedOn w:val="1"/>
    <w:next w:val="1"/>
    <w:pPr>
      <w:tabs>
        <w:tab w:val="left" w:pos="720"/>
        <w:tab w:val="right" w:leader="dot" w:pos="8296"/>
      </w:tabs>
    </w:pPr>
  </w:style>
  <w:style w:type="paragraph" w:styleId="12">
    <w:name w:val="footnote text"/>
    <w:basedOn w:val="1"/>
    <w:link w:val="49"/>
    <w:pPr>
      <w:snapToGrid w:val="0"/>
    </w:pPr>
    <w:rPr>
      <w:sz w:val="18"/>
      <w:szCs w:val="18"/>
      <w:lang w:eastAsia="en-US"/>
    </w:rPr>
  </w:style>
  <w:style w:type="paragraph" w:styleId="13">
    <w:name w:val="toc 2"/>
    <w:basedOn w:val="1"/>
    <w:next w:val="1"/>
    <w:pPr>
      <w:ind w:left="420" w:leftChars="200"/>
    </w:pPr>
  </w:style>
  <w:style w:type="paragraph" w:styleId="14">
    <w:name w:val="Title"/>
    <w:basedOn w:val="1"/>
    <w:next w:val="1"/>
    <w:link w:val="50"/>
    <w:pPr>
      <w:spacing w:before="240" w:after="60"/>
      <w:jc w:val="center"/>
      <w:outlineLvl w:val="0"/>
    </w:pPr>
    <w:rPr>
      <w:rFonts w:ascii="Calibri Light" w:hAnsi="Calibri Light" w:cs="Times New Roman"/>
      <w:b/>
      <w:bCs/>
      <w:sz w:val="32"/>
      <w:szCs w:val="32"/>
      <w:lang w:eastAsia="en-US"/>
    </w:rPr>
  </w:style>
  <w:style w:type="character" w:styleId="16">
    <w:name w:val="Emphasis"/>
    <w:rPr>
      <w:i/>
    </w:rPr>
  </w:style>
  <w:style w:type="character" w:styleId="17">
    <w:name w:val="Hyperlink"/>
    <w:rPr>
      <w:color w:val="0000FF"/>
      <w:u w:val="single"/>
    </w:rPr>
  </w:style>
  <w:style w:type="character" w:styleId="18">
    <w:name w:val="footnote reference"/>
    <w:rPr>
      <w:vertAlign w:val="superscript"/>
    </w:rPr>
  </w:style>
  <w:style w:type="paragraph" w:customStyle="1" w:styleId="19">
    <w:name w:val="annotation subject"/>
    <w:basedOn w:val="6"/>
    <w:next w:val="6"/>
    <w:rPr>
      <w:b/>
      <w:bCs/>
    </w:rPr>
  </w:style>
  <w:style w:type="paragraph" w:customStyle="1" w:styleId="20">
    <w:name w:val="Normal Indent"/>
    <w:basedOn w:val="1"/>
    <w:pPr>
      <w:ind w:firstLine="420" w:firstLineChars="200"/>
    </w:pPr>
  </w:style>
  <w:style w:type="paragraph" w:customStyle="1" w:styleId="21">
    <w:name w:val="Body Text Indent"/>
    <w:basedOn w:val="1"/>
    <w:pPr>
      <w:adjustRightInd/>
      <w:ind w:firstLine="574"/>
      <w:jc w:val="both"/>
    </w:pPr>
    <w:rPr>
      <w:rFonts w:ascii="楷体_GB2312" w:eastAsia="楷体_GB2312"/>
      <w:kern w:val="2"/>
      <w:sz w:val="28"/>
      <w:szCs w:val="20"/>
      <w:lang w:eastAsia="zh-CN"/>
    </w:rPr>
  </w:style>
  <w:style w:type="paragraph" w:customStyle="1" w:styleId="22">
    <w:name w:val="Body Text 2"/>
    <w:basedOn w:val="1"/>
    <w:pPr>
      <w:widowControl/>
      <w:adjustRightInd/>
      <w:spacing w:after="120" w:line="480" w:lineRule="auto"/>
      <w:jc w:val="both"/>
    </w:pPr>
    <w:rPr>
      <w:rFonts w:eastAsia="PMingLiU"/>
      <w:sz w:val="22"/>
      <w:szCs w:val="20"/>
      <w:lang/>
    </w:rPr>
  </w:style>
  <w:style w:type="paragraph" w:customStyle="1" w:styleId="23">
    <w:name w:val="List 4"/>
    <w:basedOn w:val="1"/>
    <w:pPr>
      <w:widowControl/>
      <w:overflowPunct w:val="0"/>
      <w:ind w:left="1440" w:hanging="360"/>
      <w:textAlignment w:val="baseline"/>
    </w:pPr>
    <w:rPr>
      <w:sz w:val="20"/>
      <w:szCs w:val="20"/>
      <w:lang w:eastAsia="zh-CN"/>
    </w:rPr>
  </w:style>
  <w:style w:type="paragraph" w:customStyle="1" w:styleId="24">
    <w:name w:val="Normal (Web)"/>
    <w:basedOn w:val="1"/>
    <w:pPr>
      <w:widowControl/>
      <w:adjustRightInd/>
      <w:spacing w:before="100" w:beforeAutospacing="1" w:after="100" w:afterAutospacing="1"/>
    </w:pPr>
    <w:rPr>
      <w:rFonts w:ascii="宋体" w:hAnsi="宋体" w:cs="宋体"/>
      <w:lang w:eastAsia="zh-CN"/>
    </w:rPr>
  </w:style>
  <w:style w:type="paragraph" w:customStyle="1" w:styleId="25">
    <w:name w:val="Instruction - Caution"/>
    <w:basedOn w:val="7"/>
    <w:pPr>
      <w:widowControl/>
      <w:adjustRightInd/>
      <w:spacing w:before="60" w:after="60" w:line="200" w:lineRule="atLeast"/>
    </w:pPr>
    <w:rPr>
      <w:color w:val="000000"/>
      <w:sz w:val="16"/>
      <w:szCs w:val="20"/>
    </w:rPr>
  </w:style>
  <w:style w:type="paragraph" w:customStyle="1" w:styleId="26">
    <w:name w:val="K&amp;W heading 1"/>
    <w:basedOn w:val="1"/>
    <w:next w:val="27"/>
    <w:pPr>
      <w:numPr>
        <w:ilvl w:val="0"/>
        <w:numId w:val="1"/>
      </w:numPr>
      <w:adjustRightInd/>
      <w:spacing w:after="360" w:line="320" w:lineRule="exact"/>
      <w:jc w:val="both"/>
      <w:outlineLvl w:val="0"/>
    </w:pPr>
    <w:rPr>
      <w:rFonts w:ascii="Arial" w:hAnsi="Arial" w:eastAsia="楷体_GB2312"/>
      <w:b/>
      <w:color w:val="000000"/>
      <w:sz w:val="28"/>
      <w:szCs w:val="20"/>
    </w:rPr>
  </w:style>
  <w:style w:type="paragraph" w:customStyle="1" w:styleId="27">
    <w:name w:val="K&amp;W heading 2"/>
    <w:basedOn w:val="1"/>
    <w:pPr>
      <w:numPr>
        <w:ilvl w:val="1"/>
        <w:numId w:val="1"/>
      </w:numPr>
      <w:tabs>
        <w:tab w:val="left" w:pos="2835"/>
      </w:tabs>
      <w:adjustRightInd/>
      <w:spacing w:after="360" w:line="320" w:lineRule="exact"/>
      <w:jc w:val="both"/>
      <w:outlineLvl w:val="1"/>
    </w:pPr>
    <w:rPr>
      <w:rFonts w:ascii="Arial" w:hAnsi="Arial" w:eastAsia="楷体_GB2312"/>
      <w:szCs w:val="20"/>
    </w:rPr>
  </w:style>
  <w:style w:type="paragraph" w:customStyle="1" w:styleId="28">
    <w:name w:val="AAR Heading 5"/>
    <w:basedOn w:val="1"/>
    <w:pPr>
      <w:widowControl/>
      <w:numPr>
        <w:ilvl w:val="4"/>
        <w:numId w:val="2"/>
      </w:numPr>
      <w:tabs>
        <w:tab w:val="left" w:pos="709"/>
      </w:tabs>
      <w:adjustRightInd/>
      <w:spacing w:before="100" w:line="312" w:lineRule="auto"/>
      <w:outlineLvl w:val="4"/>
    </w:pPr>
    <w:rPr>
      <w:rFonts w:ascii="GarmdITC Bk BT" w:hAnsi="GarmdITC Bk BT"/>
      <w:sz w:val="20"/>
      <w:szCs w:val="20"/>
      <w:lang/>
    </w:rPr>
  </w:style>
  <w:style w:type="paragraph" w:customStyle="1" w:styleId="29">
    <w:name w:val="样式 样式 亦即阳市 + 左侧:  -0.23 厘米 段前: 1 行 + 段前: 1 行"/>
    <w:basedOn w:val="1"/>
    <w:pPr>
      <w:widowControl/>
      <w:numPr>
        <w:ilvl w:val="0"/>
        <w:numId w:val="3"/>
      </w:numPr>
      <w:adjustRightInd/>
      <w:spacing w:beforeLines="150" w:line="300" w:lineRule="auto"/>
      <w:outlineLvl w:val="0"/>
    </w:pPr>
    <w:rPr>
      <w:rFonts w:ascii="宋体" w:hAnsi="宋体" w:cs="宋体"/>
      <w:b/>
      <w:bCs/>
      <w:kern w:val="32"/>
      <w:sz w:val="28"/>
      <w:szCs w:val="20"/>
    </w:rPr>
  </w:style>
  <w:style w:type="paragraph" w:customStyle="1" w:styleId="30">
    <w:name w:val="AAR Heading 1"/>
    <w:basedOn w:val="1"/>
    <w:next w:val="31"/>
    <w:pPr>
      <w:keepNext/>
      <w:widowControl/>
      <w:numPr>
        <w:ilvl w:val="0"/>
        <w:numId w:val="2"/>
      </w:numPr>
      <w:pBdr>
        <w:bottom w:val="single" w:color="auto" w:sz="4" w:space="3"/>
      </w:pBdr>
      <w:adjustRightInd/>
      <w:spacing w:before="360" w:line="312" w:lineRule="auto"/>
      <w:outlineLvl w:val="0"/>
    </w:pPr>
    <w:rPr>
      <w:rFonts w:ascii="Arial" w:hAnsi="Arial"/>
      <w:b/>
      <w:szCs w:val="20"/>
      <w:lang/>
    </w:rPr>
  </w:style>
  <w:style w:type="paragraph" w:customStyle="1" w:styleId="31">
    <w:name w:val="AAR Heading 2"/>
    <w:basedOn w:val="1"/>
    <w:next w:val="20"/>
    <w:pPr>
      <w:widowControl/>
      <w:numPr>
        <w:ilvl w:val="1"/>
        <w:numId w:val="2"/>
      </w:numPr>
      <w:adjustRightInd/>
      <w:spacing w:before="200" w:line="312" w:lineRule="auto"/>
      <w:outlineLvl w:val="1"/>
    </w:pPr>
    <w:rPr>
      <w:rFonts w:ascii="Arial" w:hAnsi="Arial"/>
      <w:b/>
      <w:sz w:val="20"/>
      <w:szCs w:val="20"/>
      <w:lang/>
    </w:rPr>
  </w:style>
  <w:style w:type="paragraph" w:customStyle="1" w:styleId="32">
    <w:name w:val="耳机阳市"/>
    <w:basedOn w:val="33"/>
    <w:pPr>
      <w:numPr>
        <w:ilvl w:val="1"/>
        <w:numId w:val="3"/>
      </w:numPr>
      <w:tabs>
        <w:tab w:val="left" w:pos="850"/>
      </w:tabs>
      <w:spacing w:beforeLines="50"/>
      <w:ind w:right="24" w:rightChars="10"/>
      <w:jc w:val="both"/>
    </w:pPr>
    <w:rPr>
      <w:rFonts w:ascii="宋体" w:hAnsi="宋体" w:cs="宋体"/>
      <w:bCs w:val="0"/>
      <w:szCs w:val="28"/>
    </w:rPr>
  </w:style>
  <w:style w:type="paragraph" w:customStyle="1" w:styleId="33">
    <w:name w:val="二级标题"/>
    <w:basedOn w:val="4"/>
    <w:pPr>
      <w:snapToGrid w:val="0"/>
      <w:spacing w:before="0" w:after="0" w:line="300" w:lineRule="auto"/>
      <w:ind w:right="100" w:rightChars="100"/>
    </w:pPr>
    <w:rPr>
      <w:rFonts w:eastAsia="宋体"/>
      <w:b w:val="0"/>
      <w:sz w:val="28"/>
      <w:lang w:eastAsia="zh-CN"/>
    </w:rPr>
  </w:style>
  <w:style w:type="paragraph" w:customStyle="1" w:styleId="34">
    <w:name w:val="散记阳市"/>
    <w:basedOn w:val="32"/>
    <w:pPr>
      <w:numPr>
        <w:ilvl w:val="1"/>
        <w:numId w:val="0"/>
      </w:numPr>
      <w:tabs>
        <w:tab w:val="left" w:pos="567"/>
        <w:tab w:val="left" w:pos="1428"/>
        <w:tab w:val="left" w:pos="1571"/>
        <w:tab w:val="left" w:pos="1800"/>
        <w:tab w:val="clear" w:pos="709"/>
        <w:tab w:val="clear" w:pos="850"/>
      </w:tabs>
    </w:pPr>
  </w:style>
  <w:style w:type="paragraph" w:customStyle="1" w:styleId="35">
    <w:name w:val="Parties"/>
    <w:basedOn w:val="7"/>
    <w:pPr>
      <w:widowControl/>
      <w:numPr>
        <w:ilvl w:val="0"/>
        <w:numId w:val="4"/>
      </w:numPr>
      <w:adjustRightInd/>
      <w:spacing w:after="240"/>
      <w:jc w:val="both"/>
    </w:pPr>
    <w:rPr>
      <w:rFonts w:eastAsia="PMingLiU"/>
      <w:sz w:val="22"/>
      <w:szCs w:val="20"/>
      <w:lang/>
    </w:rPr>
  </w:style>
  <w:style w:type="paragraph" w:customStyle="1" w:styleId="36">
    <w:name w:val="Deed_Heading"/>
    <w:basedOn w:val="1"/>
    <w:pPr>
      <w:widowControl/>
      <w:pBdr>
        <w:top w:val="single" w:color="auto" w:sz="12" w:space="7"/>
      </w:pBdr>
      <w:adjustRightInd/>
      <w:spacing w:before="120" w:after="120" w:line="440" w:lineRule="exact"/>
    </w:pPr>
    <w:rPr>
      <w:rFonts w:ascii="Arial Black" w:hAnsi="Arial Black" w:eastAsia="楷体_GB2312"/>
      <w:b/>
      <w:spacing w:val="-8"/>
      <w:sz w:val="44"/>
      <w:szCs w:val="28"/>
    </w:rPr>
  </w:style>
  <w:style w:type="paragraph" w:customStyle="1" w:styleId="37">
    <w:name w:val="三级"/>
    <w:basedOn w:val="32"/>
    <w:pPr>
      <w:numPr>
        <w:ilvl w:val="1"/>
        <w:numId w:val="0"/>
      </w:numPr>
      <w:tabs>
        <w:tab w:val="left" w:pos="567"/>
        <w:tab w:val="left" w:pos="1428"/>
        <w:tab w:val="left" w:pos="1571"/>
        <w:tab w:val="left" w:pos="1800"/>
        <w:tab w:val="left" w:pos="2421"/>
        <w:tab w:val="clear" w:pos="709"/>
        <w:tab w:val="clear" w:pos="850"/>
      </w:tabs>
      <w:ind w:left="1275" w:hanging="567"/>
    </w:pPr>
  </w:style>
  <w:style w:type="paragraph" w:customStyle="1" w:styleId="38">
    <w:name w:val="样式 四号 段前: 7.8 磅 行距: 多倍行距 1.25 字行"/>
    <w:basedOn w:val="1"/>
    <w:pPr>
      <w:numPr>
        <w:ilvl w:val="0"/>
        <w:numId w:val="5"/>
      </w:numPr>
      <w:spacing w:before="156" w:line="300" w:lineRule="auto"/>
    </w:pPr>
    <w:rPr>
      <w:rFonts w:cs="宋体"/>
      <w:sz w:val="28"/>
      <w:szCs w:val="20"/>
    </w:rPr>
  </w:style>
  <w:style w:type="paragraph" w:customStyle="1" w:styleId="39">
    <w:name w:val="AAR Heading 3"/>
    <w:basedOn w:val="1"/>
    <w:pPr>
      <w:widowControl/>
      <w:numPr>
        <w:ilvl w:val="2"/>
        <w:numId w:val="2"/>
      </w:numPr>
      <w:tabs>
        <w:tab w:val="left" w:pos="709"/>
        <w:tab w:val="left" w:pos="1699"/>
        <w:tab w:val="clear" w:pos="1609"/>
      </w:tabs>
      <w:adjustRightInd/>
      <w:spacing w:before="100" w:line="312" w:lineRule="auto"/>
      <w:ind w:left="1699"/>
      <w:outlineLvl w:val="2"/>
    </w:pPr>
    <w:rPr>
      <w:rFonts w:ascii="GarmdITC Bk BT" w:hAnsi="GarmdITC Bk BT"/>
      <w:sz w:val="20"/>
      <w:szCs w:val="20"/>
      <w:lang/>
    </w:rPr>
  </w:style>
  <w:style w:type="paragraph" w:customStyle="1" w:styleId="40">
    <w:name w:val="伺机标题"/>
    <w:basedOn w:val="34"/>
    <w:pPr>
      <w:numPr>
        <w:numId w:val="0"/>
      </w:numPr>
      <w:tabs>
        <w:tab w:val="left" w:pos="1316"/>
        <w:tab w:val="left" w:pos="2421"/>
        <w:tab w:val="clear" w:pos="567"/>
        <w:tab w:val="clear" w:pos="1428"/>
        <w:tab w:val="clear" w:pos="1571"/>
        <w:tab w:val="clear" w:pos="1800"/>
      </w:tabs>
    </w:pPr>
  </w:style>
  <w:style w:type="paragraph" w:customStyle="1" w:styleId="41">
    <w:name w:val="AAR Heading 6"/>
    <w:basedOn w:val="1"/>
    <w:pPr>
      <w:widowControl/>
      <w:numPr>
        <w:ilvl w:val="5"/>
        <w:numId w:val="2"/>
      </w:numPr>
      <w:tabs>
        <w:tab w:val="left" w:pos="709"/>
      </w:tabs>
      <w:adjustRightInd/>
      <w:spacing w:before="100" w:line="312" w:lineRule="auto"/>
      <w:outlineLvl w:val="5"/>
    </w:pPr>
    <w:rPr>
      <w:rFonts w:ascii="GarmdITC Bk BT" w:hAnsi="GarmdITC Bk BT"/>
      <w:sz w:val="20"/>
      <w:szCs w:val="20"/>
      <w:lang/>
    </w:rPr>
  </w:style>
  <w:style w:type="paragraph" w:customStyle="1" w:styleId="42">
    <w:name w:val="_Style 3"/>
    <w:basedOn w:val="1"/>
    <w:pPr>
      <w:ind w:firstLine="420" w:firstLineChars="200"/>
    </w:pPr>
  </w:style>
  <w:style w:type="paragraph" w:customStyle="1" w:styleId="43">
    <w:name w:val="AAR Heading 4"/>
    <w:basedOn w:val="1"/>
    <w:pPr>
      <w:widowControl/>
      <w:numPr>
        <w:ilvl w:val="3"/>
        <w:numId w:val="2"/>
      </w:numPr>
      <w:tabs>
        <w:tab w:val="left" w:pos="709"/>
      </w:tabs>
      <w:adjustRightInd/>
      <w:spacing w:before="100" w:line="312" w:lineRule="auto"/>
      <w:outlineLvl w:val="3"/>
    </w:pPr>
    <w:rPr>
      <w:rFonts w:ascii="GarmdITC Bk BT" w:hAnsi="GarmdITC Bk BT"/>
      <w:sz w:val="20"/>
      <w:szCs w:val="20"/>
      <w:lang/>
    </w:rPr>
  </w:style>
  <w:style w:type="paragraph" w:customStyle="1" w:styleId="44">
    <w:name w:val="Revision"/>
    <w:rPr>
      <w:rFonts w:ascii="Times New Roman" w:hAnsi="Times New Roman" w:eastAsia="宋体" w:cs="Times New Roman"/>
      <w:sz w:val="24"/>
      <w:szCs w:val="24"/>
      <w:lang w:val="en-US" w:eastAsia="en-US" w:bidi="ar-SA"/>
    </w:rPr>
  </w:style>
  <w:style w:type="character" w:customStyle="1" w:styleId="45">
    <w:name w:val="page number"/>
    <w:rPr>
      <w:rFonts w:ascii="Times New Roman" w:hAnsi="Times New Roman" w:cs="Times New Roman"/>
      <w:spacing w:val="0"/>
      <w:sz w:val="24"/>
      <w:szCs w:val="24"/>
      <w:lang w:val="en-US"/>
    </w:rPr>
  </w:style>
  <w:style w:type="character" w:customStyle="1" w:styleId="46">
    <w:name w:val="annotation reference"/>
    <w:rPr>
      <w:sz w:val="21"/>
      <w:szCs w:val="21"/>
    </w:rPr>
  </w:style>
  <w:style w:type="character" w:customStyle="1" w:styleId="47">
    <w:name w:val="标题 1 字符"/>
    <w:link w:val="2"/>
    <w:semiHidden/>
    <w:rPr>
      <w:rFonts w:ascii="Arial" w:hAnsi="Arial" w:eastAsia="黑体"/>
      <w:bCs/>
      <w:iCs/>
      <w:sz w:val="48"/>
      <w:szCs w:val="18"/>
      <w:lang w:val="en-US" w:eastAsia="en-US" w:bidi="ar-SA"/>
    </w:rPr>
  </w:style>
  <w:style w:type="character" w:customStyle="1" w:styleId="48">
    <w:name w:val="页脚 字符"/>
    <w:link w:val="9"/>
    <w:semiHidden/>
    <w:rPr>
      <w:sz w:val="24"/>
      <w:szCs w:val="24"/>
      <w:lang w:eastAsia="en-US"/>
    </w:rPr>
  </w:style>
  <w:style w:type="character" w:customStyle="1" w:styleId="49">
    <w:name w:val="脚注文本 字符"/>
    <w:link w:val="12"/>
    <w:semiHidden/>
    <w:rPr>
      <w:sz w:val="18"/>
      <w:szCs w:val="18"/>
      <w:lang w:eastAsia="en-US"/>
    </w:rPr>
  </w:style>
  <w:style w:type="character" w:customStyle="1" w:styleId="50">
    <w:name w:val="标题 字符"/>
    <w:link w:val="14"/>
    <w:semiHidden/>
    <w:rPr>
      <w:rFonts w:ascii="Calibri Light" w:hAnsi="Calibri Light" w:cs="Times New Roman"/>
      <w:b/>
      <w:bCs/>
      <w:sz w:val="32"/>
      <w:szCs w:val="32"/>
      <w:lang w:eastAsia="en-US"/>
    </w:rPr>
  </w:style>
  <w:style w:type="character" w:customStyle="1" w:styleId="51">
    <w:name w:val="标题 3 字符"/>
    <w:link w:val="5"/>
    <w:semiHidden/>
    <w:rPr>
      <w:b/>
      <w:bCs/>
      <w:sz w:val="32"/>
      <w:szCs w:val="32"/>
      <w:lang w:eastAsia="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中国石油天然气股份有限公司</Company>
  <Pages>19</Pages>
  <Words>2750</Words>
  <Characters>15675</Characters>
  <Lines>130</Lines>
  <Paragraphs>36</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2024-03-21T08:55:00Z</dcterms:created>
  <dc:creator>史宇峰</dc:creator>
  <cp:lastPrinted>2021-03-03T17:36:00Z</cp:lastPrinted>
  <dcterms:modified xsi:type="dcterms:W3CDTF">2026-02-05T16:31:35Z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des1712626816769">
    <vt:lpwstr>本示范文本主要适用于集团公司所属单位作为定点加油的供方与用油企业作为需方，就加油站定点加油事宜对双方权利义务进行明确的情形。本示范文本侧重保护供方的权益，适合集团公司所属单位作为供方时使用。
集团公司所属单位的加油站定点加油合同的谈判、起草、签订，应以本示范文本为基础。所属单位合同归口管理部门可根据需要组织对本示范文本进行细化；修改本示范文本中的固定性条款的，应报集团公司法律和企改部备案。
本示范文本中，“【】”方括号内容及蓝色字体部分为选择性条款，可选择填写、修改或删除；“    ”空格为需要根据具体情况填写的内容；固定性条款是指合同中未明确为可补充填写或选择性适用的条款。本示范文本由主合同及相关附件构成，使用中应注意文本的完整性和一致性。在基于本示范文本起草的合同签约前，应确保所有“【】”方括号内的内容均已确认，所有“     ”空格需填写的内容均已填写。在将起草的合同提交给合同相对方前，应删除本示范文本的所有条款说明、法律法规等注释及不适用的合同条款和附件，并更新目录。</vt:lpwstr>
  </property>
  <property fmtid="{D5CDD505-2E9C-101B-9397-08002B2CF9AE}" pid="4" name="docDataInfo">
    <vt:lpwstr>http://doccloud.cmspro.petrochina/</vt:lpwstr>
  </property>
  <property fmtid="{D5CDD505-2E9C-101B-9397-08002B2CF9AE}" pid="5" name="des1712627040779">
    <vt:lpwstr>应准确填写双方的企业名称、注册地址、统一社会信用代码、法定代表人/负责人等基本信息，该等信息应与合同签订时企业注册登记信息一致。
签订合同时对方主体资格必须明确、具体、准确，以防止虚假合同使我方遭受不必要的损失。
合同签署地应谨慎据实填写，合同签署地可详细至区县，例如，北京市朝阳区。如果各方选择合同签署地法院管辖本合同项下可能产生的争议，应注意考虑该等合同签署地法院是否便于公司开展诉讼程序。</vt:lpwstr>
  </property>
  <property fmtid="{D5CDD505-2E9C-101B-9397-08002B2CF9AE}" pid="6" name="des1712627099323">
    <vt:lpwstr>“定点加油”，实践中根据双方协商情况确定的属于甲方的一个或某几个固定加油站，确定了“定点加油”的概念，以避免《加油站定点加油合同》容易误解为乙方仅可以在某一固定的加油站加油。</vt:lpwstr>
  </property>
  <property fmtid="{D5CDD505-2E9C-101B-9397-08002B2CF9AE}" pid="7" name="des1712627120555">
    <vt:lpwstr>“滚动结算”及“履约保证金”，通常情况下我方为保障己方权益，会要求乙方支付一笔预付款，但实践中仍存在保留滚动结算方式并适用履约保证金的客户。故本示范文本将该种方式设为可选项，各单位可根据需要选择适用或删除。</vt:lpwstr>
  </property>
  <property fmtid="{D5CDD505-2E9C-101B-9397-08002B2CF9AE}" pid="8" name="des1712627252500">
    <vt:lpwstr>目前适用的国家标准包括《车用汽油》（GB 17930-2016），《车用柴油》（GB 19147-2016）、《B5柴油》（GB25199-2017）等。签约前应根据最新适用的标准更新。</vt:lpwstr>
  </property>
  <property fmtid="{D5CDD505-2E9C-101B-9397-08002B2CF9AE}" pid="9" name="des1712627326132">
    <vt:lpwstr>本条为开放式条款，双方应根据实际情况填写。例：“优惠幅度”按照按每升优惠幅度或折扣率列明，“阶梯优惠幅度”，按照乙方采购量，1-5吨优惠0.4元/升，5-10吨优惠0.5元/升或1-5吨优惠98折/升，5-10吨优惠97折/升。</vt:lpwstr>
  </property>
  <property fmtid="{D5CDD505-2E9C-101B-9397-08002B2CF9AE}" pid="10" name="des1712628594825">
    <vt:lpwstr>根据各销售企业反馈，是否允许在优惠后单价基础上叠加享受各类优惠，视客户情况而定，例如，实践中，有的客户享受阶梯优惠，但不享受临时促销活动；有的客户同时享受储值优惠、消费优惠及临时促销活动优惠。故本条款不做统一要求，各单位应结合实际情况，与客户商定后填写。</vt:lpwstr>
  </property>
  <property fmtid="{D5CDD505-2E9C-101B-9397-08002B2CF9AE}" pid="11" name="des1712628912272">
    <vt:lpwstr>本示范文本在此列出三种对乙方提油量考核的表述，供参考。各单位应结合实际情况调整。</vt:lpwstr>
  </property>
  <property fmtid="{D5CDD505-2E9C-101B-9397-08002B2CF9AE}" pid="12" name="des1712628987528">
    <vt:lpwstr>本示范文本所列3.5及3.6条供各单位参考，建议择一适用，并根据实际业务需求调整。如加气业务可参考本合同文本。</vt:lpwstr>
  </property>
  <property fmtid="{D5CDD505-2E9C-101B-9397-08002B2CF9AE}" pid="13" name="des1712629146630">
    <vt:lpwstr>据了解，实践中保留滚动结算的销售企业较少，各单位应根据实际情况选择适用付款方式。</vt:lpwstr>
  </property>
  <property fmtid="{D5CDD505-2E9C-101B-9397-08002B2CF9AE}" pid="14" name="des1712629187688">
    <vt:lpwstr>各销售企业对加油凭证主副卡的管理规定不同，例如，部分企业要求主卡仅用于充值及分配，不用于加油，副卡则由乙方授权经办人自行在加油站窗口办理并分配金额。部分企业发售的主卡亦可用于加油。各单位应根据实际情况对主副卡做出约定。</vt:lpwstr>
  </property>
  <property fmtid="{D5CDD505-2E9C-101B-9397-08002B2CF9AE}" pid="15" name="des1712629245446">
    <vt:lpwstr>第4.2.2条相关参考案例：(2020)新民终141号
案情简介： 2018年4月27日，华强公司向中石油乌鲁木齐分公司采购成品油，并提交了华强公司的《营业执照》《机构信用代码证》《危险化学品经营许可证》《开户许可证》、开票资料、法定代表人身份证复印件及授权书等材料，指定委托代理人，前往中石油乌鲁木齐分公司办理加油卡的领取事宜及签署相关文件。双方并未签署买卖合同。华强公司在中石油乌鲁木齐分公司开立账户并支付购油款3650万元（其中50万元为保证金），中石油乌鲁木齐分公司为华强公司办理加油卡充值2025万元，但华强公司主张其尚有1575万元购油款及50万元保证金，中石油乌鲁木齐分公司至今未向其办理单位加油卡的充值业务且拒绝办理，故要求对该两项费用予以返还。对此中石油乌鲁木齐分公司抗辩称其已向华强公司交付了350万元不记名加油卡和1200万元充值卡，其双方油品买卖交易关系已完成。就上述争议，华强公司向法院起诉。
裁判要旨：法院经审理认为，尽管事后证实孙世良、王崇钦提供的授权书及营业执照复印件上的公章为伪造，但结合二人提供的华强公司营业执照、银行回单、转账记录等因素，石油公司有理由相信二人有领取加油卡的代理权限，法院认定构成表见代理，由孙世良、王崇钦领取的1100万元应当视为石油公司对华强公司履行了相应的充值义务。但孙世良2018年5月16日未提供银行网上回单而领取的100万元加油卡不构成表见代理，由中石油乌鲁木齐分公司承担相应法律责任。
参考意义：我方为乙方办理加油卡时，应谨慎核实乙方主体资格材料及授权代理人相关，避免风险。</vt:lpwstr>
  </property>
  <property fmtid="{D5CDD505-2E9C-101B-9397-08002B2CF9AE}" pid="16" name="des1712629309024">
    <vt:lpwstr>第4.2.4条相关参考（如适用滚动结算）案例：(2021)粤08民终22号
案情简介：2015年至2018年9月期间，湛运加油站与湛江环卫处之间长期存在买卖油品的业务往来。2018年12月25日，湛运加油站再向湛江环卫处发出一份尚欠加油款催收通知书，载明环卫处欠款金额为317,621元。湛运加油站、湛江环卫处双方分别在催收通知书落款上盖业务专用章、财务专用章。上述欠款经湛运加油站多次向湛江环卫处追讨无果，引起本案诉讼。
裁判要旨：一审法院认为，尽管双方未签署定点加油合同，但湛江环卫处在湛运加油站进行加油，经结算有湛运加油站出具的催收通知书作证明，双方之间形成了事实上的买卖合同关系。
二审期间，湛江环卫处提出“大部分车辆加油既没有限额，加油量过大，超出正常工作使用情形，属于加油站与个人之间的合同关系，与环卫处无关”。该主张未得到二审法院支持。
参考意义：尽管二审中湛江环卫处的主张未得到人民法院支持，但适用滚动结算方式时，应注意严格执行正副本核对、乙方加油人员签字制度，留存书面记录，避免不必要的争端。由于滚动结算方式相对风险更高，建议采用预付款结算方式或要求对方缴纳履约保证金。</vt:lpwstr>
  </property>
  <property fmtid="{D5CDD505-2E9C-101B-9397-08002B2CF9AE}" pid="17" name="des1715407953742">
    <vt:lpwstr>根据业务实践，部分销售企业的优惠政策跨年后将进行调整，故增加第5.4条可选条款。为避免市场监督管理部门认为该约定显失公平，赋予了乙方解除合同的权利。</vt:lpwstr>
  </property>
  <property fmtid="{D5CDD505-2E9C-101B-9397-08002B2CF9AE}" pid="18" name="des1715407980051">
    <vt:lpwstr>各单位应根据管理规定选择适用需要乙方提供的信息。</vt:lpwstr>
  </property>
  <property fmtid="{D5CDD505-2E9C-101B-9397-08002B2CF9AE}" pid="19" name="des1715407991762">
    <vt:lpwstr>实践中向散户提供该等加油服务的情形较少，个人客户主要包括出租车司机等人群。各单位根据实际情况选择适用本款或删除。</vt:lpwstr>
  </property>
  <property fmtid="{D5CDD505-2E9C-101B-9397-08002B2CF9AE}" pid="20" name="des1715408022839">
    <vt:lpwstr>《成品油零售企业管理技术规范》（商务部公告2004年第90号）第6.4.5条：加油站应承担成品油站内储存和销售环节的质量控制责任。</vt:lpwstr>
  </property>
  <property fmtid="{D5CDD505-2E9C-101B-9397-08002B2CF9AE}" pid="21" name="des1715408022837">
    <vt:lpwstr>第7.2条相关参考案例：(2020)鲁01民终号
案情简介：2014年，中石油莱芜分公司与莱钢蓝天公司签订的《成品油供应合同》。在合同履行过程中，杨荣山作为中石油莱芜分公司的客户经理，在负责供油合同具体履行期间，与外部个人合谋，在地炼厂采购价格低的地炼油后，冒充中石油的成品油运至购油单位获利，并致使1259辆车辆因油品质量问题受损，引发诉讼。
裁判要旨：法院认为，双方签署的《成品油供应合同》合法有效，应按照合同约定履行义务。1259辆车辆因油品质量问题受损，经营者向消费者承担责任后有权向销售者追偿。
参考意义：各单位应注意，经营者向消费者承担责任后有权向销售者追偿，但经营者的质量责任不一定会因为消费者未在约定的时限（如24小时）内提出而完全免责。</vt:lpwstr>
  </property>
  <property fmtid="{D5CDD505-2E9C-101B-9397-08002B2CF9AE}" pid="22" name="des1715408049011">
    <vt:lpwstr>根据本合同实际情况及双方协商结果确定违约金比例或金额。但应注意，虽然双方可以事先约定违约时应支付的违约金数额或计算方法，但若约定的违约金低于造成的损失或过分高于造成的损失的，当事人可以向法院请求调整。司法实践中，当事人约定的违约金超过造成损失的百分之三十的，一般可以认定为过分高于造成的损失。</vt:lpwstr>
  </property>
  <property fmtid="{D5CDD505-2E9C-101B-9397-08002B2CF9AE}" pid="23" name="des1715408063888">
    <vt:lpwstr>《中华人民共和国民法典》第五百八十五条：当事人可以约定一方违约时应当根据违约情况向对方支付一定数额的违约金，也可以约定因违约产生的损失赔偿额的计算方法。约定的违约金低于造成的损失的，人民法院或者仲裁机构可以根据当事人的请求予以增加；约定的违约金过分高于造成的损失的，人民法院或者仲裁机构可以根据当事人的请求予以适当减少。当事人就迟延履行约定违约金的，违约方支付违约金后，还应当履行债务。</vt:lpwstr>
  </property>
  <property fmtid="{D5CDD505-2E9C-101B-9397-08002B2CF9AE}" pid="24" name="des1715408063884">
    <vt:lpwstr>根据本合同实际情况及双方协商结果确定违约金比例或金额。但应注意，虽然双方可以事先约定违约时应支付的违约金数额或计算方法，但若约定的违约金低于造成的损失或过分高于造成的损失的，当事人可以向法院请求调整。司法实践中，当事人约定的违约金超过造成损失的百分之三十的，一般可以认定为过分高于造成的损失。</vt:lpwstr>
  </property>
  <property fmtid="{D5CDD505-2E9C-101B-9397-08002B2CF9AE}" pid="25" name="des1715408118118">
    <vt:lpwstr>第9.1.2条相关参考案例：(2020)新31民终1503号
案情简介：莎车县中海商贸发展有限公司中海加油站按照合同约定给被告位于喀群乡恰木萨力防洪工程第一标段项目部工地供油，履行了自己的义务，被告并未在约定时间将全部购油款支付给原告莎车县中海商贸发展有限公司中海加油站，庭后经与原告核实，收款收据19张实际欠款金额为164,616元。
裁判要旨：法院认为，广西海河水利建设有限责任公司恰木萨力防洪工程第一标段项目部为被告公司的内设机构，不具备法人资格，其民事责任依法应由被告公司承担，向原告承担拖欠的油款164,616元及利息。
参考意义：签署合同前应注意核查乙方主体资格，如涉及本案类似情形，建议与具备法人资格的主体或其他组织签署本合同。</vt:lpwstr>
  </property>
  <property fmtid="{D5CDD505-2E9C-101B-9397-08002B2CF9AE}" pid="26" name="des1715408138629">
    <vt:lpwstr>第9.3.3条相关参考案例：(2021)粤02民终677号
案情简介：韶能油站管理公司与富怡鹏公司签订了《油品供销合同》，约定富怡鹏公司因运输需求使用韶能油站管理公司所供应的柴油及润滑油，韶能油站管理公司为富怡鹏公司负责所需车用柴油、润滑油的供应保障。至2019年6月19日，富怡鹏公司指定的车辆在撬装加油站加油共计67222.57升，计加油款为370826.64元。因富怡鹏公司一直未向韶能油站管理公司支付上述加油款，为此，韶能油站管理公司向一审法院提起诉讼，要求富怡鹏公司支付所欠油款及违约金66934.21元，并要求其股东成怡、王春喜承担连带清偿责任。
裁判要旨：韶能油站管理公司主张加油车辆的实际权利主体（债务人股东）应当与债务人（富怡鹏公司）承担连带责任。法院虽未认定承担连带责任，但判决债务人股东在认缴出资及减资未通知韶能油站管理公司对拖欠油款承担责任。
参考意义：签订合同前，应当审慎核实承运人的主体资格、经营资质及经营状况，必要时核对加油车辆的权属等信息。</vt:lpwstr>
  </property>
  <property fmtid="{D5CDD505-2E9C-101B-9397-08002B2CF9AE}" pid="27" name="des1715408158798">
    <vt:lpwstr>如我方为本合同项下甲方，建议保留上述第10.2条表述：如我方为本合同项下乙方，建议删除第10.2条表述，同时相应调整后续各条款顺序。</vt:lpwstr>
  </property>
  <property fmtid="{D5CDD505-2E9C-101B-9397-08002B2CF9AE}" pid="28" name="des1715408188498">
    <vt:lpwstr>各单位根据本单位诚信合规要求，对下述条款内容进行调整。</vt:lpwstr>
  </property>
  <property fmtid="{D5CDD505-2E9C-101B-9397-08002B2CF9AE}" pid="29" name="des1715408216040">
    <vt:lpwstr>《中华人民共和国民法典》第一百八十条：因不可抗力不能履行民事义务的，不承担民事责任。法律另有规定的，依照其规定。不可抗力是不能预见、不能避免且不能克服的客观情况。
《中华人民共和国民法典》第五百九十条：当事人一方因不可抗力不能履行合同的，根据不可抗力的影响，部分或者全部免除责任，但是法律另有规定的除外。因不可抗力不能履行合同的，应当及时通知对方，以减轻可能给对方造成的损失，并应当在合理期限内提供证明。当事人迟延履行后发生不可抗力的，不免除其违约责任。</vt:lpwstr>
  </property>
  <property fmtid="{D5CDD505-2E9C-101B-9397-08002B2CF9AE}" pid="30" name="des1715408243531">
    <vt:lpwstr>《中华人民共和国民法典》第五百零一条：当事人在订立合同过程中知悉的商业秘密或者其他应当保密的信息，无论合同是否成立，不得泄露或者不正当地使用；泄露、不正当地使用该商业秘密或者信息，造成对方损失的，应当承担赔偿责任。
《中华人民共和国民法典》第五百零九条第二款：当事人应当遵循诚信原则，根据合同的性质、目的和交易习惯履行通知、协助、保密等义务。
《中华人民共和国民法典》第五百五十八条：债权债务终止后，当事人应当遵循诚信等原则，根据交易习惯履行通知、协助、保密、旧物回收等义务。</vt:lpwstr>
  </property>
  <property fmtid="{D5CDD505-2E9C-101B-9397-08002B2CF9AE}" pid="31" name="des1715408243527">
    <vt:lpwstr>各单位可对保密期限条款进行调整。</vt:lpwstr>
  </property>
  <property fmtid="{D5CDD505-2E9C-101B-9397-08002B2CF9AE}" pid="32" name="des1715408282143">
    <vt:lpwstr>各单位根据自身情况，对联系方式内容选择适用。</vt:lpwstr>
  </property>
  <property fmtid="{D5CDD505-2E9C-101B-9397-08002B2CF9AE}" pid="33" name="des1715408328462">
    <vt:lpwstr>根据《中华人民共和国民事诉讼法》第三十五条，合同或者其他财产权益纠纷的当事人可以书面协议选择被告住所地、合同履行地、合同签订地、原告住所地、标的物所在地等与争议有实际联系的地点的人民法院管辖，但不得违反本法对级别管辖和专属管辖的规定。</vt:lpwstr>
  </property>
  <property fmtid="{D5CDD505-2E9C-101B-9397-08002B2CF9AE}" pid="34" name="des1715408346756">
    <vt:lpwstr>若双方均为集团公司内部企业，应当选择“14.2.(3)提交双方共同上级协调解决”作为争议解决方式。若其中有一方为集团公司系统外单位，应当在第14.2.(1)条和第14.2.(2)条之间选择，不得选用第14.2.(3)条。</vt:lpwstr>
  </property>
  <property fmtid="{D5CDD505-2E9C-101B-9397-08002B2CF9AE}" pid="35" name="des1715408361025">
    <vt:lpwstr>解决争议的法律程序只能在仲裁和诉讼之间选择一种。
如选择仲裁方式，要写明仲裁机构的准确名称，如“北京仲裁委员会”，应注意“北京”后并无“市”字。仲裁条款可以由当事人通过谈判确定，主要应当写明提交的仲裁机构名称、仲裁地点、采用的仲裁规则以及仲裁裁决的效力等内容。仲裁过程通常是私密的，通过仲裁方式解决争议的当事人可以不对外公开其身份，这样当事人之间的争议也就不容易为外界所知。此外，商事仲裁还有高效、灵活、易于执行等优势。目前，口碑良好的国内仲裁机构主要有北京仲裁委员会（BAC）、中国国际经济贸易仲裁委员会（CIETAC）等，国际仲裁机构主要有新加坡国际仲裁中心（SIAC）、香港国际仲裁中心（HKIAC）、伦敦国际仲裁院（LCIA）等。
如选择诉讼方式，则应当是原告或被告所在地或合同履行地、合同签订地、标的物所在地等与争议有实际联系地点的有管辖权的法院。同时，应注意级别管辖不得自行约定。目前，中级人民法院管辖第一审民事案件的诉讼标的额上限原则上为50亿元（人民币），高级人民法院管辖诉讼标的额50亿元（人民币）以上（包含本数）或者其他在本辖区有重大影响的第一审民事案件。
如我方与外部单位签约，除专属管辖外，管辖法院选择我方住所地法院管辖。</vt:lpwstr>
  </property>
  <property fmtid="{D5CDD505-2E9C-101B-9397-08002B2CF9AE}" pid="36" name="des1715408381218">
    <vt:lpwstr>《中华人民共和国民法典》第五百四十四条：当事人对合同变更的内容约定不明确的，推定为未变更。</vt:lpwstr>
  </property>
  <property fmtid="{D5CDD505-2E9C-101B-9397-08002B2CF9AE}" pid="37" name="des1715408392399">
    <vt:lpwstr>对于内部合同和关联交易，合同管理系统2.0新增在线签约功能，对于这部分合同，其生效条件应表述为“本合同自双方加盖合同专用章之日起生效。”</vt:lpwstr>
  </property>
  <property fmtid="{D5CDD505-2E9C-101B-9397-08002B2CF9AE}" pid="38" name="des1715408416449">
    <vt:lpwstr>根据集团公司合同管理办法，我方单位应使用合同专用章。如对方签字人不是其法定代表人，应提供书面授权文件。</vt:lpwstr>
  </property>
  <property fmtid="{D5CDD505-2E9C-101B-9397-08002B2CF9AE}" pid="39" name="des1715408426847">
    <vt:lpwstr>是否将加油卡章程作为本合同附件，或添加其他附件，各单位应根据实际情况确定。</vt:lpwstr>
  </property>
  <property fmtid="{D5CDD505-2E9C-101B-9397-08002B2CF9AE}" pid="40" name="des1715408428036">
    <vt:lpwstr>是否将加油卡章程作为本合同附件，或添加其他附件，各单位应根据实际情况确定。</vt:lpwstr>
  </property>
  <property fmtid="{D5CDD505-2E9C-101B-9397-08002B2CF9AE}" pid="41" name="ICV">
    <vt:lpwstr>36E0830540C94EF097F53EEA01029DA2</vt:lpwstr>
  </property>
</Properties>
</file>