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C5616">
      <w:pPr>
        <w:rPr>
          <w:rFonts w:hint="eastAsia"/>
          <w:b/>
          <w:bCs/>
          <w:sz w:val="28"/>
          <w:szCs w:val="36"/>
          <w:lang w:val="en-US" w:eastAsia="zh-CN"/>
        </w:rPr>
      </w:pPr>
      <w:r>
        <w:rPr>
          <w:rFonts w:hint="eastAsia"/>
          <w:b/>
          <w:bCs/>
          <w:sz w:val="28"/>
          <w:szCs w:val="36"/>
          <w:lang w:val="en-US" w:eastAsia="zh-CN"/>
        </w:rPr>
        <w:t>公告附件</w:t>
      </w:r>
    </w:p>
    <w:p w14:paraId="5FAF8DE2">
      <w:pPr>
        <w:numPr>
          <w:ilvl w:val="0"/>
          <w:numId w:val="2"/>
        </w:numPr>
        <w:rPr>
          <w:rFonts w:hint="eastAsia"/>
          <w:b/>
          <w:bCs/>
          <w:sz w:val="28"/>
          <w:szCs w:val="36"/>
          <w:lang w:val="en-US" w:eastAsia="zh-CN"/>
        </w:rPr>
      </w:pPr>
      <w:r>
        <w:rPr>
          <w:rFonts w:hint="eastAsia"/>
          <w:b/>
          <w:bCs/>
          <w:sz w:val="28"/>
          <w:szCs w:val="36"/>
          <w:lang w:val="en-US" w:eastAsia="zh-CN"/>
        </w:rPr>
        <w:t>项目概况及招标人联系方式</w:t>
      </w:r>
    </w:p>
    <w:p w14:paraId="6F867670">
      <w:pPr>
        <w:numPr>
          <w:ilvl w:val="0"/>
          <w:numId w:val="0"/>
        </w:numPr>
        <w:ind w:firstLine="560"/>
        <w:rPr>
          <w:rFonts w:hint="eastAsia"/>
          <w:b/>
          <w:bCs/>
          <w:sz w:val="28"/>
          <w:szCs w:val="36"/>
          <w:lang w:val="en-US" w:eastAsia="zh-CN"/>
        </w:rPr>
      </w:pPr>
      <w:r>
        <w:rPr>
          <w:rFonts w:hint="eastAsia"/>
          <w:b/>
          <w:bCs/>
          <w:sz w:val="28"/>
          <w:szCs w:val="36"/>
          <w:lang w:val="en-US" w:eastAsia="zh-CN"/>
        </w:rPr>
        <w:t>详见公告正文</w:t>
      </w:r>
    </w:p>
    <w:p w14:paraId="48ECBE73">
      <w:pPr>
        <w:numPr>
          <w:ilvl w:val="0"/>
          <w:numId w:val="2"/>
        </w:numPr>
        <w:ind w:left="0" w:leftChars="0" w:firstLine="0" w:firstLineChars="0"/>
        <w:rPr>
          <w:rFonts w:hint="eastAsia"/>
          <w:b/>
          <w:bCs/>
          <w:sz w:val="28"/>
          <w:szCs w:val="36"/>
          <w:lang w:val="en-US" w:eastAsia="zh-CN"/>
        </w:rPr>
      </w:pPr>
      <w:r>
        <w:rPr>
          <w:rFonts w:hint="eastAsia"/>
          <w:b/>
          <w:bCs/>
          <w:sz w:val="28"/>
          <w:szCs w:val="36"/>
          <w:lang w:val="en-US" w:eastAsia="zh-CN"/>
        </w:rPr>
        <w:t>投标人资格条件要求</w:t>
      </w:r>
    </w:p>
    <w:p w14:paraId="1DB0D8EF">
      <w:pPr>
        <w:pStyle w:val="2"/>
        <w:numPr>
          <w:ilvl w:val="2"/>
          <w:numId w:val="0"/>
        </w:numPr>
        <w:spacing w:after="0" w:line="600" w:lineRule="auto"/>
        <w:jc w:val="center"/>
        <w:rPr>
          <w:rFonts w:eastAsia="黑体" w:cs="Arial"/>
          <w:b/>
          <w:spacing w:val="0"/>
          <w:kern w:val="2"/>
          <w:sz w:val="30"/>
          <w:szCs w:val="30"/>
        </w:rPr>
      </w:pPr>
      <w:r>
        <w:rPr>
          <w:rFonts w:eastAsia="黑体" w:cs="Arial"/>
          <w:b/>
          <w:spacing w:val="0"/>
          <w:kern w:val="2"/>
          <w:sz w:val="30"/>
          <w:szCs w:val="30"/>
        </w:rPr>
        <w:t>附录1  资格审查条件（资质最低</w:t>
      </w:r>
      <w:r>
        <w:rPr>
          <w:rFonts w:hint="eastAsia" w:eastAsia="黑体" w:cs="Arial"/>
          <w:b/>
          <w:spacing w:val="0"/>
          <w:kern w:val="2"/>
          <w:sz w:val="30"/>
          <w:szCs w:val="30"/>
        </w:rPr>
        <w:t>要求</w:t>
      </w:r>
      <w:r>
        <w:rPr>
          <w:rFonts w:eastAsia="黑体" w:cs="Arial"/>
          <w:b/>
          <w:spacing w:val="0"/>
          <w:kern w:val="2"/>
          <w:sz w:val="30"/>
          <w:szCs w:val="30"/>
        </w:rPr>
        <w:t>）</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108" w:type="dxa"/>
          <w:bottom w:w="0" w:type="dxa"/>
          <w:right w:w="108" w:type="dxa"/>
        </w:tblCellMar>
      </w:tblPr>
      <w:tblGrid>
        <w:gridCol w:w="1012"/>
        <w:gridCol w:w="1565"/>
        <w:gridCol w:w="5945"/>
      </w:tblGrid>
      <w:tr w14:paraId="070FC397">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493" w:hRule="atLeast"/>
          <w:jc w:val="center"/>
        </w:trPr>
        <w:tc>
          <w:tcPr>
            <w:tcW w:w="594" w:type="pct"/>
            <w:noWrap w:val="0"/>
            <w:vAlign w:val="center"/>
          </w:tcPr>
          <w:p w14:paraId="10ABAE8D">
            <w:pPr>
              <w:jc w:val="center"/>
              <w:rPr>
                <w:rFonts w:hint="eastAsia" w:ascii="Arial" w:hAnsi="Arial" w:cs="Arial"/>
                <w:b/>
                <w:szCs w:val="21"/>
              </w:rPr>
            </w:pPr>
            <w:r>
              <w:rPr>
                <w:rFonts w:ascii="Arial" w:hAnsi="Arial" w:cs="Arial"/>
                <w:b/>
                <w:szCs w:val="21"/>
              </w:rPr>
              <w:t>标段</w:t>
            </w:r>
            <w:r>
              <w:rPr>
                <w:rFonts w:hint="eastAsia" w:ascii="Arial" w:hAnsi="Arial" w:cs="Arial"/>
                <w:b/>
                <w:szCs w:val="21"/>
              </w:rPr>
              <w:t>名称</w:t>
            </w:r>
          </w:p>
        </w:tc>
        <w:tc>
          <w:tcPr>
            <w:tcW w:w="918" w:type="pct"/>
            <w:noWrap w:val="0"/>
            <w:vAlign w:val="center"/>
          </w:tcPr>
          <w:p w14:paraId="22B371C1">
            <w:pPr>
              <w:jc w:val="center"/>
              <w:rPr>
                <w:rFonts w:hint="eastAsia" w:ascii="Arial" w:hAnsi="Arial" w:cs="Arial"/>
                <w:b/>
                <w:szCs w:val="21"/>
              </w:rPr>
            </w:pPr>
            <w:r>
              <w:rPr>
                <w:rFonts w:hint="eastAsia" w:ascii="Arial" w:hAnsi="Arial" w:cs="Arial"/>
                <w:b/>
                <w:szCs w:val="21"/>
              </w:rPr>
              <w:t>项目</w:t>
            </w:r>
          </w:p>
        </w:tc>
        <w:tc>
          <w:tcPr>
            <w:tcW w:w="3488" w:type="pct"/>
            <w:noWrap w:val="0"/>
            <w:vAlign w:val="center"/>
          </w:tcPr>
          <w:p w14:paraId="2376DD96">
            <w:pPr>
              <w:jc w:val="center"/>
              <w:rPr>
                <w:rFonts w:ascii="Arial" w:hAnsi="Arial" w:cs="Arial"/>
                <w:b/>
                <w:szCs w:val="21"/>
              </w:rPr>
            </w:pPr>
            <w:r>
              <w:rPr>
                <w:rFonts w:ascii="Arial" w:hAnsi="Arial" w:cs="Arial"/>
                <w:b/>
                <w:szCs w:val="21"/>
              </w:rPr>
              <w:t>施工企业资质等级要求</w:t>
            </w:r>
          </w:p>
        </w:tc>
      </w:tr>
      <w:tr w14:paraId="4A054324">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468" w:hRule="atLeast"/>
          <w:jc w:val="center"/>
        </w:trPr>
        <w:tc>
          <w:tcPr>
            <w:tcW w:w="594" w:type="pct"/>
            <w:vMerge w:val="restart"/>
            <w:noWrap w:val="0"/>
            <w:vAlign w:val="center"/>
          </w:tcPr>
          <w:p w14:paraId="0CD308FA">
            <w:pPr>
              <w:adjustRightInd w:val="0"/>
              <w:snapToGrid w:val="0"/>
              <w:jc w:val="center"/>
              <w:rPr>
                <w:rFonts w:hint="eastAsia" w:ascii="Arial" w:hAnsi="Arial" w:cs="Arial"/>
                <w:spacing w:val="-4"/>
                <w:szCs w:val="21"/>
              </w:rPr>
            </w:pPr>
            <w:r>
              <w:rPr>
                <w:rFonts w:hint="eastAsia" w:ascii="Arial" w:hAnsi="Arial" w:cs="Arial"/>
                <w:kern w:val="0"/>
                <w:szCs w:val="21"/>
              </w:rPr>
              <w:t>施工标段</w:t>
            </w:r>
          </w:p>
        </w:tc>
        <w:tc>
          <w:tcPr>
            <w:tcW w:w="918" w:type="pct"/>
            <w:noWrap w:val="0"/>
            <w:vAlign w:val="center"/>
          </w:tcPr>
          <w:p w14:paraId="4791ACFD">
            <w:pPr>
              <w:pStyle w:val="6"/>
              <w:topLinePunct/>
              <w:adjustRightInd w:val="0"/>
              <w:snapToGrid w:val="0"/>
              <w:spacing w:before="0" w:beforeAutospacing="0" w:after="0" w:afterAutospacing="0" w:line="280" w:lineRule="exact"/>
              <w:jc w:val="center"/>
              <w:rPr>
                <w:rFonts w:ascii="Arial" w:hAnsi="Arial" w:cs="Arial"/>
                <w:sz w:val="21"/>
                <w:szCs w:val="21"/>
              </w:rPr>
            </w:pPr>
            <w:r>
              <w:rPr>
                <w:rFonts w:ascii="Arial" w:hAnsi="Arial" w:cs="Arial"/>
                <w:sz w:val="21"/>
                <w:szCs w:val="21"/>
              </w:rPr>
              <w:t>法人资格</w:t>
            </w:r>
          </w:p>
        </w:tc>
        <w:tc>
          <w:tcPr>
            <w:tcW w:w="3488" w:type="pct"/>
            <w:noWrap w:val="0"/>
            <w:vAlign w:val="center"/>
          </w:tcPr>
          <w:p w14:paraId="145D87C1">
            <w:pPr>
              <w:rPr>
                <w:rFonts w:ascii="Arial" w:hAnsi="Arial" w:cs="Arial"/>
                <w:szCs w:val="21"/>
              </w:rPr>
            </w:pPr>
            <w:r>
              <w:rPr>
                <w:rFonts w:ascii="Arial" w:hAnsi="Arial" w:cs="Arial"/>
                <w:spacing w:val="-4"/>
                <w:szCs w:val="21"/>
              </w:rPr>
              <w:t>在中华人民共和国境内注册，具有有效的营业执照</w:t>
            </w:r>
            <w:r>
              <w:rPr>
                <w:rFonts w:ascii="Arial" w:hAnsi="Arial" w:cs="Arial"/>
                <w:b/>
                <w:bCs/>
                <w:spacing w:val="-4"/>
                <w:szCs w:val="21"/>
              </w:rPr>
              <w:t>（如为联合体投标，联</w:t>
            </w:r>
            <w:r>
              <w:rPr>
                <w:rFonts w:hint="eastAsia" w:ascii="Arial" w:hAnsi="Arial" w:cs="Arial"/>
                <w:b/>
                <w:bCs/>
                <w:spacing w:val="-4"/>
                <w:szCs w:val="21"/>
              </w:rPr>
              <w:t>合体各方均须满足）。</w:t>
            </w:r>
          </w:p>
        </w:tc>
      </w:tr>
      <w:tr w14:paraId="5A21CC4D">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466" w:hRule="atLeast"/>
          <w:jc w:val="center"/>
        </w:trPr>
        <w:tc>
          <w:tcPr>
            <w:tcW w:w="594" w:type="pct"/>
            <w:vMerge w:val="continue"/>
            <w:noWrap w:val="0"/>
            <w:vAlign w:val="center"/>
          </w:tcPr>
          <w:p w14:paraId="1B3CEAC6">
            <w:pPr>
              <w:adjustRightInd w:val="0"/>
              <w:snapToGrid w:val="0"/>
              <w:jc w:val="center"/>
              <w:rPr>
                <w:rFonts w:hint="eastAsia" w:ascii="Arial" w:hAnsi="Arial" w:cs="Arial"/>
                <w:kern w:val="0"/>
                <w:szCs w:val="21"/>
              </w:rPr>
            </w:pPr>
          </w:p>
        </w:tc>
        <w:tc>
          <w:tcPr>
            <w:tcW w:w="918" w:type="pct"/>
            <w:noWrap w:val="0"/>
            <w:vAlign w:val="center"/>
          </w:tcPr>
          <w:p w14:paraId="39F0E799">
            <w:pPr>
              <w:pStyle w:val="6"/>
              <w:topLinePunct/>
              <w:adjustRightInd w:val="0"/>
              <w:snapToGrid w:val="0"/>
              <w:spacing w:before="0" w:beforeAutospacing="0" w:after="0" w:afterAutospacing="0" w:line="280" w:lineRule="exact"/>
              <w:jc w:val="center"/>
              <w:rPr>
                <w:rFonts w:ascii="Arial" w:hAnsi="Arial" w:cs="Arial"/>
                <w:sz w:val="21"/>
                <w:szCs w:val="21"/>
              </w:rPr>
            </w:pPr>
            <w:r>
              <w:rPr>
                <w:rFonts w:ascii="Arial" w:hAnsi="Arial" w:cs="Arial"/>
                <w:sz w:val="21"/>
                <w:szCs w:val="21"/>
              </w:rPr>
              <w:t>资质等级</w:t>
            </w:r>
          </w:p>
        </w:tc>
        <w:tc>
          <w:tcPr>
            <w:tcW w:w="3488" w:type="pct"/>
            <w:noWrap w:val="0"/>
            <w:vAlign w:val="center"/>
          </w:tcPr>
          <w:p w14:paraId="4A368433">
            <w:pPr>
              <w:rPr>
                <w:rFonts w:ascii="Arial" w:hAnsi="Arial" w:cs="Arial"/>
                <w:spacing w:val="-6"/>
                <w:szCs w:val="21"/>
              </w:rPr>
            </w:pPr>
            <w:r>
              <w:rPr>
                <w:rFonts w:hint="eastAsia" w:ascii="Arial" w:hAnsi="Arial" w:cs="Arial"/>
                <w:spacing w:val="-6"/>
                <w:szCs w:val="21"/>
              </w:rPr>
              <w:t>投标人须同时具备①+②+③+</w:t>
            </w:r>
            <w:r>
              <w:rPr>
                <w:rFonts w:hint="eastAsia" w:ascii="宋体" w:hAnsi="宋体" w:cs="宋体"/>
                <w:spacing w:val="-6"/>
                <w:szCs w:val="21"/>
              </w:rPr>
              <w:t>④</w:t>
            </w:r>
            <w:r>
              <w:rPr>
                <w:rFonts w:hint="eastAsia" w:ascii="Arial" w:hAnsi="Arial" w:cs="Arial"/>
                <w:spacing w:val="-6"/>
                <w:szCs w:val="21"/>
              </w:rPr>
              <w:t>资质：</w:t>
            </w:r>
          </w:p>
          <w:p w14:paraId="41EDD1C7">
            <w:pPr>
              <w:rPr>
                <w:rFonts w:ascii="Arial" w:hAnsi="Arial" w:cs="Arial"/>
                <w:color w:val="000000"/>
                <w:szCs w:val="21"/>
              </w:rPr>
            </w:pPr>
            <w:r>
              <w:rPr>
                <w:rFonts w:hint="eastAsia" w:ascii="Arial" w:hAnsi="Arial" w:cs="Arial"/>
                <w:spacing w:val="-6"/>
                <w:szCs w:val="21"/>
              </w:rPr>
              <w:t>①具备住房和城乡建设主管部门颁发的公路工程施工总承包一级及以上资质。</w:t>
            </w:r>
          </w:p>
          <w:p w14:paraId="0B280DD5">
            <w:pPr>
              <w:rPr>
                <w:rFonts w:hint="eastAsia" w:ascii="Arial" w:hAnsi="Arial" w:cs="Arial"/>
                <w:color w:val="000000"/>
                <w:szCs w:val="21"/>
              </w:rPr>
            </w:pPr>
            <w:r>
              <w:rPr>
                <w:rFonts w:hint="eastAsia" w:ascii="Arial" w:hAnsi="Arial" w:cs="Arial"/>
                <w:spacing w:val="-6"/>
                <w:szCs w:val="21"/>
              </w:rPr>
              <w:t>②</w:t>
            </w:r>
            <w:r>
              <w:rPr>
                <w:rFonts w:hint="eastAsia" w:ascii="Arial" w:hAnsi="Arial" w:cs="Arial"/>
                <w:color w:val="000000"/>
                <w:szCs w:val="21"/>
              </w:rPr>
              <w:t>具备</w:t>
            </w:r>
            <w:r>
              <w:rPr>
                <w:rFonts w:hint="eastAsia" w:ascii="Arial" w:hAnsi="Arial" w:cs="Arial"/>
                <w:spacing w:val="-6"/>
                <w:szCs w:val="21"/>
              </w:rPr>
              <w:t>住房和城乡建设</w:t>
            </w:r>
            <w:r>
              <w:rPr>
                <w:rFonts w:hint="eastAsia" w:ascii="Arial" w:hAnsi="Arial" w:cs="Arial"/>
                <w:color w:val="000000"/>
                <w:szCs w:val="21"/>
              </w:rPr>
              <w:t>主管部门颁发的公路交通工程专业承包公路安全设施分项</w:t>
            </w:r>
            <w:r>
              <w:rPr>
                <w:rFonts w:hint="eastAsia" w:ascii="Arial" w:hAnsi="Arial" w:cs="Arial"/>
                <w:color w:val="000000"/>
                <w:szCs w:val="21"/>
                <w:lang w:val="en-US" w:eastAsia="zh-CN"/>
              </w:rPr>
              <w:t>一</w:t>
            </w:r>
            <w:r>
              <w:rPr>
                <w:rFonts w:hint="eastAsia" w:ascii="Arial" w:hAnsi="Arial" w:cs="Arial"/>
                <w:color w:val="000000"/>
                <w:szCs w:val="21"/>
              </w:rPr>
              <w:t>级资质。</w:t>
            </w:r>
          </w:p>
          <w:p w14:paraId="4F70E62C">
            <w:pPr>
              <w:rPr>
                <w:rFonts w:hint="eastAsia" w:ascii="Arial" w:hAnsi="Arial" w:cs="Arial"/>
                <w:color w:val="000000"/>
                <w:szCs w:val="21"/>
              </w:rPr>
            </w:pPr>
            <w:r>
              <w:rPr>
                <w:rFonts w:hint="eastAsia" w:ascii="Arial" w:hAnsi="Arial" w:cs="Arial"/>
                <w:spacing w:val="-6"/>
                <w:szCs w:val="21"/>
              </w:rPr>
              <w:t>③</w:t>
            </w:r>
            <w:r>
              <w:rPr>
                <w:rFonts w:hint="eastAsia" w:ascii="Arial" w:hAnsi="Arial" w:cs="Arial"/>
                <w:color w:val="000000"/>
                <w:szCs w:val="21"/>
              </w:rPr>
              <w:t>具备</w:t>
            </w:r>
            <w:r>
              <w:rPr>
                <w:rFonts w:hint="eastAsia" w:ascii="Arial" w:hAnsi="Arial" w:cs="Arial"/>
                <w:spacing w:val="-6"/>
                <w:szCs w:val="21"/>
              </w:rPr>
              <w:t>住房和城乡建设</w:t>
            </w:r>
            <w:r>
              <w:rPr>
                <w:rFonts w:hint="eastAsia" w:ascii="Arial" w:hAnsi="Arial" w:cs="Arial"/>
                <w:color w:val="000000"/>
                <w:szCs w:val="21"/>
              </w:rPr>
              <w:t>主管部门颁发的建筑工程施工总承包</w:t>
            </w:r>
            <w:r>
              <w:rPr>
                <w:rFonts w:hint="eastAsia" w:ascii="Arial" w:hAnsi="Arial" w:cs="Arial"/>
                <w:color w:val="000000"/>
                <w:szCs w:val="21"/>
                <w:lang w:val="en-US" w:eastAsia="zh-CN"/>
              </w:rPr>
              <w:t>三</w:t>
            </w:r>
            <w:r>
              <w:rPr>
                <w:rFonts w:hint="eastAsia" w:ascii="Arial" w:hAnsi="Arial" w:cs="Arial"/>
                <w:color w:val="000000"/>
                <w:szCs w:val="21"/>
              </w:rPr>
              <w:t>级及以上资质或建筑工程施工总承包乙级及以上资质或施工综合资质。</w:t>
            </w:r>
          </w:p>
          <w:p w14:paraId="04AB91AD">
            <w:pPr>
              <w:rPr>
                <w:rFonts w:hint="eastAsia" w:ascii="Arial" w:hAnsi="Arial" w:cs="Arial"/>
                <w:color w:val="000000"/>
                <w:szCs w:val="21"/>
              </w:rPr>
            </w:pPr>
            <w:r>
              <w:rPr>
                <w:rFonts w:hint="eastAsia" w:ascii="宋体" w:hAnsi="宋体" w:cs="宋体"/>
                <w:spacing w:val="-6"/>
                <w:szCs w:val="21"/>
              </w:rPr>
              <w:t>④</w:t>
            </w:r>
            <w:r>
              <w:rPr>
                <w:rFonts w:hint="eastAsia" w:ascii="Arial" w:hAnsi="Arial" w:cs="Arial"/>
                <w:color w:val="000000"/>
                <w:szCs w:val="21"/>
              </w:rPr>
              <w:t>具备住房和城乡建设主管部门颁发的公路交通工程专业承包公路机电工程分项一级资质。</w:t>
            </w:r>
          </w:p>
          <w:p w14:paraId="34FEBD81">
            <w:pPr>
              <w:rPr>
                <w:rFonts w:hint="eastAsia" w:ascii="Arial" w:hAnsi="Arial" w:cs="Arial"/>
                <w:color w:val="000000"/>
                <w:szCs w:val="21"/>
              </w:rPr>
            </w:pPr>
            <w:r>
              <w:rPr>
                <w:rFonts w:hint="eastAsia" w:ascii="Arial" w:hAnsi="Arial" w:cs="Arial"/>
                <w:b/>
                <w:bCs/>
                <w:color w:val="000000"/>
                <w:szCs w:val="21"/>
              </w:rPr>
              <w:t>如联合体投标，须同时满足以下要求：</w:t>
            </w:r>
            <w:r>
              <w:rPr>
                <w:rFonts w:hint="eastAsia" w:ascii="Arial" w:hAnsi="Arial" w:cs="Arial"/>
                <w:color w:val="000000"/>
                <w:szCs w:val="21"/>
              </w:rPr>
              <w:t xml:space="preserve"> </w:t>
            </w:r>
          </w:p>
          <w:p w14:paraId="38CF8EA9">
            <w:pPr>
              <w:rPr>
                <w:rFonts w:hint="eastAsia" w:ascii="Arial" w:hAnsi="Arial" w:cs="Arial"/>
                <w:color w:val="000000"/>
                <w:szCs w:val="21"/>
              </w:rPr>
            </w:pPr>
            <w:r>
              <w:rPr>
                <w:rFonts w:hint="eastAsia" w:ascii="Arial" w:hAnsi="Arial" w:cs="Arial"/>
                <w:color w:val="000000"/>
                <w:szCs w:val="21"/>
              </w:rPr>
              <w:t xml:space="preserve">（1）联合体所有成员数量不得超过4家； </w:t>
            </w:r>
          </w:p>
          <w:p w14:paraId="54C38A02">
            <w:pPr>
              <w:rPr>
                <w:rFonts w:hint="eastAsia" w:ascii="Arial" w:hAnsi="Arial" w:cs="Arial"/>
                <w:color w:val="000000"/>
                <w:szCs w:val="21"/>
                <w:highlight w:val="none"/>
              </w:rPr>
            </w:pPr>
            <w:r>
              <w:rPr>
                <w:rFonts w:hint="eastAsia" w:ascii="Arial" w:hAnsi="Arial" w:cs="Arial"/>
                <w:color w:val="000000"/>
                <w:szCs w:val="21"/>
                <w:highlight w:val="none"/>
              </w:rPr>
              <w:t xml:space="preserve">（2）联合体所有成员中牵头人承担的工程量比例应最大，且联合体牵头人承担工程内容必须包括公路工程施工； </w:t>
            </w:r>
          </w:p>
          <w:p w14:paraId="78E869FE">
            <w:pPr>
              <w:rPr>
                <w:rFonts w:hint="eastAsia" w:ascii="Arial" w:hAnsi="Arial" w:cs="Arial"/>
                <w:color w:val="000000"/>
                <w:szCs w:val="21"/>
                <w:highlight w:val="none"/>
              </w:rPr>
            </w:pPr>
            <w:r>
              <w:rPr>
                <w:rFonts w:hint="eastAsia" w:ascii="Arial" w:hAnsi="Arial" w:cs="Arial"/>
                <w:color w:val="000000"/>
                <w:szCs w:val="21"/>
                <w:highlight w:val="none"/>
              </w:rPr>
              <w:t xml:space="preserve">（3）联合体牵头人须具备住房和城乡建设主管部门颁发的公路工程施工总承包一级及以上资质； </w:t>
            </w:r>
          </w:p>
          <w:p w14:paraId="40C10CB4">
            <w:pPr>
              <w:rPr>
                <w:rFonts w:hint="eastAsia" w:ascii="Arial" w:hAnsi="Arial" w:cs="Arial"/>
                <w:color w:val="000000"/>
                <w:szCs w:val="21"/>
                <w:highlight w:val="none"/>
              </w:rPr>
            </w:pPr>
            <w:r>
              <w:rPr>
                <w:rFonts w:hint="eastAsia" w:ascii="Arial" w:hAnsi="Arial" w:cs="Arial"/>
                <w:color w:val="000000"/>
                <w:szCs w:val="21"/>
                <w:highlight w:val="none"/>
              </w:rPr>
              <w:t>（4）联合体其他成员：承担交通安全设施工程施工的须具备</w:t>
            </w:r>
            <w:r>
              <w:rPr>
                <w:rFonts w:hint="eastAsia" w:ascii="Arial" w:hAnsi="Arial" w:cs="Arial"/>
                <w:spacing w:val="-6"/>
                <w:szCs w:val="21"/>
                <w:highlight w:val="none"/>
              </w:rPr>
              <w:t>住房和城乡建设</w:t>
            </w:r>
            <w:r>
              <w:rPr>
                <w:rFonts w:hint="eastAsia" w:ascii="Arial" w:hAnsi="Arial" w:cs="Arial"/>
                <w:color w:val="000000"/>
                <w:szCs w:val="21"/>
                <w:highlight w:val="none"/>
              </w:rPr>
              <w:t>主管部门颁发的公路交通工程专业承包公路安全设施分项</w:t>
            </w:r>
            <w:r>
              <w:rPr>
                <w:rFonts w:hint="eastAsia" w:ascii="Arial" w:hAnsi="Arial" w:cs="Arial"/>
                <w:color w:val="000000"/>
                <w:szCs w:val="21"/>
                <w:highlight w:val="none"/>
                <w:lang w:val="en-US" w:eastAsia="zh-CN"/>
              </w:rPr>
              <w:t>一</w:t>
            </w:r>
            <w:r>
              <w:rPr>
                <w:rFonts w:hint="eastAsia" w:ascii="Arial" w:hAnsi="Arial" w:cs="Arial"/>
                <w:color w:val="000000"/>
                <w:szCs w:val="21"/>
                <w:highlight w:val="none"/>
              </w:rPr>
              <w:t>级资质；承担交通机电工程施工的须具备住房和城乡建设主管部门颁发的公路交通工程专业承包公路机电工程分项一级资质；承担房建工程施工的须具备住房和城乡建设主管部门颁发的建筑工程施工总承包</w:t>
            </w:r>
            <w:r>
              <w:rPr>
                <w:rFonts w:hint="eastAsia" w:ascii="Arial" w:hAnsi="Arial" w:cs="Arial"/>
                <w:color w:val="000000"/>
                <w:szCs w:val="21"/>
                <w:highlight w:val="none"/>
                <w:lang w:val="en-US" w:eastAsia="zh-CN"/>
              </w:rPr>
              <w:t>三</w:t>
            </w:r>
            <w:r>
              <w:rPr>
                <w:rFonts w:hint="eastAsia" w:ascii="Arial" w:hAnsi="Arial" w:cs="Arial"/>
                <w:color w:val="000000"/>
                <w:szCs w:val="21"/>
                <w:highlight w:val="none"/>
              </w:rPr>
              <w:t xml:space="preserve">级及以上资质或建筑工程施工总承包乙级及以上资质或施工综合资质； </w:t>
            </w:r>
          </w:p>
          <w:p w14:paraId="0F507D1B">
            <w:pPr>
              <w:rPr>
                <w:rFonts w:hint="eastAsia" w:ascii="Arial" w:hAnsi="Arial" w:cs="Arial"/>
                <w:color w:val="000000"/>
                <w:szCs w:val="21"/>
                <w:highlight w:val="none"/>
              </w:rPr>
            </w:pPr>
            <w:r>
              <w:rPr>
                <w:rFonts w:hint="eastAsia" w:ascii="Arial" w:hAnsi="Arial" w:cs="Arial"/>
                <w:color w:val="000000"/>
                <w:szCs w:val="21"/>
                <w:highlight w:val="none"/>
              </w:rPr>
              <w:t xml:space="preserve">（5）联合体协议约定同一专业分工由两个及以上单位共同承担的， </w:t>
            </w:r>
          </w:p>
          <w:p w14:paraId="1891934A">
            <w:pPr>
              <w:rPr>
                <w:rFonts w:hint="eastAsia" w:ascii="Arial" w:hAnsi="Arial" w:cs="Arial"/>
                <w:color w:val="000000"/>
                <w:szCs w:val="21"/>
                <w:highlight w:val="none"/>
              </w:rPr>
            </w:pPr>
            <w:r>
              <w:rPr>
                <w:rFonts w:hint="eastAsia" w:ascii="Arial" w:hAnsi="Arial" w:cs="Arial"/>
                <w:color w:val="000000"/>
                <w:szCs w:val="21"/>
                <w:highlight w:val="none"/>
              </w:rPr>
              <w:t xml:space="preserve">按照资质等级较低的单位确定资质等级；不同专业分工由不同单位分 </w:t>
            </w:r>
          </w:p>
          <w:p w14:paraId="01D73059">
            <w:pPr>
              <w:rPr>
                <w:rFonts w:hint="eastAsia" w:ascii="Arial" w:hAnsi="Arial" w:cs="Arial"/>
                <w:color w:val="000000"/>
                <w:szCs w:val="21"/>
                <w:highlight w:val="none"/>
              </w:rPr>
            </w:pPr>
            <w:r>
              <w:rPr>
                <w:rFonts w:hint="eastAsia" w:ascii="Arial" w:hAnsi="Arial" w:cs="Arial"/>
                <w:color w:val="000000"/>
                <w:szCs w:val="21"/>
                <w:highlight w:val="none"/>
              </w:rPr>
              <w:t xml:space="preserve">别承担的，按照各自的专业资质确定联合体的资质； </w:t>
            </w:r>
          </w:p>
          <w:p w14:paraId="76CFD2D0">
            <w:pPr>
              <w:rPr>
                <w:rFonts w:hint="eastAsia" w:ascii="Arial" w:hAnsi="Arial" w:cs="Arial"/>
                <w:color w:val="000000"/>
                <w:szCs w:val="21"/>
                <w:highlight w:val="none"/>
              </w:rPr>
            </w:pPr>
            <w:r>
              <w:rPr>
                <w:rFonts w:hint="eastAsia" w:ascii="Arial" w:hAnsi="Arial" w:cs="Arial"/>
                <w:color w:val="000000"/>
                <w:szCs w:val="21"/>
                <w:highlight w:val="none"/>
              </w:rPr>
              <w:t xml:space="preserve">（6）以联合体形式参与投标时，联合体各方不得再以自己名义单 </w:t>
            </w:r>
          </w:p>
          <w:p w14:paraId="2B172BDB">
            <w:pPr>
              <w:rPr>
                <w:rFonts w:hint="eastAsia" w:ascii="Arial" w:hAnsi="Arial" w:cs="Arial"/>
                <w:color w:val="000000"/>
                <w:szCs w:val="21"/>
                <w:highlight w:val="none"/>
              </w:rPr>
            </w:pPr>
            <w:r>
              <w:rPr>
                <w:rFonts w:hint="eastAsia" w:ascii="Arial" w:hAnsi="Arial" w:cs="Arial"/>
                <w:color w:val="000000"/>
                <w:szCs w:val="21"/>
                <w:highlight w:val="none"/>
              </w:rPr>
              <w:t>独或参加其他联合体在本项目中投标，否则相关投标均无效。</w:t>
            </w:r>
          </w:p>
          <w:p w14:paraId="60E92093">
            <w:pPr>
              <w:pStyle w:val="4"/>
              <w:topLinePunct/>
              <w:spacing w:after="0"/>
              <w:rPr>
                <w:rFonts w:ascii="Arial" w:hAnsi="Arial" w:cs="Arial"/>
                <w:sz w:val="21"/>
                <w:szCs w:val="21"/>
                <w:highlight w:val="none"/>
              </w:rPr>
            </w:pPr>
            <w:r>
              <w:rPr>
                <w:rFonts w:hint="eastAsia" w:ascii="Arial" w:hAnsi="Arial" w:cs="Arial"/>
                <w:sz w:val="21"/>
                <w:szCs w:val="21"/>
                <w:highlight w:val="none"/>
              </w:rPr>
              <w:t>（7）联合体各方应按招标文件提供的格式签订联合体协议书，明确联合体牵头人和各方权利义务，联合体各方就中标项目向招标人承担连带责任。</w:t>
            </w:r>
          </w:p>
          <w:p w14:paraId="7B7A3FD5">
            <w:pPr>
              <w:rPr>
                <w:rFonts w:hint="eastAsia" w:ascii="Arial" w:hAnsi="Arial" w:cs="Arial"/>
                <w:color w:val="000000"/>
                <w:szCs w:val="21"/>
              </w:rPr>
            </w:pPr>
            <w:r>
              <w:rPr>
                <w:rFonts w:hint="eastAsia" w:ascii="Arial" w:hAnsi="Arial" w:cs="Arial"/>
                <w:szCs w:val="21"/>
                <w:highlight w:val="none"/>
              </w:rPr>
              <w:t xml:space="preserve">（8）联合体各方成员应在鄂尔多斯市建设工程交易中心办理主体库申请业务,并申请CA锁，联合体报名方式详见“鄂尔多斯市公共资源交易中心网-办事指南-[帮助文档]联合体报名操作流程的帮助文档 2017.8.1”。 </w:t>
            </w:r>
            <w:r>
              <w:rPr>
                <w:rFonts w:hint="eastAsia" w:ascii="Arial" w:hAnsi="Arial" w:cs="Arial"/>
                <w:szCs w:val="21"/>
                <w:highlight w:val="none"/>
              </w:rPr>
              <w:br w:type="textWrapping"/>
            </w:r>
            <w:r>
              <w:rPr>
                <w:rFonts w:hint="eastAsia" w:ascii="Arial" w:hAnsi="Arial" w:cs="Arial"/>
                <w:b/>
                <w:bCs/>
                <w:szCs w:val="21"/>
              </w:rPr>
              <w:t>注：若为独立投标人则满足全部资质要求。</w:t>
            </w:r>
            <w:r>
              <w:rPr>
                <w:rFonts w:hint="eastAsia" w:ascii="Arial" w:hAnsi="Arial" w:cs="Arial"/>
                <w:b/>
                <w:bCs/>
                <w:color w:val="000000"/>
                <w:szCs w:val="21"/>
              </w:rPr>
              <w:t xml:space="preserve"> </w:t>
            </w:r>
          </w:p>
        </w:tc>
      </w:tr>
      <w:tr w14:paraId="6A23745A">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466" w:hRule="atLeast"/>
          <w:jc w:val="center"/>
        </w:trPr>
        <w:tc>
          <w:tcPr>
            <w:tcW w:w="594" w:type="pct"/>
            <w:vMerge w:val="continue"/>
            <w:noWrap w:val="0"/>
            <w:vAlign w:val="center"/>
          </w:tcPr>
          <w:p w14:paraId="39E725FE">
            <w:pPr>
              <w:adjustRightInd w:val="0"/>
              <w:snapToGrid w:val="0"/>
              <w:jc w:val="center"/>
              <w:rPr>
                <w:rFonts w:hint="eastAsia" w:ascii="Arial" w:hAnsi="Arial" w:cs="Arial"/>
                <w:kern w:val="0"/>
                <w:szCs w:val="21"/>
              </w:rPr>
            </w:pPr>
          </w:p>
        </w:tc>
        <w:tc>
          <w:tcPr>
            <w:tcW w:w="918" w:type="pct"/>
            <w:noWrap w:val="0"/>
            <w:vAlign w:val="center"/>
          </w:tcPr>
          <w:p w14:paraId="46231605">
            <w:pPr>
              <w:pStyle w:val="6"/>
              <w:topLinePunct/>
              <w:adjustRightInd w:val="0"/>
              <w:snapToGrid w:val="0"/>
              <w:spacing w:before="0" w:beforeAutospacing="0" w:after="0" w:afterAutospacing="0" w:line="280" w:lineRule="exact"/>
              <w:jc w:val="center"/>
              <w:rPr>
                <w:rFonts w:ascii="Arial" w:hAnsi="Arial" w:cs="Arial"/>
                <w:sz w:val="21"/>
                <w:szCs w:val="21"/>
              </w:rPr>
            </w:pPr>
            <w:r>
              <w:rPr>
                <w:rFonts w:ascii="Arial" w:hAnsi="Arial" w:cs="Arial"/>
                <w:sz w:val="21"/>
                <w:szCs w:val="21"/>
              </w:rPr>
              <w:t xml:space="preserve">试验检测机 </w:t>
            </w:r>
          </w:p>
          <w:p w14:paraId="64ED1DB8">
            <w:pPr>
              <w:pStyle w:val="6"/>
              <w:topLinePunct/>
              <w:adjustRightInd w:val="0"/>
              <w:snapToGrid w:val="0"/>
              <w:spacing w:before="0" w:beforeAutospacing="0" w:after="0" w:afterAutospacing="0" w:line="280" w:lineRule="exact"/>
              <w:jc w:val="center"/>
              <w:rPr>
                <w:rFonts w:ascii="Arial" w:hAnsi="Arial" w:cs="Arial"/>
                <w:sz w:val="21"/>
                <w:szCs w:val="21"/>
              </w:rPr>
            </w:pPr>
            <w:r>
              <w:rPr>
                <w:rFonts w:hint="eastAsia" w:ascii="Arial" w:hAnsi="Arial" w:cs="Arial"/>
                <w:sz w:val="21"/>
                <w:szCs w:val="21"/>
              </w:rPr>
              <w:t xml:space="preserve">构资质 </w:t>
            </w:r>
          </w:p>
        </w:tc>
        <w:tc>
          <w:tcPr>
            <w:tcW w:w="3488" w:type="pct"/>
            <w:noWrap w:val="0"/>
            <w:vAlign w:val="center"/>
          </w:tcPr>
          <w:p w14:paraId="3C942FD5">
            <w:pPr>
              <w:rPr>
                <w:rFonts w:hint="eastAsia" w:ascii="Arial" w:hAnsi="Arial" w:cs="Arial"/>
                <w:color w:val="000000"/>
                <w:szCs w:val="21"/>
              </w:rPr>
            </w:pPr>
            <w:r>
              <w:rPr>
                <w:rFonts w:hint="eastAsia" w:ascii="Arial" w:hAnsi="Arial" w:cs="Arial"/>
                <w:color w:val="000000"/>
                <w:szCs w:val="21"/>
              </w:rPr>
              <w:t>自有或委托具有省级及以上交通质量监督机构颁发的公路工程</w:t>
            </w:r>
            <w:r>
              <w:rPr>
                <w:rFonts w:hint="eastAsia" w:ascii="Arial" w:hAnsi="Arial" w:cs="Arial"/>
                <w:color w:val="000000"/>
                <w:szCs w:val="21"/>
                <w:lang w:val="en-US" w:eastAsia="zh-CN"/>
              </w:rPr>
              <w:t>专业</w:t>
            </w:r>
            <w:r>
              <w:rPr>
                <w:rFonts w:hint="eastAsia" w:ascii="Arial" w:hAnsi="Arial" w:cs="Arial"/>
                <w:color w:val="000000"/>
                <w:szCs w:val="21"/>
              </w:rPr>
              <w:t>乙级及以上试验检测资质的试验检测机构，且该试验检测机构在“公路水运工程质量检测管理信息系统”中“试验检测机构查询”查询属实并在有效期内。投标人须提供试验检测机构为本项目设立工地试验室出具的承诺书。</w:t>
            </w:r>
          </w:p>
        </w:tc>
      </w:tr>
      <w:tr w14:paraId="22949041">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466" w:hRule="atLeast"/>
          <w:jc w:val="center"/>
        </w:trPr>
        <w:tc>
          <w:tcPr>
            <w:tcW w:w="594" w:type="pct"/>
            <w:vMerge w:val="continue"/>
            <w:noWrap w:val="0"/>
            <w:vAlign w:val="center"/>
          </w:tcPr>
          <w:p w14:paraId="50E7529E">
            <w:pPr>
              <w:adjustRightInd w:val="0"/>
              <w:snapToGrid w:val="0"/>
              <w:jc w:val="center"/>
              <w:rPr>
                <w:rFonts w:hint="eastAsia" w:ascii="Arial" w:hAnsi="Arial" w:cs="Arial"/>
                <w:kern w:val="0"/>
                <w:szCs w:val="21"/>
              </w:rPr>
            </w:pPr>
          </w:p>
        </w:tc>
        <w:tc>
          <w:tcPr>
            <w:tcW w:w="918" w:type="pct"/>
            <w:noWrap w:val="0"/>
            <w:vAlign w:val="center"/>
          </w:tcPr>
          <w:p w14:paraId="7A12D37A">
            <w:pPr>
              <w:pStyle w:val="6"/>
              <w:topLinePunct/>
              <w:adjustRightInd w:val="0"/>
              <w:snapToGrid w:val="0"/>
              <w:spacing w:before="0" w:beforeAutospacing="0" w:after="0" w:afterAutospacing="0" w:line="280" w:lineRule="exact"/>
              <w:jc w:val="center"/>
              <w:rPr>
                <w:rFonts w:ascii="Arial" w:hAnsi="Arial" w:cs="Arial"/>
                <w:kern w:val="21"/>
                <w:sz w:val="21"/>
                <w:szCs w:val="21"/>
              </w:rPr>
            </w:pPr>
            <w:r>
              <w:rPr>
                <w:rFonts w:ascii="Arial" w:hAnsi="Arial" w:cs="Arial"/>
                <w:kern w:val="21"/>
                <w:sz w:val="21"/>
                <w:szCs w:val="21"/>
              </w:rPr>
              <w:t>安全生产许可证</w:t>
            </w:r>
          </w:p>
        </w:tc>
        <w:tc>
          <w:tcPr>
            <w:tcW w:w="3488" w:type="pct"/>
            <w:noWrap w:val="0"/>
            <w:vAlign w:val="center"/>
          </w:tcPr>
          <w:p w14:paraId="24D3142B">
            <w:pPr>
              <w:rPr>
                <w:rFonts w:ascii="Arial" w:hAnsi="Arial" w:cs="Arial"/>
                <w:b/>
                <w:bCs/>
                <w:szCs w:val="21"/>
              </w:rPr>
            </w:pPr>
            <w:r>
              <w:rPr>
                <w:rFonts w:ascii="Arial" w:hAnsi="Arial" w:cs="Arial"/>
                <w:szCs w:val="21"/>
              </w:rPr>
              <w:t>具有有效安全生产许可证证</w:t>
            </w:r>
            <w:r>
              <w:rPr>
                <w:rFonts w:hint="eastAsia" w:ascii="Arial" w:hAnsi="Arial" w:cs="Arial"/>
                <w:b/>
                <w:bCs/>
                <w:szCs w:val="21"/>
              </w:rPr>
              <w:t xml:space="preserve">（如为联合体投标，联合体各方均须满 </w:t>
            </w:r>
          </w:p>
          <w:p w14:paraId="4175AA2B">
            <w:pPr>
              <w:rPr>
                <w:rFonts w:hint="eastAsia" w:ascii="Arial" w:hAnsi="Arial" w:cs="Arial"/>
                <w:szCs w:val="21"/>
              </w:rPr>
            </w:pPr>
            <w:r>
              <w:rPr>
                <w:rFonts w:hint="eastAsia" w:ascii="Arial" w:hAnsi="Arial" w:cs="Arial"/>
                <w:b/>
                <w:bCs/>
                <w:szCs w:val="21"/>
              </w:rPr>
              <w:t>足）。</w:t>
            </w:r>
          </w:p>
        </w:tc>
      </w:tr>
    </w:tbl>
    <w:p w14:paraId="44CCF67F">
      <w:pPr>
        <w:pStyle w:val="2"/>
        <w:numPr>
          <w:ilvl w:val="2"/>
          <w:numId w:val="0"/>
        </w:numPr>
        <w:spacing w:after="0" w:line="600" w:lineRule="auto"/>
        <w:jc w:val="center"/>
        <w:rPr>
          <w:rFonts w:eastAsia="黑体" w:cs="Arial"/>
          <w:b/>
          <w:spacing w:val="0"/>
          <w:kern w:val="2"/>
          <w:sz w:val="30"/>
          <w:szCs w:val="30"/>
        </w:rPr>
      </w:pPr>
      <w:r>
        <w:rPr>
          <w:rFonts w:eastAsia="黑体" w:cs="Arial"/>
          <w:b/>
          <w:spacing w:val="0"/>
          <w:kern w:val="2"/>
          <w:sz w:val="30"/>
          <w:szCs w:val="30"/>
        </w:rPr>
        <w:t>附录2  资格审查条件（财务最低要求）</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108" w:type="dxa"/>
          <w:bottom w:w="0" w:type="dxa"/>
          <w:right w:w="108" w:type="dxa"/>
        </w:tblCellMar>
      </w:tblPr>
      <w:tblGrid>
        <w:gridCol w:w="1401"/>
        <w:gridCol w:w="7121"/>
      </w:tblGrid>
      <w:tr w14:paraId="76A9A2CE">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531" w:hRule="atLeast"/>
          <w:jc w:val="center"/>
        </w:trPr>
        <w:tc>
          <w:tcPr>
            <w:tcW w:w="822" w:type="pct"/>
            <w:noWrap w:val="0"/>
            <w:vAlign w:val="center"/>
          </w:tcPr>
          <w:p w14:paraId="7F966CB9">
            <w:pPr>
              <w:jc w:val="center"/>
              <w:rPr>
                <w:rFonts w:ascii="Arial" w:hAnsi="Arial" w:cs="Arial"/>
                <w:b/>
                <w:szCs w:val="21"/>
              </w:rPr>
            </w:pPr>
            <w:r>
              <w:rPr>
                <w:rFonts w:ascii="Arial" w:hAnsi="Arial" w:cs="Arial"/>
                <w:b/>
                <w:szCs w:val="21"/>
              </w:rPr>
              <w:t>标段</w:t>
            </w:r>
            <w:r>
              <w:rPr>
                <w:rFonts w:hint="eastAsia" w:ascii="Arial" w:hAnsi="Arial" w:cs="Arial"/>
                <w:b/>
                <w:szCs w:val="21"/>
              </w:rPr>
              <w:t>名称</w:t>
            </w:r>
          </w:p>
        </w:tc>
        <w:tc>
          <w:tcPr>
            <w:tcW w:w="4178" w:type="pct"/>
            <w:noWrap w:val="0"/>
            <w:vAlign w:val="center"/>
          </w:tcPr>
          <w:p w14:paraId="063C34A1">
            <w:pPr>
              <w:jc w:val="center"/>
              <w:rPr>
                <w:rFonts w:ascii="Arial" w:hAnsi="Arial" w:cs="Arial"/>
                <w:b/>
                <w:szCs w:val="21"/>
              </w:rPr>
            </w:pPr>
            <w:r>
              <w:rPr>
                <w:rFonts w:ascii="Arial" w:hAnsi="Arial" w:cs="Arial"/>
                <w:b/>
                <w:szCs w:val="21"/>
              </w:rPr>
              <w:t>财务要求</w:t>
            </w:r>
          </w:p>
        </w:tc>
      </w:tr>
      <w:tr w14:paraId="2517C2F9">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834" w:hRule="atLeast"/>
          <w:jc w:val="center"/>
        </w:trPr>
        <w:tc>
          <w:tcPr>
            <w:tcW w:w="822" w:type="pct"/>
            <w:noWrap w:val="0"/>
            <w:vAlign w:val="center"/>
          </w:tcPr>
          <w:p w14:paraId="63D48ECC">
            <w:pPr>
              <w:adjustRightInd w:val="0"/>
              <w:snapToGrid w:val="0"/>
              <w:jc w:val="center"/>
              <w:rPr>
                <w:rFonts w:ascii="Arial" w:hAnsi="Arial" w:cs="Arial"/>
                <w:spacing w:val="-4"/>
                <w:szCs w:val="21"/>
              </w:rPr>
            </w:pPr>
            <w:r>
              <w:rPr>
                <w:rFonts w:hint="eastAsia" w:ascii="Arial" w:hAnsi="Arial" w:cs="Arial"/>
                <w:kern w:val="0"/>
                <w:szCs w:val="21"/>
              </w:rPr>
              <w:t>施工标段</w:t>
            </w:r>
          </w:p>
        </w:tc>
        <w:tc>
          <w:tcPr>
            <w:tcW w:w="4178" w:type="pct"/>
            <w:noWrap w:val="0"/>
            <w:vAlign w:val="center"/>
          </w:tcPr>
          <w:p w14:paraId="385E4242">
            <w:pPr>
              <w:rPr>
                <w:rFonts w:ascii="Arial" w:hAnsi="Arial" w:cs="Arial"/>
                <w:szCs w:val="21"/>
              </w:rPr>
            </w:pPr>
            <w:r>
              <w:rPr>
                <w:rFonts w:hint="eastAsia" w:ascii="Arial" w:hAnsi="Arial" w:cs="Arial"/>
                <w:szCs w:val="21"/>
              </w:rPr>
              <w:t>近三年的财务审计报告中年平均营业额应不小于3500万元人民币（以2021年度-2023年度财务审计报告中显示的“营业收入”为准）。</w:t>
            </w:r>
            <w:r>
              <w:rPr>
                <w:rFonts w:hint="eastAsia" w:ascii="Arial" w:hAnsi="Arial" w:cs="Arial"/>
                <w:b/>
                <w:bCs/>
                <w:szCs w:val="21"/>
              </w:rPr>
              <w:t>（如为联合体投标，以牵头财务审计报告中显示的“营业收入”为准）。</w:t>
            </w:r>
          </w:p>
        </w:tc>
      </w:tr>
    </w:tbl>
    <w:p w14:paraId="037D83CA">
      <w:pPr>
        <w:rPr>
          <w:rFonts w:ascii="Arial" w:hAnsi="Arial" w:cs="Arial"/>
          <w:b/>
          <w:color w:val="000000"/>
          <w:sz w:val="18"/>
          <w:szCs w:val="18"/>
        </w:rPr>
      </w:pPr>
      <w:r>
        <w:rPr>
          <w:rFonts w:ascii="Arial" w:hAnsi="Arial" w:cs="Arial"/>
          <w:b/>
          <w:color w:val="000000"/>
          <w:sz w:val="18"/>
          <w:szCs w:val="18"/>
        </w:rPr>
        <w:t>注：如投标人成立不足3年，则以公司成立之后相应年度计算。</w:t>
      </w:r>
    </w:p>
    <w:p w14:paraId="3116DF01">
      <w:pPr>
        <w:pStyle w:val="2"/>
        <w:numPr>
          <w:ilvl w:val="2"/>
          <w:numId w:val="0"/>
        </w:numPr>
        <w:spacing w:after="0" w:line="600" w:lineRule="auto"/>
        <w:jc w:val="center"/>
        <w:rPr>
          <w:rFonts w:eastAsia="黑体" w:cs="Arial"/>
          <w:b/>
          <w:spacing w:val="0"/>
          <w:kern w:val="2"/>
          <w:sz w:val="30"/>
          <w:szCs w:val="30"/>
        </w:rPr>
      </w:pPr>
      <w:r>
        <w:rPr>
          <w:rFonts w:eastAsia="黑体" w:cs="Arial"/>
          <w:b/>
          <w:spacing w:val="0"/>
          <w:kern w:val="2"/>
          <w:sz w:val="30"/>
          <w:szCs w:val="30"/>
        </w:rPr>
        <w:t>附录3  资格审查条件（业绩最低要求）</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28"/>
        <w:gridCol w:w="7094"/>
      </w:tblGrid>
      <w:tr w14:paraId="590C8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7" w:hRule="atLeast"/>
          <w:jc w:val="center"/>
        </w:trPr>
        <w:tc>
          <w:tcPr>
            <w:tcW w:w="838" w:type="pct"/>
            <w:noWrap w:val="0"/>
            <w:vAlign w:val="center"/>
          </w:tcPr>
          <w:p w14:paraId="329EF813">
            <w:pPr>
              <w:jc w:val="center"/>
              <w:rPr>
                <w:rFonts w:ascii="Arial" w:hAnsi="Arial" w:cs="Arial"/>
                <w:b/>
                <w:szCs w:val="21"/>
              </w:rPr>
            </w:pPr>
            <w:r>
              <w:rPr>
                <w:rFonts w:ascii="Arial" w:hAnsi="Arial" w:cs="Arial"/>
                <w:b/>
                <w:szCs w:val="21"/>
              </w:rPr>
              <w:t>标段</w:t>
            </w:r>
            <w:r>
              <w:rPr>
                <w:rFonts w:hint="eastAsia" w:ascii="Arial" w:hAnsi="Arial" w:cs="Arial"/>
                <w:b/>
                <w:szCs w:val="21"/>
              </w:rPr>
              <w:t>名称</w:t>
            </w:r>
          </w:p>
        </w:tc>
        <w:tc>
          <w:tcPr>
            <w:tcW w:w="4162" w:type="pct"/>
            <w:noWrap w:val="0"/>
            <w:vAlign w:val="center"/>
          </w:tcPr>
          <w:p w14:paraId="7549B469">
            <w:pPr>
              <w:jc w:val="center"/>
              <w:rPr>
                <w:rFonts w:ascii="Arial" w:hAnsi="Arial" w:cs="Arial"/>
                <w:szCs w:val="21"/>
              </w:rPr>
            </w:pPr>
            <w:r>
              <w:rPr>
                <w:rFonts w:ascii="Arial" w:hAnsi="Arial" w:cs="Arial"/>
                <w:b/>
                <w:szCs w:val="21"/>
              </w:rPr>
              <w:t>业绩要求</w:t>
            </w:r>
          </w:p>
        </w:tc>
      </w:tr>
      <w:tr w14:paraId="54D5D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7" w:hRule="atLeast"/>
          <w:jc w:val="center"/>
        </w:trPr>
        <w:tc>
          <w:tcPr>
            <w:tcW w:w="838" w:type="pct"/>
            <w:noWrap w:val="0"/>
            <w:vAlign w:val="center"/>
          </w:tcPr>
          <w:p w14:paraId="0C29C585">
            <w:pPr>
              <w:adjustRightInd w:val="0"/>
              <w:snapToGrid w:val="0"/>
              <w:jc w:val="center"/>
              <w:rPr>
                <w:rFonts w:ascii="Arial" w:hAnsi="Arial" w:cs="Arial"/>
                <w:kern w:val="0"/>
                <w:szCs w:val="21"/>
              </w:rPr>
            </w:pPr>
            <w:r>
              <w:rPr>
                <w:rFonts w:hint="eastAsia" w:ascii="Arial" w:hAnsi="Arial" w:cs="Arial"/>
                <w:kern w:val="0"/>
                <w:szCs w:val="21"/>
              </w:rPr>
              <w:t>施工标段</w:t>
            </w:r>
          </w:p>
        </w:tc>
        <w:tc>
          <w:tcPr>
            <w:tcW w:w="4162" w:type="pct"/>
            <w:noWrap w:val="0"/>
            <w:vAlign w:val="center"/>
          </w:tcPr>
          <w:p w14:paraId="61CCB989">
            <w:pPr>
              <w:widowControl/>
              <w:topLinePunct/>
              <w:adjustRightInd w:val="0"/>
              <w:snapToGrid w:val="0"/>
              <w:jc w:val="left"/>
              <w:rPr>
                <w:rFonts w:ascii="Arial" w:hAnsi="Arial" w:cs="Arial"/>
                <w:kern w:val="0"/>
                <w:szCs w:val="21"/>
              </w:rPr>
            </w:pPr>
            <w:r>
              <w:rPr>
                <w:rFonts w:hint="eastAsia" w:ascii="Arial" w:hAnsi="Arial" w:cs="Arial"/>
                <w:kern w:val="0"/>
                <w:szCs w:val="21"/>
              </w:rPr>
              <w:t>近五年（2019年10月1日至投标文件递交截止时间，以交工验收时间为准）至少完成过：1项一级及以上公路工程施工（业绩必须同时包含路基工程、路面工程、桥梁工程，且所提供业绩必须为新建项目或改扩建项目）。</w:t>
            </w:r>
            <w:r>
              <w:rPr>
                <w:rFonts w:hint="eastAsia" w:ascii="Arial" w:hAnsi="Arial" w:cs="Arial"/>
                <w:b/>
                <w:bCs/>
                <w:szCs w:val="21"/>
              </w:rPr>
              <w:t>（如为联合体投标，以牵头单位业绩为准）</w:t>
            </w:r>
          </w:p>
        </w:tc>
      </w:tr>
    </w:tbl>
    <w:p w14:paraId="52821AA4">
      <w:pPr>
        <w:rPr>
          <w:rFonts w:ascii="Arial" w:hAnsi="Arial" w:eastAsia="黑体" w:cs="Arial"/>
          <w:b/>
          <w:color w:val="000000"/>
          <w:sz w:val="18"/>
          <w:szCs w:val="18"/>
        </w:rPr>
      </w:pPr>
      <w:r>
        <w:rPr>
          <w:rFonts w:ascii="Arial" w:hAnsi="Arial" w:eastAsia="黑体" w:cs="Arial"/>
          <w:color w:val="000000"/>
          <w:sz w:val="18"/>
          <w:szCs w:val="18"/>
        </w:rPr>
        <w:t>注：</w:t>
      </w:r>
      <w:r>
        <w:rPr>
          <w:rFonts w:hint="eastAsia" w:ascii="Arial" w:hAnsi="Arial" w:eastAsia="黑体" w:cs="Arial"/>
          <w:b/>
          <w:color w:val="000000"/>
          <w:sz w:val="18"/>
          <w:szCs w:val="18"/>
        </w:rPr>
        <w:t>在对投标人进行施工业绩审查时，与投标人具有投资参股关系的关联企业，或具有直接管理和被管理关系的母子公司的业绩不能作为投标人的业绩</w:t>
      </w:r>
      <w:r>
        <w:rPr>
          <w:rFonts w:ascii="Arial" w:hAnsi="Arial" w:eastAsia="黑体" w:cs="Arial"/>
          <w:b/>
          <w:color w:val="000000"/>
          <w:sz w:val="18"/>
          <w:szCs w:val="18"/>
        </w:rPr>
        <w:t>。</w:t>
      </w:r>
    </w:p>
    <w:p w14:paraId="77416015">
      <w:pPr>
        <w:rPr>
          <w:rFonts w:eastAsia="黑体" w:cs="Arial"/>
          <w:b/>
          <w:spacing w:val="0"/>
          <w:kern w:val="2"/>
          <w:sz w:val="30"/>
          <w:szCs w:val="30"/>
        </w:rPr>
      </w:pPr>
      <w:r>
        <w:rPr>
          <w:rFonts w:eastAsia="黑体" w:cs="Arial"/>
          <w:b/>
          <w:spacing w:val="0"/>
          <w:kern w:val="2"/>
          <w:sz w:val="30"/>
          <w:szCs w:val="30"/>
        </w:rPr>
        <w:br w:type="page"/>
      </w:r>
    </w:p>
    <w:p w14:paraId="620D5A76">
      <w:pPr>
        <w:pStyle w:val="2"/>
        <w:numPr>
          <w:ilvl w:val="2"/>
          <w:numId w:val="0"/>
        </w:numPr>
        <w:spacing w:after="0" w:line="600" w:lineRule="auto"/>
        <w:jc w:val="center"/>
        <w:rPr>
          <w:rFonts w:hint="eastAsia" w:eastAsia="黑体" w:cs="Arial"/>
          <w:b/>
          <w:spacing w:val="0"/>
          <w:kern w:val="2"/>
          <w:sz w:val="30"/>
          <w:szCs w:val="30"/>
        </w:rPr>
      </w:pPr>
      <w:bookmarkStart w:id="11" w:name="_GoBack"/>
      <w:bookmarkEnd w:id="11"/>
      <w:r>
        <w:rPr>
          <w:rFonts w:eastAsia="黑体" w:cs="Arial"/>
          <w:b/>
          <w:spacing w:val="0"/>
          <w:kern w:val="2"/>
          <w:sz w:val="30"/>
          <w:szCs w:val="30"/>
        </w:rPr>
        <w:t>附录4  资格审查条件（信誉最低要求）</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7785"/>
      </w:tblGrid>
      <w:tr w14:paraId="5AF210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479" w:type="dxa"/>
            <w:noWrap w:val="0"/>
            <w:vAlign w:val="center"/>
          </w:tcPr>
          <w:p w14:paraId="2B376CA9">
            <w:pPr>
              <w:jc w:val="center"/>
              <w:rPr>
                <w:rFonts w:hint="eastAsia" w:ascii="Arial" w:hAnsi="Arial" w:cs="Arial"/>
                <w:b/>
                <w:szCs w:val="21"/>
              </w:rPr>
            </w:pPr>
            <w:r>
              <w:rPr>
                <w:rFonts w:ascii="Arial" w:hAnsi="Arial" w:cs="Arial"/>
                <w:b/>
                <w:szCs w:val="21"/>
              </w:rPr>
              <w:t>标段</w:t>
            </w:r>
            <w:r>
              <w:rPr>
                <w:rFonts w:hint="eastAsia" w:ascii="Arial" w:hAnsi="Arial" w:cs="Arial"/>
                <w:b/>
                <w:szCs w:val="21"/>
              </w:rPr>
              <w:t>名称</w:t>
            </w:r>
          </w:p>
        </w:tc>
        <w:tc>
          <w:tcPr>
            <w:tcW w:w="7785" w:type="dxa"/>
            <w:noWrap w:val="0"/>
            <w:vAlign w:val="center"/>
          </w:tcPr>
          <w:p w14:paraId="014CD691">
            <w:pPr>
              <w:jc w:val="center"/>
              <w:rPr>
                <w:rFonts w:ascii="Arial" w:hAnsi="Arial" w:cs="Arial"/>
                <w:b/>
                <w:szCs w:val="21"/>
              </w:rPr>
            </w:pPr>
            <w:r>
              <w:rPr>
                <w:rFonts w:ascii="Arial" w:hAnsi="Arial" w:cs="Arial"/>
                <w:b/>
                <w:szCs w:val="21"/>
              </w:rPr>
              <w:t>信誉要求</w:t>
            </w:r>
          </w:p>
        </w:tc>
      </w:tr>
      <w:tr w14:paraId="46F67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1479" w:type="dxa"/>
            <w:noWrap w:val="0"/>
            <w:vAlign w:val="center"/>
          </w:tcPr>
          <w:p w14:paraId="7911886E">
            <w:pPr>
              <w:adjustRightInd w:val="0"/>
              <w:snapToGrid w:val="0"/>
              <w:jc w:val="center"/>
              <w:rPr>
                <w:rFonts w:hint="eastAsia" w:ascii="Arial" w:hAnsi="Arial" w:cs="Arial"/>
                <w:spacing w:val="-4"/>
                <w:szCs w:val="21"/>
              </w:rPr>
            </w:pPr>
            <w:r>
              <w:rPr>
                <w:rFonts w:hint="eastAsia" w:ascii="Arial" w:hAnsi="Arial" w:cs="Arial"/>
                <w:kern w:val="0"/>
                <w:szCs w:val="21"/>
              </w:rPr>
              <w:t>施工标段</w:t>
            </w:r>
          </w:p>
        </w:tc>
        <w:tc>
          <w:tcPr>
            <w:tcW w:w="7785" w:type="dxa"/>
            <w:noWrap w:val="0"/>
            <w:vAlign w:val="center"/>
          </w:tcPr>
          <w:p w14:paraId="1652555B">
            <w:pPr>
              <w:adjustRightInd w:val="0"/>
              <w:snapToGrid w:val="0"/>
              <w:rPr>
                <w:rFonts w:ascii="Arial" w:hAnsi="Arial" w:cs="Arial"/>
                <w:szCs w:val="21"/>
              </w:rPr>
            </w:pPr>
            <w:r>
              <w:rPr>
                <w:rFonts w:ascii="Arial" w:hAnsi="Arial" w:cs="Arial"/>
                <w:szCs w:val="21"/>
              </w:rPr>
              <w:t>投标人</w:t>
            </w:r>
            <w:r>
              <w:rPr>
                <w:rFonts w:ascii="Arial" w:hAnsi="Arial" w:cs="Arial"/>
                <w:b/>
                <w:bCs/>
                <w:szCs w:val="21"/>
              </w:rPr>
              <w:t>（包括联合体各成员）</w:t>
            </w:r>
            <w:r>
              <w:rPr>
                <w:rFonts w:ascii="Arial" w:hAnsi="Arial" w:cs="Arial"/>
                <w:szCs w:val="21"/>
              </w:rPr>
              <w:t>不得存在下列不良状况或不良信用记录：</w:t>
            </w:r>
          </w:p>
          <w:p w14:paraId="0DBDDE26">
            <w:pPr>
              <w:adjustRightInd w:val="0"/>
              <w:snapToGrid w:val="0"/>
              <w:rPr>
                <w:rFonts w:ascii="Arial" w:hAnsi="Arial" w:cs="Arial"/>
                <w:szCs w:val="21"/>
              </w:rPr>
            </w:pPr>
            <w:r>
              <w:rPr>
                <w:rFonts w:ascii="Arial" w:hAnsi="Arial" w:cs="Arial"/>
                <w:szCs w:val="21"/>
              </w:rPr>
              <w:t>（1）被省级及以上交通运输主管部门取消招标项目所在地的投标资格且处于有效期内；</w:t>
            </w:r>
          </w:p>
          <w:p w14:paraId="1C4D91C3">
            <w:pPr>
              <w:adjustRightInd w:val="0"/>
              <w:snapToGrid w:val="0"/>
              <w:rPr>
                <w:rFonts w:ascii="Arial" w:hAnsi="Arial" w:cs="Arial"/>
                <w:szCs w:val="21"/>
              </w:rPr>
            </w:pPr>
            <w:r>
              <w:rPr>
                <w:rFonts w:ascii="Arial" w:hAnsi="Arial" w:cs="Arial"/>
                <w:szCs w:val="21"/>
              </w:rPr>
              <w:t>（2）被责令停业，暂扣或吊销执照，或吊销资质证书；</w:t>
            </w:r>
          </w:p>
          <w:p w14:paraId="1E4417B9">
            <w:pPr>
              <w:adjustRightInd w:val="0"/>
              <w:snapToGrid w:val="0"/>
              <w:rPr>
                <w:rFonts w:ascii="Arial" w:hAnsi="Arial" w:cs="Arial"/>
                <w:szCs w:val="21"/>
              </w:rPr>
            </w:pPr>
            <w:r>
              <w:rPr>
                <w:rFonts w:ascii="Arial" w:hAnsi="Arial" w:cs="Arial"/>
                <w:szCs w:val="21"/>
              </w:rPr>
              <w:t>（3）进入清算程序，或被宣告破产，或其他丧失履约能力的情形；</w:t>
            </w:r>
          </w:p>
          <w:p w14:paraId="4648BF62">
            <w:pPr>
              <w:adjustRightInd w:val="0"/>
              <w:snapToGrid w:val="0"/>
              <w:rPr>
                <w:rFonts w:ascii="Arial" w:hAnsi="Arial" w:cs="Arial"/>
                <w:szCs w:val="21"/>
              </w:rPr>
            </w:pPr>
            <w:r>
              <w:rPr>
                <w:rFonts w:ascii="Arial" w:hAnsi="Arial" w:cs="Arial"/>
                <w:szCs w:val="21"/>
              </w:rPr>
              <w:t>（4）在</w:t>
            </w:r>
            <w:r>
              <w:rPr>
                <w:rFonts w:hint="eastAsia" w:ascii="Arial" w:hAnsi="Arial" w:cs="Arial"/>
                <w:szCs w:val="21"/>
              </w:rPr>
              <w:t>“</w:t>
            </w:r>
            <w:r>
              <w:rPr>
                <w:rFonts w:ascii="Arial" w:hAnsi="Arial" w:cs="Arial"/>
                <w:szCs w:val="21"/>
              </w:rPr>
              <w:t>国家企业信用信息公示系统</w:t>
            </w:r>
            <w:r>
              <w:rPr>
                <w:rFonts w:hint="eastAsia" w:ascii="Arial" w:hAnsi="Arial" w:cs="Arial"/>
                <w:szCs w:val="21"/>
              </w:rPr>
              <w:t>”</w:t>
            </w:r>
            <w:r>
              <w:rPr>
                <w:rFonts w:ascii="Arial" w:hAnsi="Arial" w:cs="Arial"/>
                <w:szCs w:val="21"/>
              </w:rPr>
              <w:t>（http://www.gsxt.gov.cn/）中被列入严重违法失信企业名单；</w:t>
            </w:r>
          </w:p>
          <w:p w14:paraId="0186C441">
            <w:pPr>
              <w:adjustRightInd w:val="0"/>
              <w:snapToGrid w:val="0"/>
              <w:rPr>
                <w:rFonts w:ascii="Arial" w:hAnsi="Arial" w:cs="Arial"/>
                <w:szCs w:val="21"/>
              </w:rPr>
            </w:pPr>
            <w:r>
              <w:rPr>
                <w:rFonts w:ascii="Arial" w:hAnsi="Arial" w:cs="Arial"/>
                <w:szCs w:val="21"/>
              </w:rPr>
              <w:t>（5）</w:t>
            </w:r>
            <w:r>
              <w:rPr>
                <w:rFonts w:hint="eastAsia" w:ascii="Arial" w:hAnsi="Arial" w:cs="Arial"/>
                <w:szCs w:val="21"/>
              </w:rPr>
              <w:t>在“中国执行信息公开网（http://zxgk.court.gov.cn/）”中被列入失信被执行人名单</w:t>
            </w:r>
            <w:r>
              <w:rPr>
                <w:rFonts w:ascii="Arial" w:hAnsi="Arial" w:cs="Arial"/>
                <w:szCs w:val="21"/>
              </w:rPr>
              <w:t>；</w:t>
            </w:r>
          </w:p>
          <w:p w14:paraId="60B1C185">
            <w:pPr>
              <w:ind w:left="6"/>
              <w:rPr>
                <w:rFonts w:ascii="Arial" w:hAnsi="Arial" w:cs="Arial"/>
                <w:spacing w:val="-6"/>
                <w:szCs w:val="21"/>
              </w:rPr>
            </w:pPr>
            <w:r>
              <w:rPr>
                <w:rFonts w:ascii="Arial" w:hAnsi="Arial" w:cs="Arial"/>
                <w:szCs w:val="21"/>
              </w:rPr>
              <w:t>（6）法律法规规定的其他情形。</w:t>
            </w:r>
          </w:p>
        </w:tc>
      </w:tr>
    </w:tbl>
    <w:p w14:paraId="5D815D4C">
      <w:pPr>
        <w:rPr>
          <w:rFonts w:ascii="黑体" w:hAnsi="黑体" w:eastAsia="黑体"/>
          <w:b/>
        </w:rPr>
      </w:pPr>
      <w:bookmarkStart w:id="0" w:name="_Toc288047666"/>
      <w:bookmarkStart w:id="1" w:name="_Toc288047591"/>
      <w:bookmarkStart w:id="2" w:name="_Toc288047048"/>
      <w:bookmarkStart w:id="3" w:name="_Toc247192522"/>
      <w:bookmarkStart w:id="4" w:name="_Toc288046640"/>
      <w:bookmarkStart w:id="5" w:name="_Toc446926756"/>
    </w:p>
    <w:p w14:paraId="4EC90C7E">
      <w:pPr>
        <w:pStyle w:val="2"/>
        <w:numPr>
          <w:ilvl w:val="2"/>
          <w:numId w:val="0"/>
        </w:numPr>
        <w:spacing w:after="0" w:line="600" w:lineRule="auto"/>
        <w:jc w:val="center"/>
        <w:rPr>
          <w:rFonts w:eastAsia="黑体" w:cs="Arial"/>
          <w:b/>
          <w:spacing w:val="0"/>
          <w:kern w:val="2"/>
          <w:sz w:val="30"/>
          <w:szCs w:val="30"/>
        </w:rPr>
      </w:pPr>
      <w:r>
        <w:rPr>
          <w:rFonts w:eastAsia="黑体" w:cs="Arial"/>
          <w:b/>
          <w:spacing w:val="0"/>
          <w:kern w:val="2"/>
          <w:sz w:val="30"/>
          <w:szCs w:val="30"/>
        </w:rPr>
        <w:t xml:space="preserve">附录5  </w:t>
      </w:r>
      <w:bookmarkEnd w:id="0"/>
      <w:bookmarkEnd w:id="1"/>
      <w:bookmarkEnd w:id="2"/>
      <w:bookmarkEnd w:id="3"/>
      <w:bookmarkEnd w:id="4"/>
      <w:r>
        <w:rPr>
          <w:rFonts w:eastAsia="黑体" w:cs="Arial"/>
          <w:b/>
          <w:spacing w:val="0"/>
          <w:kern w:val="2"/>
          <w:sz w:val="30"/>
          <w:szCs w:val="30"/>
        </w:rPr>
        <w:t>资格审查条件（</w:t>
      </w:r>
      <w:r>
        <w:rPr>
          <w:rFonts w:hint="eastAsia" w:eastAsia="黑体" w:cs="Arial"/>
          <w:b/>
          <w:spacing w:val="0"/>
          <w:kern w:val="2"/>
          <w:sz w:val="30"/>
          <w:szCs w:val="30"/>
        </w:rPr>
        <w:t>项目经理和项目总工最低要求</w:t>
      </w:r>
      <w:r>
        <w:rPr>
          <w:rFonts w:eastAsia="黑体" w:cs="Arial"/>
          <w:b/>
          <w:spacing w:val="0"/>
          <w:kern w:val="2"/>
          <w:sz w:val="30"/>
          <w:szCs w:val="30"/>
        </w:rPr>
        <w:t>）</w:t>
      </w:r>
      <w:bookmarkEnd w:id="5"/>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85" w:type="dxa"/>
          <w:bottom w:w="0" w:type="dxa"/>
          <w:right w:w="85" w:type="dxa"/>
        </w:tblCellMar>
      </w:tblPr>
      <w:tblGrid>
        <w:gridCol w:w="858"/>
        <w:gridCol w:w="656"/>
        <w:gridCol w:w="781"/>
        <w:gridCol w:w="5082"/>
        <w:gridCol w:w="1099"/>
      </w:tblGrid>
      <w:tr w14:paraId="273D0D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85" w:type="dxa"/>
            <w:bottom w:w="0" w:type="dxa"/>
            <w:right w:w="85" w:type="dxa"/>
          </w:tblCellMar>
        </w:tblPrEx>
        <w:trPr>
          <w:cantSplit/>
          <w:trHeight w:val="293" w:hRule="atLeast"/>
          <w:tblHeader/>
          <w:jc w:val="center"/>
        </w:trPr>
        <w:tc>
          <w:tcPr>
            <w:tcW w:w="506" w:type="pct"/>
            <w:noWrap w:val="0"/>
            <w:vAlign w:val="center"/>
          </w:tcPr>
          <w:p w14:paraId="5BE62F1F">
            <w:pPr>
              <w:jc w:val="center"/>
              <w:rPr>
                <w:rFonts w:hint="eastAsia" w:ascii="Arial" w:hAnsi="Arial" w:cs="Arial"/>
                <w:b/>
                <w:szCs w:val="21"/>
              </w:rPr>
            </w:pPr>
            <w:r>
              <w:rPr>
                <w:rFonts w:ascii="Arial" w:hAnsi="Arial" w:cs="Arial"/>
                <w:b/>
                <w:szCs w:val="21"/>
              </w:rPr>
              <w:t>标段</w:t>
            </w:r>
          </w:p>
          <w:p w14:paraId="3F0DDE69">
            <w:pPr>
              <w:jc w:val="center"/>
              <w:rPr>
                <w:rFonts w:hint="eastAsia" w:ascii="Arial" w:hAnsi="Arial" w:cs="Arial"/>
                <w:b/>
                <w:szCs w:val="21"/>
              </w:rPr>
            </w:pPr>
            <w:r>
              <w:rPr>
                <w:rFonts w:hint="eastAsia" w:ascii="Arial" w:hAnsi="Arial" w:cs="Arial"/>
                <w:b/>
                <w:szCs w:val="21"/>
              </w:rPr>
              <w:t>名称</w:t>
            </w:r>
          </w:p>
        </w:tc>
        <w:tc>
          <w:tcPr>
            <w:tcW w:w="387" w:type="pct"/>
            <w:noWrap w:val="0"/>
            <w:vAlign w:val="center"/>
          </w:tcPr>
          <w:p w14:paraId="077D7E48">
            <w:pPr>
              <w:jc w:val="center"/>
              <w:rPr>
                <w:rFonts w:ascii="Arial" w:hAnsi="Arial" w:cs="Arial"/>
                <w:b/>
                <w:szCs w:val="21"/>
              </w:rPr>
            </w:pPr>
            <w:r>
              <w:rPr>
                <w:rFonts w:ascii="Arial" w:hAnsi="Arial" w:cs="Arial"/>
                <w:b/>
                <w:szCs w:val="21"/>
              </w:rPr>
              <w:t>人员</w:t>
            </w:r>
          </w:p>
        </w:tc>
        <w:tc>
          <w:tcPr>
            <w:tcW w:w="461" w:type="pct"/>
            <w:noWrap w:val="0"/>
            <w:vAlign w:val="center"/>
          </w:tcPr>
          <w:p w14:paraId="75C794B4">
            <w:pPr>
              <w:jc w:val="center"/>
              <w:rPr>
                <w:rFonts w:ascii="Arial" w:hAnsi="Arial" w:cs="Arial"/>
                <w:b/>
                <w:szCs w:val="21"/>
              </w:rPr>
            </w:pPr>
            <w:r>
              <w:rPr>
                <w:rFonts w:ascii="Arial" w:hAnsi="Arial" w:cs="Arial"/>
                <w:b/>
                <w:szCs w:val="21"/>
              </w:rPr>
              <w:t>数量</w:t>
            </w:r>
          </w:p>
        </w:tc>
        <w:tc>
          <w:tcPr>
            <w:tcW w:w="2998" w:type="pct"/>
            <w:noWrap w:val="0"/>
            <w:vAlign w:val="center"/>
          </w:tcPr>
          <w:p w14:paraId="6E03C601">
            <w:pPr>
              <w:jc w:val="center"/>
              <w:rPr>
                <w:rFonts w:ascii="Arial" w:hAnsi="Arial" w:cs="Arial"/>
                <w:b/>
                <w:szCs w:val="21"/>
              </w:rPr>
            </w:pPr>
            <w:r>
              <w:rPr>
                <w:rFonts w:ascii="Arial" w:hAnsi="Arial" w:cs="Arial"/>
                <w:b/>
                <w:szCs w:val="21"/>
              </w:rPr>
              <w:t>资 格 要 求</w:t>
            </w:r>
          </w:p>
        </w:tc>
        <w:tc>
          <w:tcPr>
            <w:tcW w:w="648" w:type="pct"/>
            <w:noWrap w:val="0"/>
            <w:vAlign w:val="center"/>
          </w:tcPr>
          <w:p w14:paraId="6DCC53CA">
            <w:pPr>
              <w:jc w:val="center"/>
              <w:rPr>
                <w:rFonts w:ascii="Arial" w:hAnsi="Arial" w:cs="Arial"/>
                <w:b/>
                <w:szCs w:val="21"/>
              </w:rPr>
            </w:pPr>
            <w:r>
              <w:rPr>
                <w:rFonts w:ascii="Arial" w:hAnsi="Arial" w:cs="Arial"/>
                <w:b/>
                <w:szCs w:val="21"/>
              </w:rPr>
              <w:t>在岗要求</w:t>
            </w:r>
          </w:p>
        </w:tc>
      </w:tr>
      <w:tr w14:paraId="4F146B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85" w:type="dxa"/>
            <w:bottom w:w="0" w:type="dxa"/>
            <w:right w:w="85" w:type="dxa"/>
          </w:tblCellMar>
        </w:tblPrEx>
        <w:trPr>
          <w:cantSplit/>
          <w:trHeight w:val="1535" w:hRule="atLeast"/>
          <w:jc w:val="center"/>
        </w:trPr>
        <w:tc>
          <w:tcPr>
            <w:tcW w:w="506" w:type="pct"/>
            <w:vMerge w:val="restart"/>
            <w:noWrap w:val="0"/>
            <w:vAlign w:val="center"/>
          </w:tcPr>
          <w:p w14:paraId="0D4FA3A1">
            <w:pPr>
              <w:adjustRightInd w:val="0"/>
              <w:snapToGrid w:val="0"/>
              <w:jc w:val="center"/>
              <w:rPr>
                <w:rFonts w:hint="eastAsia" w:ascii="Arial" w:hAnsi="Arial" w:cs="Arial"/>
                <w:szCs w:val="21"/>
              </w:rPr>
            </w:pPr>
            <w:r>
              <w:rPr>
                <w:rFonts w:hint="eastAsia" w:ascii="Arial" w:hAnsi="Arial" w:cs="Arial"/>
                <w:kern w:val="0"/>
                <w:szCs w:val="21"/>
              </w:rPr>
              <w:t>施工标段</w:t>
            </w:r>
          </w:p>
        </w:tc>
        <w:tc>
          <w:tcPr>
            <w:tcW w:w="387" w:type="pct"/>
            <w:noWrap w:val="0"/>
            <w:vAlign w:val="center"/>
          </w:tcPr>
          <w:p w14:paraId="1E81F184">
            <w:pPr>
              <w:ind w:left="3"/>
              <w:jc w:val="center"/>
              <w:rPr>
                <w:rFonts w:hint="eastAsia" w:ascii="Arial" w:hAnsi="Arial" w:cs="Arial"/>
                <w:szCs w:val="21"/>
              </w:rPr>
            </w:pPr>
            <w:r>
              <w:rPr>
                <w:rFonts w:ascii="Arial" w:hAnsi="Arial" w:cs="Arial"/>
                <w:szCs w:val="21"/>
              </w:rPr>
              <w:t>项目</w:t>
            </w:r>
          </w:p>
          <w:p w14:paraId="05D0F70C">
            <w:pPr>
              <w:ind w:left="3"/>
              <w:jc w:val="center"/>
              <w:rPr>
                <w:rFonts w:hint="eastAsia" w:ascii="Arial" w:hAnsi="Arial" w:cs="Arial"/>
                <w:szCs w:val="21"/>
              </w:rPr>
            </w:pPr>
            <w:r>
              <w:rPr>
                <w:rFonts w:ascii="Arial" w:hAnsi="Arial" w:cs="Arial"/>
                <w:szCs w:val="21"/>
              </w:rPr>
              <w:t>经理</w:t>
            </w:r>
          </w:p>
        </w:tc>
        <w:tc>
          <w:tcPr>
            <w:tcW w:w="461" w:type="pct"/>
            <w:noWrap w:val="0"/>
            <w:vAlign w:val="center"/>
          </w:tcPr>
          <w:p w14:paraId="706972DC">
            <w:pPr>
              <w:ind w:left="3"/>
              <w:jc w:val="center"/>
              <w:rPr>
                <w:rFonts w:ascii="Arial" w:hAnsi="Arial" w:cs="Arial"/>
                <w:szCs w:val="21"/>
              </w:rPr>
            </w:pPr>
            <w:r>
              <w:rPr>
                <w:rFonts w:ascii="Arial" w:hAnsi="Arial" w:cs="Arial"/>
                <w:szCs w:val="21"/>
              </w:rPr>
              <w:t>1名</w:t>
            </w:r>
          </w:p>
        </w:tc>
        <w:tc>
          <w:tcPr>
            <w:tcW w:w="2998" w:type="pct"/>
            <w:noWrap w:val="0"/>
            <w:vAlign w:val="center"/>
          </w:tcPr>
          <w:p w14:paraId="5EECC8DD">
            <w:pPr>
              <w:adjustRightInd w:val="0"/>
              <w:snapToGrid w:val="0"/>
              <w:rPr>
                <w:rFonts w:hint="eastAsia" w:ascii="Arial" w:hAnsi="Arial" w:cs="Arial"/>
                <w:szCs w:val="21"/>
              </w:rPr>
            </w:pPr>
            <w:r>
              <w:rPr>
                <w:rFonts w:hint="eastAsia" w:ascii="Arial" w:hAnsi="Arial" w:cs="Arial"/>
                <w:szCs w:val="21"/>
              </w:rPr>
              <w:t>1、路桥相关专业</w:t>
            </w:r>
            <w:r>
              <w:rPr>
                <w:rFonts w:hint="eastAsia" w:ascii="Arial" w:hAnsi="Arial" w:cs="Arial"/>
                <w:szCs w:val="21"/>
                <w:highlight w:val="none"/>
                <w:lang w:val="en-US" w:eastAsia="zh-CN"/>
              </w:rPr>
              <w:t>高级</w:t>
            </w:r>
            <w:r>
              <w:rPr>
                <w:rFonts w:hint="eastAsia" w:ascii="Arial" w:hAnsi="Arial" w:cs="Arial"/>
                <w:szCs w:val="21"/>
                <w:highlight w:val="none"/>
              </w:rPr>
              <w:t>工程师</w:t>
            </w:r>
            <w:r>
              <w:rPr>
                <w:rFonts w:hint="eastAsia" w:ascii="Arial" w:hAnsi="Arial" w:cs="Arial"/>
                <w:szCs w:val="21"/>
              </w:rPr>
              <w:t>及以上职称（以职称证书为准）；</w:t>
            </w:r>
          </w:p>
          <w:p w14:paraId="58AF0DBE">
            <w:pPr>
              <w:adjustRightInd w:val="0"/>
              <w:snapToGrid w:val="0"/>
              <w:rPr>
                <w:rFonts w:ascii="Arial" w:hAnsi="Arial" w:cs="Arial"/>
                <w:bCs/>
                <w:szCs w:val="21"/>
              </w:rPr>
            </w:pPr>
            <w:r>
              <w:rPr>
                <w:rFonts w:hint="eastAsia" w:ascii="Arial" w:hAnsi="Arial" w:cs="Arial"/>
                <w:szCs w:val="21"/>
              </w:rPr>
              <w:t>2、</w:t>
            </w:r>
            <w:r>
              <w:rPr>
                <w:rFonts w:ascii="Arial" w:hAnsi="宋体" w:cs="Arial"/>
                <w:kern w:val="0"/>
                <w:szCs w:val="21"/>
              </w:rPr>
              <w:t>持有公路工程专业</w:t>
            </w:r>
            <w:r>
              <w:rPr>
                <w:rFonts w:hint="eastAsia" w:ascii="Arial" w:hAnsi="宋体" w:cs="Arial"/>
                <w:kern w:val="0"/>
                <w:szCs w:val="21"/>
              </w:rPr>
              <w:t>一级</w:t>
            </w:r>
            <w:r>
              <w:rPr>
                <w:rFonts w:ascii="Arial" w:hAnsi="宋体" w:cs="Arial"/>
                <w:kern w:val="0"/>
                <w:szCs w:val="21"/>
              </w:rPr>
              <w:t>建造师注册证书</w:t>
            </w:r>
            <w:r>
              <w:rPr>
                <w:rFonts w:hint="eastAsia" w:ascii="Arial" w:hAnsi="Arial" w:cs="Arial"/>
                <w:szCs w:val="21"/>
              </w:rPr>
              <w:t>（</w:t>
            </w:r>
            <w:r>
              <w:rPr>
                <w:rFonts w:hint="eastAsia" w:ascii="Arial" w:hAnsi="Arial"/>
                <w:b/>
                <w:bCs/>
                <w:szCs w:val="21"/>
                <w:u w:val="single"/>
              </w:rPr>
              <w:t>要求建造师注册单位名称必须与投标单位名称一致</w:t>
            </w:r>
            <w:r>
              <w:rPr>
                <w:rFonts w:hint="eastAsia" w:ascii="Arial" w:hAnsi="Arial" w:cs="Arial"/>
                <w:szCs w:val="21"/>
              </w:rPr>
              <w:t>）</w:t>
            </w:r>
            <w:r>
              <w:rPr>
                <w:rFonts w:ascii="Arial" w:hAnsi="Arial" w:cs="Arial"/>
                <w:bCs/>
                <w:szCs w:val="21"/>
              </w:rPr>
              <w:t>；</w:t>
            </w:r>
          </w:p>
          <w:p w14:paraId="6FA051EE">
            <w:pPr>
              <w:adjustRightInd w:val="0"/>
              <w:snapToGrid w:val="0"/>
              <w:rPr>
                <w:rFonts w:ascii="Arial" w:hAnsi="Arial" w:cs="Arial"/>
                <w:szCs w:val="21"/>
              </w:rPr>
            </w:pPr>
            <w:r>
              <w:rPr>
                <w:rFonts w:hint="eastAsia" w:ascii="Arial" w:hAnsi="Arial" w:cs="Arial"/>
                <w:szCs w:val="21"/>
              </w:rPr>
              <w:t>3、</w:t>
            </w:r>
            <w:r>
              <w:rPr>
                <w:rFonts w:ascii="Arial" w:hAnsi="Arial" w:cs="Arial"/>
                <w:szCs w:val="21"/>
              </w:rPr>
              <w:t>取得省级交通运输主管部门核发的行业类别代码为G（公路工程）的B类安全生产考核合格证书，且在有效期内</w:t>
            </w:r>
            <w:r>
              <w:rPr>
                <w:rFonts w:ascii="Arial" w:hAnsi="Arial" w:cs="Arial"/>
                <w:b/>
                <w:szCs w:val="21"/>
              </w:rPr>
              <w:t>；</w:t>
            </w:r>
          </w:p>
          <w:p w14:paraId="7D879514">
            <w:pPr>
              <w:adjustRightInd w:val="0"/>
              <w:snapToGrid w:val="0"/>
              <w:rPr>
                <w:rFonts w:ascii="Arial" w:hAnsi="Arial" w:cs="Arial"/>
                <w:szCs w:val="21"/>
              </w:rPr>
            </w:pPr>
            <w:r>
              <w:rPr>
                <w:rFonts w:hint="eastAsia" w:ascii="Arial" w:hAnsi="Arial" w:cs="Arial"/>
                <w:szCs w:val="21"/>
              </w:rPr>
              <w:t>4、</w:t>
            </w:r>
            <w:r>
              <w:rPr>
                <w:rFonts w:ascii="Arial" w:hAnsi="Arial" w:cs="Arial"/>
                <w:szCs w:val="21"/>
              </w:rPr>
              <w:t>必须在本单位参加社保。</w:t>
            </w:r>
          </w:p>
          <w:p w14:paraId="7EA49D7A">
            <w:pPr>
              <w:adjustRightInd w:val="0"/>
              <w:snapToGrid w:val="0"/>
              <w:rPr>
                <w:rFonts w:hint="eastAsia" w:ascii="Arial" w:hAnsi="Arial" w:cs="Arial"/>
                <w:szCs w:val="21"/>
              </w:rPr>
            </w:pPr>
            <w:r>
              <w:rPr>
                <w:rFonts w:hint="eastAsia" w:ascii="Arial" w:hAnsi="Arial" w:cs="Arial"/>
                <w:szCs w:val="21"/>
              </w:rPr>
              <w:t>5、至少担任过 1 项</w:t>
            </w:r>
            <w:r>
              <w:rPr>
                <w:rFonts w:hint="eastAsia" w:ascii="Arial" w:hAnsi="Arial" w:cs="Arial"/>
                <w:kern w:val="0"/>
                <w:szCs w:val="21"/>
              </w:rPr>
              <w:t>一级及以上公路工程施工</w:t>
            </w:r>
            <w:r>
              <w:rPr>
                <w:rFonts w:hint="eastAsia" w:ascii="Arial" w:hAnsi="Arial" w:cs="Arial"/>
                <w:szCs w:val="21"/>
              </w:rPr>
              <w:t>的项目经理或项目副经理职务。</w:t>
            </w:r>
          </w:p>
        </w:tc>
        <w:tc>
          <w:tcPr>
            <w:tcW w:w="648" w:type="pct"/>
            <w:vMerge w:val="restart"/>
            <w:noWrap w:val="0"/>
            <w:vAlign w:val="center"/>
          </w:tcPr>
          <w:p w14:paraId="64F00FD3">
            <w:pPr>
              <w:adjustRightInd w:val="0"/>
              <w:rPr>
                <w:rFonts w:ascii="Arial" w:hAnsi="Arial" w:cs="Arial"/>
                <w:szCs w:val="21"/>
              </w:rPr>
            </w:pPr>
            <w:r>
              <w:rPr>
                <w:rFonts w:ascii="Arial" w:hAnsi="Arial" w:cs="Arial"/>
                <w:bCs/>
                <w:szCs w:val="21"/>
              </w:rPr>
              <w:t>无在岗项目（指目前未在其他项目上任职，或虽在其他项目上任职但本项目中标后能够从该项目撤离）。</w:t>
            </w:r>
          </w:p>
        </w:tc>
      </w:tr>
      <w:tr w14:paraId="752957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85" w:type="dxa"/>
            <w:bottom w:w="0" w:type="dxa"/>
            <w:right w:w="85" w:type="dxa"/>
          </w:tblCellMar>
        </w:tblPrEx>
        <w:trPr>
          <w:cantSplit/>
          <w:trHeight w:val="467" w:hRule="atLeast"/>
          <w:jc w:val="center"/>
        </w:trPr>
        <w:tc>
          <w:tcPr>
            <w:tcW w:w="506" w:type="pct"/>
            <w:vMerge w:val="continue"/>
            <w:noWrap w:val="0"/>
            <w:vAlign w:val="center"/>
          </w:tcPr>
          <w:p w14:paraId="3B00061C">
            <w:pPr>
              <w:ind w:left="3"/>
              <w:jc w:val="center"/>
              <w:rPr>
                <w:rFonts w:ascii="Arial" w:hAnsi="Arial" w:cs="Arial"/>
                <w:szCs w:val="21"/>
              </w:rPr>
            </w:pPr>
          </w:p>
        </w:tc>
        <w:tc>
          <w:tcPr>
            <w:tcW w:w="387" w:type="pct"/>
            <w:noWrap w:val="0"/>
            <w:vAlign w:val="center"/>
          </w:tcPr>
          <w:p w14:paraId="1838F839">
            <w:pPr>
              <w:ind w:left="3"/>
              <w:jc w:val="center"/>
              <w:rPr>
                <w:rFonts w:hint="eastAsia" w:ascii="Arial" w:hAnsi="Arial" w:cs="Arial"/>
                <w:szCs w:val="21"/>
              </w:rPr>
            </w:pPr>
            <w:r>
              <w:rPr>
                <w:rFonts w:ascii="Arial" w:hAnsi="Arial" w:cs="Arial"/>
                <w:szCs w:val="21"/>
              </w:rPr>
              <w:t>项目</w:t>
            </w:r>
          </w:p>
          <w:p w14:paraId="45A03DCC">
            <w:pPr>
              <w:ind w:left="3"/>
              <w:jc w:val="center"/>
              <w:rPr>
                <w:rFonts w:ascii="Arial" w:hAnsi="Arial" w:cs="Arial"/>
                <w:szCs w:val="21"/>
              </w:rPr>
            </w:pPr>
            <w:r>
              <w:rPr>
                <w:rFonts w:ascii="Arial" w:hAnsi="Arial" w:cs="Arial"/>
                <w:szCs w:val="21"/>
              </w:rPr>
              <w:t>总工</w:t>
            </w:r>
          </w:p>
        </w:tc>
        <w:tc>
          <w:tcPr>
            <w:tcW w:w="461" w:type="pct"/>
            <w:noWrap w:val="0"/>
            <w:vAlign w:val="center"/>
          </w:tcPr>
          <w:p w14:paraId="7D87F695">
            <w:pPr>
              <w:ind w:left="3"/>
              <w:jc w:val="center"/>
              <w:rPr>
                <w:rFonts w:ascii="Arial" w:hAnsi="Arial" w:cs="Arial"/>
                <w:szCs w:val="21"/>
              </w:rPr>
            </w:pPr>
            <w:r>
              <w:rPr>
                <w:rFonts w:ascii="Arial" w:hAnsi="Arial" w:cs="Arial"/>
                <w:szCs w:val="21"/>
              </w:rPr>
              <w:t>1名</w:t>
            </w:r>
          </w:p>
        </w:tc>
        <w:tc>
          <w:tcPr>
            <w:tcW w:w="2998" w:type="pct"/>
            <w:noWrap w:val="0"/>
            <w:vAlign w:val="center"/>
          </w:tcPr>
          <w:p w14:paraId="41C4DB0A">
            <w:pPr>
              <w:snapToGrid w:val="0"/>
              <w:rPr>
                <w:rFonts w:ascii="Arial" w:hAnsi="Arial" w:cs="Arial"/>
                <w:szCs w:val="21"/>
              </w:rPr>
            </w:pPr>
            <w:r>
              <w:rPr>
                <w:rFonts w:ascii="Arial" w:hAnsi="Arial" w:cs="Arial"/>
                <w:szCs w:val="21"/>
              </w:rPr>
              <w:t>1</w:t>
            </w:r>
            <w:r>
              <w:rPr>
                <w:rFonts w:hint="eastAsia" w:ascii="Arial" w:hAnsi="Arial" w:cs="Arial"/>
                <w:szCs w:val="21"/>
              </w:rPr>
              <w:t>、路桥相关专业高级</w:t>
            </w:r>
            <w:r>
              <w:rPr>
                <w:rFonts w:ascii="Arial" w:hAnsi="Arial" w:cs="Arial"/>
                <w:szCs w:val="21"/>
              </w:rPr>
              <w:t>工程师及以上职称</w:t>
            </w:r>
            <w:r>
              <w:rPr>
                <w:rFonts w:hint="eastAsia" w:ascii="Arial" w:hAnsi="Arial" w:cs="Arial"/>
                <w:szCs w:val="21"/>
              </w:rPr>
              <w:t>（以职称证书为准）</w:t>
            </w:r>
            <w:r>
              <w:rPr>
                <w:rFonts w:ascii="Arial" w:hAnsi="Arial" w:cs="Arial"/>
                <w:szCs w:val="21"/>
              </w:rPr>
              <w:t>；</w:t>
            </w:r>
            <w:r>
              <w:rPr>
                <w:rFonts w:hint="eastAsia" w:ascii="Arial" w:hAnsi="Arial" w:cs="Arial"/>
                <w:szCs w:val="21"/>
              </w:rPr>
              <w:t xml:space="preserve"> </w:t>
            </w:r>
          </w:p>
          <w:p w14:paraId="5266F79A">
            <w:pPr>
              <w:snapToGrid w:val="0"/>
              <w:rPr>
                <w:rFonts w:hint="eastAsia" w:ascii="Arial" w:hAnsi="Arial" w:cs="Arial"/>
                <w:szCs w:val="21"/>
              </w:rPr>
            </w:pPr>
            <w:r>
              <w:rPr>
                <w:rFonts w:hint="eastAsia" w:ascii="Arial" w:hAnsi="Arial" w:cs="Arial"/>
                <w:szCs w:val="21"/>
              </w:rPr>
              <w:t>2、</w:t>
            </w:r>
            <w:r>
              <w:rPr>
                <w:rFonts w:ascii="Arial" w:hAnsi="Arial" w:cs="Arial"/>
                <w:szCs w:val="21"/>
              </w:rPr>
              <w:t>必须在本单位参加社保</w:t>
            </w:r>
            <w:r>
              <w:rPr>
                <w:rFonts w:hint="eastAsia" w:ascii="Arial" w:hAnsi="Arial" w:cs="Arial"/>
                <w:szCs w:val="21"/>
              </w:rPr>
              <w:t>。</w:t>
            </w:r>
          </w:p>
          <w:p w14:paraId="18B8447C">
            <w:pPr>
              <w:snapToGrid w:val="0"/>
              <w:rPr>
                <w:rFonts w:hint="eastAsia" w:ascii="Arial" w:hAnsi="Arial" w:cs="Arial"/>
                <w:szCs w:val="21"/>
              </w:rPr>
            </w:pPr>
            <w:r>
              <w:rPr>
                <w:rFonts w:hint="eastAsia" w:ascii="Arial" w:hAnsi="Arial" w:cs="Arial"/>
                <w:szCs w:val="21"/>
              </w:rPr>
              <w:t>3、至少担任过 1 项</w:t>
            </w:r>
            <w:r>
              <w:rPr>
                <w:rFonts w:hint="eastAsia" w:ascii="Arial" w:hAnsi="Arial" w:cs="Arial"/>
                <w:kern w:val="0"/>
                <w:szCs w:val="21"/>
              </w:rPr>
              <w:t>一级及以上公路工程施工</w:t>
            </w:r>
            <w:r>
              <w:rPr>
                <w:rFonts w:hint="eastAsia" w:ascii="Arial" w:hAnsi="Arial" w:cs="Arial"/>
                <w:szCs w:val="21"/>
              </w:rPr>
              <w:t>的项目总工或项目副总工或技术负责人职务。</w:t>
            </w:r>
          </w:p>
        </w:tc>
        <w:tc>
          <w:tcPr>
            <w:tcW w:w="648" w:type="pct"/>
            <w:vMerge w:val="continue"/>
            <w:noWrap w:val="0"/>
            <w:vAlign w:val="center"/>
          </w:tcPr>
          <w:p w14:paraId="76AA144A">
            <w:pPr>
              <w:adjustRightInd w:val="0"/>
              <w:rPr>
                <w:rFonts w:hint="eastAsia" w:ascii="Arial" w:hAnsi="Arial" w:cs="Arial"/>
                <w:szCs w:val="21"/>
              </w:rPr>
            </w:pPr>
          </w:p>
        </w:tc>
      </w:tr>
    </w:tbl>
    <w:p w14:paraId="119466C5">
      <w:pPr>
        <w:rPr>
          <w:rFonts w:ascii="黑体" w:hAnsi="黑体" w:eastAsia="黑体"/>
          <w:b/>
        </w:rPr>
      </w:pPr>
      <w:r>
        <w:rPr>
          <w:rFonts w:ascii="黑体" w:hAnsi="黑体" w:eastAsia="黑体"/>
          <w:b/>
        </w:rPr>
        <w:t>注：1.本表所列人员不得相互兼职。</w:t>
      </w:r>
    </w:p>
    <w:p w14:paraId="405C19C3">
      <w:pPr>
        <w:numPr>
          <w:ilvl w:val="0"/>
          <w:numId w:val="3"/>
        </w:numPr>
        <w:ind w:firstLine="422" w:firstLineChars="200"/>
        <w:rPr>
          <w:rFonts w:ascii="黑体" w:hAnsi="黑体" w:eastAsia="黑体"/>
          <w:b/>
        </w:rPr>
      </w:pPr>
      <w:r>
        <w:rPr>
          <w:rFonts w:ascii="黑体" w:hAnsi="黑体" w:eastAsia="黑体"/>
          <w:b/>
        </w:rPr>
        <w:t>投标人须按“投标人须知”第3.5.5项要求在“拟委任的</w:t>
      </w:r>
      <w:r>
        <w:rPr>
          <w:rFonts w:hint="eastAsia" w:ascii="黑体" w:hAnsi="黑体" w:eastAsia="黑体"/>
          <w:b/>
        </w:rPr>
        <w:t>项目经理和项目总工</w:t>
      </w:r>
      <w:r>
        <w:rPr>
          <w:rFonts w:ascii="黑体" w:hAnsi="黑体" w:eastAsia="黑体"/>
          <w:b/>
        </w:rPr>
        <w:t>资历表”后提交资格审查资料。</w:t>
      </w:r>
    </w:p>
    <w:p w14:paraId="3521FA48">
      <w:pPr>
        <w:spacing w:line="360" w:lineRule="auto"/>
        <w:ind w:firstLine="422" w:firstLineChars="200"/>
        <w:rPr>
          <w:rFonts w:ascii="黑体" w:hAnsi="黑体" w:eastAsia="黑体"/>
          <w:b/>
        </w:rPr>
      </w:pPr>
      <w:r>
        <w:rPr>
          <w:rFonts w:ascii="黑体" w:hAnsi="黑体" w:eastAsia="黑体"/>
          <w:b/>
        </w:rPr>
        <w:t xml:space="preserve">如为联合体投标，项目经理及项目总工必须是联合体牵头人单位人员。 </w:t>
      </w:r>
    </w:p>
    <w:p w14:paraId="147CD4E5">
      <w:pPr>
        <w:rPr>
          <w:rFonts w:ascii="黑体" w:hAnsi="黑体" w:eastAsia="黑体"/>
          <w:b/>
        </w:rPr>
      </w:pPr>
      <w:r>
        <w:rPr>
          <w:rFonts w:ascii="黑体" w:hAnsi="黑体" w:eastAsia="黑体"/>
          <w:b/>
        </w:rPr>
        <w:br w:type="page"/>
      </w:r>
    </w:p>
    <w:p w14:paraId="28879600">
      <w:pPr>
        <w:tabs>
          <w:tab w:val="left" w:pos="8505"/>
        </w:tabs>
        <w:spacing w:line="480" w:lineRule="auto"/>
        <w:jc w:val="center"/>
        <w:rPr>
          <w:rFonts w:ascii="Arial" w:hAnsi="Arial" w:eastAsia="黑体" w:cs="Arial"/>
          <w:b/>
          <w:bCs/>
          <w:sz w:val="32"/>
          <w:szCs w:val="32"/>
        </w:rPr>
      </w:pPr>
      <w:bookmarkStart w:id="6" w:name="_Hlk179370923"/>
      <w:r>
        <w:rPr>
          <w:rFonts w:ascii="Arial" w:hAnsi="Arial" w:eastAsia="黑体" w:cs="Arial"/>
          <w:b/>
          <w:bCs/>
          <w:sz w:val="32"/>
          <w:szCs w:val="32"/>
        </w:rPr>
        <w:t>评标办法（合理低价法）</w:t>
      </w:r>
    </w:p>
    <w:p w14:paraId="30566019">
      <w:pPr>
        <w:spacing w:line="300" w:lineRule="auto"/>
        <w:outlineLvl w:val="2"/>
        <w:rPr>
          <w:rFonts w:ascii="Arial" w:hAnsi="Arial" w:eastAsia="黑体" w:cs="Arial"/>
          <w:sz w:val="24"/>
          <w:szCs w:val="21"/>
        </w:rPr>
      </w:pPr>
      <w:bookmarkStart w:id="7" w:name="_Toc98666194"/>
      <w:bookmarkStart w:id="8" w:name="_Toc134545005"/>
      <w:bookmarkStart w:id="9" w:name="_Toc98353747"/>
      <w:r>
        <w:rPr>
          <w:rFonts w:ascii="Arial" w:hAnsi="Arial" w:eastAsia="黑体" w:cs="Arial"/>
          <w:sz w:val="24"/>
          <w:szCs w:val="21"/>
        </w:rPr>
        <w:t>评标办法前附表</w:t>
      </w:r>
      <w:bookmarkEnd w:id="7"/>
      <w:bookmarkEnd w:id="8"/>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655"/>
        <w:gridCol w:w="7183"/>
      </w:tblGrid>
      <w:tr w14:paraId="168F53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gridSpan w:val="2"/>
            <w:noWrap w:val="0"/>
            <w:vAlign w:val="top"/>
          </w:tcPr>
          <w:p w14:paraId="2ECD27BD">
            <w:pPr>
              <w:pStyle w:val="12"/>
              <w:shd w:val="clear" w:color="auto" w:fill="auto"/>
              <w:spacing w:before="0" w:line="288" w:lineRule="auto"/>
              <w:jc w:val="center"/>
              <w:rPr>
                <w:rStyle w:val="11"/>
                <w:rFonts w:ascii="Arial" w:hAnsi="Arial" w:cs="Arial"/>
                <w:spacing w:val="0"/>
                <w:sz w:val="21"/>
                <w:szCs w:val="21"/>
                <w:lang w:val="zh-TW" w:eastAsia="zh-TW"/>
              </w:rPr>
            </w:pPr>
            <w:r>
              <w:rPr>
                <w:rStyle w:val="11"/>
                <w:rFonts w:ascii="Arial" w:hAnsi="Arial" w:cs="Arial"/>
                <w:spacing w:val="0"/>
                <w:sz w:val="21"/>
                <w:szCs w:val="21"/>
                <w:lang w:val="zh-TW" w:eastAsia="zh-TW"/>
              </w:rPr>
              <w:t>条款号</w:t>
            </w:r>
          </w:p>
        </w:tc>
        <w:tc>
          <w:tcPr>
            <w:tcW w:w="7899" w:type="dxa"/>
            <w:noWrap w:val="0"/>
            <w:vAlign w:val="top"/>
          </w:tcPr>
          <w:p w14:paraId="03BA2BD6">
            <w:pPr>
              <w:pStyle w:val="12"/>
              <w:shd w:val="clear" w:color="auto" w:fill="auto"/>
              <w:spacing w:before="0" w:line="288" w:lineRule="auto"/>
              <w:jc w:val="center"/>
              <w:rPr>
                <w:rStyle w:val="11"/>
                <w:rFonts w:ascii="Arial" w:hAnsi="Arial" w:cs="Arial"/>
                <w:spacing w:val="0"/>
                <w:sz w:val="21"/>
                <w:szCs w:val="21"/>
                <w:lang w:val="zh-TW" w:eastAsia="zh-TW"/>
              </w:rPr>
            </w:pPr>
            <w:r>
              <w:rPr>
                <w:rStyle w:val="11"/>
                <w:rFonts w:ascii="Arial" w:hAnsi="Arial" w:cs="Arial"/>
                <w:spacing w:val="0"/>
                <w:sz w:val="21"/>
                <w:szCs w:val="21"/>
                <w:lang w:val="zh-TW" w:eastAsia="zh-TW"/>
              </w:rPr>
              <w:t>审查因素与标准</w:t>
            </w:r>
          </w:p>
        </w:tc>
      </w:tr>
      <w:tr w14:paraId="7AA1CB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684" w:type="dxa"/>
            <w:noWrap w:val="0"/>
            <w:vAlign w:val="center"/>
          </w:tcPr>
          <w:p w14:paraId="5674BC76">
            <w:pPr>
              <w:spacing w:line="288" w:lineRule="auto"/>
              <w:jc w:val="center"/>
              <w:rPr>
                <w:rFonts w:ascii="Arial" w:hAnsi="Arial" w:cs="Arial"/>
                <w:szCs w:val="21"/>
              </w:rPr>
            </w:pPr>
            <w:r>
              <w:rPr>
                <w:rFonts w:ascii="Arial" w:hAnsi="Arial" w:cs="Arial"/>
                <w:szCs w:val="21"/>
              </w:rPr>
              <w:t>1</w:t>
            </w:r>
          </w:p>
        </w:tc>
        <w:tc>
          <w:tcPr>
            <w:tcW w:w="681" w:type="dxa"/>
            <w:noWrap w:val="0"/>
            <w:vAlign w:val="center"/>
          </w:tcPr>
          <w:p w14:paraId="3149D322">
            <w:pPr>
              <w:spacing w:line="288" w:lineRule="auto"/>
              <w:jc w:val="center"/>
              <w:rPr>
                <w:rFonts w:ascii="Arial" w:hAnsi="Arial" w:cs="Arial"/>
                <w:szCs w:val="21"/>
              </w:rPr>
            </w:pPr>
            <w:r>
              <w:rPr>
                <w:rFonts w:ascii="Arial" w:hAnsi="Arial" w:cs="Arial"/>
                <w:szCs w:val="21"/>
              </w:rPr>
              <w:t>评标方法</w:t>
            </w:r>
          </w:p>
        </w:tc>
        <w:tc>
          <w:tcPr>
            <w:tcW w:w="7899" w:type="dxa"/>
            <w:noWrap w:val="0"/>
            <w:vAlign w:val="top"/>
          </w:tcPr>
          <w:p w14:paraId="7E675460">
            <w:pPr>
              <w:spacing w:line="288" w:lineRule="auto"/>
              <w:rPr>
                <w:rFonts w:ascii="Arial" w:hAnsi="Arial" w:cs="Arial"/>
                <w:szCs w:val="21"/>
              </w:rPr>
            </w:pPr>
            <w:r>
              <w:rPr>
                <w:rFonts w:ascii="Arial" w:hAnsi="Arial" w:cs="Arial"/>
                <w:szCs w:val="21"/>
              </w:rPr>
              <w:t>综合评分相等时，评标委员会依次按照以下优先顺序推荐中标候选人或确定中标人：</w:t>
            </w:r>
          </w:p>
          <w:p w14:paraId="38B876E2">
            <w:pPr>
              <w:spacing w:line="288" w:lineRule="auto"/>
              <w:rPr>
                <w:rFonts w:ascii="Arial" w:hAnsi="Arial" w:cs="Arial"/>
                <w:szCs w:val="21"/>
              </w:rPr>
            </w:pPr>
            <w:r>
              <w:rPr>
                <w:rFonts w:hint="eastAsia" w:ascii="Arial" w:hAnsi="Arial" w:cs="Arial"/>
                <w:szCs w:val="21"/>
              </w:rPr>
              <w:t>（1）</w:t>
            </w:r>
            <w:r>
              <w:rPr>
                <w:rFonts w:ascii="Arial" w:hAnsi="Arial" w:cs="Arial"/>
                <w:szCs w:val="21"/>
              </w:rPr>
              <w:t>评标价低的</w:t>
            </w:r>
            <w:r>
              <w:rPr>
                <w:rFonts w:hint="eastAsia" w:ascii="Arial" w:hAnsi="Arial" w:cs="Arial"/>
                <w:szCs w:val="21"/>
              </w:rPr>
              <w:t>投标人</w:t>
            </w:r>
            <w:r>
              <w:rPr>
                <w:rFonts w:ascii="Arial" w:hAnsi="Arial" w:cs="Arial"/>
                <w:szCs w:val="21"/>
              </w:rPr>
              <w:t>优先；</w:t>
            </w:r>
          </w:p>
          <w:p w14:paraId="460DFA68">
            <w:pPr>
              <w:spacing w:line="288" w:lineRule="auto"/>
              <w:rPr>
                <w:rFonts w:hint="eastAsia" w:ascii="Arial" w:hAnsi="Arial" w:cs="Arial"/>
                <w:szCs w:val="21"/>
              </w:rPr>
            </w:pPr>
            <w:r>
              <w:rPr>
                <w:rFonts w:hint="eastAsia" w:ascii="Arial" w:hAnsi="Arial" w:cs="Arial"/>
                <w:szCs w:val="21"/>
              </w:rPr>
              <w:t>（2）</w:t>
            </w:r>
            <w:r>
              <w:rPr>
                <w:rFonts w:ascii="Arial" w:hAnsi="Arial" w:cs="Arial"/>
                <w:szCs w:val="21"/>
              </w:rPr>
              <w:t>企业营业执照注册资金金额较高的优先</w:t>
            </w:r>
            <w:r>
              <w:rPr>
                <w:rFonts w:ascii="Arial" w:hAnsi="Arial" w:cs="Arial"/>
                <w:b/>
                <w:bCs/>
                <w:szCs w:val="21"/>
              </w:rPr>
              <w:t>（联合体投标的，</w:t>
            </w:r>
            <w:r>
              <w:rPr>
                <w:rFonts w:ascii="Arial" w:hAnsi="Arial" w:cs="Arial"/>
                <w:b/>
                <w:bCs/>
                <w:szCs w:val="21"/>
                <w:highlight w:val="none"/>
              </w:rPr>
              <w:t>以联合体牵头人营业执照注册资金金额</w:t>
            </w:r>
            <w:r>
              <w:rPr>
                <w:rFonts w:hint="eastAsia" w:ascii="Arial" w:hAnsi="Arial" w:cs="Arial"/>
                <w:b/>
                <w:bCs/>
                <w:szCs w:val="21"/>
                <w:highlight w:val="none"/>
              </w:rPr>
              <w:t>为准）</w:t>
            </w:r>
            <w:r>
              <w:rPr>
                <w:rFonts w:ascii="Arial" w:hAnsi="Arial" w:cs="Arial"/>
                <w:b/>
                <w:bCs/>
                <w:szCs w:val="21"/>
              </w:rPr>
              <w:t>。</w:t>
            </w:r>
            <w:r>
              <w:rPr>
                <w:rFonts w:hint="eastAsia" w:ascii="Arial" w:hAnsi="Arial" w:cs="Arial"/>
                <w:b/>
                <w:bCs/>
                <w:szCs w:val="21"/>
              </w:rPr>
              <w:t xml:space="preserve"> </w:t>
            </w:r>
          </w:p>
        </w:tc>
      </w:tr>
      <w:tr w14:paraId="15A56B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6" w:hRule="atLeast"/>
          <w:jc w:val="center"/>
        </w:trPr>
        <w:tc>
          <w:tcPr>
            <w:tcW w:w="684" w:type="dxa"/>
            <w:noWrap w:val="0"/>
            <w:vAlign w:val="center"/>
          </w:tcPr>
          <w:p w14:paraId="567AF4B9">
            <w:pPr>
              <w:spacing w:line="288" w:lineRule="auto"/>
              <w:jc w:val="center"/>
              <w:rPr>
                <w:rFonts w:ascii="Arial" w:hAnsi="Arial" w:cs="Arial"/>
                <w:szCs w:val="21"/>
              </w:rPr>
            </w:pPr>
            <w:r>
              <w:rPr>
                <w:rFonts w:ascii="Arial" w:hAnsi="Arial" w:cs="Arial"/>
                <w:szCs w:val="21"/>
              </w:rPr>
              <w:t>2.1.1</w:t>
            </w:r>
          </w:p>
          <w:p w14:paraId="337094E7">
            <w:pPr>
              <w:spacing w:line="288" w:lineRule="auto"/>
              <w:jc w:val="center"/>
              <w:rPr>
                <w:rFonts w:ascii="Arial" w:hAnsi="Arial" w:cs="Arial"/>
                <w:szCs w:val="21"/>
              </w:rPr>
            </w:pPr>
            <w:r>
              <w:rPr>
                <w:rFonts w:ascii="Arial" w:hAnsi="Arial" w:cs="Arial"/>
                <w:szCs w:val="21"/>
              </w:rPr>
              <w:t>2.1.3</w:t>
            </w:r>
          </w:p>
        </w:tc>
        <w:tc>
          <w:tcPr>
            <w:tcW w:w="681" w:type="dxa"/>
            <w:noWrap w:val="0"/>
            <w:vAlign w:val="center"/>
          </w:tcPr>
          <w:p w14:paraId="25621B3C">
            <w:pPr>
              <w:spacing w:line="288" w:lineRule="auto"/>
              <w:jc w:val="center"/>
              <w:rPr>
                <w:rFonts w:ascii="Arial" w:hAnsi="Arial" w:cs="Arial"/>
                <w:b/>
                <w:bCs/>
                <w:szCs w:val="21"/>
              </w:rPr>
            </w:pPr>
            <w:r>
              <w:rPr>
                <w:rFonts w:ascii="Arial" w:hAnsi="Arial" w:cs="Arial"/>
                <w:b/>
                <w:bCs/>
                <w:szCs w:val="21"/>
              </w:rPr>
              <w:t>形式评审 与响应性 评审标准</w:t>
            </w:r>
          </w:p>
        </w:tc>
        <w:tc>
          <w:tcPr>
            <w:tcW w:w="7899" w:type="dxa"/>
            <w:noWrap w:val="0"/>
            <w:vAlign w:val="top"/>
          </w:tcPr>
          <w:p w14:paraId="14B33AF0">
            <w:pPr>
              <w:spacing w:line="288" w:lineRule="auto"/>
              <w:rPr>
                <w:rFonts w:ascii="黑体" w:hAnsi="黑体" w:eastAsia="黑体" w:cs="Arial"/>
                <w:b/>
                <w:szCs w:val="21"/>
              </w:rPr>
            </w:pPr>
            <w:r>
              <w:rPr>
                <w:rFonts w:ascii="黑体" w:hAnsi="黑体" w:eastAsia="黑体" w:cs="Arial"/>
                <w:b/>
                <w:szCs w:val="21"/>
              </w:rPr>
              <w:t>第一个信封（商务及技术文件）评审标准：</w:t>
            </w:r>
          </w:p>
          <w:p w14:paraId="2F7E402D">
            <w:pPr>
              <w:spacing w:line="288" w:lineRule="auto"/>
              <w:rPr>
                <w:rFonts w:ascii="Arial" w:hAnsi="Arial" w:cs="Arial"/>
                <w:szCs w:val="21"/>
              </w:rPr>
            </w:pPr>
            <w:r>
              <w:rPr>
                <w:rFonts w:ascii="Arial" w:hAnsi="Arial" w:cs="Arial"/>
                <w:szCs w:val="21"/>
              </w:rPr>
              <w:t>（1）投标文件按照招标文件规定的格式、内容填写，字迹清晰可辨：</w:t>
            </w:r>
          </w:p>
          <w:p w14:paraId="21DA3DBE">
            <w:pPr>
              <w:spacing w:line="288" w:lineRule="auto"/>
              <w:ind w:firstLine="210" w:firstLineChars="100"/>
              <w:rPr>
                <w:rFonts w:ascii="Arial" w:hAnsi="Arial" w:cs="Arial"/>
                <w:szCs w:val="21"/>
              </w:rPr>
            </w:pPr>
            <w:r>
              <w:rPr>
                <w:rFonts w:ascii="Arial" w:hAnsi="Arial" w:cs="Arial"/>
                <w:szCs w:val="21"/>
              </w:rPr>
              <w:t>a.投标函按招标文件规定填报了项目名称、标段号、澄清文件编号（如有）、工期、工程质量要求及安全目标；</w:t>
            </w:r>
          </w:p>
          <w:p w14:paraId="39BBED5C">
            <w:pPr>
              <w:spacing w:line="288" w:lineRule="auto"/>
              <w:ind w:firstLine="210" w:firstLineChars="100"/>
              <w:rPr>
                <w:rFonts w:ascii="Arial" w:hAnsi="Arial" w:cs="Arial"/>
                <w:szCs w:val="21"/>
              </w:rPr>
            </w:pPr>
            <w:r>
              <w:rPr>
                <w:rFonts w:ascii="Arial" w:hAnsi="Arial" w:cs="Arial"/>
                <w:szCs w:val="21"/>
              </w:rPr>
              <w:t>b.投标文件组成齐全完整，内容均按规定填写；</w:t>
            </w:r>
          </w:p>
          <w:p w14:paraId="5E16E8FB">
            <w:pPr>
              <w:spacing w:line="288" w:lineRule="auto"/>
              <w:ind w:firstLine="210" w:firstLineChars="100"/>
              <w:rPr>
                <w:rFonts w:hint="eastAsia" w:ascii="Arial" w:hAnsi="Arial" w:eastAsia="黑体" w:cs="Arial"/>
                <w:szCs w:val="21"/>
              </w:rPr>
            </w:pPr>
            <w:r>
              <w:rPr>
                <w:rFonts w:ascii="Arial" w:hAnsi="Arial" w:cs="Arial"/>
                <w:szCs w:val="21"/>
              </w:rPr>
              <w:t xml:space="preserve">c. </w:t>
            </w:r>
            <w:r>
              <w:rPr>
                <w:rFonts w:ascii="Arial" w:hAnsi="Arial" w:eastAsia="黑体" w:cs="Arial"/>
                <w:b/>
                <w:szCs w:val="21"/>
                <w:u w:val="single"/>
              </w:rPr>
              <w:t>投标函签署日期在法定代表人身份证明或授权</w:t>
            </w:r>
            <w:r>
              <w:rPr>
                <w:rFonts w:hint="eastAsia" w:ascii="Arial" w:hAnsi="Arial" w:eastAsia="黑体" w:cs="Arial"/>
                <w:b/>
                <w:szCs w:val="21"/>
                <w:u w:val="single"/>
              </w:rPr>
              <w:t>委托</w:t>
            </w:r>
            <w:r>
              <w:rPr>
                <w:rFonts w:ascii="Arial" w:hAnsi="Arial" w:eastAsia="黑体" w:cs="Arial"/>
                <w:b/>
                <w:szCs w:val="21"/>
                <w:u w:val="single"/>
              </w:rPr>
              <w:t>书出具日期同日或其之后</w:t>
            </w:r>
            <w:r>
              <w:rPr>
                <w:rFonts w:hint="eastAsia" w:ascii="Arial" w:hAnsi="Arial" w:eastAsia="黑体" w:cs="Arial"/>
                <w:szCs w:val="21"/>
              </w:rPr>
              <w:t>；</w:t>
            </w:r>
          </w:p>
          <w:p w14:paraId="23B5318F">
            <w:pPr>
              <w:spacing w:line="288" w:lineRule="auto"/>
              <w:ind w:firstLine="210" w:firstLineChars="100"/>
              <w:rPr>
                <w:rFonts w:ascii="Arial" w:hAnsi="Arial" w:eastAsia="黑体" w:cs="Arial"/>
                <w:b/>
                <w:szCs w:val="21"/>
                <w:u w:val="single"/>
              </w:rPr>
            </w:pPr>
            <w:r>
              <w:rPr>
                <w:rFonts w:ascii="Arial" w:hAnsi="Arial" w:cs="Arial"/>
                <w:u w:val="single"/>
              </w:rPr>
              <w:t>d．</w:t>
            </w:r>
            <w:r>
              <w:rPr>
                <w:rFonts w:ascii="Arial" w:hAnsi="Arial" w:eastAsia="黑体" w:cs="Arial"/>
                <w:b/>
                <w:szCs w:val="21"/>
                <w:u w:val="single"/>
              </w:rPr>
              <w:t>投标文件所附身份证均指第二代身份证（含正、反面），且在有效期内；</w:t>
            </w:r>
          </w:p>
          <w:p w14:paraId="39579FEE">
            <w:pPr>
              <w:spacing w:line="288" w:lineRule="auto"/>
              <w:ind w:firstLine="210" w:firstLineChars="100"/>
              <w:rPr>
                <w:rFonts w:hint="eastAsia" w:ascii="Arial" w:hAnsi="Arial" w:cs="Arial"/>
                <w:szCs w:val="21"/>
              </w:rPr>
            </w:pPr>
            <w:r>
              <w:rPr>
                <w:rFonts w:ascii="Arial" w:hAnsi="Arial" w:eastAsia="黑体" w:cs="Arial"/>
                <w:bCs/>
                <w:szCs w:val="21"/>
                <w:u w:val="single"/>
              </w:rPr>
              <w:t>e．</w:t>
            </w:r>
            <w:r>
              <w:rPr>
                <w:rFonts w:ascii="Arial" w:hAnsi="Arial" w:eastAsia="黑体" w:cs="Arial"/>
                <w:b/>
                <w:szCs w:val="21"/>
                <w:u w:val="single"/>
              </w:rPr>
              <w:t>投标人提供的各类证照复印件均指彩色扫描件或彩色复印件，其他资料的复印件可为黑白扫描件或黑白复印件。所有复印件应清晰可辨</w:t>
            </w:r>
            <w:r>
              <w:rPr>
                <w:rFonts w:hint="eastAsia" w:ascii="Arial" w:hAnsi="Arial" w:cs="Arial"/>
                <w:szCs w:val="21"/>
              </w:rPr>
              <w:t>。</w:t>
            </w:r>
          </w:p>
          <w:p w14:paraId="3521F46A">
            <w:pPr>
              <w:spacing w:line="288" w:lineRule="auto"/>
              <w:rPr>
                <w:rFonts w:ascii="Arial" w:hAnsi="Arial" w:cs="Arial"/>
                <w:szCs w:val="21"/>
              </w:rPr>
            </w:pPr>
            <w:r>
              <w:rPr>
                <w:rFonts w:ascii="Arial" w:hAnsi="Arial" w:cs="Arial"/>
                <w:szCs w:val="21"/>
              </w:rPr>
              <w:t>（2）投标文件上法定代表人或其委托代理人的签字、投标人的单位章盖章齐全，符合招标文件规定。</w:t>
            </w:r>
          </w:p>
          <w:p w14:paraId="20627B53">
            <w:pPr>
              <w:spacing w:line="288" w:lineRule="auto"/>
              <w:rPr>
                <w:rFonts w:ascii="Arial" w:hAnsi="Arial" w:cs="Arial"/>
                <w:szCs w:val="21"/>
              </w:rPr>
            </w:pPr>
            <w:r>
              <w:rPr>
                <w:rFonts w:ascii="Arial" w:hAnsi="Arial" w:cs="Arial"/>
                <w:szCs w:val="21"/>
              </w:rPr>
              <w:t>（3）投标人按照招标文件的规定提供了投标保证金：</w:t>
            </w:r>
          </w:p>
          <w:p w14:paraId="6A4EB910">
            <w:pPr>
              <w:spacing w:line="288" w:lineRule="auto"/>
              <w:ind w:firstLine="210" w:firstLineChars="100"/>
              <w:rPr>
                <w:rFonts w:ascii="Arial" w:hAnsi="Arial" w:cs="Arial"/>
                <w:szCs w:val="21"/>
              </w:rPr>
            </w:pPr>
            <w:r>
              <w:rPr>
                <w:rFonts w:ascii="Arial" w:hAnsi="Arial" w:cs="Arial"/>
                <w:szCs w:val="21"/>
              </w:rPr>
              <w:t>a.投标保证金金额符合招标文件规定的金额，且投标保证金有效期不少于投标有效期；</w:t>
            </w:r>
          </w:p>
          <w:p w14:paraId="2DC85B84">
            <w:pPr>
              <w:spacing w:line="288" w:lineRule="auto"/>
              <w:ind w:firstLine="210" w:firstLineChars="100"/>
              <w:rPr>
                <w:rFonts w:hint="eastAsia" w:ascii="Arial" w:hAnsi="Arial" w:cs="Arial"/>
                <w:szCs w:val="21"/>
              </w:rPr>
            </w:pPr>
            <w:r>
              <w:rPr>
                <w:rFonts w:ascii="Arial" w:hAnsi="Arial" w:cs="Arial"/>
                <w:szCs w:val="21"/>
              </w:rPr>
              <w:t>b. 若投标保证金采用</w:t>
            </w:r>
            <w:r>
              <w:rPr>
                <w:rFonts w:hint="eastAsia" w:ascii="Arial" w:hAnsi="Arial" w:eastAsia="黑体" w:cs="Arial"/>
                <w:b/>
                <w:u w:val="single"/>
              </w:rPr>
              <w:t>虚拟子账号、电子保险保函、</w:t>
            </w:r>
            <w:r>
              <w:rPr>
                <w:rFonts w:ascii="Arial" w:hAnsi="Arial" w:eastAsia="黑体" w:cs="Arial"/>
                <w:b/>
                <w:u w:val="single"/>
              </w:rPr>
              <w:t>电子担保保函</w:t>
            </w:r>
            <w:r>
              <w:rPr>
                <w:rFonts w:hint="eastAsia" w:ascii="Arial" w:hAnsi="Arial" w:eastAsia="黑体" w:cs="Arial"/>
                <w:b/>
                <w:u w:val="single"/>
              </w:rPr>
              <w:t>、</w:t>
            </w:r>
            <w:r>
              <w:rPr>
                <w:rFonts w:hint="eastAsia" w:ascii="Arial" w:hAnsi="Arial" w:eastAsia="黑体" w:cs="Arial"/>
                <w:b/>
                <w:u w:val="single"/>
                <w:lang w:val="en-US" w:eastAsia="zh-CN"/>
              </w:rPr>
              <w:t>电子</w:t>
            </w:r>
            <w:r>
              <w:rPr>
                <w:rFonts w:ascii="Arial" w:hAnsi="Arial" w:eastAsia="黑体" w:cs="Arial"/>
                <w:b/>
                <w:u w:val="single"/>
              </w:rPr>
              <w:t>银行保函</w:t>
            </w:r>
            <w:r>
              <w:rPr>
                <w:rFonts w:hint="eastAsia" w:ascii="Arial" w:hAnsi="Arial" w:eastAsia="黑体" w:cs="Arial"/>
                <w:b/>
                <w:u w:val="single"/>
              </w:rPr>
              <w:t>等</w:t>
            </w:r>
            <w:r>
              <w:rPr>
                <w:rFonts w:ascii="Arial" w:hAnsi="Arial" w:eastAsia="黑体" w:cs="Arial"/>
                <w:b/>
                <w:u w:val="single"/>
              </w:rPr>
              <w:t>其中任一形式提交，需满足</w:t>
            </w:r>
            <w:r>
              <w:rPr>
                <w:rFonts w:hint="eastAsia" w:ascii="Arial" w:hAnsi="Arial" w:eastAsia="黑体" w:cs="Arial"/>
                <w:b/>
                <w:u w:val="single"/>
              </w:rPr>
              <w:t>招标文件</w:t>
            </w:r>
            <w:r>
              <w:rPr>
                <w:rFonts w:ascii="Arial" w:hAnsi="Arial" w:eastAsia="黑体" w:cs="Arial"/>
                <w:b/>
                <w:u w:val="single"/>
              </w:rPr>
              <w:t>规定</w:t>
            </w:r>
            <w:r>
              <w:rPr>
                <w:rFonts w:ascii="Arial" w:hAnsi="Arial" w:cs="Arial"/>
              </w:rPr>
              <w:t>。</w:t>
            </w:r>
          </w:p>
          <w:p w14:paraId="01668149">
            <w:pPr>
              <w:snapToGrid w:val="0"/>
              <w:spacing w:line="288" w:lineRule="auto"/>
              <w:rPr>
                <w:rFonts w:ascii="Arial" w:hAnsi="Arial" w:cs="Arial"/>
                <w:szCs w:val="21"/>
              </w:rPr>
            </w:pPr>
            <w:r>
              <w:rPr>
                <w:rFonts w:ascii="Arial" w:hAnsi="Arial" w:cs="Arial"/>
                <w:szCs w:val="21"/>
              </w:rPr>
              <w:t>（4）投标人法定代表人授权委托代理人签署投标文件的，须提交授权委托书，且授权人和被授权人均</w:t>
            </w:r>
            <w:r>
              <w:rPr>
                <w:rFonts w:hint="eastAsia" w:ascii="Arial" w:hAnsi="Arial" w:cs="Arial"/>
                <w:szCs w:val="21"/>
              </w:rPr>
              <w:t>按照</w:t>
            </w:r>
            <w:r>
              <w:rPr>
                <w:rFonts w:ascii="Arial" w:hAnsi="Arial" w:cs="Arial"/>
                <w:szCs w:val="21"/>
              </w:rPr>
              <w:t>招标文件要求在授权委托书上签名。</w:t>
            </w:r>
          </w:p>
          <w:p w14:paraId="6BFEB732">
            <w:pPr>
              <w:spacing w:line="288" w:lineRule="auto"/>
              <w:rPr>
                <w:rFonts w:ascii="Arial" w:hAnsi="Arial" w:cs="Arial"/>
                <w:szCs w:val="21"/>
              </w:rPr>
            </w:pPr>
            <w:r>
              <w:rPr>
                <w:rFonts w:ascii="Arial" w:hAnsi="Arial" w:cs="Arial"/>
                <w:szCs w:val="21"/>
              </w:rPr>
              <w:t>（5）投标人法定代表人亲自签署投标文件的，提供了法定代表人身份证明，且法定代表人</w:t>
            </w:r>
            <w:r>
              <w:rPr>
                <w:rFonts w:hint="eastAsia" w:ascii="Arial" w:hAnsi="Arial" w:cs="Arial"/>
                <w:szCs w:val="21"/>
              </w:rPr>
              <w:t>按照</w:t>
            </w:r>
            <w:r>
              <w:rPr>
                <w:rFonts w:ascii="Arial" w:hAnsi="Arial" w:cs="Arial"/>
                <w:szCs w:val="21"/>
              </w:rPr>
              <w:t>招标文件要求在法定代表人身份证明上签名。</w:t>
            </w:r>
          </w:p>
          <w:p w14:paraId="2FEF47CA">
            <w:pPr>
              <w:spacing w:line="288" w:lineRule="auto"/>
              <w:rPr>
                <w:rFonts w:hint="eastAsia" w:ascii="Arial" w:hAnsi="Arial" w:cs="Arial"/>
                <w:szCs w:val="21"/>
              </w:rPr>
            </w:pPr>
            <w:r>
              <w:rPr>
                <w:rFonts w:hint="eastAsia" w:ascii="黑体" w:hAnsi="黑体" w:eastAsia="黑体" w:cs="黑体"/>
                <w:b/>
                <w:bCs/>
                <w:szCs w:val="21"/>
                <w:u w:val="single"/>
              </w:rPr>
              <w:t>（</w:t>
            </w:r>
            <w:r>
              <w:rPr>
                <w:rFonts w:ascii="黑体" w:hAnsi="黑体" w:eastAsia="黑体" w:cs="黑体"/>
                <w:b/>
                <w:bCs/>
                <w:szCs w:val="21"/>
                <w:u w:val="single"/>
              </w:rPr>
              <w:t>6</w:t>
            </w:r>
            <w:r>
              <w:rPr>
                <w:rFonts w:hint="eastAsia" w:ascii="黑体" w:hAnsi="黑体" w:eastAsia="黑体" w:cs="黑体"/>
                <w:b/>
                <w:bCs/>
                <w:szCs w:val="21"/>
                <w:u w:val="single"/>
              </w:rPr>
              <w:t>）投标人以联合体形式投标时，投标人按照招标文件提供的格式签订了联合体协议书，明确各方承担连带责任，并明确了联合体牵头人；</w:t>
            </w:r>
          </w:p>
          <w:p w14:paraId="7BAA6BA6">
            <w:pPr>
              <w:snapToGrid w:val="0"/>
              <w:spacing w:line="288" w:lineRule="auto"/>
              <w:rPr>
                <w:rFonts w:ascii="Arial" w:hAnsi="Arial" w:cs="Arial"/>
                <w:szCs w:val="21"/>
              </w:rPr>
            </w:pPr>
            <w:r>
              <w:rPr>
                <w:rFonts w:ascii="Arial" w:hAnsi="Arial" w:cs="Arial"/>
                <w:szCs w:val="21"/>
              </w:rPr>
              <w:t>（</w:t>
            </w:r>
            <w:r>
              <w:rPr>
                <w:rFonts w:hint="eastAsia" w:ascii="Arial" w:hAnsi="Arial" w:cs="Arial"/>
                <w:szCs w:val="21"/>
              </w:rPr>
              <w:t>7</w:t>
            </w:r>
            <w:r>
              <w:rPr>
                <w:rFonts w:ascii="Arial" w:hAnsi="Arial" w:cs="Arial"/>
                <w:szCs w:val="21"/>
              </w:rPr>
              <w:t>）同一投标人未提交两个以上不同的投标文件，但招标文件要求提交备选投标的除外。</w:t>
            </w:r>
          </w:p>
          <w:p w14:paraId="0AF71DA7">
            <w:pPr>
              <w:snapToGrid w:val="0"/>
              <w:spacing w:line="288" w:lineRule="auto"/>
              <w:rPr>
                <w:rFonts w:ascii="Arial" w:hAnsi="Arial" w:cs="Arial"/>
                <w:szCs w:val="21"/>
              </w:rPr>
            </w:pPr>
            <w:r>
              <w:rPr>
                <w:rFonts w:ascii="Arial" w:hAnsi="Arial" w:cs="Arial"/>
                <w:szCs w:val="21"/>
              </w:rPr>
              <w:t>（</w:t>
            </w:r>
            <w:r>
              <w:rPr>
                <w:rFonts w:hint="eastAsia" w:ascii="Arial" w:hAnsi="Arial" w:cs="Arial"/>
                <w:szCs w:val="21"/>
              </w:rPr>
              <w:t>8</w:t>
            </w:r>
            <w:r>
              <w:rPr>
                <w:rFonts w:ascii="Arial" w:hAnsi="Arial" w:cs="Arial"/>
                <w:szCs w:val="21"/>
              </w:rPr>
              <w:t>）</w:t>
            </w:r>
            <w:r>
              <w:rPr>
                <w:rFonts w:ascii="Arial" w:hAnsi="Arial" w:cs="Arial"/>
                <w:b/>
                <w:szCs w:val="21"/>
                <w:u w:val="single"/>
              </w:rPr>
              <w:t>投标文件第一个信封（商务及技术文件）未出现有关投标报价的内容</w:t>
            </w:r>
            <w:r>
              <w:rPr>
                <w:rFonts w:ascii="Arial" w:hAnsi="Arial" w:cs="Arial"/>
                <w:szCs w:val="21"/>
              </w:rPr>
              <w:t>。</w:t>
            </w:r>
          </w:p>
          <w:p w14:paraId="70897003">
            <w:pPr>
              <w:snapToGrid w:val="0"/>
              <w:spacing w:line="288" w:lineRule="auto"/>
              <w:rPr>
                <w:rFonts w:ascii="Arial" w:hAnsi="Arial" w:cs="Arial"/>
                <w:szCs w:val="21"/>
              </w:rPr>
            </w:pPr>
            <w:r>
              <w:rPr>
                <w:rFonts w:ascii="Arial" w:hAnsi="Arial" w:cs="Arial"/>
                <w:szCs w:val="21"/>
              </w:rPr>
              <w:t>（</w:t>
            </w:r>
            <w:r>
              <w:rPr>
                <w:rFonts w:hint="eastAsia" w:ascii="Arial" w:hAnsi="Arial" w:cs="Arial"/>
                <w:szCs w:val="21"/>
              </w:rPr>
              <w:t>9</w:t>
            </w:r>
            <w:r>
              <w:rPr>
                <w:rFonts w:ascii="Arial" w:hAnsi="Arial" w:cs="Arial"/>
                <w:szCs w:val="21"/>
              </w:rPr>
              <w:t>）投标文件载明的招标项目完成期限未超过招标文件规定的时限。</w:t>
            </w:r>
          </w:p>
          <w:p w14:paraId="3F12FBFE">
            <w:pPr>
              <w:snapToGrid w:val="0"/>
              <w:spacing w:line="288" w:lineRule="auto"/>
              <w:rPr>
                <w:rFonts w:ascii="Arial" w:hAnsi="Arial" w:cs="Arial"/>
                <w:szCs w:val="21"/>
              </w:rPr>
            </w:pPr>
            <w:r>
              <w:rPr>
                <w:rFonts w:ascii="Arial" w:hAnsi="Arial" w:cs="Arial"/>
                <w:szCs w:val="21"/>
              </w:rPr>
              <w:t>（</w:t>
            </w:r>
            <w:r>
              <w:rPr>
                <w:rFonts w:hint="eastAsia" w:ascii="Arial" w:hAnsi="Arial" w:cs="Arial"/>
                <w:szCs w:val="21"/>
              </w:rPr>
              <w:t>10</w:t>
            </w:r>
            <w:r>
              <w:rPr>
                <w:rFonts w:ascii="Arial" w:hAnsi="Arial" w:cs="Arial"/>
                <w:szCs w:val="21"/>
              </w:rPr>
              <w:t>）投标文件对招标文件的实质性要求和条件作出响应。</w:t>
            </w:r>
          </w:p>
          <w:p w14:paraId="61FD3E5B">
            <w:pPr>
              <w:snapToGrid w:val="0"/>
              <w:spacing w:line="288" w:lineRule="auto"/>
              <w:rPr>
                <w:rFonts w:hint="eastAsia" w:ascii="Arial" w:hAnsi="Arial" w:cs="Arial"/>
                <w:szCs w:val="21"/>
              </w:rPr>
            </w:pPr>
            <w:r>
              <w:rPr>
                <w:rFonts w:ascii="Arial" w:hAnsi="Arial" w:cs="Arial"/>
                <w:szCs w:val="21"/>
              </w:rPr>
              <w:t>（1</w:t>
            </w:r>
            <w:r>
              <w:rPr>
                <w:rFonts w:hint="eastAsia" w:ascii="Arial" w:hAnsi="Arial" w:cs="Arial"/>
                <w:szCs w:val="21"/>
              </w:rPr>
              <w:t>1</w:t>
            </w:r>
            <w:r>
              <w:rPr>
                <w:rFonts w:ascii="Arial" w:hAnsi="Arial" w:cs="Arial"/>
                <w:szCs w:val="21"/>
              </w:rPr>
              <w:t>）投标文件未附有招标人不能接受的条件。</w:t>
            </w:r>
          </w:p>
          <w:p w14:paraId="175A93A1">
            <w:pPr>
              <w:snapToGrid w:val="0"/>
              <w:spacing w:line="288" w:lineRule="auto"/>
              <w:rPr>
                <w:rFonts w:ascii="Arial" w:hAnsi="Arial" w:cs="Arial"/>
                <w:szCs w:val="21"/>
              </w:rPr>
            </w:pPr>
            <w:r>
              <w:rPr>
                <w:rFonts w:ascii="Arial" w:hAnsi="Arial" w:cs="Arial"/>
                <w:szCs w:val="21"/>
              </w:rPr>
              <w:t>（1</w:t>
            </w:r>
            <w:r>
              <w:rPr>
                <w:rFonts w:hint="eastAsia" w:ascii="Arial" w:hAnsi="Arial" w:cs="Arial"/>
                <w:szCs w:val="21"/>
              </w:rPr>
              <w:t>2</w:t>
            </w:r>
            <w:r>
              <w:rPr>
                <w:rFonts w:ascii="Arial" w:hAnsi="Arial" w:cs="Arial"/>
                <w:szCs w:val="21"/>
              </w:rPr>
              <w:t>）权利义务符合招标文件规定：</w:t>
            </w:r>
          </w:p>
          <w:p w14:paraId="35AEEA83">
            <w:pPr>
              <w:snapToGrid w:val="0"/>
              <w:spacing w:line="288" w:lineRule="auto"/>
              <w:ind w:firstLine="210" w:firstLineChars="100"/>
              <w:rPr>
                <w:rFonts w:ascii="Arial" w:hAnsi="Arial" w:cs="Arial"/>
                <w:szCs w:val="21"/>
              </w:rPr>
            </w:pPr>
            <w:r>
              <w:rPr>
                <w:rFonts w:ascii="Arial" w:hAnsi="Arial" w:cs="Arial"/>
                <w:szCs w:val="21"/>
              </w:rPr>
              <w:t>a.投标人应接受招标文件规定的风险划分原则，未提出新的风险划分办法；</w:t>
            </w:r>
          </w:p>
          <w:p w14:paraId="01EC9995">
            <w:pPr>
              <w:snapToGrid w:val="0"/>
              <w:spacing w:line="288" w:lineRule="auto"/>
              <w:ind w:firstLine="210" w:firstLineChars="100"/>
              <w:rPr>
                <w:rFonts w:ascii="Arial" w:hAnsi="Arial" w:cs="Arial"/>
                <w:szCs w:val="21"/>
              </w:rPr>
            </w:pPr>
            <w:r>
              <w:rPr>
                <w:rFonts w:ascii="Arial" w:hAnsi="Arial" w:cs="Arial"/>
                <w:szCs w:val="21"/>
              </w:rPr>
              <w:t>b.投标人未增加发包人的责任范围，或减少投标人义务；</w:t>
            </w:r>
          </w:p>
          <w:p w14:paraId="2541B97E">
            <w:pPr>
              <w:snapToGrid w:val="0"/>
              <w:spacing w:line="288" w:lineRule="auto"/>
              <w:ind w:firstLine="210" w:firstLineChars="100"/>
              <w:rPr>
                <w:rFonts w:ascii="Arial" w:hAnsi="Arial" w:cs="Arial"/>
                <w:szCs w:val="21"/>
              </w:rPr>
            </w:pPr>
            <w:r>
              <w:rPr>
                <w:rFonts w:ascii="Arial" w:hAnsi="Arial" w:cs="Arial"/>
                <w:szCs w:val="21"/>
              </w:rPr>
              <w:t>c.投标人未提出不同的工程验收、计量、支付办法；</w:t>
            </w:r>
          </w:p>
          <w:p w14:paraId="4EC48BFD">
            <w:pPr>
              <w:snapToGrid w:val="0"/>
              <w:spacing w:line="288" w:lineRule="auto"/>
              <w:ind w:firstLine="210" w:firstLineChars="100"/>
              <w:rPr>
                <w:rFonts w:ascii="Arial" w:hAnsi="Arial" w:cs="Arial"/>
                <w:szCs w:val="21"/>
              </w:rPr>
            </w:pPr>
            <w:r>
              <w:rPr>
                <w:rFonts w:ascii="Arial" w:hAnsi="Arial" w:cs="Arial"/>
                <w:szCs w:val="21"/>
              </w:rPr>
              <w:t>d.投标人对合同纠纷、事故处理办法未提出异议；</w:t>
            </w:r>
          </w:p>
          <w:p w14:paraId="6541480E">
            <w:pPr>
              <w:snapToGrid w:val="0"/>
              <w:spacing w:line="288" w:lineRule="auto"/>
              <w:ind w:firstLine="210" w:firstLineChars="100"/>
              <w:rPr>
                <w:rFonts w:ascii="Arial" w:hAnsi="Arial" w:cs="Arial"/>
                <w:szCs w:val="21"/>
              </w:rPr>
            </w:pPr>
            <w:r>
              <w:rPr>
                <w:rFonts w:ascii="Arial" w:hAnsi="Arial" w:cs="Arial"/>
                <w:szCs w:val="21"/>
              </w:rPr>
              <w:t>e.投标人在投标活动中无欺诈行为；</w:t>
            </w:r>
          </w:p>
          <w:p w14:paraId="09EAC6B6">
            <w:pPr>
              <w:snapToGrid w:val="0"/>
              <w:spacing w:line="288" w:lineRule="auto"/>
              <w:ind w:firstLine="210" w:firstLineChars="100"/>
              <w:rPr>
                <w:rFonts w:hint="eastAsia" w:ascii="Arial" w:hAnsi="Arial" w:cs="Arial"/>
                <w:szCs w:val="21"/>
              </w:rPr>
            </w:pPr>
            <w:r>
              <w:rPr>
                <w:rFonts w:ascii="Arial" w:hAnsi="Arial" w:cs="Arial"/>
                <w:szCs w:val="21"/>
              </w:rPr>
              <w:t>f.投标人未对合同条款有重要保留。</w:t>
            </w:r>
          </w:p>
          <w:p w14:paraId="4943F555">
            <w:pPr>
              <w:snapToGrid w:val="0"/>
              <w:spacing w:line="288" w:lineRule="auto"/>
              <w:rPr>
                <w:rFonts w:hint="eastAsia" w:ascii="黑体" w:hAnsi="黑体" w:eastAsia="黑体" w:cs="Arial"/>
                <w:b/>
                <w:szCs w:val="21"/>
                <w:u w:val="single"/>
              </w:rPr>
            </w:pPr>
            <w:r>
              <w:rPr>
                <w:rFonts w:hint="eastAsia" w:ascii="黑体" w:hAnsi="黑体" w:eastAsia="黑体" w:cs="Arial"/>
                <w:b/>
                <w:szCs w:val="21"/>
                <w:u w:val="single"/>
              </w:rPr>
              <w:t>（13）</w:t>
            </w:r>
            <w:r>
              <w:rPr>
                <w:rFonts w:ascii="黑体" w:hAnsi="黑体" w:eastAsia="黑体" w:cs="Arial"/>
                <w:b/>
                <w:szCs w:val="21"/>
                <w:u w:val="single"/>
              </w:rPr>
              <w:t>投标文件中内容、签字、盖章、所附复印件、扫描件等必须清晰，如因模糊不清导致评标委员会无法进行评标的，评标委员会有权否决其投标</w:t>
            </w:r>
            <w:r>
              <w:rPr>
                <w:rFonts w:ascii="黑体" w:hAnsi="黑体" w:eastAsia="黑体" w:cs="Arial"/>
                <w:b/>
                <w:szCs w:val="21"/>
              </w:rPr>
              <w:t>。</w:t>
            </w:r>
          </w:p>
          <w:p w14:paraId="13B18CE5">
            <w:pPr>
              <w:spacing w:line="288" w:lineRule="auto"/>
              <w:rPr>
                <w:rFonts w:ascii="Arial" w:hAnsi="Arial" w:eastAsia="黑体" w:cs="Arial"/>
                <w:b/>
                <w:szCs w:val="21"/>
              </w:rPr>
            </w:pPr>
            <w:r>
              <w:rPr>
                <w:rFonts w:ascii="Arial" w:hAnsi="Arial" w:eastAsia="黑体" w:cs="Arial"/>
                <w:b/>
                <w:szCs w:val="21"/>
              </w:rPr>
              <w:t>第二个信封（报价文件）评审：</w:t>
            </w:r>
          </w:p>
          <w:p w14:paraId="71A681FB">
            <w:pPr>
              <w:rPr>
                <w:rFonts w:ascii="Arial" w:hAnsi="Arial" w:cs="Arial"/>
                <w:szCs w:val="21"/>
              </w:rPr>
            </w:pPr>
            <w:r>
              <w:rPr>
                <w:rFonts w:ascii="Arial" w:hAnsi="Arial" w:cs="Arial"/>
                <w:szCs w:val="21"/>
              </w:rPr>
              <w:t>（1）投标文件按招标文件规定的格式、内容填写，字迹清晰可辨</w:t>
            </w:r>
            <w:r>
              <w:rPr>
                <w:rFonts w:hint="eastAsia" w:ascii="Arial" w:hAnsi="Arial" w:cs="Arial"/>
                <w:szCs w:val="21"/>
              </w:rPr>
              <w:t>：</w:t>
            </w:r>
          </w:p>
          <w:p w14:paraId="12345EC6">
            <w:pPr>
              <w:ind w:firstLine="210" w:firstLineChars="100"/>
              <w:rPr>
                <w:rFonts w:hint="eastAsia" w:ascii="Arial" w:hAnsi="Arial" w:cs="Arial"/>
                <w:szCs w:val="21"/>
              </w:rPr>
            </w:pPr>
            <w:r>
              <w:rPr>
                <w:rFonts w:ascii="Arial" w:hAnsi="Arial" w:cs="Arial"/>
                <w:szCs w:val="21"/>
              </w:rPr>
              <w:t>a.投标函按招标文件规定填报了项目名称、标段号、澄清文件编号（如有）及投标价（包括大写金额和小写金额）；</w:t>
            </w:r>
          </w:p>
          <w:p w14:paraId="2A040B4F">
            <w:pPr>
              <w:ind w:firstLine="210" w:firstLineChars="100"/>
              <w:rPr>
                <w:rFonts w:ascii="Arial" w:hAnsi="Arial" w:cs="Arial"/>
                <w:szCs w:val="21"/>
              </w:rPr>
            </w:pPr>
            <w:r>
              <w:rPr>
                <w:rFonts w:hint="eastAsia" w:ascii="Arial" w:hAnsi="Arial" w:cs="Arial"/>
                <w:szCs w:val="21"/>
              </w:rPr>
              <w:t>b.</w:t>
            </w:r>
            <w:r>
              <w:rPr>
                <w:rFonts w:ascii="Arial" w:hAnsi="Arial" w:cs="Arial"/>
                <w:szCs w:val="21"/>
              </w:rPr>
              <w:t>已标价工程量清单说明文字与招标文件规定一致，未进行实质性修改和删减；</w:t>
            </w:r>
          </w:p>
          <w:p w14:paraId="7833943E">
            <w:pPr>
              <w:ind w:firstLine="210" w:firstLineChars="100"/>
              <w:rPr>
                <w:rFonts w:hint="eastAsia" w:ascii="Arial" w:hAnsi="Arial" w:cs="Arial"/>
                <w:szCs w:val="21"/>
              </w:rPr>
            </w:pPr>
            <w:r>
              <w:rPr>
                <w:rFonts w:hint="eastAsia" w:ascii="Arial" w:hAnsi="Arial" w:cs="Arial"/>
                <w:szCs w:val="21"/>
              </w:rPr>
              <w:t>c</w:t>
            </w:r>
            <w:r>
              <w:rPr>
                <w:rFonts w:ascii="Arial" w:hAnsi="Arial" w:cs="Arial"/>
                <w:szCs w:val="21"/>
              </w:rPr>
              <w:t>.投标文件组成齐全完整，内容均按规定填写</w:t>
            </w:r>
            <w:r>
              <w:rPr>
                <w:rFonts w:hint="eastAsia" w:ascii="Arial" w:hAnsi="Arial" w:cs="Arial"/>
                <w:szCs w:val="21"/>
              </w:rPr>
              <w:t>；</w:t>
            </w:r>
          </w:p>
          <w:p w14:paraId="25A50A1C">
            <w:pPr>
              <w:ind w:firstLine="211" w:firstLineChars="100"/>
              <w:rPr>
                <w:rFonts w:ascii="黑体" w:hAnsi="黑体" w:eastAsia="黑体" w:cs="Arial"/>
                <w:b/>
                <w:szCs w:val="21"/>
                <w:u w:val="single"/>
              </w:rPr>
            </w:pPr>
            <w:r>
              <w:rPr>
                <w:rFonts w:hint="eastAsia" w:ascii="黑体" w:hAnsi="黑体" w:eastAsia="黑体" w:cs="Arial"/>
                <w:b/>
                <w:szCs w:val="21"/>
                <w:u w:val="single"/>
              </w:rPr>
              <w:t>d</w:t>
            </w:r>
            <w:r>
              <w:rPr>
                <w:rFonts w:ascii="黑体" w:hAnsi="黑体" w:eastAsia="黑体" w:cs="Arial"/>
                <w:b/>
                <w:szCs w:val="21"/>
                <w:u w:val="single"/>
              </w:rPr>
              <w:t>.投标函签署日期在法定代表人身份证明或授权委托书出具日期同日或其之后。</w:t>
            </w:r>
          </w:p>
          <w:p w14:paraId="284072C2">
            <w:pPr>
              <w:rPr>
                <w:rFonts w:ascii="Arial" w:hAnsi="Arial" w:cs="Arial"/>
                <w:szCs w:val="21"/>
              </w:rPr>
            </w:pPr>
            <w:r>
              <w:rPr>
                <w:rFonts w:ascii="Arial" w:hAnsi="Arial" w:cs="Arial"/>
                <w:szCs w:val="21"/>
              </w:rPr>
              <w:t>（2）投标文件上法定代表人或其授权代理人的签字、投标人的单位章盖章齐全，符合招标文件规定</w:t>
            </w:r>
            <w:r>
              <w:rPr>
                <w:rFonts w:hint="eastAsia" w:ascii="Arial" w:hAnsi="Arial" w:cs="Arial"/>
                <w:szCs w:val="21"/>
              </w:rPr>
              <w:t>。</w:t>
            </w:r>
          </w:p>
          <w:p w14:paraId="0A00BE8F">
            <w:pPr>
              <w:rPr>
                <w:rFonts w:ascii="Arial" w:hAnsi="Arial" w:cs="Arial"/>
                <w:szCs w:val="21"/>
              </w:rPr>
            </w:pPr>
            <w:r>
              <w:rPr>
                <w:rFonts w:ascii="Arial" w:hAnsi="Arial" w:eastAsia="黑体" w:cs="Arial"/>
                <w:szCs w:val="21"/>
              </w:rPr>
              <w:t>（3）</w:t>
            </w:r>
            <w:r>
              <w:rPr>
                <w:rFonts w:ascii="Arial" w:hAnsi="Arial" w:cs="Arial"/>
                <w:szCs w:val="21"/>
              </w:rPr>
              <w:t>投标报价未超过招标文件设定的最高投标限价（如有）</w:t>
            </w:r>
            <w:r>
              <w:rPr>
                <w:rFonts w:hint="eastAsia" w:ascii="Arial" w:hAnsi="Arial" w:cs="Arial"/>
                <w:szCs w:val="21"/>
              </w:rPr>
              <w:t>。</w:t>
            </w:r>
          </w:p>
          <w:p w14:paraId="6BF71272">
            <w:pPr>
              <w:rPr>
                <w:rFonts w:ascii="Arial" w:hAnsi="Arial" w:cs="Arial"/>
                <w:szCs w:val="21"/>
              </w:rPr>
            </w:pPr>
            <w:r>
              <w:rPr>
                <w:rFonts w:ascii="Arial" w:hAnsi="Arial" w:eastAsia="黑体" w:cs="Arial"/>
                <w:szCs w:val="21"/>
              </w:rPr>
              <w:t>（4）</w:t>
            </w:r>
            <w:r>
              <w:rPr>
                <w:rFonts w:ascii="Arial" w:hAnsi="Arial" w:cs="Arial"/>
                <w:szCs w:val="21"/>
              </w:rPr>
              <w:t>投标报价的大写金额能够确定具体数值</w:t>
            </w:r>
            <w:r>
              <w:rPr>
                <w:rFonts w:hint="eastAsia" w:ascii="Arial" w:hAnsi="Arial" w:cs="Arial"/>
                <w:szCs w:val="21"/>
              </w:rPr>
              <w:t>。</w:t>
            </w:r>
          </w:p>
          <w:p w14:paraId="5DA4706F">
            <w:pPr>
              <w:rPr>
                <w:rFonts w:ascii="Arial" w:hAnsi="Arial" w:cs="Arial"/>
                <w:szCs w:val="21"/>
              </w:rPr>
            </w:pPr>
            <w:r>
              <w:rPr>
                <w:rFonts w:ascii="Arial" w:hAnsi="Arial" w:eastAsia="黑体" w:cs="Arial"/>
                <w:szCs w:val="21"/>
              </w:rPr>
              <w:t>（5）</w:t>
            </w:r>
            <w:r>
              <w:rPr>
                <w:rFonts w:hint="eastAsia" w:ascii="Arial" w:hAnsi="Arial" w:cs="Arial"/>
                <w:szCs w:val="21"/>
              </w:rPr>
              <w:t>同一投标人未提交两个以上不同的投标报价，但招标文件要求提交备选投标的除外。</w:t>
            </w:r>
          </w:p>
          <w:p w14:paraId="3DCFAD70">
            <w:pPr>
              <w:rPr>
                <w:rFonts w:hint="eastAsia" w:ascii="Arial" w:hAnsi="Arial" w:cs="Arial"/>
                <w:szCs w:val="21"/>
              </w:rPr>
            </w:pPr>
            <w:r>
              <w:rPr>
                <w:rFonts w:ascii="Arial" w:hAnsi="Arial" w:eastAsia="黑体" w:cs="Arial"/>
                <w:szCs w:val="21"/>
              </w:rPr>
              <w:t>（6）</w:t>
            </w:r>
            <w:r>
              <w:rPr>
                <w:rFonts w:ascii="Arial" w:hAnsi="Arial" w:cs="Arial"/>
                <w:szCs w:val="21"/>
              </w:rPr>
              <w:t>投标人若填写工程量固化清单，填写完毕的工程量固化清单未对工程量固化清单电子文件中的数据、格式和运算定义进行修改；工程量固化清单中的投标报价和投标函大写金额报价一致。</w:t>
            </w:r>
          </w:p>
        </w:tc>
      </w:tr>
      <w:tr w14:paraId="1C24F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noWrap w:val="0"/>
            <w:vAlign w:val="center"/>
          </w:tcPr>
          <w:p w14:paraId="287119FC">
            <w:pPr>
              <w:spacing w:line="288" w:lineRule="auto"/>
              <w:jc w:val="center"/>
              <w:rPr>
                <w:rFonts w:ascii="Arial" w:hAnsi="Arial" w:cs="Arial"/>
                <w:szCs w:val="21"/>
              </w:rPr>
            </w:pPr>
            <w:r>
              <w:rPr>
                <w:rFonts w:ascii="Arial" w:hAnsi="Arial" w:cs="Arial"/>
                <w:szCs w:val="21"/>
              </w:rPr>
              <w:t>2.1.2</w:t>
            </w:r>
          </w:p>
        </w:tc>
        <w:tc>
          <w:tcPr>
            <w:tcW w:w="681" w:type="dxa"/>
            <w:noWrap w:val="0"/>
            <w:vAlign w:val="center"/>
          </w:tcPr>
          <w:p w14:paraId="6150F543">
            <w:pPr>
              <w:spacing w:line="288" w:lineRule="auto"/>
              <w:jc w:val="center"/>
              <w:rPr>
                <w:rFonts w:ascii="Arial" w:hAnsi="Arial" w:cs="Arial"/>
                <w:b/>
                <w:bCs/>
                <w:szCs w:val="21"/>
              </w:rPr>
            </w:pPr>
            <w:r>
              <w:rPr>
                <w:rFonts w:ascii="Arial" w:hAnsi="Arial" w:cs="Arial"/>
                <w:b/>
                <w:bCs/>
                <w:szCs w:val="21"/>
              </w:rPr>
              <w:t>资格评审标准</w:t>
            </w:r>
          </w:p>
        </w:tc>
        <w:tc>
          <w:tcPr>
            <w:tcW w:w="7899" w:type="dxa"/>
            <w:noWrap w:val="0"/>
            <w:vAlign w:val="top"/>
          </w:tcPr>
          <w:p w14:paraId="4C16271D">
            <w:pPr>
              <w:tabs>
                <w:tab w:val="center" w:pos="4153"/>
                <w:tab w:val="right" w:pos="8306"/>
              </w:tabs>
              <w:spacing w:line="288" w:lineRule="auto"/>
              <w:rPr>
                <w:rFonts w:ascii="Arial" w:hAnsi="Arial" w:cs="Arial"/>
                <w:szCs w:val="21"/>
              </w:rPr>
            </w:pPr>
            <w:r>
              <w:rPr>
                <w:rFonts w:ascii="Arial" w:hAnsi="Arial" w:cs="Arial"/>
                <w:szCs w:val="21"/>
              </w:rPr>
              <w:t>（1）</w:t>
            </w:r>
            <w:r>
              <w:rPr>
                <w:rFonts w:ascii="Arial" w:hAnsi="Arial" w:cs="Arial"/>
                <w:szCs w:val="21"/>
                <w:lang w:eastAsia="zh-TW"/>
              </w:rPr>
              <w:t>投标人具备有效的营业执照、资质证书、安全生产许可证</w:t>
            </w:r>
            <w:r>
              <w:rPr>
                <w:rFonts w:hint="eastAsia" w:ascii="Arial" w:hAnsi="Arial" w:cs="Arial"/>
                <w:szCs w:val="21"/>
              </w:rPr>
              <w:t>、</w:t>
            </w:r>
            <w:r>
              <w:rPr>
                <w:rFonts w:ascii="Arial" w:hAnsi="Arial" w:cs="Arial"/>
                <w:szCs w:val="21"/>
                <w:lang w:eastAsia="zh-TW"/>
              </w:rPr>
              <w:t>基本账户开户许可证</w:t>
            </w:r>
            <w:r>
              <w:rPr>
                <w:rFonts w:ascii="Arial" w:hAnsi="Arial" w:eastAsia="黑体" w:cs="Arial"/>
                <w:b/>
                <w:szCs w:val="21"/>
                <w:u w:val="single"/>
              </w:rPr>
              <w:t>（或基本存款账户信息）</w:t>
            </w:r>
            <w:r>
              <w:rPr>
                <w:rFonts w:ascii="Arial" w:hAnsi="Arial" w:cs="Arial"/>
                <w:color w:val="000000"/>
                <w:szCs w:val="21"/>
              </w:rPr>
              <w:t>、</w:t>
            </w:r>
            <w:r>
              <w:rPr>
                <w:rFonts w:ascii="Arial" w:hAnsi="Arial" w:cs="Arial"/>
                <w:b/>
                <w:bCs/>
                <w:color w:val="000000"/>
                <w:szCs w:val="21"/>
              </w:rPr>
              <w:t>公路工程试验检测机构资质证书、以及试验检测机构为本项目设立工地试验室出具的承诺书</w:t>
            </w:r>
            <w:r>
              <w:rPr>
                <w:rFonts w:ascii="Arial" w:hAnsi="Arial" w:cs="Arial"/>
              </w:rPr>
              <w:t>。</w:t>
            </w:r>
            <w:r>
              <w:rPr>
                <w:rFonts w:hint="eastAsia" w:ascii="Arial" w:hAnsi="Arial" w:cs="Arial"/>
                <w:szCs w:val="21"/>
              </w:rPr>
              <w:t xml:space="preserve"> </w:t>
            </w:r>
          </w:p>
          <w:p w14:paraId="3E0BA1A7">
            <w:pPr>
              <w:tabs>
                <w:tab w:val="center" w:pos="4153"/>
                <w:tab w:val="right" w:pos="8306"/>
              </w:tabs>
              <w:spacing w:line="288" w:lineRule="auto"/>
              <w:rPr>
                <w:rFonts w:ascii="Arial" w:hAnsi="Arial" w:cs="Arial"/>
                <w:szCs w:val="21"/>
              </w:rPr>
            </w:pPr>
            <w:r>
              <w:rPr>
                <w:rFonts w:ascii="Arial" w:hAnsi="Arial" w:cs="Arial"/>
                <w:szCs w:val="21"/>
              </w:rPr>
              <w:t>（2）投标人的资质等级符合招标文件规定</w:t>
            </w:r>
            <w:r>
              <w:rPr>
                <w:rFonts w:hint="eastAsia" w:ascii="Arial" w:hAnsi="Arial" w:cs="Arial"/>
                <w:szCs w:val="21"/>
              </w:rPr>
              <w:t>。</w:t>
            </w:r>
          </w:p>
          <w:p w14:paraId="6C8741F8">
            <w:pPr>
              <w:tabs>
                <w:tab w:val="center" w:pos="4153"/>
                <w:tab w:val="right" w:pos="8306"/>
              </w:tabs>
              <w:spacing w:line="288" w:lineRule="auto"/>
              <w:rPr>
                <w:rFonts w:ascii="Arial" w:hAnsi="Arial" w:cs="Arial"/>
                <w:szCs w:val="21"/>
                <w:lang w:eastAsia="zh-TW"/>
              </w:rPr>
            </w:pPr>
            <w:r>
              <w:rPr>
                <w:rFonts w:ascii="Arial" w:hAnsi="Arial" w:cs="Arial"/>
                <w:szCs w:val="21"/>
              </w:rPr>
              <w:t>（3）</w:t>
            </w:r>
            <w:r>
              <w:rPr>
                <w:rFonts w:ascii="Arial" w:hAnsi="Arial" w:cs="Arial"/>
                <w:szCs w:val="21"/>
                <w:lang w:eastAsia="zh-TW"/>
              </w:rPr>
              <w:t>投标人的财务状况符合招标文件规定</w:t>
            </w:r>
            <w:r>
              <w:rPr>
                <w:rFonts w:hint="eastAsia" w:ascii="Arial" w:hAnsi="Arial" w:cs="Arial"/>
                <w:szCs w:val="21"/>
              </w:rPr>
              <w:t>。</w:t>
            </w:r>
            <w:r>
              <w:rPr>
                <w:rFonts w:ascii="Arial" w:hAnsi="Arial" w:cs="Arial"/>
                <w:szCs w:val="21"/>
                <w:lang w:eastAsia="zh-TW"/>
              </w:rPr>
              <w:t xml:space="preserve"> </w:t>
            </w:r>
          </w:p>
          <w:p w14:paraId="3858670D">
            <w:pPr>
              <w:tabs>
                <w:tab w:val="center" w:pos="4153"/>
                <w:tab w:val="right" w:pos="8306"/>
              </w:tabs>
              <w:spacing w:line="288" w:lineRule="auto"/>
              <w:rPr>
                <w:rFonts w:ascii="Arial" w:hAnsi="Arial" w:cs="Arial"/>
                <w:szCs w:val="21"/>
              </w:rPr>
            </w:pPr>
            <w:r>
              <w:rPr>
                <w:rFonts w:ascii="Arial" w:hAnsi="Arial" w:cs="Arial"/>
                <w:szCs w:val="21"/>
              </w:rPr>
              <w:t>（4）投标人的类似项目业绩符合招标文件规定</w:t>
            </w:r>
            <w:r>
              <w:rPr>
                <w:rFonts w:hint="eastAsia" w:ascii="Arial" w:hAnsi="Arial" w:cs="Arial"/>
                <w:szCs w:val="21"/>
              </w:rPr>
              <w:t>。</w:t>
            </w:r>
          </w:p>
          <w:p w14:paraId="16F88A94">
            <w:pPr>
              <w:tabs>
                <w:tab w:val="center" w:pos="4153"/>
                <w:tab w:val="right" w:pos="8306"/>
              </w:tabs>
              <w:spacing w:line="288" w:lineRule="auto"/>
              <w:rPr>
                <w:rFonts w:hint="eastAsia" w:ascii="Arial" w:hAnsi="Arial" w:cs="Arial"/>
                <w:szCs w:val="21"/>
              </w:rPr>
            </w:pPr>
            <w:r>
              <w:rPr>
                <w:rFonts w:ascii="Arial" w:hAnsi="Arial" w:cs="Arial"/>
                <w:szCs w:val="21"/>
              </w:rPr>
              <w:t>（5）</w:t>
            </w:r>
            <w:r>
              <w:rPr>
                <w:rFonts w:ascii="Arial" w:hAnsi="Arial" w:cs="Arial"/>
                <w:szCs w:val="21"/>
                <w:lang w:eastAsia="zh-TW"/>
              </w:rPr>
              <w:t>投标人的信誉符合招标文件规定</w:t>
            </w:r>
            <w:r>
              <w:rPr>
                <w:rFonts w:hint="eastAsia" w:ascii="Arial" w:hAnsi="Arial" w:cs="Arial"/>
                <w:szCs w:val="21"/>
              </w:rPr>
              <w:t>。</w:t>
            </w:r>
          </w:p>
          <w:p w14:paraId="246FB701">
            <w:pPr>
              <w:tabs>
                <w:tab w:val="center" w:pos="4153"/>
                <w:tab w:val="right" w:pos="8306"/>
              </w:tabs>
              <w:spacing w:line="288" w:lineRule="auto"/>
              <w:rPr>
                <w:rFonts w:hint="eastAsia" w:ascii="Arial" w:hAnsi="Arial" w:cs="Arial"/>
                <w:szCs w:val="21"/>
              </w:rPr>
            </w:pPr>
            <w:r>
              <w:rPr>
                <w:rFonts w:ascii="Arial" w:hAnsi="Arial" w:cs="Arial"/>
                <w:szCs w:val="21"/>
              </w:rPr>
              <w:t>（6）投标人的</w:t>
            </w:r>
            <w:r>
              <w:rPr>
                <w:rFonts w:ascii="Arial" w:hAnsi="Arial" w:eastAsia="黑体" w:cs="Arial"/>
                <w:b/>
                <w:szCs w:val="21"/>
                <w:u w:val="single"/>
              </w:rPr>
              <w:t>项目经理</w:t>
            </w:r>
            <w:r>
              <w:rPr>
                <w:rFonts w:hint="eastAsia" w:ascii="Arial" w:hAnsi="Arial" w:eastAsia="黑体" w:cs="Arial"/>
                <w:b/>
                <w:szCs w:val="21"/>
                <w:u w:val="single"/>
              </w:rPr>
              <w:t>和</w:t>
            </w:r>
            <w:r>
              <w:rPr>
                <w:rFonts w:ascii="Arial" w:hAnsi="Arial" w:eastAsia="黑体" w:cs="Arial"/>
                <w:b/>
                <w:szCs w:val="21"/>
                <w:u w:val="single"/>
              </w:rPr>
              <w:t>项目总工资格</w:t>
            </w:r>
            <w:r>
              <w:rPr>
                <w:rFonts w:ascii="Arial" w:hAnsi="Arial" w:eastAsia="黑体" w:cs="Arial"/>
                <w:szCs w:val="21"/>
              </w:rPr>
              <w:t>、</w:t>
            </w:r>
            <w:r>
              <w:rPr>
                <w:rFonts w:ascii="Arial" w:hAnsi="Arial" w:cs="Arial"/>
                <w:szCs w:val="21"/>
              </w:rPr>
              <w:t>在岗情况符合招标文件规定</w:t>
            </w:r>
            <w:r>
              <w:rPr>
                <w:rFonts w:hint="eastAsia" w:ascii="Arial" w:hAnsi="Arial" w:cs="Arial"/>
                <w:szCs w:val="21"/>
              </w:rPr>
              <w:t>。</w:t>
            </w:r>
          </w:p>
          <w:p w14:paraId="4B127333">
            <w:pPr>
              <w:spacing w:line="288" w:lineRule="auto"/>
              <w:rPr>
                <w:rFonts w:ascii="Arial" w:hAnsi="Arial" w:cs="Arial"/>
                <w:szCs w:val="21"/>
              </w:rPr>
            </w:pPr>
            <w:r>
              <w:rPr>
                <w:rFonts w:ascii="Arial" w:hAnsi="Arial" w:cs="Arial"/>
                <w:szCs w:val="21"/>
              </w:rPr>
              <w:t>（</w:t>
            </w:r>
            <w:r>
              <w:rPr>
                <w:rFonts w:hint="eastAsia" w:ascii="Arial" w:hAnsi="Arial" w:cs="Arial"/>
                <w:szCs w:val="21"/>
              </w:rPr>
              <w:t>7</w:t>
            </w:r>
            <w:r>
              <w:rPr>
                <w:rFonts w:ascii="Arial" w:hAnsi="Arial" w:cs="Arial"/>
                <w:szCs w:val="21"/>
              </w:rPr>
              <w:t>）</w:t>
            </w:r>
            <w:r>
              <w:rPr>
                <w:rFonts w:ascii="Arial" w:hAnsi="Arial" w:cs="Arial"/>
                <w:szCs w:val="21"/>
                <w:lang w:eastAsia="zh-TW"/>
              </w:rPr>
              <w:t>投标人不存在第二章"投标人须知"第1.4.3项或第1.4.4项规定的任何一种情形</w:t>
            </w:r>
            <w:r>
              <w:rPr>
                <w:rFonts w:hint="eastAsia" w:ascii="Arial" w:hAnsi="Arial" w:cs="Arial"/>
                <w:szCs w:val="21"/>
              </w:rPr>
              <w:t>。</w:t>
            </w:r>
          </w:p>
          <w:p w14:paraId="51561C60">
            <w:pPr>
              <w:spacing w:line="288" w:lineRule="auto"/>
              <w:rPr>
                <w:rFonts w:ascii="Arial" w:hAnsi="Arial" w:cs="Arial"/>
              </w:rPr>
            </w:pPr>
            <w:bookmarkStart w:id="10" w:name="_Toc110892476"/>
            <w:r>
              <w:rPr>
                <w:rFonts w:ascii="Arial" w:hAnsi="Arial" w:cs="Arial"/>
                <w:lang w:eastAsia="zh-TW"/>
              </w:rPr>
              <w:t>（</w:t>
            </w:r>
            <w:r>
              <w:rPr>
                <w:rFonts w:hint="eastAsia" w:ascii="Arial" w:hAnsi="Arial" w:cs="Arial"/>
              </w:rPr>
              <w:t>8</w:t>
            </w:r>
            <w:r>
              <w:rPr>
                <w:rFonts w:ascii="Arial" w:hAnsi="Arial" w:cs="Arial"/>
                <w:lang w:eastAsia="zh-TW"/>
              </w:rPr>
              <w:t>）投标人符合第二章"投标人须知"第1.4.5项规定</w:t>
            </w:r>
            <w:r>
              <w:rPr>
                <w:rFonts w:ascii="Arial" w:hAnsi="Arial" w:cs="Arial"/>
              </w:rPr>
              <w:t>。</w:t>
            </w:r>
            <w:bookmarkEnd w:id="10"/>
          </w:p>
          <w:p w14:paraId="491D6BA5">
            <w:pPr>
              <w:tabs>
                <w:tab w:val="center" w:pos="4153"/>
                <w:tab w:val="right" w:pos="8306"/>
              </w:tabs>
              <w:spacing w:line="288" w:lineRule="auto"/>
              <w:rPr>
                <w:rFonts w:ascii="Arial" w:hAnsi="Arial"/>
                <w:szCs w:val="21"/>
              </w:rPr>
            </w:pPr>
            <w:r>
              <w:rPr>
                <w:rFonts w:hint="eastAsia" w:ascii="Arial" w:hAnsi="Arial"/>
                <w:szCs w:val="21"/>
                <w:highlight w:val="none"/>
              </w:rPr>
              <w:t>（9）以联合体形式参与投标的，联合体各方均未再以自己名义单独或参加其他联合体在同一标段中投标；独立参与投标的，投标人未同时参加联合体在同一标段中投标。</w:t>
            </w:r>
          </w:p>
          <w:p w14:paraId="2128E492">
            <w:pPr>
              <w:tabs>
                <w:tab w:val="center" w:pos="4153"/>
                <w:tab w:val="right" w:pos="8306"/>
              </w:tabs>
              <w:spacing w:line="288" w:lineRule="auto"/>
              <w:rPr>
                <w:rFonts w:hint="eastAsia" w:ascii="Arial" w:hAnsi="Arial" w:cs="Arial"/>
                <w:szCs w:val="21"/>
              </w:rPr>
            </w:pPr>
            <w:r>
              <w:rPr>
                <w:rFonts w:hint="eastAsia" w:ascii="Arial" w:hAnsi="Arial" w:cs="Arial"/>
                <w:szCs w:val="21"/>
              </w:rPr>
              <w:t>（10）投标人的其他要求符合招标文件规定。</w:t>
            </w:r>
          </w:p>
        </w:tc>
      </w:tr>
    </w:tbl>
    <w:p w14:paraId="0104E535">
      <w:pPr>
        <w:tabs>
          <w:tab w:val="left" w:pos="684"/>
          <w:tab w:val="left" w:pos="1365"/>
        </w:tabs>
        <w:jc w:val="right"/>
        <w:rPr>
          <w:rFonts w:ascii="Arial" w:hAnsi="Arial" w:cs="Arial"/>
          <w:szCs w:val="21"/>
        </w:rPr>
      </w:pPr>
      <w:r>
        <w:rPr>
          <w:rFonts w:hint="eastAsia" w:ascii="Arial" w:hAnsi="Arial" w:cs="Arial"/>
          <w:b/>
          <w:bCs/>
          <w:szCs w:val="21"/>
        </w:rPr>
        <w:t>续上表</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1723"/>
        <w:gridCol w:w="5510"/>
      </w:tblGrid>
      <w:tr w14:paraId="53185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365" w:type="dxa"/>
            <w:noWrap w:val="0"/>
            <w:vAlign w:val="center"/>
          </w:tcPr>
          <w:p w14:paraId="12E23618">
            <w:pPr>
              <w:spacing w:line="312" w:lineRule="auto"/>
              <w:jc w:val="center"/>
              <w:rPr>
                <w:rStyle w:val="11"/>
                <w:rFonts w:ascii="Arial" w:hAnsi="Arial" w:cs="Arial"/>
                <w:b w:val="0"/>
                <w:bCs w:val="0"/>
                <w:spacing w:val="0"/>
                <w:lang w:val="zh-TW" w:eastAsia="zh-TW"/>
              </w:rPr>
            </w:pPr>
            <w:r>
              <w:rPr>
                <w:rStyle w:val="11"/>
                <w:rFonts w:ascii="Arial" w:hAnsi="Arial" w:cs="Arial"/>
                <w:spacing w:val="0"/>
                <w:lang w:val="zh-TW" w:eastAsia="zh-TW"/>
              </w:rPr>
              <w:t>条款号</w:t>
            </w:r>
          </w:p>
        </w:tc>
        <w:tc>
          <w:tcPr>
            <w:tcW w:w="1858" w:type="dxa"/>
            <w:noWrap w:val="0"/>
            <w:vAlign w:val="top"/>
          </w:tcPr>
          <w:p w14:paraId="669F53C6">
            <w:pPr>
              <w:spacing w:line="312" w:lineRule="auto"/>
              <w:jc w:val="center"/>
              <w:rPr>
                <w:rStyle w:val="11"/>
                <w:rFonts w:ascii="Arial" w:hAnsi="Arial" w:cs="Arial"/>
                <w:spacing w:val="0"/>
                <w:lang w:val="zh-TW" w:eastAsia="zh-TW"/>
              </w:rPr>
            </w:pPr>
            <w:r>
              <w:rPr>
                <w:rStyle w:val="11"/>
                <w:rFonts w:ascii="Arial" w:hAnsi="Arial" w:cs="Arial"/>
                <w:spacing w:val="0"/>
                <w:lang w:val="zh-TW" w:eastAsia="zh-TW"/>
              </w:rPr>
              <w:t>条款内容</w:t>
            </w:r>
          </w:p>
        </w:tc>
        <w:tc>
          <w:tcPr>
            <w:tcW w:w="6041" w:type="dxa"/>
            <w:noWrap w:val="0"/>
            <w:vAlign w:val="top"/>
          </w:tcPr>
          <w:p w14:paraId="792E406E">
            <w:pPr>
              <w:spacing w:line="312" w:lineRule="auto"/>
              <w:jc w:val="center"/>
              <w:rPr>
                <w:rStyle w:val="11"/>
                <w:rFonts w:ascii="Arial" w:hAnsi="Arial" w:cs="Arial"/>
                <w:spacing w:val="0"/>
                <w:lang w:val="zh-TW" w:eastAsia="zh-TW"/>
              </w:rPr>
            </w:pPr>
            <w:r>
              <w:rPr>
                <w:rStyle w:val="11"/>
                <w:rFonts w:ascii="Arial" w:hAnsi="Arial" w:cs="Arial"/>
                <w:spacing w:val="0"/>
                <w:lang w:val="zh-TW" w:eastAsia="zh-TW"/>
              </w:rPr>
              <w:t>编列内容</w:t>
            </w:r>
          </w:p>
        </w:tc>
      </w:tr>
      <w:tr w14:paraId="21AF8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noWrap w:val="0"/>
            <w:vAlign w:val="center"/>
          </w:tcPr>
          <w:p w14:paraId="2CEE9354">
            <w:pPr>
              <w:spacing w:line="312" w:lineRule="auto"/>
              <w:jc w:val="center"/>
              <w:rPr>
                <w:rFonts w:ascii="Arial" w:hAnsi="Arial" w:cs="Arial"/>
                <w:b/>
                <w:bCs/>
                <w:szCs w:val="21"/>
              </w:rPr>
            </w:pPr>
            <w:r>
              <w:rPr>
                <w:rFonts w:ascii="Arial" w:hAnsi="Arial" w:cs="Arial"/>
                <w:b/>
                <w:bCs/>
                <w:szCs w:val="21"/>
              </w:rPr>
              <w:t>2.2.1</w:t>
            </w:r>
          </w:p>
        </w:tc>
        <w:tc>
          <w:tcPr>
            <w:tcW w:w="1858" w:type="dxa"/>
            <w:noWrap w:val="0"/>
            <w:vAlign w:val="center"/>
          </w:tcPr>
          <w:p w14:paraId="75DF8950">
            <w:pPr>
              <w:jc w:val="center"/>
              <w:rPr>
                <w:rFonts w:ascii="Arial" w:hAnsi="Arial" w:cs="Arial"/>
                <w:szCs w:val="21"/>
              </w:rPr>
            </w:pPr>
            <w:r>
              <w:rPr>
                <w:rFonts w:ascii="Arial" w:hAnsi="Arial" w:cs="Arial"/>
                <w:szCs w:val="21"/>
                <w:lang w:eastAsia="zh-TW"/>
              </w:rPr>
              <w:t>分值构成</w:t>
            </w:r>
          </w:p>
          <w:p w14:paraId="037D32F7">
            <w:pPr>
              <w:jc w:val="center"/>
              <w:rPr>
                <w:rFonts w:ascii="Arial" w:hAnsi="Arial" w:cs="Arial"/>
                <w:szCs w:val="21"/>
                <w:lang w:eastAsia="zh-TW"/>
              </w:rPr>
            </w:pPr>
            <w:r>
              <w:rPr>
                <w:rFonts w:ascii="Arial" w:hAnsi="Arial" w:cs="Arial"/>
                <w:szCs w:val="21"/>
                <w:lang w:eastAsia="zh-TW"/>
              </w:rPr>
              <w:t xml:space="preserve"> （总分100分）</w:t>
            </w:r>
          </w:p>
        </w:tc>
        <w:tc>
          <w:tcPr>
            <w:tcW w:w="6041" w:type="dxa"/>
            <w:noWrap w:val="0"/>
            <w:vAlign w:val="center"/>
          </w:tcPr>
          <w:p w14:paraId="02A27DFF">
            <w:pPr>
              <w:spacing w:line="312" w:lineRule="auto"/>
              <w:rPr>
                <w:rFonts w:ascii="Arial" w:hAnsi="Arial" w:cs="Arial"/>
                <w:szCs w:val="21"/>
                <w:lang w:eastAsia="zh-TW"/>
              </w:rPr>
            </w:pPr>
            <w:r>
              <w:rPr>
                <w:rFonts w:ascii="Arial" w:hAnsi="Arial" w:cs="Arial"/>
                <w:szCs w:val="21"/>
                <w:lang w:eastAsia="zh-TW"/>
              </w:rPr>
              <w:t>评标价：100分</w:t>
            </w:r>
          </w:p>
        </w:tc>
      </w:tr>
      <w:tr w14:paraId="2D7B8F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65" w:type="dxa"/>
            <w:noWrap w:val="0"/>
            <w:vAlign w:val="center"/>
          </w:tcPr>
          <w:p w14:paraId="66146DF4">
            <w:pPr>
              <w:spacing w:line="312" w:lineRule="auto"/>
              <w:jc w:val="center"/>
              <w:rPr>
                <w:rFonts w:ascii="Arial" w:hAnsi="Arial" w:cs="Arial"/>
                <w:b/>
                <w:bCs/>
                <w:szCs w:val="21"/>
              </w:rPr>
            </w:pPr>
            <w:r>
              <w:rPr>
                <w:rFonts w:ascii="Arial" w:hAnsi="Arial" w:cs="Arial"/>
                <w:b/>
                <w:bCs/>
                <w:szCs w:val="21"/>
              </w:rPr>
              <w:t>2.2.2</w:t>
            </w:r>
          </w:p>
        </w:tc>
        <w:tc>
          <w:tcPr>
            <w:tcW w:w="1858" w:type="dxa"/>
            <w:noWrap w:val="0"/>
            <w:vAlign w:val="center"/>
          </w:tcPr>
          <w:p w14:paraId="5E0AEEC0">
            <w:pPr>
              <w:spacing w:line="312" w:lineRule="auto"/>
              <w:jc w:val="center"/>
              <w:rPr>
                <w:rFonts w:ascii="Arial" w:hAnsi="Arial" w:cs="Arial"/>
                <w:szCs w:val="21"/>
              </w:rPr>
            </w:pPr>
            <w:r>
              <w:rPr>
                <w:rFonts w:ascii="Arial" w:hAnsi="Arial" w:cs="Arial"/>
                <w:szCs w:val="21"/>
              </w:rPr>
              <w:t>评标基准价</w:t>
            </w:r>
          </w:p>
          <w:p w14:paraId="2908CBD1">
            <w:pPr>
              <w:spacing w:line="312" w:lineRule="auto"/>
              <w:jc w:val="center"/>
              <w:rPr>
                <w:rFonts w:ascii="Arial" w:hAnsi="Arial" w:cs="Arial"/>
                <w:szCs w:val="21"/>
                <w:lang w:eastAsia="zh-TW"/>
              </w:rPr>
            </w:pPr>
            <w:r>
              <w:rPr>
                <w:rFonts w:ascii="Arial" w:hAnsi="Arial" w:cs="Arial"/>
                <w:szCs w:val="21"/>
              </w:rPr>
              <w:t>计算方法</w:t>
            </w:r>
          </w:p>
        </w:tc>
        <w:tc>
          <w:tcPr>
            <w:tcW w:w="6041" w:type="dxa"/>
            <w:noWrap w:val="0"/>
            <w:vAlign w:val="bottom"/>
          </w:tcPr>
          <w:p w14:paraId="1246DA8B">
            <w:pPr>
              <w:rPr>
                <w:rFonts w:ascii="Arial" w:hAnsi="Arial" w:cs="Arial"/>
                <w:b/>
                <w:szCs w:val="21"/>
                <w:lang w:val="zh-TW"/>
              </w:rPr>
            </w:pPr>
            <w:r>
              <w:rPr>
                <w:rFonts w:ascii="Arial" w:hAnsi="Arial" w:cs="Arial"/>
                <w:b/>
                <w:szCs w:val="21"/>
                <w:lang w:val="zh-TW"/>
              </w:rPr>
              <w:t>评标基准价的计算：</w:t>
            </w:r>
          </w:p>
          <w:p w14:paraId="6D4A175E">
            <w:pPr>
              <w:rPr>
                <w:rFonts w:ascii="Arial" w:hAnsi="Arial" w:cs="Arial"/>
                <w:b/>
                <w:szCs w:val="21"/>
                <w:lang w:val="zh-TW"/>
              </w:rPr>
            </w:pPr>
            <w:r>
              <w:rPr>
                <w:rFonts w:ascii="Arial" w:hAnsi="Arial" w:cs="Arial"/>
                <w:bCs/>
                <w:szCs w:val="21"/>
                <w:lang w:val="zh-TW"/>
              </w:rPr>
              <w:t>在开标现场，招标人将当场计算并宣布评标基准价</w:t>
            </w:r>
            <w:r>
              <w:rPr>
                <w:rFonts w:ascii="Arial" w:hAnsi="Arial" w:cs="Arial"/>
                <w:b/>
                <w:szCs w:val="21"/>
              </w:rPr>
              <w:t>（四舍五入，保留整数）</w:t>
            </w:r>
            <w:r>
              <w:rPr>
                <w:rFonts w:ascii="Arial" w:hAnsi="Arial" w:cs="Arial"/>
                <w:b/>
                <w:szCs w:val="21"/>
                <w:lang w:val="zh-TW"/>
              </w:rPr>
              <w:t>。</w:t>
            </w:r>
          </w:p>
          <w:p w14:paraId="222ECB59">
            <w:pPr>
              <w:rPr>
                <w:rFonts w:ascii="Arial" w:hAnsi="Arial" w:cs="Arial"/>
                <w:bCs/>
                <w:szCs w:val="21"/>
                <w:lang w:val="zh-TW"/>
              </w:rPr>
            </w:pPr>
            <w:r>
              <w:rPr>
                <w:rFonts w:ascii="Arial" w:hAnsi="Arial" w:cs="Arial"/>
                <w:bCs/>
                <w:szCs w:val="21"/>
                <w:lang w:val="zh-TW"/>
              </w:rPr>
              <w:t>（1）评标价的确定：</w:t>
            </w:r>
          </w:p>
          <w:p w14:paraId="5F4C05AB">
            <w:pPr>
              <w:ind w:firstLine="422" w:firstLineChars="200"/>
              <w:rPr>
                <w:rFonts w:ascii="Arial" w:hAnsi="Arial" w:cs="Arial"/>
                <w:b/>
                <w:szCs w:val="21"/>
                <w:lang w:val="zh-TW"/>
              </w:rPr>
            </w:pPr>
            <w:r>
              <w:rPr>
                <w:rFonts w:ascii="Arial" w:hAnsi="Arial" w:cs="Arial"/>
                <w:b/>
                <w:szCs w:val="21"/>
                <w:lang w:val="zh-TW"/>
              </w:rPr>
              <w:t>评标价=投标函</w:t>
            </w:r>
            <w:r>
              <w:rPr>
                <w:rFonts w:ascii="Arial" w:hAnsi="Arial" w:cs="Arial"/>
                <w:b/>
                <w:szCs w:val="21"/>
              </w:rPr>
              <w:t>文字报价</w:t>
            </w:r>
          </w:p>
          <w:p w14:paraId="3C3C3238">
            <w:pPr>
              <w:rPr>
                <w:rFonts w:ascii="Arial" w:hAnsi="Arial" w:cs="Arial"/>
                <w:bCs/>
                <w:szCs w:val="21"/>
                <w:lang w:val="zh-TW"/>
              </w:rPr>
            </w:pPr>
            <w:r>
              <w:rPr>
                <w:rFonts w:ascii="Arial" w:hAnsi="Arial" w:cs="Arial"/>
                <w:bCs/>
                <w:szCs w:val="21"/>
                <w:lang w:val="zh-TW"/>
              </w:rPr>
              <w:t>（2）评标价平均值的计算</w:t>
            </w:r>
            <w:r>
              <w:rPr>
                <w:rFonts w:ascii="Arial" w:hAnsi="Arial" w:cs="Arial"/>
                <w:bCs/>
                <w:szCs w:val="21"/>
              </w:rPr>
              <w:t>（四舍五入，保留整数）</w:t>
            </w:r>
            <w:r>
              <w:rPr>
                <w:rFonts w:ascii="Arial" w:hAnsi="Arial" w:cs="Arial"/>
                <w:bCs/>
                <w:szCs w:val="21"/>
                <w:lang w:val="zh-TW"/>
              </w:rPr>
              <w:t>：</w:t>
            </w:r>
          </w:p>
          <w:p w14:paraId="7EC46237">
            <w:pPr>
              <w:ind w:firstLine="422" w:firstLineChars="200"/>
              <w:rPr>
                <w:rFonts w:ascii="Arial" w:hAnsi="Arial" w:cs="Arial"/>
                <w:b/>
                <w:szCs w:val="21"/>
              </w:rPr>
            </w:pPr>
            <w:r>
              <w:rPr>
                <w:rFonts w:ascii="Arial" w:hAnsi="Arial" w:cs="Arial"/>
                <w:b/>
                <w:szCs w:val="21"/>
              </w:rPr>
              <w:t>除按第二章“投标人须知”有关规定开标现场被宣布为不进入评标基准价计算的投标报价之外</w:t>
            </w:r>
            <w:r>
              <w:rPr>
                <w:rFonts w:hint="eastAsia" w:ascii="Arial" w:hAnsi="Arial" w:cs="Arial"/>
                <w:b/>
                <w:szCs w:val="21"/>
              </w:rPr>
              <w:t>的投标人的投标报价为“有效投标报价”</w:t>
            </w:r>
            <w:r>
              <w:rPr>
                <w:rFonts w:ascii="Arial" w:hAnsi="Arial" w:cs="Arial"/>
                <w:b/>
                <w:szCs w:val="21"/>
              </w:rPr>
              <w:t>，按以下方法计算评标价平均值：</w:t>
            </w:r>
          </w:p>
          <w:p w14:paraId="6BD41FE1">
            <w:pPr>
              <w:snapToGrid w:val="0"/>
              <w:ind w:firstLine="211" w:firstLineChars="100"/>
              <w:rPr>
                <w:rFonts w:ascii="Arial" w:hAnsi="Arial" w:eastAsia="黑体" w:cs="Arial"/>
                <w:b/>
                <w:szCs w:val="21"/>
              </w:rPr>
            </w:pPr>
            <w:r>
              <w:rPr>
                <w:rFonts w:ascii="Arial" w:hAnsi="Arial" w:eastAsia="黑体" w:cs="Arial"/>
                <w:b/>
                <w:szCs w:val="21"/>
              </w:rPr>
              <w:t>a、如果有效投标报价数量小于等于10家时，直接计算算术平均值即为评标价平均值；</w:t>
            </w:r>
          </w:p>
          <w:p w14:paraId="763D1EA4">
            <w:pPr>
              <w:snapToGrid w:val="0"/>
              <w:ind w:firstLine="211" w:firstLineChars="100"/>
              <w:rPr>
                <w:rFonts w:ascii="Arial" w:hAnsi="Arial" w:eastAsia="黑体" w:cs="Arial"/>
                <w:b/>
                <w:szCs w:val="21"/>
              </w:rPr>
            </w:pPr>
            <w:r>
              <w:rPr>
                <w:rFonts w:ascii="Arial" w:hAnsi="Arial" w:eastAsia="黑体" w:cs="Arial"/>
                <w:b/>
                <w:szCs w:val="21"/>
              </w:rPr>
              <w:t>b、如果有效投标报价数量大于10家小于等于15家时，计算评标价平均值时去掉2个最高和</w:t>
            </w:r>
            <w:r>
              <w:rPr>
                <w:rFonts w:hint="eastAsia" w:ascii="Arial" w:hAnsi="Arial" w:eastAsia="黑体" w:cs="Arial"/>
                <w:b/>
                <w:szCs w:val="21"/>
              </w:rPr>
              <w:t>4</w:t>
            </w:r>
            <w:r>
              <w:rPr>
                <w:rFonts w:ascii="Arial" w:hAnsi="Arial" w:eastAsia="黑体" w:cs="Arial"/>
                <w:b/>
                <w:szCs w:val="21"/>
              </w:rPr>
              <w:t>个最低的投标单位投标报价；</w:t>
            </w:r>
          </w:p>
          <w:p w14:paraId="1DF3CBE9">
            <w:pPr>
              <w:snapToGrid w:val="0"/>
              <w:ind w:firstLine="211" w:firstLineChars="100"/>
              <w:rPr>
                <w:rFonts w:ascii="Arial" w:hAnsi="Arial" w:eastAsia="黑体" w:cs="Arial"/>
                <w:b/>
                <w:szCs w:val="21"/>
              </w:rPr>
            </w:pPr>
            <w:r>
              <w:rPr>
                <w:rFonts w:ascii="Arial" w:hAnsi="Arial" w:eastAsia="黑体" w:cs="Arial"/>
                <w:b/>
                <w:szCs w:val="21"/>
              </w:rPr>
              <w:t>c、如果有效投标报价数量大于15家小于等于20家时，计算评标价平均值时去掉4个最高和</w:t>
            </w:r>
            <w:r>
              <w:rPr>
                <w:rFonts w:hint="eastAsia" w:ascii="Arial" w:hAnsi="Arial" w:eastAsia="黑体" w:cs="Arial"/>
                <w:b/>
                <w:szCs w:val="21"/>
              </w:rPr>
              <w:t>8</w:t>
            </w:r>
            <w:r>
              <w:rPr>
                <w:rFonts w:ascii="Arial" w:hAnsi="Arial" w:eastAsia="黑体" w:cs="Arial"/>
                <w:b/>
                <w:szCs w:val="21"/>
              </w:rPr>
              <w:t>个最低的投标单位投标报价；</w:t>
            </w:r>
          </w:p>
          <w:p w14:paraId="5B7DD651">
            <w:pPr>
              <w:snapToGrid w:val="0"/>
              <w:ind w:firstLine="207" w:firstLineChars="100"/>
              <w:rPr>
                <w:rFonts w:ascii="Arial" w:hAnsi="Arial" w:eastAsia="黑体" w:cs="Arial"/>
                <w:b/>
                <w:spacing w:val="-2"/>
                <w:szCs w:val="21"/>
              </w:rPr>
            </w:pPr>
            <w:r>
              <w:rPr>
                <w:rFonts w:ascii="Arial" w:hAnsi="Arial" w:eastAsia="黑体" w:cs="Arial"/>
                <w:b/>
                <w:spacing w:val="-2"/>
                <w:szCs w:val="21"/>
              </w:rPr>
              <w:t>d、如果有效投标报价数量大于20家小于等于30家时，计算评标价平均值时去掉6个最高和</w:t>
            </w:r>
            <w:r>
              <w:rPr>
                <w:rFonts w:hint="eastAsia" w:ascii="Arial" w:hAnsi="Arial" w:eastAsia="黑体" w:cs="Arial"/>
                <w:b/>
                <w:spacing w:val="-2"/>
                <w:szCs w:val="21"/>
              </w:rPr>
              <w:t>12</w:t>
            </w:r>
            <w:r>
              <w:rPr>
                <w:rFonts w:ascii="Arial" w:hAnsi="Arial" w:eastAsia="黑体" w:cs="Arial"/>
                <w:b/>
                <w:spacing w:val="-2"/>
                <w:szCs w:val="21"/>
              </w:rPr>
              <w:t>个最低的投标单位投标报价；</w:t>
            </w:r>
          </w:p>
          <w:p w14:paraId="562D9E67">
            <w:pPr>
              <w:snapToGrid w:val="0"/>
              <w:ind w:firstLine="207" w:firstLineChars="100"/>
              <w:rPr>
                <w:rFonts w:ascii="Arial" w:hAnsi="Arial" w:eastAsia="黑体" w:cs="Arial"/>
                <w:b/>
                <w:spacing w:val="-2"/>
                <w:szCs w:val="21"/>
              </w:rPr>
            </w:pPr>
            <w:r>
              <w:rPr>
                <w:rFonts w:ascii="Arial" w:hAnsi="Arial" w:eastAsia="黑体" w:cs="Arial"/>
                <w:b/>
                <w:spacing w:val="-2"/>
                <w:szCs w:val="21"/>
              </w:rPr>
              <w:t>e、如果有效投标报价数量大于30家小于等于40家时，计算评标价平均值时去掉8个最高和</w:t>
            </w:r>
            <w:r>
              <w:rPr>
                <w:rFonts w:hint="eastAsia" w:ascii="Arial" w:hAnsi="Arial" w:eastAsia="黑体" w:cs="Arial"/>
                <w:b/>
                <w:spacing w:val="-2"/>
                <w:szCs w:val="21"/>
              </w:rPr>
              <w:t>16</w:t>
            </w:r>
            <w:r>
              <w:rPr>
                <w:rFonts w:ascii="Arial" w:hAnsi="Arial" w:eastAsia="黑体" w:cs="Arial"/>
                <w:b/>
                <w:spacing w:val="-2"/>
                <w:szCs w:val="21"/>
              </w:rPr>
              <w:t>个最低的投标单位投标报价；</w:t>
            </w:r>
          </w:p>
          <w:p w14:paraId="3FEBAEC9">
            <w:pPr>
              <w:snapToGrid w:val="0"/>
              <w:ind w:firstLine="211" w:firstLineChars="100"/>
              <w:rPr>
                <w:rFonts w:ascii="Arial" w:hAnsi="Arial" w:eastAsia="黑体" w:cs="Arial"/>
                <w:b/>
                <w:szCs w:val="21"/>
              </w:rPr>
            </w:pPr>
            <w:r>
              <w:rPr>
                <w:rFonts w:ascii="Arial" w:hAnsi="Arial" w:eastAsia="黑体" w:cs="Arial"/>
                <w:b/>
                <w:szCs w:val="21"/>
              </w:rPr>
              <w:t>f、</w:t>
            </w:r>
            <w:r>
              <w:rPr>
                <w:rFonts w:ascii="Arial" w:hAnsi="Arial" w:eastAsia="黑体" w:cs="Arial"/>
                <w:b/>
                <w:spacing w:val="-2"/>
                <w:szCs w:val="21"/>
              </w:rPr>
              <w:t>如果有效投标报价数量大于40家小于等于50家时，计算评标价平均值时去掉10个最高和</w:t>
            </w:r>
            <w:r>
              <w:rPr>
                <w:rFonts w:hint="eastAsia" w:ascii="Arial" w:hAnsi="Arial" w:eastAsia="黑体" w:cs="Arial"/>
                <w:b/>
                <w:spacing w:val="-2"/>
                <w:szCs w:val="21"/>
              </w:rPr>
              <w:t>20</w:t>
            </w:r>
            <w:r>
              <w:rPr>
                <w:rFonts w:ascii="Arial" w:hAnsi="Arial" w:eastAsia="黑体" w:cs="Arial"/>
                <w:b/>
                <w:spacing w:val="-2"/>
                <w:szCs w:val="21"/>
              </w:rPr>
              <w:t>个最低的投标单位投标报价；</w:t>
            </w:r>
          </w:p>
          <w:p w14:paraId="1710680E">
            <w:pPr>
              <w:snapToGrid w:val="0"/>
              <w:ind w:firstLine="203" w:firstLineChars="100"/>
              <w:rPr>
                <w:rFonts w:ascii="Arial" w:hAnsi="Arial" w:eastAsia="黑体" w:cs="Arial"/>
                <w:b/>
                <w:spacing w:val="-4"/>
                <w:szCs w:val="21"/>
              </w:rPr>
            </w:pPr>
            <w:r>
              <w:rPr>
                <w:rFonts w:ascii="Arial" w:hAnsi="Arial" w:eastAsia="黑体" w:cs="Arial"/>
                <w:b/>
                <w:spacing w:val="-4"/>
                <w:szCs w:val="21"/>
              </w:rPr>
              <w:t>g、如果有效投标报价数量大于50家小于等于60家时，计算评标价平均值时去掉12个最高和</w:t>
            </w:r>
            <w:r>
              <w:rPr>
                <w:rFonts w:hint="eastAsia" w:ascii="Arial" w:hAnsi="Arial" w:eastAsia="黑体" w:cs="Arial"/>
                <w:b/>
                <w:spacing w:val="-4"/>
                <w:szCs w:val="21"/>
              </w:rPr>
              <w:t>24</w:t>
            </w:r>
            <w:r>
              <w:rPr>
                <w:rFonts w:ascii="Arial" w:hAnsi="Arial" w:eastAsia="黑体" w:cs="Arial"/>
                <w:b/>
                <w:spacing w:val="-4"/>
                <w:szCs w:val="21"/>
              </w:rPr>
              <w:t>个最低的投标单位投标报价；</w:t>
            </w:r>
          </w:p>
          <w:p w14:paraId="209D4DB7">
            <w:pPr>
              <w:snapToGrid w:val="0"/>
              <w:ind w:firstLine="203" w:firstLineChars="100"/>
              <w:rPr>
                <w:rFonts w:ascii="Arial" w:hAnsi="Arial" w:eastAsia="黑体" w:cs="Arial"/>
                <w:b/>
                <w:spacing w:val="-4"/>
                <w:szCs w:val="21"/>
              </w:rPr>
            </w:pPr>
            <w:r>
              <w:rPr>
                <w:rFonts w:ascii="Arial" w:hAnsi="Arial" w:eastAsia="黑体" w:cs="Arial"/>
                <w:b/>
                <w:spacing w:val="-4"/>
                <w:szCs w:val="21"/>
              </w:rPr>
              <w:t>h、如果有效投标报价数量大于60家小于等于80家时，计算评标价平均值时去掉14个最高和</w:t>
            </w:r>
            <w:r>
              <w:rPr>
                <w:rFonts w:hint="eastAsia" w:ascii="Arial" w:hAnsi="Arial" w:eastAsia="黑体" w:cs="Arial"/>
                <w:b/>
                <w:spacing w:val="-4"/>
                <w:szCs w:val="21"/>
              </w:rPr>
              <w:t>28</w:t>
            </w:r>
            <w:r>
              <w:rPr>
                <w:rFonts w:ascii="Arial" w:hAnsi="Arial" w:eastAsia="黑体" w:cs="Arial"/>
                <w:b/>
                <w:spacing w:val="-4"/>
                <w:szCs w:val="21"/>
              </w:rPr>
              <w:t>个最低的投标单位投标报价；</w:t>
            </w:r>
          </w:p>
          <w:p w14:paraId="2CBE39DF">
            <w:pPr>
              <w:ind w:firstLine="211" w:firstLineChars="100"/>
            </w:pPr>
            <w:r>
              <w:rPr>
                <w:rFonts w:ascii="Arial" w:hAnsi="Arial" w:eastAsia="黑体" w:cs="Arial"/>
                <w:b/>
                <w:szCs w:val="21"/>
              </w:rPr>
              <w:t>i、如果有效投标报价数量大于80家时，计算评标价平均值时去掉16个最高和</w:t>
            </w:r>
            <w:r>
              <w:rPr>
                <w:rFonts w:hint="eastAsia" w:ascii="Arial" w:hAnsi="Arial" w:eastAsia="黑体" w:cs="Arial"/>
                <w:b/>
                <w:szCs w:val="21"/>
              </w:rPr>
              <w:t>32</w:t>
            </w:r>
            <w:r>
              <w:rPr>
                <w:rFonts w:ascii="Arial" w:hAnsi="Arial" w:eastAsia="黑体" w:cs="Arial"/>
                <w:b/>
                <w:szCs w:val="21"/>
              </w:rPr>
              <w:t>个最低的投标单位投标报价。</w:t>
            </w:r>
          </w:p>
          <w:p w14:paraId="78324183">
            <w:pPr>
              <w:rPr>
                <w:rFonts w:ascii="Arial" w:hAnsi="Arial" w:cs="Arial"/>
                <w:bCs/>
                <w:szCs w:val="21"/>
                <w:lang w:val="zh-TW"/>
              </w:rPr>
            </w:pPr>
            <w:r>
              <w:rPr>
                <w:rFonts w:ascii="Arial" w:hAnsi="Arial" w:cs="Arial"/>
                <w:bCs/>
                <w:szCs w:val="21"/>
                <w:lang w:val="zh-TW"/>
              </w:rPr>
              <w:t>（3）评标基准价的确定：</w:t>
            </w:r>
          </w:p>
          <w:p w14:paraId="1040A4DE">
            <w:pPr>
              <w:ind w:firstLine="422" w:firstLineChars="200"/>
              <w:rPr>
                <w:rFonts w:ascii="Arial" w:hAnsi="Arial" w:cs="Arial"/>
                <w:b/>
                <w:szCs w:val="21"/>
                <w:lang w:val="zh-TW"/>
              </w:rPr>
            </w:pPr>
            <w:r>
              <w:rPr>
                <w:rFonts w:ascii="Arial" w:hAnsi="Arial" w:cs="Arial"/>
                <w:b/>
                <w:szCs w:val="21"/>
                <w:lang w:val="zh-TW"/>
              </w:rPr>
              <w:t>招标人设置评标基准价系数，由监督人代表现场从0.999、0.998、0.997、0.996、0.995五个数中随机抽取一个。评标价平均值乘以现场抽取的评标基准价系数作为评标基准价。</w:t>
            </w:r>
          </w:p>
          <w:p w14:paraId="5489C93C">
            <w:pPr>
              <w:ind w:firstLine="422" w:firstLineChars="200"/>
              <w:rPr>
                <w:rFonts w:ascii="Arial" w:hAnsi="Arial" w:cs="Arial"/>
                <w:b/>
                <w:szCs w:val="21"/>
                <w:lang w:val="zh-TW"/>
              </w:rPr>
            </w:pPr>
            <w:r>
              <w:rPr>
                <w:rFonts w:ascii="Arial" w:hAnsi="Arial" w:cs="Arial"/>
                <w:b/>
                <w:szCs w:val="21"/>
                <w:lang w:val="zh-TW"/>
              </w:rPr>
              <w:t>在评标过程中，评标委员会应对招标人计算的评标基准价进行复核，存在计算错误的应予以修正；存在“开标一览表”投标报价与投标函投标报价不一致的，应以投标函投标报价大写金额为准修正评标基准价（其中未在投标函上填写投标总价的或投标函投标报价超出招标人公布的最高投标限价的或投标函投标报价大写金额无法确定具体数值的，应剔除对应投标人及其投标报价后修正评标基准价）；存在以低于成本报价竞标而被否决的，应剔除对应投标人及其投标报价后修正评标基准价。上述情况应在评标报告中作出说明。</w:t>
            </w:r>
          </w:p>
          <w:p w14:paraId="2316185B">
            <w:pPr>
              <w:ind w:firstLine="422" w:firstLineChars="200"/>
              <w:rPr>
                <w:rStyle w:val="13"/>
                <w:rFonts w:ascii="Arial" w:hAnsi="Arial" w:cs="Arial"/>
                <w:b/>
                <w:kern w:val="0"/>
                <w:sz w:val="21"/>
                <w:szCs w:val="21"/>
              </w:rPr>
            </w:pPr>
            <w:r>
              <w:rPr>
                <w:rFonts w:ascii="Arial" w:hAnsi="Arial" w:cs="Arial"/>
                <w:b/>
                <w:szCs w:val="21"/>
                <w:lang w:val="zh-TW"/>
              </w:rPr>
              <w:t>除此之外，评标基准价在整个评标期间保持不变，不随任何因素发生变化。</w:t>
            </w:r>
          </w:p>
        </w:tc>
      </w:tr>
      <w:tr w14:paraId="3D40FD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365" w:type="dxa"/>
            <w:noWrap w:val="0"/>
            <w:vAlign w:val="center"/>
          </w:tcPr>
          <w:p w14:paraId="45444144">
            <w:pPr>
              <w:spacing w:line="312" w:lineRule="auto"/>
              <w:jc w:val="center"/>
              <w:rPr>
                <w:rFonts w:ascii="Arial" w:hAnsi="Arial" w:cs="Arial"/>
                <w:b/>
                <w:bCs/>
                <w:szCs w:val="21"/>
              </w:rPr>
            </w:pPr>
            <w:r>
              <w:rPr>
                <w:rFonts w:ascii="Arial" w:hAnsi="Arial" w:cs="Arial"/>
                <w:b/>
                <w:bCs/>
                <w:szCs w:val="21"/>
              </w:rPr>
              <w:t>2.2.3</w:t>
            </w:r>
          </w:p>
        </w:tc>
        <w:tc>
          <w:tcPr>
            <w:tcW w:w="1858" w:type="dxa"/>
            <w:noWrap w:val="0"/>
            <w:vAlign w:val="center"/>
          </w:tcPr>
          <w:p w14:paraId="27685E17">
            <w:pPr>
              <w:pStyle w:val="12"/>
              <w:shd w:val="clear" w:color="auto" w:fill="auto"/>
              <w:spacing w:before="0" w:line="312" w:lineRule="auto"/>
              <w:jc w:val="center"/>
              <w:rPr>
                <w:rStyle w:val="14"/>
                <w:rFonts w:ascii="Arial" w:hAnsi="Arial" w:cs="Arial"/>
                <w:sz w:val="21"/>
                <w:szCs w:val="21"/>
                <w:lang w:val="zh-TW"/>
              </w:rPr>
            </w:pPr>
            <w:r>
              <w:rPr>
                <w:rStyle w:val="14"/>
                <w:rFonts w:ascii="Arial" w:hAnsi="Arial" w:cs="Arial"/>
                <w:sz w:val="21"/>
                <w:szCs w:val="21"/>
                <w:lang w:val="zh-TW" w:eastAsia="zh-TW"/>
              </w:rPr>
              <w:t>评标价的偏差率</w:t>
            </w:r>
          </w:p>
          <w:p w14:paraId="1638FA7C">
            <w:pPr>
              <w:pStyle w:val="12"/>
              <w:shd w:val="clear" w:color="auto" w:fill="auto"/>
              <w:spacing w:before="0" w:line="312" w:lineRule="auto"/>
              <w:jc w:val="center"/>
              <w:rPr>
                <w:rFonts w:ascii="Arial" w:hAnsi="Arial" w:cs="Arial"/>
                <w:sz w:val="21"/>
                <w:szCs w:val="21"/>
              </w:rPr>
            </w:pPr>
            <w:r>
              <w:rPr>
                <w:rStyle w:val="14"/>
                <w:rFonts w:ascii="Arial" w:hAnsi="Arial" w:cs="Arial"/>
                <w:sz w:val="21"/>
                <w:szCs w:val="21"/>
                <w:lang w:val="zh-TW" w:eastAsia="zh-TW"/>
              </w:rPr>
              <w:t>计算公式</w:t>
            </w:r>
          </w:p>
        </w:tc>
        <w:tc>
          <w:tcPr>
            <w:tcW w:w="6041" w:type="dxa"/>
            <w:noWrap w:val="0"/>
            <w:vAlign w:val="center"/>
          </w:tcPr>
          <w:p w14:paraId="52C3ED05">
            <w:pPr>
              <w:pStyle w:val="12"/>
              <w:shd w:val="clear" w:color="auto" w:fill="auto"/>
              <w:spacing w:before="0" w:line="240" w:lineRule="auto"/>
              <w:jc w:val="both"/>
              <w:rPr>
                <w:rStyle w:val="13"/>
                <w:rFonts w:ascii="Arial" w:hAnsi="Arial" w:cs="Arial"/>
                <w:sz w:val="21"/>
                <w:szCs w:val="21"/>
                <w:lang w:val="zh-TW" w:eastAsia="zh-TW"/>
              </w:rPr>
            </w:pPr>
            <w:r>
              <w:rPr>
                <w:rStyle w:val="13"/>
                <w:rFonts w:ascii="Arial" w:hAnsi="Arial" w:cs="Arial"/>
                <w:sz w:val="21"/>
                <w:szCs w:val="21"/>
              </w:rPr>
              <w:t>偏差率</w:t>
            </w:r>
            <w:r>
              <w:rPr>
                <w:rStyle w:val="13"/>
                <w:rFonts w:ascii="Arial" w:hAnsi="Arial" w:cs="Arial"/>
                <w:b/>
                <w:bCs/>
                <w:sz w:val="21"/>
                <w:szCs w:val="21"/>
              </w:rPr>
              <w:t>=100%</w:t>
            </w:r>
            <w:r>
              <w:rPr>
                <w:rStyle w:val="13"/>
                <w:rFonts w:ascii="Arial" w:hAnsi="Arial" w:cs="Arial"/>
                <w:b/>
                <w:bCs/>
                <w:sz w:val="21"/>
                <w:szCs w:val="21"/>
                <w:lang w:eastAsia="zh-TW"/>
              </w:rPr>
              <w:t>×</w:t>
            </w:r>
            <w:r>
              <w:rPr>
                <w:rStyle w:val="13"/>
                <w:rFonts w:ascii="Arial" w:hAnsi="Arial" w:cs="Arial"/>
                <w:sz w:val="21"/>
                <w:szCs w:val="21"/>
                <w:lang w:val="zh-TW" w:eastAsia="zh-TW"/>
              </w:rPr>
              <w:t>（</w:t>
            </w:r>
            <w:r>
              <w:rPr>
                <w:rStyle w:val="13"/>
                <w:rFonts w:ascii="Arial" w:hAnsi="Arial" w:cs="Arial"/>
                <w:sz w:val="21"/>
                <w:szCs w:val="21"/>
              </w:rPr>
              <w:t>投标人评标价-评标基准价</w:t>
            </w:r>
            <w:r>
              <w:rPr>
                <w:rStyle w:val="13"/>
                <w:rFonts w:ascii="Arial" w:hAnsi="Arial" w:cs="Arial"/>
                <w:sz w:val="21"/>
                <w:szCs w:val="21"/>
                <w:lang w:val="zh-TW" w:eastAsia="zh-TW"/>
              </w:rPr>
              <w:t>）/</w:t>
            </w:r>
            <w:r>
              <w:rPr>
                <w:rStyle w:val="13"/>
                <w:rFonts w:ascii="Arial" w:hAnsi="Arial" w:cs="Arial"/>
                <w:sz w:val="21"/>
                <w:szCs w:val="21"/>
              </w:rPr>
              <w:t>评标基准价</w:t>
            </w:r>
          </w:p>
          <w:p w14:paraId="35370E22">
            <w:pPr>
              <w:pStyle w:val="12"/>
              <w:shd w:val="clear" w:color="auto" w:fill="auto"/>
              <w:spacing w:before="0" w:line="240" w:lineRule="auto"/>
              <w:jc w:val="both"/>
              <w:rPr>
                <w:rStyle w:val="13"/>
                <w:rFonts w:ascii="Arial" w:hAnsi="Arial" w:cs="Arial"/>
                <w:sz w:val="21"/>
                <w:szCs w:val="21"/>
                <w:lang w:val="zh-TW" w:eastAsia="zh-TW"/>
              </w:rPr>
            </w:pPr>
            <w:r>
              <w:rPr>
                <w:rStyle w:val="13"/>
                <w:rFonts w:ascii="Arial" w:hAnsi="Arial" w:cs="Arial"/>
                <w:sz w:val="21"/>
                <w:szCs w:val="21"/>
              </w:rPr>
              <w:t>偏差率保留</w:t>
            </w:r>
            <w:r>
              <w:rPr>
                <w:rStyle w:val="13"/>
                <w:rFonts w:ascii="Arial" w:hAnsi="Arial" w:cs="Arial"/>
                <w:sz w:val="21"/>
                <w:szCs w:val="21"/>
                <w:u w:val="single"/>
              </w:rPr>
              <w:t>2</w:t>
            </w:r>
            <w:r>
              <w:rPr>
                <w:rStyle w:val="13"/>
                <w:rFonts w:ascii="Arial" w:hAnsi="Arial" w:cs="Arial"/>
                <w:sz w:val="21"/>
                <w:szCs w:val="21"/>
              </w:rPr>
              <w:t>位小数</w:t>
            </w:r>
          </w:p>
        </w:tc>
      </w:tr>
      <w:tr w14:paraId="1357A5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65" w:type="dxa"/>
            <w:noWrap w:val="0"/>
            <w:vAlign w:val="center"/>
          </w:tcPr>
          <w:p w14:paraId="7EEA7BE2">
            <w:pPr>
              <w:spacing w:line="312" w:lineRule="auto"/>
              <w:jc w:val="center"/>
              <w:rPr>
                <w:rFonts w:ascii="Arial" w:hAnsi="Arial" w:cs="Arial"/>
                <w:b/>
                <w:bCs/>
                <w:szCs w:val="21"/>
              </w:rPr>
            </w:pPr>
            <w:r>
              <w:rPr>
                <w:rFonts w:ascii="Arial" w:hAnsi="Arial" w:cs="Arial"/>
                <w:b/>
                <w:bCs/>
                <w:szCs w:val="21"/>
              </w:rPr>
              <w:t>2.2.4</w:t>
            </w:r>
          </w:p>
        </w:tc>
        <w:tc>
          <w:tcPr>
            <w:tcW w:w="1858" w:type="dxa"/>
            <w:noWrap w:val="0"/>
            <w:vAlign w:val="center"/>
          </w:tcPr>
          <w:p w14:paraId="295C682F">
            <w:pPr>
              <w:pStyle w:val="12"/>
              <w:shd w:val="clear" w:color="auto" w:fill="auto"/>
              <w:spacing w:before="0" w:line="312" w:lineRule="auto"/>
              <w:jc w:val="center"/>
              <w:rPr>
                <w:rFonts w:ascii="Arial" w:hAnsi="Arial" w:cs="Arial"/>
                <w:sz w:val="21"/>
                <w:szCs w:val="21"/>
              </w:rPr>
            </w:pPr>
            <w:r>
              <w:rPr>
                <w:rStyle w:val="14"/>
                <w:rFonts w:ascii="Arial" w:hAnsi="Arial" w:cs="Arial"/>
                <w:sz w:val="21"/>
                <w:szCs w:val="21"/>
                <w:lang w:val="zh-TW" w:eastAsia="zh-TW"/>
              </w:rPr>
              <w:t>评标价</w:t>
            </w:r>
          </w:p>
        </w:tc>
        <w:tc>
          <w:tcPr>
            <w:tcW w:w="6041" w:type="dxa"/>
            <w:noWrap w:val="0"/>
            <w:vAlign w:val="bottom"/>
          </w:tcPr>
          <w:p w14:paraId="4EC76F7D">
            <w:pPr>
              <w:pStyle w:val="12"/>
              <w:shd w:val="clear" w:color="auto" w:fill="auto"/>
              <w:spacing w:before="0" w:line="288" w:lineRule="auto"/>
              <w:jc w:val="both"/>
              <w:rPr>
                <w:rStyle w:val="13"/>
                <w:rFonts w:ascii="Arial" w:hAnsi="Arial" w:cs="Arial"/>
                <w:sz w:val="21"/>
                <w:szCs w:val="21"/>
              </w:rPr>
            </w:pPr>
            <w:r>
              <w:rPr>
                <w:rStyle w:val="13"/>
                <w:rFonts w:ascii="Arial" w:hAnsi="Arial" w:cs="Arial"/>
                <w:sz w:val="21"/>
                <w:szCs w:val="21"/>
              </w:rPr>
              <w:t>100分</w:t>
            </w:r>
          </w:p>
          <w:p w14:paraId="0069C943">
            <w:pPr>
              <w:pStyle w:val="12"/>
              <w:shd w:val="clear" w:color="auto" w:fill="auto"/>
              <w:spacing w:before="0" w:line="288" w:lineRule="auto"/>
              <w:jc w:val="both"/>
              <w:rPr>
                <w:rStyle w:val="13"/>
                <w:rFonts w:ascii="Arial" w:hAnsi="Arial" w:cs="Arial"/>
                <w:sz w:val="21"/>
                <w:szCs w:val="21"/>
              </w:rPr>
            </w:pPr>
            <w:r>
              <w:rPr>
                <w:rStyle w:val="13"/>
                <w:rFonts w:ascii="Arial" w:hAnsi="Arial" w:cs="Arial"/>
                <w:sz w:val="21"/>
                <w:szCs w:val="21"/>
              </w:rPr>
              <w:t>评标价得分计算公式示例：</w:t>
            </w:r>
          </w:p>
          <w:p w14:paraId="363D1C14">
            <w:pPr>
              <w:pStyle w:val="12"/>
              <w:shd w:val="clear" w:color="auto" w:fill="auto"/>
              <w:spacing w:before="0" w:line="288" w:lineRule="auto"/>
              <w:jc w:val="both"/>
              <w:rPr>
                <w:rStyle w:val="13"/>
                <w:rFonts w:ascii="Arial" w:hAnsi="Arial" w:cs="Arial"/>
                <w:sz w:val="21"/>
                <w:szCs w:val="21"/>
              </w:rPr>
            </w:pPr>
            <w:r>
              <w:rPr>
                <w:rStyle w:val="13"/>
                <w:rFonts w:ascii="Arial" w:hAnsi="Arial" w:cs="Arial"/>
                <w:sz w:val="21"/>
                <w:szCs w:val="21"/>
              </w:rPr>
              <w:t>（1）如果投标人的评标价&gt;评标基准价，则评标价得分=100-偏差率×100×E</w:t>
            </w:r>
            <w:r>
              <w:rPr>
                <w:rStyle w:val="13"/>
                <w:rFonts w:ascii="Arial" w:hAnsi="Arial" w:cs="Arial"/>
                <w:sz w:val="21"/>
                <w:szCs w:val="21"/>
                <w:vertAlign w:val="subscript"/>
              </w:rPr>
              <w:t>1</w:t>
            </w:r>
            <w:r>
              <w:rPr>
                <w:rStyle w:val="13"/>
                <w:rFonts w:ascii="Arial" w:hAnsi="Arial" w:cs="Arial"/>
                <w:sz w:val="21"/>
                <w:szCs w:val="21"/>
              </w:rPr>
              <w:t>；</w:t>
            </w:r>
          </w:p>
          <w:p w14:paraId="58140699">
            <w:pPr>
              <w:pStyle w:val="12"/>
              <w:shd w:val="clear" w:color="auto" w:fill="auto"/>
              <w:spacing w:before="0" w:line="288" w:lineRule="auto"/>
              <w:jc w:val="both"/>
              <w:rPr>
                <w:rStyle w:val="13"/>
                <w:rFonts w:ascii="Arial" w:hAnsi="Arial" w:cs="Arial"/>
                <w:sz w:val="21"/>
                <w:szCs w:val="21"/>
              </w:rPr>
            </w:pPr>
            <w:r>
              <w:rPr>
                <w:rStyle w:val="13"/>
                <w:rFonts w:ascii="Arial" w:hAnsi="Arial" w:cs="Arial"/>
                <w:sz w:val="21"/>
                <w:szCs w:val="21"/>
              </w:rPr>
              <w:t>（2）如果投标人的评标价</w:t>
            </w:r>
            <w:r>
              <w:rPr>
                <w:rFonts w:ascii="Arial" w:hAnsi="Arial" w:cs="Arial"/>
                <w:sz w:val="21"/>
                <w:szCs w:val="21"/>
              </w:rPr>
              <w:t>≤</w:t>
            </w:r>
            <w:r>
              <w:rPr>
                <w:rStyle w:val="13"/>
                <w:rFonts w:ascii="Arial" w:hAnsi="Arial" w:cs="Arial"/>
                <w:sz w:val="21"/>
                <w:szCs w:val="21"/>
              </w:rPr>
              <w:t>评标基准价，则评标价得分=100+偏差率×100×E</w:t>
            </w:r>
            <w:r>
              <w:rPr>
                <w:rStyle w:val="13"/>
                <w:rFonts w:ascii="Arial" w:hAnsi="Arial" w:cs="Arial"/>
                <w:sz w:val="21"/>
                <w:szCs w:val="21"/>
                <w:vertAlign w:val="subscript"/>
              </w:rPr>
              <w:t>2</w:t>
            </w:r>
            <w:r>
              <w:rPr>
                <w:rStyle w:val="13"/>
                <w:rFonts w:ascii="Arial" w:hAnsi="Arial" w:cs="Arial"/>
                <w:sz w:val="21"/>
                <w:szCs w:val="21"/>
              </w:rPr>
              <w:t>。</w:t>
            </w:r>
          </w:p>
          <w:p w14:paraId="54B68099">
            <w:pPr>
              <w:pStyle w:val="12"/>
              <w:shd w:val="clear" w:color="auto" w:fill="auto"/>
              <w:spacing w:before="0" w:line="288" w:lineRule="auto"/>
              <w:jc w:val="both"/>
              <w:rPr>
                <w:rStyle w:val="13"/>
                <w:rFonts w:ascii="Arial" w:hAnsi="Arial" w:cs="Arial"/>
                <w:sz w:val="21"/>
                <w:szCs w:val="21"/>
                <w:lang w:val="zh-TW" w:eastAsia="zh-TW"/>
              </w:rPr>
            </w:pPr>
            <w:r>
              <w:rPr>
                <w:rStyle w:val="13"/>
                <w:rFonts w:ascii="Arial" w:hAnsi="Arial" w:cs="Arial"/>
                <w:sz w:val="21"/>
                <w:szCs w:val="21"/>
              </w:rPr>
              <w:t>其中：E</w:t>
            </w:r>
            <w:r>
              <w:rPr>
                <w:rStyle w:val="13"/>
                <w:rFonts w:ascii="Arial" w:hAnsi="Arial" w:cs="Arial"/>
                <w:sz w:val="21"/>
                <w:szCs w:val="21"/>
                <w:vertAlign w:val="subscript"/>
              </w:rPr>
              <w:t>1</w:t>
            </w:r>
            <w:r>
              <w:rPr>
                <w:rStyle w:val="13"/>
                <w:rFonts w:ascii="Arial" w:hAnsi="Arial" w:cs="Arial"/>
                <w:sz w:val="21"/>
                <w:szCs w:val="21"/>
              </w:rPr>
              <w:t>是评标价每高于评标基准价一个百分点的扣</w:t>
            </w:r>
            <w:r>
              <w:rPr>
                <w:rStyle w:val="13"/>
                <w:rFonts w:hint="eastAsia" w:ascii="Arial" w:hAnsi="Arial" w:cs="Arial"/>
                <w:sz w:val="21"/>
                <w:szCs w:val="21"/>
              </w:rPr>
              <w:t>3</w:t>
            </w:r>
            <w:r>
              <w:rPr>
                <w:rStyle w:val="13"/>
                <w:rFonts w:ascii="Arial" w:hAnsi="Arial" w:cs="Arial"/>
                <w:sz w:val="21"/>
                <w:szCs w:val="21"/>
              </w:rPr>
              <w:t>分、E</w:t>
            </w:r>
            <w:r>
              <w:rPr>
                <w:rStyle w:val="13"/>
                <w:rFonts w:ascii="Arial" w:hAnsi="Arial" w:cs="Arial"/>
                <w:sz w:val="21"/>
                <w:szCs w:val="21"/>
                <w:vertAlign w:val="subscript"/>
              </w:rPr>
              <w:t>2</w:t>
            </w:r>
            <w:r>
              <w:rPr>
                <w:rStyle w:val="13"/>
                <w:rFonts w:ascii="Arial" w:hAnsi="Arial" w:cs="Arial"/>
                <w:sz w:val="21"/>
                <w:szCs w:val="21"/>
              </w:rPr>
              <w:t>是评标价每低于评标基准价一个百分点的扣</w:t>
            </w:r>
            <w:r>
              <w:rPr>
                <w:rStyle w:val="13"/>
                <w:rFonts w:hint="eastAsia" w:ascii="Arial" w:hAnsi="Arial" w:cs="Arial"/>
                <w:sz w:val="21"/>
                <w:szCs w:val="21"/>
              </w:rPr>
              <w:t>2</w:t>
            </w:r>
            <w:r>
              <w:rPr>
                <w:rStyle w:val="13"/>
                <w:rFonts w:ascii="Arial" w:hAnsi="Arial" w:cs="Arial"/>
                <w:sz w:val="21"/>
                <w:szCs w:val="21"/>
              </w:rPr>
              <w:t>分。</w:t>
            </w:r>
          </w:p>
        </w:tc>
      </w:tr>
      <w:tr w14:paraId="789273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64" w:type="dxa"/>
            <w:gridSpan w:val="3"/>
            <w:noWrap w:val="0"/>
            <w:vAlign w:val="center"/>
          </w:tcPr>
          <w:p w14:paraId="3917005B">
            <w:pPr>
              <w:pStyle w:val="12"/>
              <w:shd w:val="clear" w:color="auto" w:fill="auto"/>
              <w:spacing w:before="0" w:line="312" w:lineRule="auto"/>
              <w:jc w:val="both"/>
              <w:rPr>
                <w:rStyle w:val="13"/>
                <w:rFonts w:ascii="Arial" w:hAnsi="Arial" w:cs="Arial"/>
                <w:sz w:val="21"/>
                <w:szCs w:val="21"/>
              </w:rPr>
            </w:pPr>
            <w:r>
              <w:rPr>
                <w:rStyle w:val="13"/>
                <w:rFonts w:ascii="Arial" w:hAnsi="Arial" w:cs="Arial"/>
                <w:sz w:val="21"/>
                <w:szCs w:val="21"/>
              </w:rPr>
              <w:t>需要补充的其他内容：</w:t>
            </w:r>
          </w:p>
          <w:p w14:paraId="12A56AE9">
            <w:pPr>
              <w:adjustRightInd w:val="0"/>
              <w:rPr>
                <w:rFonts w:ascii="Arial" w:hAnsi="Arial" w:cs="Arial"/>
                <w:b/>
                <w:kern w:val="0"/>
                <w:szCs w:val="21"/>
              </w:rPr>
            </w:pPr>
            <w:r>
              <w:rPr>
                <w:rFonts w:ascii="Arial" w:hAnsi="Arial" w:cs="Arial"/>
                <w:b/>
                <w:kern w:val="0"/>
                <w:szCs w:val="21"/>
              </w:rPr>
              <w:t xml:space="preserve">第 </w:t>
            </w:r>
            <w:r>
              <w:rPr>
                <w:rFonts w:ascii="Arial" w:hAnsi="Arial" w:cs="Arial"/>
                <w:b/>
                <w:bCs/>
                <w:kern w:val="0"/>
                <w:szCs w:val="21"/>
              </w:rPr>
              <w:t xml:space="preserve">3.5.1 </w:t>
            </w:r>
            <w:r>
              <w:rPr>
                <w:rFonts w:ascii="Arial" w:hAnsi="Arial" w:cs="Arial"/>
                <w:b/>
                <w:kern w:val="0"/>
                <w:szCs w:val="21"/>
              </w:rPr>
              <w:t>项细化为：</w:t>
            </w:r>
          </w:p>
          <w:p w14:paraId="6C17FDA8">
            <w:pPr>
              <w:ind w:firstLine="422" w:firstLineChars="200"/>
              <w:rPr>
                <w:rFonts w:ascii="Arial" w:hAnsi="Arial" w:cs="Arial"/>
                <w:b/>
                <w:szCs w:val="21"/>
              </w:rPr>
            </w:pPr>
            <w:r>
              <w:rPr>
                <w:rFonts w:ascii="Arial" w:hAnsi="Arial" w:cs="Arial"/>
                <w:b/>
                <w:szCs w:val="21"/>
              </w:rPr>
              <w:t>在评标过程中，评标委员会应对投标人的资质、</w:t>
            </w:r>
            <w:r>
              <w:rPr>
                <w:rFonts w:hint="eastAsia" w:ascii="Arial" w:hAnsi="Arial" w:cs="Arial"/>
                <w:b/>
                <w:szCs w:val="21"/>
              </w:rPr>
              <w:t>业绩、</w:t>
            </w:r>
            <w:r>
              <w:rPr>
                <w:rFonts w:ascii="Arial" w:hAnsi="Arial" w:cs="Arial"/>
                <w:b/>
                <w:szCs w:val="21"/>
              </w:rPr>
              <w:t>主要人员资历和信用等级等信息进行核实（相关人员的在岗情况以投标文件中填写的为准，不进行核实）。</w:t>
            </w:r>
          </w:p>
          <w:p w14:paraId="2730CC3C">
            <w:pPr>
              <w:ind w:firstLine="422" w:firstLineChars="200"/>
              <w:rPr>
                <w:rStyle w:val="13"/>
                <w:rFonts w:ascii="Arial" w:hAnsi="Arial" w:cs="Arial"/>
                <w:b/>
                <w:sz w:val="21"/>
                <w:szCs w:val="21"/>
              </w:rPr>
            </w:pPr>
            <w:r>
              <w:rPr>
                <w:rFonts w:ascii="Arial" w:hAnsi="Arial" w:cs="Arial"/>
                <w:b/>
                <w:szCs w:val="21"/>
              </w:rPr>
              <w:t>在评标过程中，</w:t>
            </w:r>
            <w:r>
              <w:rPr>
                <w:rFonts w:hint="eastAsia" w:ascii="Arial" w:hAnsi="Arial" w:cs="Arial"/>
                <w:b/>
                <w:szCs w:val="21"/>
              </w:rPr>
              <w:t>若</w:t>
            </w:r>
            <w:r>
              <w:rPr>
                <w:rFonts w:ascii="Arial" w:hAnsi="Arial" w:cs="Arial"/>
                <w:b/>
                <w:szCs w:val="21"/>
              </w:rPr>
              <w:t>评标委员会</w:t>
            </w:r>
            <w:r>
              <w:rPr>
                <w:rFonts w:hint="eastAsia" w:ascii="Arial" w:hAnsi="Arial" w:cs="Arial"/>
                <w:b/>
                <w:szCs w:val="21"/>
              </w:rPr>
              <w:t>无法通过</w:t>
            </w:r>
            <w:r>
              <w:rPr>
                <w:rFonts w:ascii="Arial" w:hAnsi="Arial" w:cs="Arial"/>
                <w:b/>
                <w:szCs w:val="21"/>
              </w:rPr>
              <w:t>网站</w:t>
            </w:r>
            <w:r>
              <w:rPr>
                <w:rFonts w:hint="eastAsia" w:ascii="Arial" w:hAnsi="Arial" w:cs="Arial"/>
                <w:b/>
                <w:szCs w:val="21"/>
              </w:rPr>
              <w:t>核实</w:t>
            </w:r>
            <w:r>
              <w:rPr>
                <w:rFonts w:ascii="Arial" w:hAnsi="Arial" w:cs="Arial"/>
                <w:b/>
                <w:szCs w:val="21"/>
              </w:rPr>
              <w:t>投标人提供的相关信息</w:t>
            </w:r>
            <w:r>
              <w:rPr>
                <w:rFonts w:hint="eastAsia" w:ascii="Arial" w:hAnsi="Arial" w:cs="Arial"/>
                <w:b/>
                <w:szCs w:val="21"/>
              </w:rPr>
              <w:t>，</w:t>
            </w:r>
            <w:r>
              <w:rPr>
                <w:rFonts w:ascii="Arial" w:hAnsi="Arial" w:cs="Arial"/>
                <w:b/>
                <w:color w:val="000000"/>
                <w:szCs w:val="21"/>
              </w:rPr>
              <w:t>评标委员会</w:t>
            </w:r>
            <w:r>
              <w:rPr>
                <w:rFonts w:hint="eastAsia" w:ascii="Arial" w:hAnsi="Arial" w:cs="Arial"/>
                <w:b/>
                <w:color w:val="000000"/>
                <w:szCs w:val="21"/>
              </w:rPr>
              <w:t>将</w:t>
            </w:r>
            <w:r>
              <w:rPr>
                <w:rFonts w:ascii="Arial" w:hAnsi="Arial" w:cs="Arial"/>
                <w:b/>
                <w:color w:val="000000"/>
                <w:szCs w:val="21"/>
              </w:rPr>
              <w:t>以投标文件中所附截图为准。投标人应保证其提供截图的真实性，若招标人在评标期间，签订合同前、合同实施期间的任一时期发现投标人提供虚假材料，招标人按投标人须知3.5.11的规定处理，请投标人仔细阅读。</w:t>
            </w:r>
          </w:p>
        </w:tc>
      </w:tr>
    </w:tbl>
    <w:p w14:paraId="5F694FF6">
      <w:pPr>
        <w:widowControl/>
        <w:jc w:val="right"/>
        <w:rPr>
          <w:rFonts w:ascii="Arial" w:hAnsi="Arial" w:cs="Arial"/>
          <w:szCs w:val="21"/>
        </w:rPr>
      </w:pPr>
    </w:p>
    <w:p w14:paraId="45A9EF07">
      <w:pPr>
        <w:widowControl/>
        <w:jc w:val="right"/>
        <w:rPr>
          <w:rFonts w:ascii="Arial" w:hAnsi="Arial" w:cs="Arial"/>
          <w:szCs w:val="21"/>
        </w:rPr>
      </w:pPr>
    </w:p>
    <w:p w14:paraId="3F2C3D72">
      <w:pPr>
        <w:widowControl/>
        <w:jc w:val="right"/>
        <w:rPr>
          <w:rFonts w:ascii="Arial" w:hAnsi="Arial" w:cs="Arial"/>
          <w:szCs w:val="21"/>
        </w:rPr>
      </w:pPr>
    </w:p>
    <w:p w14:paraId="5C75DACA">
      <w:pPr>
        <w:widowControl/>
        <w:jc w:val="right"/>
        <w:rPr>
          <w:rFonts w:ascii="Arial" w:hAnsi="Arial" w:cs="Arial"/>
          <w:szCs w:val="21"/>
        </w:rPr>
      </w:pPr>
    </w:p>
    <w:p w14:paraId="35A24D94">
      <w:pPr>
        <w:widowControl/>
        <w:jc w:val="right"/>
        <w:rPr>
          <w:rFonts w:ascii="Arial" w:hAnsi="Arial" w:cs="Arial"/>
          <w:szCs w:val="21"/>
        </w:rPr>
      </w:pPr>
    </w:p>
    <w:p w14:paraId="2E5801F6">
      <w:pPr>
        <w:widowControl/>
        <w:jc w:val="right"/>
        <w:rPr>
          <w:rFonts w:ascii="Arial" w:hAnsi="Arial" w:cs="Arial"/>
          <w:szCs w:val="21"/>
        </w:rPr>
      </w:pPr>
    </w:p>
    <w:p w14:paraId="46C4051C">
      <w:pPr>
        <w:pStyle w:val="3"/>
      </w:pPr>
    </w:p>
    <w:p w14:paraId="1D7FC66A">
      <w:pPr>
        <w:pStyle w:val="3"/>
      </w:pPr>
    </w:p>
    <w:p w14:paraId="14F70654">
      <w:pPr>
        <w:pStyle w:val="3"/>
        <w:rPr>
          <w:rFonts w:hint="eastAsia"/>
        </w:rPr>
      </w:pPr>
    </w:p>
    <w:p w14:paraId="66898230">
      <w:pPr>
        <w:pStyle w:val="3"/>
      </w:pPr>
    </w:p>
    <w:bookmarkEnd w:id="9"/>
    <w:p w14:paraId="5BB1F44C">
      <w:pPr>
        <w:spacing w:line="360" w:lineRule="auto"/>
        <w:ind w:firstLine="480" w:firstLineChars="200"/>
        <w:rPr>
          <w:rFonts w:ascii="Arial" w:hAnsi="Arial" w:cs="Arial"/>
          <w:sz w:val="24"/>
        </w:rPr>
      </w:pPr>
    </w:p>
    <w:p w14:paraId="3E87F6BB">
      <w:pPr>
        <w:spacing w:line="360" w:lineRule="auto"/>
        <w:rPr>
          <w:rFonts w:hint="eastAsia" w:ascii="Arial" w:hAnsi="Arial" w:eastAsia="黑体" w:cs="Arial"/>
          <w:b/>
          <w:sz w:val="32"/>
          <w:szCs w:val="32"/>
        </w:rPr>
      </w:pPr>
      <w:r>
        <w:rPr>
          <w:rFonts w:hint="eastAsia" w:ascii="Arial" w:hAnsi="Arial" w:eastAsia="黑体" w:cs="Arial"/>
          <w:b/>
          <w:sz w:val="32"/>
          <w:szCs w:val="32"/>
        </w:rPr>
        <w:t>1.评标方法</w:t>
      </w:r>
    </w:p>
    <w:p w14:paraId="346AA60A">
      <w:pPr>
        <w:spacing w:line="372" w:lineRule="auto"/>
        <w:ind w:firstLine="480" w:firstLineChars="200"/>
        <w:rPr>
          <w:rFonts w:hint="eastAsia" w:ascii="Arial" w:hAnsi="Arial" w:cs="Arial"/>
          <w:sz w:val="24"/>
        </w:rPr>
      </w:pPr>
      <w:r>
        <w:rPr>
          <w:rFonts w:hint="eastAsia" w:ascii="Arial" w:hAnsi="Arial" w:cs="Arial"/>
          <w:sz w:val="24"/>
        </w:rPr>
        <w:t>本次评标采用合理低价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30EEA7B7">
      <w:pPr>
        <w:spacing w:line="360" w:lineRule="auto"/>
        <w:rPr>
          <w:rFonts w:hint="eastAsia" w:ascii="Arial" w:hAnsi="Arial" w:eastAsia="黑体" w:cs="Arial"/>
          <w:b/>
          <w:sz w:val="32"/>
          <w:szCs w:val="32"/>
        </w:rPr>
      </w:pPr>
      <w:r>
        <w:rPr>
          <w:rFonts w:hint="eastAsia" w:ascii="Arial" w:hAnsi="Arial" w:eastAsia="黑体" w:cs="Arial"/>
          <w:b/>
          <w:sz w:val="32"/>
          <w:szCs w:val="32"/>
        </w:rPr>
        <w:t>2.评审标准</w:t>
      </w:r>
    </w:p>
    <w:p w14:paraId="39D3518A">
      <w:pPr>
        <w:spacing w:line="360" w:lineRule="auto"/>
        <w:rPr>
          <w:rFonts w:hint="eastAsia" w:ascii="Arial" w:hAnsi="Arial" w:eastAsia="黑体" w:cs="Arial"/>
          <w:b/>
          <w:sz w:val="28"/>
          <w:szCs w:val="28"/>
        </w:rPr>
      </w:pPr>
      <w:r>
        <w:rPr>
          <w:rFonts w:hint="eastAsia" w:ascii="Arial" w:hAnsi="Arial" w:eastAsia="黑体" w:cs="Arial"/>
          <w:b/>
          <w:sz w:val="28"/>
          <w:szCs w:val="28"/>
        </w:rPr>
        <w:t>2.1初步评审标准</w:t>
      </w:r>
    </w:p>
    <w:p w14:paraId="40344289">
      <w:pPr>
        <w:spacing w:line="372" w:lineRule="auto"/>
        <w:ind w:firstLine="480" w:firstLineChars="200"/>
        <w:rPr>
          <w:rFonts w:ascii="Arial" w:hAnsi="Arial" w:cs="Arial"/>
          <w:sz w:val="24"/>
        </w:rPr>
      </w:pPr>
      <w:r>
        <w:rPr>
          <w:rFonts w:ascii="Arial" w:hAnsi="Arial" w:cs="Arial"/>
          <w:sz w:val="24"/>
        </w:rPr>
        <w:t>2.1.1 形式评审标准：见评标办法前附表。</w:t>
      </w:r>
    </w:p>
    <w:p w14:paraId="3057AAE4">
      <w:pPr>
        <w:spacing w:line="372" w:lineRule="auto"/>
        <w:ind w:firstLine="480" w:firstLineChars="200"/>
        <w:rPr>
          <w:rFonts w:hint="eastAsia" w:ascii="Arial" w:hAnsi="Arial" w:cs="Arial"/>
          <w:sz w:val="24"/>
        </w:rPr>
      </w:pPr>
      <w:r>
        <w:rPr>
          <w:rFonts w:ascii="Arial" w:hAnsi="Arial" w:cs="Arial"/>
          <w:sz w:val="24"/>
        </w:rPr>
        <w:t>2.1.2 资格评审标准：见评标办法前附表（适用于未进行资格预审的）。</w:t>
      </w:r>
    </w:p>
    <w:p w14:paraId="46336F55">
      <w:pPr>
        <w:spacing w:line="372" w:lineRule="auto"/>
        <w:ind w:firstLine="480" w:firstLineChars="200"/>
        <w:rPr>
          <w:rFonts w:ascii="Arial" w:hAnsi="Arial" w:cs="Arial"/>
          <w:sz w:val="24"/>
        </w:rPr>
      </w:pPr>
      <w:r>
        <w:rPr>
          <w:rFonts w:ascii="Arial" w:hAnsi="Arial" w:cs="Arial"/>
          <w:sz w:val="24"/>
        </w:rPr>
        <w:t>2.1.3</w:t>
      </w:r>
      <w:r>
        <w:rPr>
          <w:rFonts w:hint="eastAsia" w:ascii="Arial" w:hAnsi="Arial" w:cs="Arial"/>
          <w:sz w:val="24"/>
        </w:rPr>
        <w:t xml:space="preserve"> </w:t>
      </w:r>
      <w:r>
        <w:rPr>
          <w:rFonts w:ascii="Arial" w:hAnsi="Arial" w:cs="Arial"/>
          <w:sz w:val="24"/>
        </w:rPr>
        <w:t>响应性评审标准：见评标办法前附表。</w:t>
      </w:r>
    </w:p>
    <w:p w14:paraId="1E4FB816">
      <w:pPr>
        <w:spacing w:line="360" w:lineRule="auto"/>
        <w:rPr>
          <w:rFonts w:hint="eastAsia" w:ascii="Arial" w:hAnsi="Arial" w:eastAsia="黑体" w:cs="Arial"/>
          <w:b/>
          <w:sz w:val="28"/>
          <w:szCs w:val="28"/>
        </w:rPr>
      </w:pPr>
      <w:r>
        <w:rPr>
          <w:rFonts w:hint="eastAsia" w:ascii="Arial" w:hAnsi="Arial" w:eastAsia="黑体" w:cs="Arial"/>
          <w:b/>
          <w:sz w:val="28"/>
          <w:szCs w:val="28"/>
        </w:rPr>
        <w:t>2.2分值构成与评分标准</w:t>
      </w:r>
    </w:p>
    <w:p w14:paraId="38201E39">
      <w:pPr>
        <w:spacing w:line="372" w:lineRule="auto"/>
        <w:ind w:firstLine="480" w:firstLineChars="200"/>
        <w:rPr>
          <w:rFonts w:hint="eastAsia" w:ascii="Arial" w:hAnsi="Arial" w:cs="Arial"/>
          <w:sz w:val="24"/>
        </w:rPr>
      </w:pPr>
      <w:r>
        <w:rPr>
          <w:rFonts w:hint="eastAsia" w:ascii="Arial" w:hAnsi="Arial" w:cs="Arial"/>
          <w:sz w:val="24"/>
        </w:rPr>
        <w:t>2.2.1</w:t>
      </w:r>
      <w:r>
        <w:rPr>
          <w:rFonts w:hint="eastAsia" w:ascii="黑体" w:hAnsi="黑体" w:eastAsia="黑体" w:cs="Arial"/>
          <w:sz w:val="24"/>
        </w:rPr>
        <w:t>分值构成</w:t>
      </w:r>
    </w:p>
    <w:p w14:paraId="588DA322">
      <w:pPr>
        <w:spacing w:line="372" w:lineRule="auto"/>
        <w:ind w:firstLine="480" w:firstLineChars="200"/>
        <w:rPr>
          <w:rFonts w:hint="eastAsia" w:ascii="Arial" w:hAnsi="Arial" w:cs="Arial"/>
          <w:sz w:val="24"/>
        </w:rPr>
      </w:pPr>
      <w:r>
        <w:rPr>
          <w:rFonts w:hint="eastAsia" w:ascii="Arial" w:hAnsi="Arial" w:cs="Arial"/>
          <w:sz w:val="24"/>
        </w:rPr>
        <w:t>评标价：见评标办法前附表。</w:t>
      </w:r>
    </w:p>
    <w:p w14:paraId="2E8DBAEC">
      <w:pPr>
        <w:spacing w:line="372" w:lineRule="auto"/>
        <w:ind w:firstLine="480" w:firstLineChars="200"/>
        <w:rPr>
          <w:rFonts w:hint="eastAsia" w:ascii="黑体" w:hAnsi="黑体" w:eastAsia="黑体" w:cs="Arial"/>
          <w:sz w:val="24"/>
        </w:rPr>
      </w:pPr>
      <w:r>
        <w:rPr>
          <w:rFonts w:hint="eastAsia" w:ascii="Arial" w:hAnsi="Arial" w:cs="Arial"/>
          <w:sz w:val="24"/>
        </w:rPr>
        <w:t>2.2.2</w:t>
      </w:r>
      <w:r>
        <w:rPr>
          <w:rFonts w:hint="eastAsia" w:ascii="黑体" w:hAnsi="黑体" w:eastAsia="黑体" w:cs="Arial"/>
          <w:sz w:val="24"/>
        </w:rPr>
        <w:t>评标基准价计算</w:t>
      </w:r>
    </w:p>
    <w:p w14:paraId="04CB03A8">
      <w:pPr>
        <w:spacing w:line="372" w:lineRule="auto"/>
        <w:ind w:firstLine="480" w:firstLineChars="200"/>
        <w:rPr>
          <w:rFonts w:hint="eastAsia" w:ascii="Arial" w:hAnsi="Arial" w:cs="Arial"/>
          <w:sz w:val="24"/>
        </w:rPr>
      </w:pPr>
      <w:r>
        <w:rPr>
          <w:rFonts w:hint="eastAsia" w:ascii="Arial" w:hAnsi="Arial" w:cs="Arial"/>
          <w:sz w:val="24"/>
        </w:rPr>
        <w:t>评标基准价计算方法：见评标办法前附表。</w:t>
      </w:r>
    </w:p>
    <w:p w14:paraId="6A269FEA">
      <w:pPr>
        <w:spacing w:line="372" w:lineRule="auto"/>
        <w:ind w:firstLine="480" w:firstLineChars="200"/>
        <w:rPr>
          <w:rFonts w:hint="eastAsia" w:ascii="黑体" w:hAnsi="黑体" w:eastAsia="黑体" w:cs="Arial"/>
          <w:sz w:val="24"/>
        </w:rPr>
      </w:pPr>
      <w:r>
        <w:rPr>
          <w:rFonts w:hint="eastAsia" w:ascii="Arial" w:hAnsi="Arial" w:cs="Arial"/>
          <w:sz w:val="24"/>
        </w:rPr>
        <w:t>2.2.3</w:t>
      </w:r>
      <w:r>
        <w:rPr>
          <w:rFonts w:hint="eastAsia" w:ascii="黑体" w:hAnsi="黑体" w:eastAsia="黑体" w:cs="Arial"/>
          <w:sz w:val="24"/>
        </w:rPr>
        <w:t>评标价的偏差率计算</w:t>
      </w:r>
    </w:p>
    <w:p w14:paraId="5B7464DD">
      <w:pPr>
        <w:spacing w:line="372" w:lineRule="auto"/>
        <w:ind w:firstLine="480" w:firstLineChars="200"/>
        <w:rPr>
          <w:rFonts w:hint="eastAsia" w:ascii="Arial" w:hAnsi="Arial" w:cs="Arial"/>
          <w:sz w:val="24"/>
        </w:rPr>
      </w:pPr>
      <w:r>
        <w:rPr>
          <w:rFonts w:hint="eastAsia" w:ascii="Arial" w:hAnsi="Arial" w:cs="Arial"/>
          <w:sz w:val="24"/>
        </w:rPr>
        <w:t>评标价的偏差率计算公式：见评标办法前附表。</w:t>
      </w:r>
    </w:p>
    <w:p w14:paraId="5CB56EFA">
      <w:pPr>
        <w:spacing w:line="372" w:lineRule="auto"/>
        <w:ind w:firstLine="480" w:firstLineChars="200"/>
        <w:rPr>
          <w:rFonts w:hint="eastAsia" w:ascii="Arial" w:hAnsi="Arial" w:cs="Arial"/>
          <w:sz w:val="24"/>
        </w:rPr>
      </w:pPr>
      <w:r>
        <w:rPr>
          <w:rFonts w:hint="eastAsia" w:ascii="Arial" w:hAnsi="Arial" w:cs="Arial"/>
          <w:sz w:val="24"/>
        </w:rPr>
        <w:t>2.2.4</w:t>
      </w:r>
      <w:r>
        <w:rPr>
          <w:rFonts w:hint="eastAsia" w:ascii="黑体" w:hAnsi="黑体" w:eastAsia="黑体" w:cs="Arial"/>
          <w:sz w:val="24"/>
        </w:rPr>
        <w:t>评分标准</w:t>
      </w:r>
    </w:p>
    <w:p w14:paraId="78F3276E">
      <w:pPr>
        <w:spacing w:line="372" w:lineRule="auto"/>
        <w:ind w:firstLine="480" w:firstLineChars="200"/>
        <w:rPr>
          <w:rFonts w:hint="eastAsia" w:ascii="Arial" w:hAnsi="Arial" w:cs="Arial"/>
          <w:sz w:val="24"/>
        </w:rPr>
      </w:pPr>
      <w:r>
        <w:rPr>
          <w:rFonts w:hint="eastAsia" w:ascii="Arial" w:hAnsi="Arial" w:cs="Arial"/>
          <w:sz w:val="24"/>
        </w:rPr>
        <w:t>评标价评分标准：见评标办法前附表。</w:t>
      </w:r>
    </w:p>
    <w:p w14:paraId="2B9A7968">
      <w:pPr>
        <w:spacing w:line="360" w:lineRule="auto"/>
        <w:rPr>
          <w:rFonts w:hint="eastAsia" w:ascii="Arial" w:hAnsi="Arial" w:eastAsia="黑体" w:cs="Arial"/>
          <w:b/>
          <w:sz w:val="32"/>
          <w:szCs w:val="32"/>
        </w:rPr>
      </w:pPr>
      <w:r>
        <w:rPr>
          <w:rFonts w:hint="eastAsia" w:ascii="Arial" w:hAnsi="Arial" w:eastAsia="黑体" w:cs="Arial"/>
          <w:b/>
          <w:sz w:val="32"/>
          <w:szCs w:val="32"/>
        </w:rPr>
        <w:t>3.评标程序</w:t>
      </w:r>
    </w:p>
    <w:p w14:paraId="12F67A9F">
      <w:pPr>
        <w:spacing w:line="360" w:lineRule="auto"/>
        <w:rPr>
          <w:rFonts w:hint="eastAsia" w:ascii="Arial" w:hAnsi="Arial" w:eastAsia="黑体" w:cs="Arial"/>
          <w:b/>
          <w:sz w:val="28"/>
          <w:szCs w:val="28"/>
        </w:rPr>
      </w:pPr>
      <w:r>
        <w:rPr>
          <w:rFonts w:hint="eastAsia" w:ascii="Arial" w:hAnsi="Arial" w:eastAsia="黑体" w:cs="Arial"/>
          <w:b/>
          <w:sz w:val="28"/>
          <w:szCs w:val="28"/>
        </w:rPr>
        <w:t>3.1第一个信封初步评审</w:t>
      </w:r>
    </w:p>
    <w:p w14:paraId="6FE0D0DB">
      <w:pPr>
        <w:spacing w:line="372" w:lineRule="auto"/>
        <w:ind w:firstLine="480" w:firstLineChars="200"/>
        <w:rPr>
          <w:rFonts w:hint="eastAsia" w:ascii="Arial" w:hAnsi="Arial" w:cs="Arial"/>
          <w:sz w:val="24"/>
        </w:rPr>
      </w:pPr>
      <w:r>
        <w:rPr>
          <w:rFonts w:hint="eastAsia" w:ascii="Arial" w:hAnsi="Arial" w:cs="Arial"/>
          <w:sz w:val="24"/>
        </w:rPr>
        <w:t>3.1.1评标委员会可以要求投标人提交第二章“投标人须知”第3.5.1项至第3.5.6项规定的有关证明和证件的原件，以便核验。评标委员会依据本章第2.1款规定的标准对投标文件第一个信封（商务及技术文件）进行初步评审。有一项不符合评审标准的，评标委员会应否决其投标。（适用于未进行资格预审的）</w:t>
      </w:r>
    </w:p>
    <w:p w14:paraId="0703A70C">
      <w:pPr>
        <w:spacing w:line="360" w:lineRule="auto"/>
        <w:rPr>
          <w:rFonts w:hint="eastAsia" w:ascii="Arial" w:hAnsi="Arial" w:eastAsia="黑体" w:cs="Arial"/>
          <w:b/>
          <w:sz w:val="28"/>
          <w:szCs w:val="28"/>
        </w:rPr>
      </w:pPr>
      <w:r>
        <w:rPr>
          <w:rFonts w:hint="eastAsia" w:ascii="Arial" w:hAnsi="Arial" w:eastAsia="黑体" w:cs="Arial"/>
          <w:b/>
          <w:sz w:val="28"/>
          <w:szCs w:val="28"/>
        </w:rPr>
        <w:t>3.2第二个信封开标</w:t>
      </w:r>
    </w:p>
    <w:p w14:paraId="06CB34B4">
      <w:pPr>
        <w:spacing w:line="360" w:lineRule="auto"/>
        <w:ind w:firstLine="480" w:firstLineChars="200"/>
        <w:rPr>
          <w:rFonts w:hint="eastAsia" w:ascii="Arial" w:hAnsi="Arial" w:cs="Arial"/>
          <w:sz w:val="24"/>
        </w:rPr>
      </w:pPr>
      <w:r>
        <w:rPr>
          <w:rFonts w:hint="eastAsia" w:ascii="Arial" w:hAnsi="Arial" w:cs="Arial"/>
          <w:sz w:val="24"/>
        </w:rPr>
        <w:t>第一个信封（商务及技术文件）评审结束后，招标人将按照第二章“投标人须知”第5.1款规定的时间和地点对通过投标文件第一个信封（商务及技术文件）评审的投标文件第二个信封（报价文件）进行开标。</w:t>
      </w:r>
    </w:p>
    <w:p w14:paraId="55669BD2">
      <w:pPr>
        <w:spacing w:line="360" w:lineRule="auto"/>
        <w:rPr>
          <w:rFonts w:hint="eastAsia" w:ascii="Arial" w:hAnsi="Arial" w:eastAsia="黑体" w:cs="Arial"/>
          <w:b/>
          <w:sz w:val="28"/>
          <w:szCs w:val="28"/>
        </w:rPr>
      </w:pPr>
      <w:r>
        <w:rPr>
          <w:rFonts w:hint="eastAsia" w:ascii="Arial" w:hAnsi="Arial" w:eastAsia="黑体" w:cs="Arial"/>
          <w:b/>
          <w:sz w:val="28"/>
          <w:szCs w:val="28"/>
        </w:rPr>
        <w:t>3.3第二个信封初步评审</w:t>
      </w:r>
    </w:p>
    <w:p w14:paraId="5DA73B4E">
      <w:pPr>
        <w:spacing w:line="360" w:lineRule="auto"/>
        <w:ind w:firstLine="480" w:firstLineChars="200"/>
        <w:rPr>
          <w:rFonts w:hint="eastAsia" w:ascii="Arial" w:hAnsi="Arial" w:cs="Arial"/>
          <w:sz w:val="24"/>
        </w:rPr>
      </w:pPr>
      <w:r>
        <w:rPr>
          <w:rFonts w:hint="eastAsia" w:ascii="Arial" w:hAnsi="Arial" w:cs="Arial"/>
          <w:sz w:val="24"/>
        </w:rPr>
        <w:t>3.3.1评标委员会依据本章第2.1.1项、第2.1.3项规定的评审标准对投标文件第二个信封（报价文件）进行初步评审。有一项不符合评审标准的，评标委员会应否决其投标。</w:t>
      </w:r>
    </w:p>
    <w:p w14:paraId="75E0001D">
      <w:pPr>
        <w:spacing w:line="360" w:lineRule="auto"/>
        <w:ind w:firstLine="480" w:firstLineChars="200"/>
        <w:rPr>
          <w:rFonts w:hint="eastAsia" w:ascii="Arial" w:hAnsi="Arial" w:cs="Arial"/>
          <w:sz w:val="24"/>
        </w:rPr>
      </w:pPr>
      <w:r>
        <w:rPr>
          <w:rFonts w:hint="eastAsia" w:ascii="Arial" w:hAnsi="Arial" w:cs="Arial"/>
          <w:sz w:val="24"/>
        </w:rPr>
        <w:t>3.3.2</w:t>
      </w:r>
      <w:r>
        <w:rPr>
          <w:rStyle w:val="9"/>
          <w:rFonts w:ascii="Arial" w:hAnsi="Arial" w:cs="Arial"/>
          <w:sz w:val="24"/>
        </w:rPr>
        <w:footnoteReference w:id="0"/>
      </w:r>
      <w:r>
        <w:rPr>
          <w:rFonts w:hint="eastAsia" w:ascii="Arial" w:hAnsi="Arial" w:cs="Arial"/>
          <w:sz w:val="24"/>
        </w:rPr>
        <w:t>投标报价有算术错误的，评标委员会按以下原则对投标报价进行修正，修正的价格经投标人书面确认后具有约束力。投标人不接受修正价格的，评标委员会应否决其投标。</w:t>
      </w:r>
    </w:p>
    <w:p w14:paraId="43637ACF">
      <w:pPr>
        <w:spacing w:line="360" w:lineRule="auto"/>
        <w:ind w:firstLine="480" w:firstLineChars="200"/>
        <w:rPr>
          <w:rFonts w:hint="eastAsia" w:ascii="Arial" w:hAnsi="Arial" w:cs="Arial"/>
          <w:sz w:val="24"/>
        </w:rPr>
      </w:pPr>
      <w:r>
        <w:rPr>
          <w:rFonts w:hint="eastAsia" w:ascii="Arial" w:hAnsi="Arial" w:cs="Arial"/>
          <w:sz w:val="24"/>
        </w:rPr>
        <w:t>（1）投标文件中的大写金额与小写金额不一致的，以大写金额为准；</w:t>
      </w:r>
    </w:p>
    <w:p w14:paraId="0BF47EE1">
      <w:pPr>
        <w:spacing w:line="360" w:lineRule="auto"/>
        <w:ind w:firstLine="480" w:firstLineChars="200"/>
        <w:rPr>
          <w:rFonts w:hint="eastAsia" w:ascii="Arial" w:hAnsi="Arial" w:cs="Arial"/>
          <w:sz w:val="24"/>
        </w:rPr>
      </w:pPr>
      <w:r>
        <w:rPr>
          <w:rFonts w:hint="eastAsia" w:ascii="Arial" w:hAnsi="Arial" w:cs="Arial"/>
          <w:sz w:val="24"/>
        </w:rPr>
        <w:t>（2）总价金额与依据单价计算出的结果不一致的，以单价金额为准修正总价，但单价金额小数点有明显错误的除外；</w:t>
      </w:r>
    </w:p>
    <w:p w14:paraId="42829FDF">
      <w:pPr>
        <w:spacing w:line="360" w:lineRule="auto"/>
        <w:ind w:firstLine="480" w:firstLineChars="200"/>
        <w:rPr>
          <w:rFonts w:hint="eastAsia" w:ascii="Arial" w:hAnsi="Arial" w:cs="Arial"/>
          <w:sz w:val="24"/>
        </w:rPr>
      </w:pPr>
      <w:r>
        <w:rPr>
          <w:rFonts w:hint="eastAsia" w:ascii="Arial" w:hAnsi="Arial" w:cs="Arial"/>
          <w:sz w:val="24"/>
        </w:rPr>
        <w:t>（3）当单价与数量相乘不等于合价时，以单价计算为准，如果单价有明显的小数点位置差错，应以标出的合价为准，同时对单价予以修正；</w:t>
      </w:r>
    </w:p>
    <w:p w14:paraId="34A4D20C">
      <w:pPr>
        <w:spacing w:line="360" w:lineRule="auto"/>
        <w:ind w:firstLine="480" w:firstLineChars="200"/>
        <w:rPr>
          <w:rFonts w:hint="eastAsia" w:ascii="Arial" w:hAnsi="Arial" w:cs="Arial"/>
          <w:sz w:val="24"/>
        </w:rPr>
      </w:pPr>
      <w:r>
        <w:rPr>
          <w:rFonts w:hint="eastAsia" w:ascii="Arial" w:hAnsi="Arial" w:cs="Arial"/>
          <w:sz w:val="24"/>
        </w:rPr>
        <w:t>（4）当各子目的合价累计不等于总价时，应以各子目合价累计数为准，修正总价。</w:t>
      </w:r>
    </w:p>
    <w:p w14:paraId="3FE55B05">
      <w:pPr>
        <w:spacing w:line="360" w:lineRule="auto"/>
        <w:ind w:firstLine="480" w:firstLineChars="200"/>
        <w:rPr>
          <w:rFonts w:hint="eastAsia" w:ascii="Arial" w:hAnsi="Arial" w:cs="Arial"/>
          <w:sz w:val="24"/>
        </w:rPr>
      </w:pPr>
      <w:r>
        <w:rPr>
          <w:rFonts w:hint="eastAsia" w:ascii="Arial" w:hAnsi="Arial" w:cs="Arial"/>
          <w:sz w:val="24"/>
        </w:rPr>
        <w:t>3.3.3工程量清单中的投标报价有其他错误的，评标委员会按以下原则对投标报价进行修正，修正的价格经投标人书面确认后具有约束力。投标人不接受修正价格的，评标委员会应否决其投标。</w:t>
      </w:r>
    </w:p>
    <w:p w14:paraId="724258C9">
      <w:pPr>
        <w:spacing w:line="360" w:lineRule="auto"/>
        <w:ind w:firstLine="480" w:firstLineChars="200"/>
        <w:rPr>
          <w:rFonts w:hint="eastAsia" w:ascii="Arial" w:hAnsi="Arial" w:cs="Arial"/>
          <w:sz w:val="24"/>
        </w:rPr>
      </w:pPr>
      <w:r>
        <w:rPr>
          <w:rFonts w:hint="eastAsia" w:ascii="Arial" w:hAnsi="Arial" w:cs="Arial"/>
          <w:sz w:val="24"/>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6EA32538">
      <w:pPr>
        <w:spacing w:line="360" w:lineRule="auto"/>
        <w:ind w:firstLine="480" w:firstLineChars="200"/>
        <w:rPr>
          <w:rFonts w:hint="eastAsia" w:ascii="Arial" w:hAnsi="Arial" w:cs="Arial"/>
          <w:sz w:val="24"/>
        </w:rPr>
      </w:pPr>
      <w:r>
        <w:rPr>
          <w:rFonts w:hint="eastAsia" w:ascii="Arial" w:hAnsi="Arial" w:cs="Arial"/>
          <w:sz w:val="24"/>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42F26167">
      <w:pPr>
        <w:spacing w:line="360" w:lineRule="auto"/>
        <w:ind w:firstLine="480" w:firstLineChars="200"/>
        <w:rPr>
          <w:rFonts w:hint="eastAsia" w:ascii="Arial" w:hAnsi="Arial" w:cs="Arial"/>
          <w:sz w:val="24"/>
        </w:rPr>
      </w:pPr>
      <w:r>
        <w:rPr>
          <w:rFonts w:hint="eastAsia" w:ascii="Arial" w:hAnsi="Arial" w:cs="Arial"/>
          <w:sz w:val="24"/>
        </w:rPr>
        <w:t>（3）当单价与数量的乘积与合价（金额）虽然一致，但投标人修改了该子目的工程数量，则其合价按招标人给定的工程数量乘以投标人所报单价予以修正。</w:t>
      </w:r>
    </w:p>
    <w:p w14:paraId="3A202471">
      <w:pPr>
        <w:spacing w:line="360" w:lineRule="auto"/>
        <w:ind w:firstLine="480" w:firstLineChars="200"/>
        <w:rPr>
          <w:rFonts w:hint="eastAsia" w:ascii="Arial" w:hAnsi="Arial" w:cs="Arial"/>
          <w:sz w:val="24"/>
        </w:rPr>
      </w:pPr>
      <w:r>
        <w:rPr>
          <w:rFonts w:hint="eastAsia" w:ascii="Arial" w:hAnsi="Arial" w:cs="Arial"/>
          <w:sz w:val="24"/>
        </w:rPr>
        <w:t>3.3.4修正后的最终投标报价若超过最高投标限价（如有），评标委员会应否决其投标。</w:t>
      </w:r>
    </w:p>
    <w:p w14:paraId="64C92690">
      <w:pPr>
        <w:spacing w:line="360" w:lineRule="auto"/>
        <w:ind w:firstLine="480" w:firstLineChars="200"/>
        <w:rPr>
          <w:rFonts w:hint="eastAsia" w:ascii="Arial" w:hAnsi="Arial" w:cs="Arial"/>
          <w:sz w:val="24"/>
        </w:rPr>
      </w:pPr>
      <w:r>
        <w:rPr>
          <w:rFonts w:hint="eastAsia" w:ascii="Arial" w:hAnsi="Arial" w:cs="Arial"/>
          <w:sz w:val="24"/>
        </w:rPr>
        <w:t>3.3.5修正后的最终投标报价仅作为签订合同的一个依据，不参与评标价得分的计算。</w:t>
      </w:r>
    </w:p>
    <w:p w14:paraId="0F4B863E">
      <w:pPr>
        <w:spacing w:line="360" w:lineRule="auto"/>
        <w:rPr>
          <w:rFonts w:hint="eastAsia" w:ascii="Arial" w:hAnsi="Arial" w:eastAsia="黑体" w:cs="Arial"/>
          <w:b/>
          <w:sz w:val="28"/>
          <w:szCs w:val="28"/>
        </w:rPr>
      </w:pPr>
      <w:r>
        <w:rPr>
          <w:rFonts w:hint="eastAsia" w:ascii="Arial" w:hAnsi="Arial" w:eastAsia="黑体" w:cs="Arial"/>
          <w:b/>
          <w:sz w:val="28"/>
          <w:szCs w:val="28"/>
        </w:rPr>
        <w:t>3.4第二个信封详细评审</w:t>
      </w:r>
    </w:p>
    <w:p w14:paraId="42838549">
      <w:pPr>
        <w:spacing w:line="360" w:lineRule="auto"/>
        <w:ind w:firstLine="480" w:firstLineChars="200"/>
        <w:rPr>
          <w:rFonts w:hint="eastAsia" w:ascii="Arial" w:hAnsi="Arial" w:cs="Arial"/>
          <w:sz w:val="24"/>
        </w:rPr>
      </w:pPr>
      <w:r>
        <w:rPr>
          <w:rFonts w:hint="eastAsia" w:ascii="Arial" w:hAnsi="Arial" w:cs="Arial"/>
          <w:sz w:val="24"/>
        </w:rPr>
        <w:t>3.4.1评标委员会按本章第2.2款规定的量化因素和分值进行打分，并计算出综合评估得分（即评标价得分）。</w:t>
      </w:r>
    </w:p>
    <w:p w14:paraId="7090D06A">
      <w:pPr>
        <w:spacing w:line="360" w:lineRule="auto"/>
        <w:ind w:firstLine="480" w:firstLineChars="200"/>
        <w:rPr>
          <w:rFonts w:hint="eastAsia" w:ascii="Arial" w:hAnsi="Arial" w:cs="Arial"/>
          <w:sz w:val="24"/>
        </w:rPr>
      </w:pPr>
      <w:r>
        <w:rPr>
          <w:rFonts w:hint="eastAsia" w:ascii="Arial" w:hAnsi="Arial" w:cs="Arial"/>
          <w:sz w:val="24"/>
        </w:rPr>
        <w:t>3.4.2投标人得分分值计算保留小数点后两位，小数点后第三位“四舍五入”。</w:t>
      </w:r>
    </w:p>
    <w:p w14:paraId="2AE1D1D4">
      <w:pPr>
        <w:spacing w:line="360" w:lineRule="auto"/>
        <w:ind w:firstLine="480" w:firstLineChars="200"/>
        <w:rPr>
          <w:rFonts w:hint="eastAsia" w:ascii="Arial" w:hAnsi="Arial" w:cs="Arial"/>
          <w:sz w:val="24"/>
        </w:rPr>
      </w:pPr>
      <w:r>
        <w:rPr>
          <w:rFonts w:hint="eastAsia" w:ascii="Arial" w:hAnsi="Arial" w:cs="Arial"/>
          <w:sz w:val="24"/>
        </w:rPr>
        <w:t>3.4.3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17DA0190">
      <w:pPr>
        <w:spacing w:line="360" w:lineRule="auto"/>
        <w:rPr>
          <w:rFonts w:hint="eastAsia" w:ascii="Arial" w:hAnsi="Arial" w:eastAsia="黑体" w:cs="Arial"/>
          <w:b/>
          <w:sz w:val="28"/>
          <w:szCs w:val="28"/>
        </w:rPr>
      </w:pPr>
      <w:r>
        <w:rPr>
          <w:rFonts w:hint="eastAsia" w:ascii="Arial" w:hAnsi="Arial" w:eastAsia="黑体" w:cs="Arial"/>
          <w:b/>
          <w:sz w:val="28"/>
          <w:szCs w:val="28"/>
        </w:rPr>
        <w:t>3.5投标文件相关信息的核查</w:t>
      </w:r>
    </w:p>
    <w:p w14:paraId="5B5DD894">
      <w:pPr>
        <w:spacing w:line="360" w:lineRule="auto"/>
        <w:ind w:firstLine="480" w:firstLineChars="200"/>
        <w:rPr>
          <w:rFonts w:hint="eastAsia" w:ascii="Arial" w:hAnsi="Arial" w:cs="Arial"/>
          <w:sz w:val="24"/>
        </w:rPr>
      </w:pPr>
      <w:r>
        <w:rPr>
          <w:rFonts w:hint="eastAsia" w:ascii="Arial" w:hAnsi="Arial" w:cs="Arial"/>
          <w:sz w:val="24"/>
        </w:rPr>
        <w:t>3.5.1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14:paraId="6423A3A0">
      <w:pPr>
        <w:spacing w:line="360" w:lineRule="auto"/>
        <w:ind w:firstLine="480" w:firstLineChars="200"/>
        <w:rPr>
          <w:rFonts w:hint="eastAsia" w:ascii="Arial" w:hAnsi="Arial" w:cs="Arial"/>
          <w:sz w:val="24"/>
        </w:rPr>
      </w:pPr>
      <w:r>
        <w:rPr>
          <w:rFonts w:hint="eastAsia" w:ascii="Arial" w:hAnsi="Arial" w:cs="Arial"/>
          <w:sz w:val="24"/>
        </w:rPr>
        <w:t>3.5.2评标委员会应对在评标过程中发现的投标人与投标人之间、投标人与招标人之间存在的串通投标的情形进行评审和认定。投标人存在串通投标、弄虚作假、行贿等违法行为的，评标委员会应否决其投标。</w:t>
      </w:r>
    </w:p>
    <w:p w14:paraId="1EDA2D28">
      <w:pPr>
        <w:spacing w:line="360" w:lineRule="auto"/>
        <w:ind w:firstLine="480" w:firstLineChars="200"/>
        <w:rPr>
          <w:rFonts w:hint="eastAsia" w:ascii="Arial" w:hAnsi="Arial" w:cs="Arial"/>
          <w:sz w:val="24"/>
        </w:rPr>
      </w:pPr>
      <w:r>
        <w:rPr>
          <w:rFonts w:hint="eastAsia" w:ascii="Arial" w:hAnsi="Arial" w:cs="Arial"/>
          <w:sz w:val="24"/>
        </w:rPr>
        <w:t>（1）有下列情形之一的，属于投标人相互串通投标：</w:t>
      </w:r>
    </w:p>
    <w:p w14:paraId="4F823767">
      <w:pPr>
        <w:spacing w:line="360" w:lineRule="auto"/>
        <w:ind w:firstLine="480" w:firstLineChars="200"/>
        <w:rPr>
          <w:rFonts w:hint="eastAsia" w:ascii="Arial" w:hAnsi="Arial" w:cs="Arial"/>
          <w:sz w:val="24"/>
        </w:rPr>
      </w:pPr>
      <w:r>
        <w:rPr>
          <w:rFonts w:hint="eastAsia" w:ascii="Arial" w:hAnsi="Arial" w:cs="Arial"/>
          <w:sz w:val="24"/>
        </w:rPr>
        <w:t>a.投标人之间协商投标报价等投标文件的实质性内容；</w:t>
      </w:r>
    </w:p>
    <w:p w14:paraId="55AC3408">
      <w:pPr>
        <w:spacing w:line="360" w:lineRule="auto"/>
        <w:ind w:firstLine="480" w:firstLineChars="200"/>
        <w:rPr>
          <w:rFonts w:hint="eastAsia" w:ascii="Arial" w:hAnsi="Arial" w:cs="Arial"/>
          <w:sz w:val="24"/>
        </w:rPr>
      </w:pPr>
      <w:r>
        <w:rPr>
          <w:rFonts w:hint="eastAsia" w:ascii="Arial" w:hAnsi="Arial" w:cs="Arial"/>
          <w:sz w:val="24"/>
        </w:rPr>
        <w:t>b.投标人之间约定中标人；</w:t>
      </w:r>
    </w:p>
    <w:p w14:paraId="1BC37750">
      <w:pPr>
        <w:spacing w:line="360" w:lineRule="auto"/>
        <w:ind w:firstLine="480" w:firstLineChars="200"/>
        <w:rPr>
          <w:rFonts w:hint="eastAsia" w:ascii="Arial" w:hAnsi="Arial" w:cs="Arial"/>
          <w:sz w:val="24"/>
        </w:rPr>
      </w:pPr>
      <w:r>
        <w:rPr>
          <w:rFonts w:hint="eastAsia" w:ascii="Arial" w:hAnsi="Arial" w:cs="Arial"/>
          <w:sz w:val="24"/>
        </w:rPr>
        <w:t>c.投标人之间约定部分投标人放弃投标或中标；</w:t>
      </w:r>
    </w:p>
    <w:p w14:paraId="713A5F3B">
      <w:pPr>
        <w:spacing w:line="360" w:lineRule="auto"/>
        <w:ind w:firstLine="480" w:firstLineChars="200"/>
        <w:rPr>
          <w:rFonts w:hint="eastAsia" w:ascii="Arial" w:hAnsi="Arial" w:cs="Arial"/>
          <w:sz w:val="24"/>
        </w:rPr>
      </w:pPr>
      <w:r>
        <w:rPr>
          <w:rFonts w:hint="eastAsia" w:ascii="Arial" w:hAnsi="Arial" w:cs="Arial"/>
          <w:sz w:val="24"/>
        </w:rPr>
        <w:t>d.属于同一集团、协会、商会等组织成员的投标人按照该组织要求协同投标；</w:t>
      </w:r>
    </w:p>
    <w:p w14:paraId="2C5056F3">
      <w:pPr>
        <w:spacing w:line="360" w:lineRule="auto"/>
        <w:ind w:firstLine="480" w:firstLineChars="200"/>
        <w:rPr>
          <w:rFonts w:hint="eastAsia" w:ascii="Arial" w:hAnsi="Arial" w:cs="Arial"/>
          <w:sz w:val="24"/>
        </w:rPr>
      </w:pPr>
      <w:r>
        <w:rPr>
          <w:rFonts w:hint="eastAsia" w:ascii="Arial" w:hAnsi="Arial" w:cs="Arial"/>
          <w:sz w:val="24"/>
        </w:rPr>
        <w:t>e.投标人之间为谋取中标或排斥特定投标人而釆取的其他联合行动。</w:t>
      </w:r>
    </w:p>
    <w:p w14:paraId="0E55FDF5">
      <w:pPr>
        <w:spacing w:line="360" w:lineRule="auto"/>
        <w:ind w:firstLine="480" w:firstLineChars="200"/>
        <w:rPr>
          <w:rFonts w:hint="eastAsia" w:ascii="Arial" w:hAnsi="Arial" w:cs="Arial"/>
          <w:sz w:val="24"/>
        </w:rPr>
      </w:pPr>
      <w:r>
        <w:rPr>
          <w:rFonts w:hint="eastAsia" w:ascii="Arial" w:hAnsi="Arial" w:cs="Arial"/>
          <w:sz w:val="24"/>
        </w:rPr>
        <w:t>（2）有下列情形之一的，视为投标人相互串通投标：</w:t>
      </w:r>
    </w:p>
    <w:p w14:paraId="1B9AD54E">
      <w:pPr>
        <w:spacing w:line="360" w:lineRule="auto"/>
        <w:ind w:firstLine="480" w:firstLineChars="200"/>
        <w:rPr>
          <w:rFonts w:hint="eastAsia" w:ascii="Arial" w:hAnsi="Arial" w:cs="Arial"/>
          <w:sz w:val="24"/>
        </w:rPr>
      </w:pPr>
      <w:r>
        <w:rPr>
          <w:rFonts w:hint="eastAsia" w:ascii="Arial" w:hAnsi="Arial" w:cs="Arial"/>
          <w:sz w:val="24"/>
        </w:rPr>
        <w:t>a.不同投标人的投标文件由同一单位或个人编制；</w:t>
      </w:r>
    </w:p>
    <w:p w14:paraId="28C264FE">
      <w:pPr>
        <w:spacing w:line="348" w:lineRule="auto"/>
        <w:ind w:firstLine="480" w:firstLineChars="200"/>
        <w:rPr>
          <w:rFonts w:hint="eastAsia" w:ascii="Arial" w:hAnsi="Arial" w:cs="Arial"/>
          <w:sz w:val="24"/>
        </w:rPr>
      </w:pPr>
      <w:r>
        <w:rPr>
          <w:rFonts w:hint="eastAsia" w:ascii="Arial" w:hAnsi="Arial" w:cs="Arial"/>
          <w:sz w:val="24"/>
        </w:rPr>
        <w:t>b.不同投标人委托同一单位或个人办理投标事宜；</w:t>
      </w:r>
    </w:p>
    <w:p w14:paraId="7D9B3246">
      <w:pPr>
        <w:spacing w:line="348" w:lineRule="auto"/>
        <w:ind w:firstLine="480" w:firstLineChars="200"/>
        <w:rPr>
          <w:rFonts w:hint="eastAsia" w:ascii="Arial" w:hAnsi="Arial" w:cs="Arial"/>
          <w:sz w:val="24"/>
        </w:rPr>
      </w:pPr>
      <w:r>
        <w:rPr>
          <w:rFonts w:hint="eastAsia" w:ascii="Arial" w:hAnsi="Arial" w:cs="Arial"/>
          <w:sz w:val="24"/>
        </w:rPr>
        <w:t>c.不同投标人的投标文件载明的项目管理成员为同一人；</w:t>
      </w:r>
    </w:p>
    <w:p w14:paraId="4DAEB360">
      <w:pPr>
        <w:spacing w:line="348" w:lineRule="auto"/>
        <w:ind w:firstLine="480" w:firstLineChars="200"/>
        <w:rPr>
          <w:rFonts w:hint="eastAsia" w:ascii="Arial" w:hAnsi="Arial" w:cs="Arial"/>
          <w:sz w:val="24"/>
        </w:rPr>
      </w:pPr>
      <w:r>
        <w:rPr>
          <w:rFonts w:hint="eastAsia" w:ascii="Arial" w:hAnsi="Arial" w:cs="Arial"/>
          <w:sz w:val="24"/>
        </w:rPr>
        <w:t>d.不同投标人的投标文件异常一致或投标报价呈规律性差异；</w:t>
      </w:r>
    </w:p>
    <w:p w14:paraId="7E0E922B">
      <w:pPr>
        <w:spacing w:line="348" w:lineRule="auto"/>
        <w:ind w:firstLine="480" w:firstLineChars="200"/>
        <w:rPr>
          <w:rFonts w:hint="eastAsia" w:ascii="Arial" w:hAnsi="Arial" w:cs="Arial"/>
          <w:sz w:val="24"/>
        </w:rPr>
      </w:pPr>
      <w:r>
        <w:rPr>
          <w:rFonts w:hint="eastAsia" w:ascii="Arial" w:hAnsi="Arial" w:cs="Arial"/>
          <w:sz w:val="24"/>
        </w:rPr>
        <w:t>e.不同投标人的投标文件相互混装；</w:t>
      </w:r>
    </w:p>
    <w:p w14:paraId="021D2E58">
      <w:pPr>
        <w:spacing w:line="348" w:lineRule="auto"/>
        <w:ind w:firstLine="480" w:firstLineChars="200"/>
        <w:rPr>
          <w:rFonts w:hint="eastAsia" w:ascii="Arial" w:hAnsi="Arial" w:cs="Arial"/>
          <w:sz w:val="24"/>
        </w:rPr>
      </w:pPr>
      <w:r>
        <w:rPr>
          <w:rFonts w:hint="eastAsia" w:ascii="Arial" w:hAnsi="Arial" w:cs="Arial"/>
          <w:sz w:val="24"/>
        </w:rPr>
        <w:t>f.不同投标人的投标保证金从同一单位或个人的账户转出。</w:t>
      </w:r>
    </w:p>
    <w:p w14:paraId="546E4BCD">
      <w:pPr>
        <w:spacing w:line="348" w:lineRule="auto"/>
        <w:ind w:firstLine="480" w:firstLineChars="200"/>
        <w:rPr>
          <w:rFonts w:hint="eastAsia" w:ascii="Arial" w:hAnsi="Arial" w:cs="Arial"/>
          <w:sz w:val="24"/>
        </w:rPr>
      </w:pPr>
      <w:r>
        <w:rPr>
          <w:rFonts w:hint="eastAsia" w:ascii="Arial" w:hAnsi="Arial" w:cs="Arial"/>
          <w:sz w:val="24"/>
        </w:rPr>
        <w:t>（3）有下列情形之一的，属于招标人与投标人串通投标：</w:t>
      </w:r>
    </w:p>
    <w:p w14:paraId="1E0298E4">
      <w:pPr>
        <w:spacing w:line="348" w:lineRule="auto"/>
        <w:ind w:firstLine="480" w:firstLineChars="200"/>
        <w:rPr>
          <w:rFonts w:hint="eastAsia" w:ascii="Arial" w:hAnsi="Arial" w:cs="Arial"/>
          <w:sz w:val="24"/>
        </w:rPr>
      </w:pPr>
      <w:r>
        <w:rPr>
          <w:rFonts w:hint="eastAsia" w:ascii="Arial" w:hAnsi="Arial" w:cs="Arial"/>
          <w:sz w:val="24"/>
        </w:rPr>
        <w:t>a.招标人在开标前开启投标文件并将有关信息泄露给其他投标人；</w:t>
      </w:r>
    </w:p>
    <w:p w14:paraId="35A93FA1">
      <w:pPr>
        <w:spacing w:line="348" w:lineRule="auto"/>
        <w:ind w:firstLine="480" w:firstLineChars="200"/>
        <w:rPr>
          <w:rFonts w:hint="eastAsia" w:ascii="Arial" w:hAnsi="Arial" w:cs="Arial"/>
          <w:sz w:val="24"/>
        </w:rPr>
      </w:pPr>
      <w:r>
        <w:rPr>
          <w:rFonts w:hint="eastAsia" w:ascii="Arial" w:hAnsi="Arial" w:cs="Arial"/>
          <w:sz w:val="24"/>
        </w:rPr>
        <w:t>b.招标人直接或间接向投标人泄露标底、评标委员会成员等信息；</w:t>
      </w:r>
    </w:p>
    <w:p w14:paraId="0E78A8E8">
      <w:pPr>
        <w:spacing w:line="348" w:lineRule="auto"/>
        <w:ind w:firstLine="480" w:firstLineChars="200"/>
        <w:rPr>
          <w:rFonts w:hint="eastAsia" w:ascii="Arial" w:hAnsi="Arial" w:cs="Arial"/>
          <w:sz w:val="24"/>
        </w:rPr>
      </w:pPr>
      <w:r>
        <w:rPr>
          <w:rFonts w:hint="eastAsia" w:ascii="Arial" w:hAnsi="Arial" w:cs="Arial"/>
          <w:sz w:val="24"/>
        </w:rPr>
        <w:t>c.招标人明示或暗示投标人压低或抬高投标报价；</w:t>
      </w:r>
    </w:p>
    <w:p w14:paraId="4E12510E">
      <w:pPr>
        <w:spacing w:line="348" w:lineRule="auto"/>
        <w:ind w:firstLine="480" w:firstLineChars="200"/>
        <w:rPr>
          <w:rFonts w:hint="eastAsia" w:ascii="Arial" w:hAnsi="Arial" w:cs="Arial"/>
          <w:sz w:val="24"/>
        </w:rPr>
      </w:pPr>
      <w:r>
        <w:rPr>
          <w:rFonts w:hint="eastAsia" w:ascii="Arial" w:hAnsi="Arial" w:cs="Arial"/>
          <w:sz w:val="24"/>
        </w:rPr>
        <w:t>d.招标人授意投标人撤换、修改投标文件；</w:t>
      </w:r>
    </w:p>
    <w:p w14:paraId="10889724">
      <w:pPr>
        <w:spacing w:line="348" w:lineRule="auto"/>
        <w:ind w:firstLine="480" w:firstLineChars="200"/>
        <w:rPr>
          <w:rFonts w:hint="eastAsia" w:ascii="Arial" w:hAnsi="Arial" w:cs="Arial"/>
          <w:sz w:val="24"/>
        </w:rPr>
      </w:pPr>
      <w:r>
        <w:rPr>
          <w:rFonts w:hint="eastAsia" w:ascii="Arial" w:hAnsi="Arial" w:cs="Arial"/>
          <w:sz w:val="24"/>
        </w:rPr>
        <w:t>e.招标人明示或暗示投标人为特定投标人中标提供方便；</w:t>
      </w:r>
    </w:p>
    <w:p w14:paraId="4AB48698">
      <w:pPr>
        <w:spacing w:line="348" w:lineRule="auto"/>
        <w:ind w:firstLine="480" w:firstLineChars="200"/>
        <w:rPr>
          <w:rFonts w:hint="eastAsia" w:ascii="Arial" w:hAnsi="Arial" w:cs="Arial"/>
          <w:sz w:val="24"/>
        </w:rPr>
      </w:pPr>
      <w:r>
        <w:rPr>
          <w:rFonts w:hint="eastAsia" w:ascii="Arial" w:hAnsi="Arial" w:cs="Arial"/>
          <w:sz w:val="24"/>
        </w:rPr>
        <w:t>f.招标人与投标人为谋求特定投标人中标而采取的其他串通行为。</w:t>
      </w:r>
    </w:p>
    <w:p w14:paraId="715C540C">
      <w:pPr>
        <w:spacing w:line="348" w:lineRule="auto"/>
        <w:ind w:firstLine="480" w:firstLineChars="200"/>
        <w:rPr>
          <w:rFonts w:hint="eastAsia" w:ascii="Arial" w:hAnsi="Arial" w:cs="Arial"/>
          <w:sz w:val="24"/>
        </w:rPr>
      </w:pPr>
      <w:r>
        <w:rPr>
          <w:rFonts w:hint="eastAsia" w:ascii="Arial" w:hAnsi="Arial" w:cs="Arial"/>
          <w:sz w:val="24"/>
        </w:rPr>
        <w:t>（4）投标人有下列情形之一的，属于弄虚作假的行为：</w:t>
      </w:r>
    </w:p>
    <w:p w14:paraId="6BAAB71D">
      <w:pPr>
        <w:spacing w:line="348" w:lineRule="auto"/>
        <w:ind w:firstLine="480" w:firstLineChars="200"/>
        <w:rPr>
          <w:rFonts w:hint="eastAsia" w:ascii="Arial" w:hAnsi="Arial" w:cs="Arial"/>
          <w:sz w:val="24"/>
        </w:rPr>
      </w:pPr>
      <w:r>
        <w:rPr>
          <w:rFonts w:hint="eastAsia" w:ascii="Arial" w:hAnsi="Arial" w:cs="Arial"/>
          <w:sz w:val="24"/>
        </w:rPr>
        <w:t>a.使用通过受让或租借等方式获取的资格、资质证书投标；</w:t>
      </w:r>
    </w:p>
    <w:p w14:paraId="36A67AFF">
      <w:pPr>
        <w:spacing w:line="348" w:lineRule="auto"/>
        <w:ind w:firstLine="480" w:firstLineChars="200"/>
        <w:rPr>
          <w:rFonts w:hint="eastAsia" w:ascii="Arial" w:hAnsi="Arial" w:cs="Arial"/>
          <w:sz w:val="24"/>
        </w:rPr>
      </w:pPr>
      <w:r>
        <w:rPr>
          <w:rFonts w:hint="eastAsia" w:ascii="Arial" w:hAnsi="Arial" w:cs="Arial"/>
          <w:sz w:val="24"/>
        </w:rPr>
        <w:t>b.使用伪造、变造的许可证件；</w:t>
      </w:r>
    </w:p>
    <w:p w14:paraId="5ED048B1">
      <w:pPr>
        <w:spacing w:line="348" w:lineRule="auto"/>
        <w:ind w:firstLine="480" w:firstLineChars="200"/>
        <w:rPr>
          <w:rFonts w:hint="eastAsia" w:ascii="Arial" w:hAnsi="Arial" w:cs="Arial"/>
          <w:sz w:val="24"/>
        </w:rPr>
      </w:pPr>
      <w:r>
        <w:rPr>
          <w:rFonts w:hint="eastAsia" w:ascii="Arial" w:hAnsi="Arial" w:cs="Arial"/>
          <w:sz w:val="24"/>
        </w:rPr>
        <w:t>c.提供虚假的财务状况或业绩；</w:t>
      </w:r>
    </w:p>
    <w:p w14:paraId="042C765D">
      <w:pPr>
        <w:spacing w:line="348" w:lineRule="auto"/>
        <w:ind w:firstLine="480" w:firstLineChars="200"/>
        <w:rPr>
          <w:rFonts w:hint="eastAsia" w:ascii="Arial" w:hAnsi="Arial" w:cs="Arial"/>
          <w:sz w:val="24"/>
        </w:rPr>
      </w:pPr>
      <w:r>
        <w:rPr>
          <w:rFonts w:hint="eastAsia" w:ascii="Arial" w:hAnsi="Arial" w:cs="Arial"/>
          <w:sz w:val="24"/>
        </w:rPr>
        <w:t>d.提供虚假的项目负责人或主要技术人员简历、劳动关系证明；</w:t>
      </w:r>
    </w:p>
    <w:p w14:paraId="7789589B">
      <w:pPr>
        <w:spacing w:line="348" w:lineRule="auto"/>
        <w:ind w:firstLine="480" w:firstLineChars="200"/>
        <w:rPr>
          <w:rFonts w:hint="eastAsia" w:ascii="Arial" w:hAnsi="Arial" w:cs="Arial"/>
          <w:sz w:val="24"/>
        </w:rPr>
      </w:pPr>
      <w:r>
        <w:rPr>
          <w:rFonts w:hint="eastAsia" w:ascii="Arial" w:hAnsi="Arial" w:cs="Arial"/>
          <w:sz w:val="24"/>
        </w:rPr>
        <w:t>e.提供虚假的信用状况；</w:t>
      </w:r>
    </w:p>
    <w:p w14:paraId="0587BF9B">
      <w:pPr>
        <w:spacing w:line="348" w:lineRule="auto"/>
        <w:ind w:firstLine="480" w:firstLineChars="200"/>
        <w:rPr>
          <w:rFonts w:hint="eastAsia" w:ascii="Arial" w:hAnsi="Arial" w:cs="Arial"/>
          <w:sz w:val="24"/>
        </w:rPr>
      </w:pPr>
      <w:r>
        <w:rPr>
          <w:rFonts w:hint="eastAsia" w:ascii="Arial" w:hAnsi="Arial" w:cs="Arial"/>
          <w:sz w:val="24"/>
        </w:rPr>
        <w:t>f.其他弄虚作假的行为。</w:t>
      </w:r>
    </w:p>
    <w:p w14:paraId="5E84F1B7">
      <w:pPr>
        <w:spacing w:line="360" w:lineRule="auto"/>
        <w:rPr>
          <w:rFonts w:hint="eastAsia" w:ascii="Arial" w:hAnsi="Arial" w:eastAsia="黑体" w:cs="Arial"/>
          <w:b/>
          <w:sz w:val="28"/>
          <w:szCs w:val="28"/>
        </w:rPr>
      </w:pPr>
      <w:r>
        <w:rPr>
          <w:rFonts w:hint="eastAsia" w:ascii="Arial" w:hAnsi="Arial" w:eastAsia="黑体" w:cs="Arial"/>
          <w:b/>
          <w:sz w:val="28"/>
          <w:szCs w:val="28"/>
        </w:rPr>
        <w:t>3.6投标文件的澄清和说明</w:t>
      </w:r>
    </w:p>
    <w:p w14:paraId="05AB4B00">
      <w:pPr>
        <w:spacing w:line="348" w:lineRule="auto"/>
        <w:ind w:firstLine="480" w:firstLineChars="200"/>
        <w:rPr>
          <w:rFonts w:hint="eastAsia" w:ascii="Arial" w:hAnsi="Arial" w:cs="Arial"/>
          <w:sz w:val="24"/>
        </w:rPr>
      </w:pPr>
      <w:r>
        <w:rPr>
          <w:rFonts w:hint="eastAsia" w:ascii="Arial" w:hAnsi="Arial" w:cs="Arial"/>
          <w:sz w:val="24"/>
        </w:rPr>
        <w:t>3.6.1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14:paraId="37E0F3CC">
      <w:pPr>
        <w:spacing w:line="348" w:lineRule="auto"/>
        <w:ind w:firstLine="480" w:firstLineChars="200"/>
        <w:rPr>
          <w:rFonts w:hint="eastAsia" w:ascii="Arial" w:hAnsi="Arial" w:cs="Arial"/>
          <w:sz w:val="24"/>
        </w:rPr>
      </w:pPr>
      <w:r>
        <w:rPr>
          <w:rFonts w:hint="eastAsia" w:ascii="Arial" w:hAnsi="Arial" w:cs="Arial"/>
          <w:sz w:val="24"/>
        </w:rPr>
        <w:t>3.6.2澄清和说明不得超出投标文件的范围或改变投标文件的实质性内容（算术性错误的修正除外）。投标人的书面澄清、说明属于投标文件的组成部分。</w:t>
      </w:r>
    </w:p>
    <w:p w14:paraId="501B8F47">
      <w:pPr>
        <w:spacing w:line="348" w:lineRule="auto"/>
        <w:ind w:firstLine="480" w:firstLineChars="200"/>
        <w:rPr>
          <w:rFonts w:hint="eastAsia" w:ascii="Arial" w:hAnsi="Arial" w:cs="Arial"/>
          <w:sz w:val="24"/>
        </w:rPr>
      </w:pPr>
      <w:r>
        <w:rPr>
          <w:rFonts w:hint="eastAsia" w:ascii="Arial" w:hAnsi="Arial" w:cs="Arial"/>
          <w:sz w:val="24"/>
        </w:rPr>
        <w:t>3.6.3评标委员会不得暗示或诱导投标人作出澄清、说明，对投标人提交的澄清、说明有疑问的，可以要求投标人进一步澄清或说明，直至满足评标委员会的要求。</w:t>
      </w:r>
    </w:p>
    <w:p w14:paraId="0335A570">
      <w:pPr>
        <w:spacing w:line="348" w:lineRule="auto"/>
        <w:ind w:firstLine="480" w:firstLineChars="200"/>
        <w:rPr>
          <w:rFonts w:hint="eastAsia" w:ascii="Arial" w:hAnsi="Arial" w:cs="Arial"/>
          <w:sz w:val="24"/>
        </w:rPr>
      </w:pPr>
      <w:r>
        <w:rPr>
          <w:rFonts w:hint="eastAsia" w:ascii="Arial" w:hAnsi="Arial" w:cs="Arial"/>
          <w:sz w:val="24"/>
        </w:rPr>
        <w:t>3.6.4凡超出招标文件规定的或给发包人带来未曾要求的利益的变化、偏差或其他因素在评标时不予考虑。</w:t>
      </w:r>
    </w:p>
    <w:p w14:paraId="6833D932">
      <w:pPr>
        <w:spacing w:line="360" w:lineRule="auto"/>
        <w:rPr>
          <w:rFonts w:hint="eastAsia" w:ascii="Arial" w:hAnsi="Arial" w:eastAsia="黑体" w:cs="Arial"/>
          <w:b/>
          <w:sz w:val="28"/>
          <w:szCs w:val="28"/>
        </w:rPr>
      </w:pPr>
      <w:r>
        <w:rPr>
          <w:rFonts w:hint="eastAsia" w:ascii="Arial" w:hAnsi="Arial" w:eastAsia="黑体" w:cs="Arial"/>
          <w:b/>
          <w:sz w:val="28"/>
          <w:szCs w:val="28"/>
        </w:rPr>
        <w:t>3.7不得否决投标的情形</w:t>
      </w:r>
    </w:p>
    <w:p w14:paraId="0DF5FCCA">
      <w:pPr>
        <w:spacing w:line="360" w:lineRule="auto"/>
        <w:ind w:firstLine="480" w:firstLineChars="200"/>
        <w:rPr>
          <w:rFonts w:hint="eastAsia" w:ascii="Arial" w:hAnsi="Arial" w:cs="Arial"/>
          <w:sz w:val="24"/>
        </w:rPr>
      </w:pPr>
      <w:r>
        <w:rPr>
          <w:rFonts w:hint="eastAsia" w:ascii="Arial" w:hAnsi="Arial" w:cs="Arial"/>
          <w:sz w:val="24"/>
        </w:rPr>
        <w:t>投标文件存在第二章“投标人须知”第1.12.3项所列情形的，均视为细微偏差，评标委员会不得否决投标人的投标，应按照第二章“投标人须知”第1.12.4项规定的原则处理。</w:t>
      </w:r>
    </w:p>
    <w:p w14:paraId="4E900F64">
      <w:pPr>
        <w:spacing w:line="360" w:lineRule="auto"/>
        <w:rPr>
          <w:rFonts w:hint="eastAsia" w:ascii="Arial" w:hAnsi="Arial" w:eastAsia="黑体" w:cs="Arial"/>
          <w:b/>
          <w:sz w:val="28"/>
          <w:szCs w:val="28"/>
        </w:rPr>
      </w:pPr>
      <w:r>
        <w:rPr>
          <w:rFonts w:hint="eastAsia" w:ascii="Arial" w:hAnsi="Arial" w:eastAsia="黑体" w:cs="Arial"/>
          <w:b/>
          <w:sz w:val="28"/>
          <w:szCs w:val="28"/>
        </w:rPr>
        <w:t>3.8评标结果</w:t>
      </w:r>
    </w:p>
    <w:p w14:paraId="7D4B7C0B">
      <w:pPr>
        <w:spacing w:line="360" w:lineRule="auto"/>
        <w:ind w:firstLine="480" w:firstLineChars="200"/>
        <w:rPr>
          <w:rFonts w:hint="eastAsia" w:ascii="Arial" w:hAnsi="Arial" w:cs="Arial"/>
          <w:sz w:val="24"/>
        </w:rPr>
      </w:pPr>
      <w:r>
        <w:rPr>
          <w:rFonts w:hint="eastAsia" w:ascii="Arial" w:hAnsi="Arial" w:cs="Arial"/>
          <w:sz w:val="24"/>
        </w:rPr>
        <w:t>3.8.1除第二章“投标人须知”前附表授权直接确定中标人外，评标委员会按照得分由高到低的顺序推荐中标候选人，并标明排序。</w:t>
      </w:r>
    </w:p>
    <w:p w14:paraId="5848C780">
      <w:pPr>
        <w:spacing w:line="360" w:lineRule="auto"/>
        <w:ind w:firstLine="480" w:firstLineChars="200"/>
        <w:rPr>
          <w:rFonts w:hint="eastAsia" w:ascii="Arial" w:hAnsi="Arial" w:cs="Arial"/>
          <w:sz w:val="24"/>
        </w:rPr>
      </w:pPr>
      <w:r>
        <w:rPr>
          <w:rFonts w:hint="eastAsia" w:ascii="Arial" w:hAnsi="Arial" w:cs="Arial"/>
          <w:sz w:val="24"/>
        </w:rPr>
        <w:t>3.8.2评标委员会完成评标后，应向招标人提交书面评标报告。</w:t>
      </w:r>
      <w:bookmarkEnd w:id="6"/>
    </w:p>
    <w:p w14:paraId="21AB2C3D">
      <w:pPr>
        <w:tabs>
          <w:tab w:val="left" w:pos="8505"/>
        </w:tabs>
        <w:jc w:val="center"/>
        <w:rPr>
          <w:rFonts w:ascii="Arial" w:hAnsi="Arial" w:eastAsia="黑体" w:cs="Arial"/>
          <w:bCs/>
          <w:sz w:val="44"/>
        </w:rPr>
      </w:pPr>
    </w:p>
    <w:p w14:paraId="76899E88">
      <w:pPr>
        <w:spacing w:line="360" w:lineRule="auto"/>
        <w:ind w:firstLine="422" w:firstLineChars="200"/>
        <w:rPr>
          <w:rFonts w:hint="default" w:ascii="黑体" w:hAnsi="黑体" w:eastAsia="黑体"/>
          <w:b/>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E80A482">
      <w:pPr>
        <w:pStyle w:val="5"/>
        <w:ind w:left="360" w:hanging="360" w:hangingChars="200"/>
      </w:pPr>
      <w:r>
        <w:footnoteRef/>
      </w:r>
      <w:r>
        <w:rPr>
          <w:rFonts w:hint="eastAsia"/>
        </w:rPr>
        <w:t xml:space="preserve">  如本项目招标由投标人按照招标人提供的书面工程量清单填写本合同各工程子目的单价、合价和总额价，则评标委员会按照本章第3.3.2项和第3.3.3项的规定对投标人的投标报价进行修正。如本项目招标由投标人按照招标人提供的工程量固化清单电子文件填写工程量清单，无须按照本章第3.3.2项和第3.3.3项的规定对投标报价进行修正，第3.3.2项至第3.3.5项内容不适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DA018"/>
    <w:multiLevelType w:val="singleLevel"/>
    <w:tmpl w:val="A75DA018"/>
    <w:lvl w:ilvl="0" w:tentative="0">
      <w:start w:val="2"/>
      <w:numFmt w:val="decimal"/>
      <w:lvlText w:val="%1."/>
      <w:lvlJc w:val="left"/>
      <w:pPr>
        <w:tabs>
          <w:tab w:val="left" w:pos="312"/>
        </w:tabs>
      </w:pPr>
    </w:lvl>
  </w:abstractNum>
  <w:abstractNum w:abstractNumId="1">
    <w:nsid w:val="46A5ADA3"/>
    <w:multiLevelType w:val="singleLevel"/>
    <w:tmpl w:val="46A5ADA3"/>
    <w:lvl w:ilvl="0" w:tentative="0">
      <w:start w:val="1"/>
      <w:numFmt w:val="chineseCounting"/>
      <w:suff w:val="nothing"/>
      <w:lvlText w:val="%1、"/>
      <w:lvlJc w:val="left"/>
      <w:rPr>
        <w:rFonts w:hint="eastAsia"/>
      </w:rPr>
    </w:lvl>
  </w:abstractNum>
  <w:abstractNum w:abstractNumId="2">
    <w:nsid w:val="7BBD47F9"/>
    <w:multiLevelType w:val="multilevel"/>
    <w:tmpl w:val="7BBD47F9"/>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747"/>
        </w:tabs>
        <w:ind w:left="747" w:hanging="567"/>
      </w:pPr>
    </w:lvl>
    <w:lvl w:ilvl="2" w:tentative="0">
      <w:start w:val="1"/>
      <w:numFmt w:val="decimal"/>
      <w:pStyle w:val="2"/>
      <w:lvlText w:val="%1.%2.%3."/>
      <w:lvlJc w:val="left"/>
      <w:pPr>
        <w:tabs>
          <w:tab w:val="left" w:pos="3229"/>
        </w:tabs>
        <w:ind w:left="322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3ZjhiZjc3OGEzMjYwYzVlZTcyZjgyYzEzNzQyODQifQ=="/>
  </w:docVars>
  <w:rsids>
    <w:rsidRoot w:val="253D2BF5"/>
    <w:rsid w:val="00F46D15"/>
    <w:rsid w:val="080812F8"/>
    <w:rsid w:val="0A7F7787"/>
    <w:rsid w:val="132C6A1C"/>
    <w:rsid w:val="14A66120"/>
    <w:rsid w:val="1E605592"/>
    <w:rsid w:val="253D2BF5"/>
    <w:rsid w:val="3068085F"/>
    <w:rsid w:val="35352E7D"/>
    <w:rsid w:val="3BC62A80"/>
    <w:rsid w:val="3D69147F"/>
    <w:rsid w:val="476E221E"/>
    <w:rsid w:val="550146D2"/>
    <w:rsid w:val="5B9242D5"/>
    <w:rsid w:val="5DCB0006"/>
    <w:rsid w:val="703379DD"/>
    <w:rsid w:val="7B815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3"/>
    <w:qFormat/>
    <w:uiPriority w:val="0"/>
    <w:pPr>
      <w:keepNext/>
      <w:keepLines/>
      <w:numPr>
        <w:ilvl w:val="2"/>
        <w:numId w:val="1"/>
      </w:numPr>
      <w:spacing w:after="220" w:line="220" w:lineRule="atLeast"/>
      <w:jc w:val="left"/>
      <w:outlineLvl w:val="2"/>
    </w:pPr>
    <w:rPr>
      <w:rFonts w:ascii="Arial" w:hAnsi="Arial"/>
      <w:spacing w:val="-10"/>
      <w:kern w:val="20"/>
      <w:sz w:val="22"/>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3"/>
    <w:basedOn w:val="1"/>
    <w:qFormat/>
    <w:uiPriority w:val="0"/>
    <w:pPr>
      <w:spacing w:after="120" w:afterLines="0"/>
    </w:pPr>
    <w:rPr>
      <w:sz w:val="16"/>
      <w:szCs w:val="16"/>
    </w:rPr>
  </w:style>
  <w:style w:type="paragraph" w:styleId="5">
    <w:name w:val="footnote text"/>
    <w:basedOn w:val="1"/>
    <w:qFormat/>
    <w:uiPriority w:val="0"/>
    <w:pPr>
      <w:snapToGrid w:val="0"/>
      <w:jc w:val="left"/>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kern w:val="0"/>
      <w:sz w:val="24"/>
    </w:rPr>
  </w:style>
  <w:style w:type="character" w:styleId="9">
    <w:name w:val="footnote reference"/>
    <w:qFormat/>
    <w:uiPriority w:val="0"/>
    <w:rPr>
      <w:szCs w:val="20"/>
      <w:vertAlign w:val="superscript"/>
    </w:rPr>
  </w:style>
  <w:style w:type="paragraph" w:customStyle="1" w:styleId="10">
    <w:name w:val="正文文本 (12)"/>
    <w:basedOn w:val="1"/>
    <w:qFormat/>
    <w:uiPriority w:val="0"/>
    <w:pPr>
      <w:shd w:val="clear" w:color="auto" w:fill="FFFFFF"/>
      <w:spacing w:line="804" w:lineRule="exact"/>
      <w:jc w:val="distribute"/>
    </w:pPr>
    <w:rPr>
      <w:rFonts w:ascii="宋体" w:hAnsi="宋体"/>
      <w:kern w:val="0"/>
      <w:sz w:val="28"/>
      <w:szCs w:val="28"/>
    </w:rPr>
  </w:style>
  <w:style w:type="character" w:customStyle="1" w:styleId="11">
    <w:name w:val="正文文本 (2) + 10 pt4"/>
    <w:qFormat/>
    <w:uiPriority w:val="0"/>
    <w:rPr>
      <w:rFonts w:ascii="宋体" w:hAnsi="宋体" w:cs="宋体"/>
      <w:b/>
      <w:bCs/>
      <w:spacing w:val="-20"/>
      <w:sz w:val="20"/>
      <w:szCs w:val="20"/>
      <w:u w:val="none"/>
      <w:lang w:val="en-US" w:eastAsia="en-US" w:bidi="ar-SA"/>
    </w:rPr>
  </w:style>
  <w:style w:type="paragraph" w:customStyle="1" w:styleId="12">
    <w:name w:val="正文文本 (2)1"/>
    <w:basedOn w:val="1"/>
    <w:link w:val="13"/>
    <w:qFormat/>
    <w:uiPriority w:val="0"/>
    <w:pPr>
      <w:shd w:val="clear" w:color="auto" w:fill="FFFFFF"/>
      <w:spacing w:before="300" w:line="439" w:lineRule="exact"/>
      <w:jc w:val="distribute"/>
    </w:pPr>
    <w:rPr>
      <w:rFonts w:ascii="宋体" w:hAnsi="宋体"/>
      <w:kern w:val="0"/>
      <w:sz w:val="22"/>
      <w:szCs w:val="22"/>
    </w:rPr>
  </w:style>
  <w:style w:type="character" w:customStyle="1" w:styleId="13">
    <w:name w:val="正文文本 (2)_"/>
    <w:link w:val="12"/>
    <w:qFormat/>
    <w:uiPriority w:val="0"/>
    <w:rPr>
      <w:rFonts w:ascii="宋体" w:hAnsi="宋体"/>
      <w:kern w:val="0"/>
      <w:sz w:val="22"/>
      <w:szCs w:val="22"/>
    </w:rPr>
  </w:style>
  <w:style w:type="character" w:customStyle="1" w:styleId="14">
    <w:name w:val="正文文本 (2) + 10 pt22"/>
    <w:qFormat/>
    <w:uiPriority w:val="0"/>
    <w:rPr>
      <w:rFonts w:ascii="宋体" w:hAnsi="宋体" w:cs="宋体"/>
      <w:sz w:val="20"/>
      <w:szCs w:val="20"/>
      <w:u w:val="none"/>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4116</Words>
  <Characters>4623</Characters>
  <Lines>0</Lines>
  <Paragraphs>0</Paragraphs>
  <TotalTime>0</TotalTime>
  <ScaleCrop>false</ScaleCrop>
  <LinksUpToDate>false</LinksUpToDate>
  <CharactersWithSpaces>4675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2024-10-30T12:53:00Z</dcterms:created>
  <dc:creator>冀慧娟</dc:creator>
  <cp:lastModifiedBy>冀慧娟</cp:lastModifiedBy>
  <dcterms:modified xsi:type="dcterms:W3CDTF">2024-10-31T04:02:19Z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FCE27A2360D94AAD8B7752BAA88E6240_11</vt:lpwstr>
  </property>
</Properties>
</file>