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rPr>
          <w:rFonts w:ascii="宋体" w:hAnsi="宋体"/>
          <w:b/>
          <w:bCs/>
          <w:spacing w:val="36"/>
          <w:w w:val="66"/>
          <w:szCs w:val="28"/>
        </w:rPr>
      </w:pPr>
    </w:p>
    <w:p>
      <w:pPr>
        <w:tabs>
          <w:tab w:val="left" w:pos="420"/>
        </w:tabs>
        <w:spacing w:line="360" w:lineRule="auto"/>
        <w:jc w:val="center"/>
        <w:rPr>
          <w:rFonts w:hint="eastAsia" w:ascii="宋体" w:hAnsi="宋体" w:eastAsia="宋体"/>
          <w:b/>
          <w:bCs/>
          <w:spacing w:val="36"/>
          <w:w w:val="66"/>
          <w:sz w:val="72"/>
          <w:szCs w:val="72"/>
          <w:lang w:eastAsia="zh-CN"/>
        </w:rPr>
      </w:pPr>
      <w:r>
        <w:rPr>
          <w:rFonts w:hint="eastAsia" w:ascii="宋体" w:hAnsi="宋体"/>
          <w:b/>
          <w:bCs/>
          <w:spacing w:val="36"/>
          <w:w w:val="66"/>
          <w:sz w:val="72"/>
          <w:szCs w:val="72"/>
          <w:lang w:eastAsia="zh-CN"/>
        </w:rPr>
        <w:t>鄂尔多斯市杭锦旗公共资源交易中心</w:t>
      </w:r>
    </w:p>
    <w:p>
      <w:pPr>
        <w:tabs>
          <w:tab w:val="left" w:pos="315"/>
          <w:tab w:val="left" w:pos="8820"/>
        </w:tabs>
        <w:spacing w:line="360" w:lineRule="auto"/>
        <w:ind w:right="356" w:rightChars="127"/>
        <w:rPr>
          <w:rFonts w:ascii="宋体" w:hAnsi="宋体"/>
          <w:b/>
          <w:bCs/>
          <w:sz w:val="72"/>
          <w:szCs w:val="72"/>
        </w:rPr>
      </w:pPr>
    </w:p>
    <w:p>
      <w:pPr>
        <w:tabs>
          <w:tab w:val="left" w:pos="315"/>
          <w:tab w:val="left" w:pos="8820"/>
        </w:tabs>
        <w:spacing w:line="360" w:lineRule="auto"/>
        <w:ind w:right="356" w:rightChars="127"/>
        <w:jc w:val="center"/>
        <w:rPr>
          <w:rFonts w:ascii="宋体" w:hAnsi="宋体"/>
          <w:b/>
          <w:bCs/>
          <w:sz w:val="72"/>
          <w:szCs w:val="72"/>
        </w:rPr>
      </w:pPr>
      <w:r>
        <w:rPr>
          <w:rFonts w:hint="eastAsia" w:ascii="宋体" w:hAnsi="宋体"/>
          <w:b/>
          <w:bCs/>
          <w:sz w:val="72"/>
          <w:szCs w:val="72"/>
        </w:rPr>
        <w:t>单一来源文件</w:t>
      </w:r>
    </w:p>
    <w:p>
      <w:pPr>
        <w:tabs>
          <w:tab w:val="left" w:pos="315"/>
          <w:tab w:val="left" w:pos="8820"/>
        </w:tabs>
        <w:spacing w:line="360" w:lineRule="auto"/>
        <w:ind w:right="356" w:rightChars="127"/>
        <w:rPr>
          <w:rFonts w:ascii="宋体" w:hAnsi="宋体"/>
          <w:b/>
          <w:kern w:val="0"/>
          <w:szCs w:val="28"/>
        </w:rPr>
      </w:pPr>
    </w:p>
    <w:p>
      <w:pPr>
        <w:tabs>
          <w:tab w:val="left" w:pos="315"/>
          <w:tab w:val="left" w:pos="8820"/>
        </w:tabs>
        <w:spacing w:line="360" w:lineRule="auto"/>
        <w:ind w:right="356" w:rightChars="127"/>
        <w:rPr>
          <w:rFonts w:ascii="宋体" w:hAnsi="宋体"/>
          <w:b/>
          <w:bCs/>
          <w:szCs w:val="28"/>
        </w:rPr>
      </w:pPr>
    </w:p>
    <w:p>
      <w:pPr>
        <w:tabs>
          <w:tab w:val="left" w:pos="315"/>
          <w:tab w:val="left" w:pos="8820"/>
        </w:tabs>
        <w:spacing w:line="360" w:lineRule="auto"/>
        <w:ind w:right="356" w:rightChars="127"/>
        <w:jc w:val="center"/>
        <w:rPr>
          <w:rFonts w:ascii="宋体" w:hAnsi="宋体"/>
          <w:szCs w:val="28"/>
        </w:rPr>
      </w:pPr>
      <w:r>
        <w:rPr>
          <w:rFonts w:ascii="宋体" w:hAnsi="宋体"/>
          <w:szCs w:val="28"/>
        </w:rPr>
        <w:drawing>
          <wp:inline distT="0" distB="0" distL="0" distR="0">
            <wp:extent cx="2237105" cy="1677670"/>
            <wp:effectExtent l="0" t="0" r="0" b="0"/>
            <wp:docPr id="2" name="图片 2"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终稿"/>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237105" cy="1677670"/>
                    </a:xfrm>
                    <a:prstGeom prst="rect">
                      <a:avLst/>
                    </a:prstGeom>
                    <a:noFill/>
                    <a:ln>
                      <a:noFill/>
                    </a:ln>
                  </pic:spPr>
                </pic:pic>
              </a:graphicData>
            </a:graphic>
          </wp:inline>
        </w:drawing>
      </w:r>
    </w:p>
    <w:p>
      <w:pPr>
        <w:tabs>
          <w:tab w:val="left" w:pos="315"/>
          <w:tab w:val="left" w:pos="8820"/>
        </w:tabs>
        <w:spacing w:beforeLines="100" w:afterLines="50" w:line="360" w:lineRule="auto"/>
        <w:ind w:right="356" w:rightChars="127"/>
        <w:jc w:val="center"/>
        <w:rPr>
          <w:rFonts w:ascii="宋体" w:hAnsi="宋体"/>
          <w:b/>
          <w:bCs/>
          <w:szCs w:val="28"/>
        </w:rPr>
      </w:pPr>
      <w:r>
        <w:rPr>
          <w:rFonts w:hint="eastAsia" w:ascii="宋体" w:hAnsi="宋体"/>
          <w:b/>
          <w:szCs w:val="28"/>
        </w:rPr>
        <w:t>服务类</w:t>
      </w:r>
    </w:p>
    <w:p>
      <w:pPr>
        <w:tabs>
          <w:tab w:val="left" w:pos="315"/>
          <w:tab w:val="left" w:pos="8820"/>
        </w:tabs>
        <w:spacing w:line="360" w:lineRule="auto"/>
        <w:ind w:right="356" w:rightChars="127"/>
        <w:rPr>
          <w:rFonts w:ascii="宋体" w:hAnsi="宋体"/>
          <w:szCs w:val="28"/>
        </w:rPr>
      </w:pPr>
    </w:p>
    <w:p>
      <w:pPr>
        <w:tabs>
          <w:tab w:val="left" w:pos="315"/>
          <w:tab w:val="left" w:pos="8820"/>
        </w:tabs>
        <w:spacing w:line="360" w:lineRule="auto"/>
        <w:ind w:right="356" w:rightChars="127"/>
        <w:rPr>
          <w:rFonts w:ascii="宋体" w:hAnsi="宋体"/>
          <w:szCs w:val="28"/>
        </w:rPr>
      </w:pPr>
      <w:r>
        <w:rPr>
          <w:rFonts w:hint="eastAsia" w:ascii="宋体" w:hAnsi="宋体"/>
          <w:szCs w:val="28"/>
        </w:rPr>
        <w:t xml:space="preserve">    </w:t>
      </w:r>
    </w:p>
    <w:p>
      <w:pPr>
        <w:pStyle w:val="16"/>
        <w:spacing w:line="360" w:lineRule="auto"/>
        <w:ind w:left="2476" w:leftChars="337" w:hanging="1532" w:hangingChars="545"/>
        <w:rPr>
          <w:rFonts w:ascii="宋体" w:hAnsi="宋体" w:eastAsia="宋体"/>
          <w:szCs w:val="28"/>
        </w:rPr>
      </w:pPr>
      <w:r>
        <w:rPr>
          <w:rFonts w:hint="eastAsia" w:ascii="宋体" w:hAnsi="宋体" w:eastAsia="宋体"/>
          <w:szCs w:val="28"/>
        </w:rPr>
        <w:t>项目名称：</w:t>
      </w:r>
      <w:r>
        <w:rPr>
          <w:rFonts w:hint="eastAsia" w:ascii="宋体" w:hAnsi="宋体" w:eastAsia="宋体"/>
          <w:color w:val="000000"/>
          <w:sz w:val="32"/>
          <w:szCs w:val="32"/>
        </w:rPr>
        <w:t>杭锦旗人民法院采购电信和其他信息传输服务项目</w:t>
      </w:r>
      <w:r>
        <w:rPr>
          <w:rFonts w:hint="eastAsia" w:ascii="宋体" w:hAnsi="宋体" w:eastAsia="宋体"/>
          <w:color w:val="000000"/>
          <w:sz w:val="32"/>
          <w:szCs w:val="32"/>
          <w:lang w:val="en-US" w:eastAsia="zh-CN"/>
        </w:rPr>
        <w:t>(掌上法院线路服务项目）</w:t>
      </w:r>
    </w:p>
    <w:p>
      <w:pPr>
        <w:pStyle w:val="16"/>
        <w:spacing w:line="360" w:lineRule="auto"/>
        <w:ind w:left="2335" w:leftChars="337" w:hanging="1391" w:hangingChars="495"/>
        <w:rPr>
          <w:rFonts w:hint="eastAsia" w:ascii="宋体" w:hAnsi="宋体" w:eastAsia="宋体"/>
          <w:szCs w:val="28"/>
          <w:lang w:eastAsia="zh-CN"/>
        </w:rPr>
      </w:pPr>
      <w:r>
        <w:rPr>
          <w:rFonts w:hint="eastAsia" w:ascii="宋体" w:hAnsi="宋体" w:eastAsia="宋体"/>
          <w:szCs w:val="28"/>
        </w:rPr>
        <w:t>项目编号：</w:t>
      </w:r>
      <w:r>
        <w:rPr>
          <w:rFonts w:hint="eastAsia" w:ascii="宋体" w:hAnsi="宋体" w:eastAsia="宋体"/>
          <w:szCs w:val="28"/>
          <w:lang w:eastAsia="zh-CN"/>
        </w:rPr>
        <w:t>CG2019FDY397 （受理编号</w:t>
      </w:r>
      <w:r>
        <w:rPr>
          <w:rFonts w:hint="eastAsia" w:ascii="宋体" w:hAnsi="宋体" w:eastAsia="宋体"/>
          <w:szCs w:val="28"/>
          <w:lang w:val="en-US" w:eastAsia="zh-CN"/>
        </w:rPr>
        <w:t>2019CGHD0013</w:t>
      </w:r>
      <w:r>
        <w:rPr>
          <w:rFonts w:hint="eastAsia" w:ascii="宋体" w:hAnsi="宋体" w:eastAsia="宋体"/>
          <w:szCs w:val="28"/>
          <w:lang w:eastAsia="zh-CN"/>
        </w:rPr>
        <w:t>）</w:t>
      </w:r>
    </w:p>
    <w:p>
      <w:pPr>
        <w:pStyle w:val="16"/>
        <w:spacing w:line="360" w:lineRule="auto"/>
        <w:ind w:left="2335" w:leftChars="337" w:hanging="1391" w:hangingChars="495"/>
        <w:rPr>
          <w:rFonts w:ascii="宋体" w:hAnsi="宋体" w:eastAsia="宋体"/>
          <w:szCs w:val="28"/>
        </w:rPr>
      </w:pPr>
    </w:p>
    <w:p>
      <w:pPr>
        <w:pStyle w:val="16"/>
        <w:spacing w:line="360" w:lineRule="auto"/>
        <w:rPr>
          <w:rFonts w:ascii="宋体" w:hAnsi="宋体" w:eastAsia="宋体"/>
          <w:szCs w:val="28"/>
        </w:rPr>
      </w:pPr>
    </w:p>
    <w:p>
      <w:pPr>
        <w:pStyle w:val="16"/>
        <w:spacing w:line="360" w:lineRule="auto"/>
        <w:rPr>
          <w:rFonts w:ascii="宋体" w:hAnsi="宋体" w:eastAsia="宋体"/>
          <w:szCs w:val="28"/>
        </w:rPr>
      </w:pPr>
      <w:r>
        <w:rPr>
          <w:rFonts w:hint="eastAsia" w:ascii="宋体" w:hAnsi="宋体" w:eastAsia="宋体"/>
          <w:szCs w:val="28"/>
        </w:rPr>
        <w:t xml:space="preserve">                   2019年3月28日</w:t>
      </w:r>
      <w:bookmarkStart w:id="0" w:name="_Toc266431005"/>
      <w:bookmarkStart w:id="1" w:name="_Toc266431113"/>
    </w:p>
    <w:p>
      <w:pPr>
        <w:pStyle w:val="16"/>
        <w:spacing w:line="360" w:lineRule="auto"/>
        <w:rPr>
          <w:rFonts w:ascii="宋体" w:hAnsi="宋体" w:eastAsia="宋体"/>
          <w:szCs w:val="28"/>
        </w:rPr>
      </w:pPr>
    </w:p>
    <w:p>
      <w:pPr>
        <w:pStyle w:val="16"/>
        <w:spacing w:line="360" w:lineRule="auto"/>
        <w:rPr>
          <w:rFonts w:ascii="宋体" w:hAnsi="宋体" w:eastAsia="宋体"/>
          <w:szCs w:val="28"/>
        </w:rPr>
      </w:pPr>
    </w:p>
    <w:p>
      <w:pPr>
        <w:pStyle w:val="67"/>
        <w:keepNext w:val="0"/>
        <w:keepLines w:val="0"/>
        <w:spacing w:before="0" w:line="360" w:lineRule="auto"/>
        <w:jc w:val="center"/>
        <w:rPr>
          <w:rFonts w:ascii="宋体" w:hAnsi="宋体"/>
          <w:color w:val="auto"/>
          <w:lang w:val="zh-CN"/>
        </w:rPr>
      </w:pPr>
    </w:p>
    <w:p>
      <w:pPr>
        <w:pStyle w:val="67"/>
        <w:keepNext w:val="0"/>
        <w:keepLines w:val="0"/>
        <w:spacing w:before="0" w:line="360" w:lineRule="auto"/>
        <w:jc w:val="center"/>
        <w:rPr>
          <w:rFonts w:ascii="宋体" w:hAnsi="宋体"/>
          <w:color w:val="auto"/>
          <w:lang w:val="zh-CN"/>
        </w:rPr>
      </w:pPr>
      <w:r>
        <w:rPr>
          <w:rFonts w:hint="eastAsia" w:ascii="宋体" w:hAnsi="宋体"/>
          <w:color w:val="auto"/>
          <w:lang w:val="zh-CN"/>
        </w:rPr>
        <w:t>目   录</w:t>
      </w:r>
    </w:p>
    <w:p>
      <w:pPr>
        <w:pStyle w:val="29"/>
        <w:tabs>
          <w:tab w:val="right" w:leader="dot" w:pos="9402"/>
        </w:tabs>
        <w:rPr>
          <w:rFonts w:asciiTheme="minorHAnsi" w:hAnsiTheme="minorHAnsi" w:eastAsiaTheme="minorEastAsia" w:cstheme="minorBidi"/>
          <w:b w:val="0"/>
          <w:bCs w:val="0"/>
          <w:caps w:val="0"/>
          <w:sz w:val="21"/>
          <w:szCs w:val="22"/>
        </w:rPr>
      </w:pPr>
      <w:r>
        <w:rPr>
          <w:rFonts w:ascii="宋体" w:hAnsi="宋体"/>
          <w:b w:val="0"/>
          <w:szCs w:val="28"/>
        </w:rPr>
        <w:fldChar w:fldCharType="begin"/>
      </w:r>
      <w:r>
        <w:rPr>
          <w:rFonts w:ascii="宋体" w:hAnsi="宋体"/>
          <w:b w:val="0"/>
          <w:szCs w:val="28"/>
        </w:rPr>
        <w:instrText xml:space="preserve"> TOC \o "1-3" \h \z \u </w:instrText>
      </w:r>
      <w:r>
        <w:rPr>
          <w:rFonts w:ascii="宋体" w:hAnsi="宋体"/>
          <w:b w:val="0"/>
          <w:szCs w:val="28"/>
        </w:rPr>
        <w:fldChar w:fldCharType="separate"/>
      </w:r>
      <w:r>
        <w:fldChar w:fldCharType="begin"/>
      </w:r>
      <w:r>
        <w:instrText xml:space="preserve"> HYPERLINK \l "_Toc497726798" </w:instrText>
      </w:r>
      <w:r>
        <w:fldChar w:fldCharType="separate"/>
      </w:r>
      <w:r>
        <w:rPr>
          <w:rStyle w:val="49"/>
          <w:rFonts w:hint="eastAsia" w:ascii="宋体" w:hAnsi="宋体"/>
          <w:color w:val="auto"/>
          <w:kern w:val="0"/>
        </w:rPr>
        <w:t>第一章</w:t>
      </w:r>
      <w:r>
        <w:rPr>
          <w:rStyle w:val="49"/>
          <w:rFonts w:ascii="宋体" w:hAnsi="宋体"/>
          <w:color w:val="auto"/>
          <w:kern w:val="0"/>
        </w:rPr>
        <w:t xml:space="preserve"> </w:t>
      </w:r>
      <w:r>
        <w:rPr>
          <w:rStyle w:val="49"/>
          <w:rFonts w:hint="eastAsia" w:ascii="宋体" w:hAnsi="宋体"/>
          <w:color w:val="auto"/>
          <w:kern w:val="0"/>
        </w:rPr>
        <w:t>采购公告</w:t>
      </w:r>
      <w:r>
        <w:tab/>
      </w:r>
      <w:r>
        <w:fldChar w:fldCharType="begin"/>
      </w:r>
      <w:r>
        <w:instrText xml:space="preserve"> PAGEREF _Toc497726798 \h </w:instrText>
      </w:r>
      <w:r>
        <w:fldChar w:fldCharType="separate"/>
      </w:r>
      <w:r>
        <w:t>3</w:t>
      </w:r>
      <w:r>
        <w:fldChar w:fldCharType="end"/>
      </w:r>
      <w:r>
        <w:fldChar w:fldCharType="end"/>
      </w:r>
    </w:p>
    <w:p>
      <w:pPr>
        <w:pStyle w:val="2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"_Toc497726799" </w:instrText>
      </w:r>
      <w:r>
        <w:fldChar w:fldCharType="separate"/>
      </w:r>
      <w:r>
        <w:rPr>
          <w:rStyle w:val="49"/>
          <w:rFonts w:hint="eastAsia" w:ascii="宋体" w:hAnsi="宋体"/>
          <w:color w:val="auto"/>
        </w:rPr>
        <w:t>第二章</w:t>
      </w:r>
      <w:r>
        <w:rPr>
          <w:rStyle w:val="49"/>
          <w:rFonts w:ascii="宋体" w:hAnsi="宋体"/>
          <w:color w:val="auto"/>
        </w:rPr>
        <w:t xml:space="preserve"> </w:t>
      </w:r>
      <w:r>
        <w:rPr>
          <w:rStyle w:val="49"/>
          <w:rFonts w:hint="eastAsia" w:ascii="宋体" w:hAnsi="宋体"/>
          <w:color w:val="auto"/>
        </w:rPr>
        <w:t>供应商须知</w:t>
      </w:r>
      <w:r>
        <w:tab/>
      </w:r>
      <w:r>
        <w:fldChar w:fldCharType="begin"/>
      </w:r>
      <w:r>
        <w:instrText xml:space="preserve"> PAGEREF _Toc497726799 \h </w:instrText>
      </w:r>
      <w:r>
        <w:fldChar w:fldCharType="separate"/>
      </w:r>
      <w:r>
        <w:t>5</w:t>
      </w:r>
      <w:r>
        <w:fldChar w:fldCharType="end"/>
      </w:r>
      <w:r>
        <w:fldChar w:fldCharType="end"/>
      </w:r>
    </w:p>
    <w:p>
      <w:pPr>
        <w:pStyle w:val="2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"_Toc497726800" </w:instrText>
      </w:r>
      <w:r>
        <w:fldChar w:fldCharType="separate"/>
      </w:r>
      <w:r>
        <w:rPr>
          <w:rStyle w:val="49"/>
          <w:rFonts w:hint="eastAsia" w:ascii="宋体" w:hAnsi="宋体"/>
          <w:color w:val="auto"/>
        </w:rPr>
        <w:t>第三章</w:t>
      </w:r>
      <w:r>
        <w:rPr>
          <w:rStyle w:val="49"/>
          <w:rFonts w:ascii="宋体" w:hAnsi="宋体"/>
          <w:color w:val="auto"/>
        </w:rPr>
        <w:t xml:space="preserve"> </w:t>
      </w:r>
      <w:r>
        <w:rPr>
          <w:rStyle w:val="49"/>
          <w:rFonts w:hint="eastAsia" w:ascii="宋体" w:hAnsi="宋体"/>
          <w:color w:val="auto"/>
        </w:rPr>
        <w:t>合同与验收</w:t>
      </w:r>
      <w:r>
        <w:tab/>
      </w:r>
      <w:r>
        <w:fldChar w:fldCharType="begin"/>
      </w:r>
      <w:r>
        <w:instrText xml:space="preserve"> PAGEREF _Toc497726800 \h </w:instrText>
      </w:r>
      <w:r>
        <w:fldChar w:fldCharType="separate"/>
      </w:r>
      <w:r>
        <w:t>11</w:t>
      </w:r>
      <w:r>
        <w:fldChar w:fldCharType="end"/>
      </w:r>
      <w:r>
        <w:fldChar w:fldCharType="end"/>
      </w:r>
    </w:p>
    <w:p>
      <w:pPr>
        <w:pStyle w:val="2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"_Toc497726801" </w:instrText>
      </w:r>
      <w:r>
        <w:fldChar w:fldCharType="separate"/>
      </w:r>
      <w:r>
        <w:rPr>
          <w:rStyle w:val="49"/>
          <w:rFonts w:hint="eastAsia" w:ascii="宋体" w:hAnsi="宋体"/>
          <w:color w:val="auto"/>
        </w:rPr>
        <w:t>第四章</w:t>
      </w:r>
      <w:r>
        <w:rPr>
          <w:rStyle w:val="49"/>
          <w:rFonts w:ascii="宋体" w:hAnsi="宋体"/>
          <w:color w:val="auto"/>
        </w:rPr>
        <w:t xml:space="preserve"> </w:t>
      </w:r>
      <w:r>
        <w:rPr>
          <w:rStyle w:val="49"/>
          <w:rFonts w:hint="eastAsia" w:ascii="宋体" w:hAnsi="宋体"/>
          <w:color w:val="auto"/>
        </w:rPr>
        <w:t>单一来源内容与技术要求</w:t>
      </w:r>
      <w:r>
        <w:tab/>
      </w:r>
      <w:r>
        <w:fldChar w:fldCharType="begin"/>
      </w:r>
      <w:r>
        <w:instrText xml:space="preserve"> PAGEREF _Toc497726801 \h </w:instrText>
      </w:r>
      <w:r>
        <w:fldChar w:fldCharType="separate"/>
      </w:r>
      <w:r>
        <w:t>14</w:t>
      </w:r>
      <w:r>
        <w:fldChar w:fldCharType="end"/>
      </w:r>
      <w:r>
        <w:fldChar w:fldCharType="end"/>
      </w:r>
    </w:p>
    <w:p>
      <w:pPr>
        <w:pStyle w:val="2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"_Toc497726802" </w:instrText>
      </w:r>
      <w:r>
        <w:fldChar w:fldCharType="separate"/>
      </w:r>
      <w:r>
        <w:rPr>
          <w:rStyle w:val="49"/>
          <w:rFonts w:hint="eastAsia" w:ascii="宋体" w:hAnsi="宋体"/>
          <w:color w:val="auto"/>
        </w:rPr>
        <w:t>第五章</w:t>
      </w:r>
      <w:r>
        <w:rPr>
          <w:rStyle w:val="49"/>
          <w:rFonts w:ascii="宋体" w:hAnsi="宋体"/>
          <w:color w:val="auto"/>
        </w:rPr>
        <w:t xml:space="preserve"> </w:t>
      </w:r>
      <w:r>
        <w:rPr>
          <w:rStyle w:val="49"/>
          <w:rFonts w:hint="eastAsia" w:ascii="宋体" w:hAnsi="宋体"/>
          <w:color w:val="auto"/>
        </w:rPr>
        <w:t>供应商资格证明</w:t>
      </w:r>
      <w:r>
        <w:tab/>
      </w:r>
      <w:r>
        <w:fldChar w:fldCharType="begin"/>
      </w:r>
      <w:r>
        <w:instrText xml:space="preserve"> PAGEREF _Toc497726802 \h </w:instrText>
      </w:r>
      <w:r>
        <w:fldChar w:fldCharType="separate"/>
      </w:r>
      <w:r>
        <w:t>15</w:t>
      </w:r>
      <w:r>
        <w:fldChar w:fldCharType="end"/>
      </w:r>
      <w:r>
        <w:fldChar w:fldCharType="end"/>
      </w:r>
    </w:p>
    <w:p>
      <w:pPr>
        <w:pStyle w:val="2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"_Toc497726803" </w:instrText>
      </w:r>
      <w:r>
        <w:fldChar w:fldCharType="separate"/>
      </w:r>
      <w:r>
        <w:rPr>
          <w:rStyle w:val="49"/>
          <w:rFonts w:hint="eastAsia" w:ascii="宋体" w:hAnsi="宋体"/>
          <w:color w:val="auto"/>
        </w:rPr>
        <w:t>第六章</w:t>
      </w:r>
      <w:r>
        <w:rPr>
          <w:rStyle w:val="49"/>
          <w:rFonts w:ascii="宋体" w:hAnsi="宋体"/>
          <w:color w:val="auto"/>
        </w:rPr>
        <w:t xml:space="preserve"> </w:t>
      </w:r>
      <w:r>
        <w:rPr>
          <w:rStyle w:val="49"/>
          <w:rFonts w:hint="eastAsia" w:ascii="宋体" w:hAnsi="宋体"/>
          <w:color w:val="auto"/>
        </w:rPr>
        <w:t>单一来源程序及方法</w:t>
      </w:r>
      <w:r>
        <w:tab/>
      </w:r>
      <w:r>
        <w:fldChar w:fldCharType="begin"/>
      </w:r>
      <w:r>
        <w:instrText xml:space="preserve"> PAGEREF _Toc497726803 \h </w:instrText>
      </w:r>
      <w:r>
        <w:fldChar w:fldCharType="separate"/>
      </w:r>
      <w:r>
        <w:t>16</w:t>
      </w:r>
      <w:r>
        <w:fldChar w:fldCharType="end"/>
      </w:r>
      <w:r>
        <w:fldChar w:fldCharType="end"/>
      </w:r>
    </w:p>
    <w:p>
      <w:pPr>
        <w:pStyle w:val="2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"_Toc497726804" </w:instrText>
      </w:r>
      <w:r>
        <w:fldChar w:fldCharType="separate"/>
      </w:r>
      <w:r>
        <w:rPr>
          <w:rStyle w:val="49"/>
          <w:rFonts w:hint="eastAsia" w:ascii="宋体" w:hAnsi="宋体"/>
          <w:color w:val="auto"/>
        </w:rPr>
        <w:t>第七章</w:t>
      </w:r>
      <w:r>
        <w:rPr>
          <w:rStyle w:val="49"/>
          <w:rFonts w:ascii="宋体" w:hAnsi="宋体"/>
          <w:color w:val="auto"/>
        </w:rPr>
        <w:t xml:space="preserve"> </w:t>
      </w:r>
      <w:r>
        <w:rPr>
          <w:rStyle w:val="49"/>
          <w:rFonts w:hint="eastAsia" w:ascii="宋体" w:hAnsi="宋体"/>
          <w:color w:val="auto"/>
        </w:rPr>
        <w:t>响应文件格式与要求</w:t>
      </w:r>
      <w:r>
        <w:tab/>
      </w:r>
      <w:r>
        <w:fldChar w:fldCharType="begin"/>
      </w:r>
      <w:r>
        <w:instrText xml:space="preserve"> PAGEREF _Toc497726804 \h </w:instrText>
      </w:r>
      <w:r>
        <w:fldChar w:fldCharType="separate"/>
      </w:r>
      <w:r>
        <w:t>18</w:t>
      </w:r>
      <w:r>
        <w:fldChar w:fldCharType="end"/>
      </w:r>
      <w:r>
        <w:fldChar w:fldCharType="end"/>
      </w:r>
    </w:p>
    <w:p>
      <w:pPr>
        <w:pStyle w:val="2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"_Toc497726806" </w:instrText>
      </w:r>
      <w:r>
        <w:fldChar w:fldCharType="separate"/>
      </w:r>
      <w:r>
        <w:rPr>
          <w:rStyle w:val="49"/>
          <w:rFonts w:hint="eastAsia" w:ascii="宋体" w:hAnsi="宋体"/>
          <w:color w:val="auto"/>
        </w:rPr>
        <w:t>温馨提示</w:t>
      </w:r>
      <w:r>
        <w:tab/>
      </w:r>
      <w:r>
        <w:fldChar w:fldCharType="begin"/>
      </w:r>
      <w:r>
        <w:instrText xml:space="preserve"> PAGEREF _Toc497726806 \h </w:instrText>
      </w:r>
      <w:r>
        <w:fldChar w:fldCharType="separate"/>
      </w:r>
      <w:r>
        <w:t>37</w:t>
      </w:r>
      <w:r>
        <w:fldChar w:fldCharType="end"/>
      </w:r>
      <w:r>
        <w:fldChar w:fldCharType="end"/>
      </w:r>
    </w:p>
    <w:p>
      <w:pPr>
        <w:pStyle w:val="2"/>
        <w:keepNext w:val="0"/>
        <w:keepLines w:val="0"/>
        <w:spacing w:line="360" w:lineRule="auto"/>
        <w:jc w:val="both"/>
        <w:rPr>
          <w:rFonts w:ascii="宋体" w:hAnsi="宋体"/>
          <w:b w:val="0"/>
          <w:sz w:val="28"/>
          <w:szCs w:val="28"/>
        </w:rPr>
      </w:pPr>
      <w:r>
        <w:rPr>
          <w:rFonts w:ascii="宋体" w:hAnsi="宋体"/>
          <w:b w:val="0"/>
          <w:sz w:val="28"/>
          <w:szCs w:val="28"/>
        </w:rPr>
        <w:fldChar w:fldCharType="end"/>
      </w:r>
      <w:bookmarkEnd w:id="0"/>
      <w:bookmarkEnd w:id="1"/>
      <w:bookmarkStart w:id="2" w:name="_Toc266431116"/>
      <w:bookmarkStart w:id="3" w:name="_Toc253045125"/>
      <w:r>
        <w:rPr>
          <w:rFonts w:ascii="宋体" w:hAnsi="宋体"/>
          <w:b w:val="0"/>
          <w:sz w:val="28"/>
          <w:szCs w:val="28"/>
        </w:rPr>
        <w:br w:type="page"/>
      </w:r>
    </w:p>
    <w:p>
      <w:pPr>
        <w:pStyle w:val="66"/>
        <w:numPr>
          <w:ilvl w:val="0"/>
          <w:numId w:val="6"/>
        </w:numPr>
        <w:spacing w:line="360" w:lineRule="auto"/>
        <w:ind w:firstLineChars="0"/>
        <w:jc w:val="left"/>
        <w:outlineLvl w:val="0"/>
        <w:rPr>
          <w:rFonts w:ascii="宋体" w:hAnsi="宋体"/>
          <w:b/>
          <w:bCs/>
          <w:kern w:val="0"/>
          <w:sz w:val="24"/>
          <w:szCs w:val="24"/>
        </w:rPr>
      </w:pPr>
      <w:bookmarkStart w:id="4" w:name="_Toc497726798"/>
      <w:r>
        <w:rPr>
          <w:rFonts w:hint="eastAsia" w:ascii="宋体" w:hAnsi="宋体"/>
          <w:b/>
          <w:bCs/>
          <w:kern w:val="0"/>
          <w:sz w:val="24"/>
          <w:szCs w:val="24"/>
        </w:rPr>
        <w:t>采购公告</w:t>
      </w:r>
      <w:bookmarkEnd w:id="4"/>
    </w:p>
    <w:p>
      <w:pPr>
        <w:pStyle w:val="66"/>
        <w:spacing w:line="360" w:lineRule="auto"/>
        <w:ind w:left="4331" w:firstLine="0" w:firstLineChars="0"/>
        <w:outlineLvl w:val="0"/>
        <w:rPr>
          <w:rFonts w:ascii="宋体" w:hAnsi="宋体"/>
          <w:b/>
          <w:bCs/>
          <w:kern w:val="0"/>
          <w:sz w:val="24"/>
          <w:szCs w:val="24"/>
        </w:rPr>
      </w:pPr>
    </w:p>
    <w:p>
      <w:pPr>
        <w:spacing w:line="360" w:lineRule="auto"/>
        <w:ind w:firstLine="1566" w:firstLineChars="650"/>
        <w:jc w:val="left"/>
        <w:rPr>
          <w:rFonts w:ascii="宋体" w:hAnsi="宋体"/>
          <w:b/>
          <w:sz w:val="24"/>
          <w:szCs w:val="24"/>
        </w:rPr>
      </w:pPr>
      <w:r>
        <w:rPr>
          <w:rFonts w:hint="eastAsia" w:ascii="宋体" w:hAnsi="宋体"/>
          <w:b/>
          <w:sz w:val="24"/>
          <w:szCs w:val="24"/>
        </w:rPr>
        <w:t>杭锦旗人民法院采购电信和其他信息传输服务项目</w:t>
      </w:r>
      <w:r>
        <w:rPr>
          <w:rFonts w:hint="eastAsia" w:ascii="宋体" w:hAnsi="宋体"/>
          <w:b/>
          <w:sz w:val="24"/>
          <w:szCs w:val="24"/>
          <w:lang w:val="en-US" w:eastAsia="zh-CN"/>
        </w:rPr>
        <w:t>(掌上法院线路服务项目）</w:t>
      </w:r>
      <w:r>
        <w:rPr>
          <w:rFonts w:hint="eastAsia" w:ascii="宋体" w:hAnsi="宋体"/>
          <w:b/>
          <w:sz w:val="24"/>
          <w:szCs w:val="24"/>
        </w:rPr>
        <w:t>单一来源公告</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lang w:eastAsia="zh-CN"/>
        </w:rPr>
        <w:t>鄂尔多斯市杭锦旗公共资源交易中心</w:t>
      </w:r>
      <w:r>
        <w:rPr>
          <w:rFonts w:hint="eastAsia" w:ascii="宋体" w:hAnsi="宋体"/>
          <w:sz w:val="24"/>
          <w:szCs w:val="24"/>
        </w:rPr>
        <w:t>受杭锦旗人民法院委托，采用单一来源方式采购电信和其他信息传输服务项目</w:t>
      </w:r>
      <w:r>
        <w:rPr>
          <w:rFonts w:hint="eastAsia" w:ascii="宋体" w:hAnsi="宋体"/>
          <w:sz w:val="24"/>
          <w:szCs w:val="24"/>
          <w:lang w:val="en-US" w:eastAsia="zh-CN"/>
        </w:rPr>
        <w:t>(掌上法院线路服务项目）</w:t>
      </w:r>
      <w:r>
        <w:rPr>
          <w:rFonts w:hint="eastAsia" w:ascii="宋体" w:hAnsi="宋体"/>
          <w:sz w:val="24"/>
          <w:szCs w:val="24"/>
        </w:rPr>
        <w:t>。欢迎符合资格条件的供应商前来报名参加。</w:t>
      </w:r>
    </w:p>
    <w:p>
      <w:pPr>
        <w:pStyle w:val="66"/>
        <w:spacing w:line="360" w:lineRule="auto"/>
        <w:ind w:firstLine="482"/>
        <w:rPr>
          <w:rFonts w:ascii="宋体" w:hAnsi="宋体"/>
          <w:b/>
          <w:sz w:val="24"/>
          <w:szCs w:val="24"/>
        </w:rPr>
      </w:pPr>
      <w:r>
        <w:rPr>
          <w:rFonts w:hint="eastAsia" w:ascii="宋体" w:hAnsi="宋体"/>
          <w:b/>
          <w:sz w:val="24"/>
          <w:szCs w:val="24"/>
        </w:rPr>
        <w:t>一.项目概述</w:t>
      </w:r>
    </w:p>
    <w:p>
      <w:pPr>
        <w:pStyle w:val="66"/>
        <w:spacing w:line="360" w:lineRule="auto"/>
        <w:ind w:firstLine="480"/>
        <w:rPr>
          <w:rFonts w:ascii="宋体" w:hAnsi="宋体"/>
          <w:b/>
          <w:sz w:val="24"/>
          <w:szCs w:val="24"/>
        </w:rPr>
      </w:pPr>
      <w:r>
        <w:rPr>
          <w:rFonts w:hint="eastAsia" w:ascii="宋体" w:hAnsi="宋体"/>
          <w:sz w:val="24"/>
          <w:szCs w:val="24"/>
        </w:rPr>
        <w:t>1.名称与编号</w:t>
      </w:r>
    </w:p>
    <w:p>
      <w:pPr>
        <w:spacing w:line="360" w:lineRule="auto"/>
        <w:ind w:firstLine="480" w:firstLineChars="200"/>
        <w:rPr>
          <w:rFonts w:ascii="宋体" w:hAnsi="宋体"/>
          <w:sz w:val="24"/>
          <w:szCs w:val="24"/>
        </w:rPr>
      </w:pPr>
      <w:r>
        <w:rPr>
          <w:rFonts w:hint="eastAsia" w:ascii="宋体" w:hAnsi="宋体"/>
          <w:sz w:val="24"/>
          <w:szCs w:val="24"/>
        </w:rPr>
        <w:t>项目名称：电信和其他信息传输服务项目</w:t>
      </w:r>
      <w:r>
        <w:rPr>
          <w:rFonts w:hint="eastAsia" w:ascii="宋体" w:hAnsi="宋体"/>
          <w:sz w:val="24"/>
          <w:szCs w:val="24"/>
          <w:lang w:val="en-US" w:eastAsia="zh-CN"/>
        </w:rPr>
        <w:t>(掌上法院线路服务项目）</w:t>
      </w:r>
    </w:p>
    <w:p>
      <w:pPr>
        <w:spacing w:line="360" w:lineRule="auto"/>
        <w:ind w:firstLine="480" w:firstLineChars="200"/>
        <w:jc w:val="left"/>
        <w:rPr>
          <w:rFonts w:hint="default" w:ascii="宋体" w:hAnsi="宋体" w:eastAsia="宋体"/>
          <w:sz w:val="24"/>
          <w:szCs w:val="24"/>
          <w:lang w:val="en-US" w:eastAsia="zh-CN"/>
        </w:rPr>
      </w:pPr>
      <w:r>
        <w:rPr>
          <w:rFonts w:hint="eastAsia" w:ascii="宋体" w:hAnsi="宋体"/>
          <w:sz w:val="24"/>
          <w:szCs w:val="24"/>
        </w:rPr>
        <w:t>批准文件编号：</w:t>
      </w:r>
      <w:r>
        <w:rPr>
          <w:rFonts w:hint="eastAsia" w:ascii="宋体" w:hAnsi="宋体"/>
          <w:sz w:val="24"/>
          <w:szCs w:val="24"/>
          <w:lang w:eastAsia="zh-CN"/>
        </w:rPr>
        <w:t>杭财购准字【</w:t>
      </w:r>
      <w:r>
        <w:rPr>
          <w:rFonts w:hint="eastAsia" w:ascii="宋体" w:hAnsi="宋体"/>
          <w:sz w:val="24"/>
          <w:szCs w:val="24"/>
          <w:lang w:val="en-US" w:eastAsia="zh-CN"/>
        </w:rPr>
        <w:t>2019</w:t>
      </w:r>
      <w:r>
        <w:rPr>
          <w:rFonts w:hint="eastAsia" w:ascii="宋体" w:hAnsi="宋体"/>
          <w:sz w:val="24"/>
          <w:szCs w:val="24"/>
          <w:lang w:eastAsia="zh-CN"/>
        </w:rPr>
        <w:t>】</w:t>
      </w:r>
      <w:r>
        <w:rPr>
          <w:rFonts w:hint="eastAsia" w:ascii="宋体" w:hAnsi="宋体"/>
          <w:sz w:val="24"/>
          <w:szCs w:val="24"/>
          <w:lang w:val="en-US" w:eastAsia="zh-CN"/>
        </w:rPr>
        <w:t>15号</w:t>
      </w:r>
    </w:p>
    <w:p>
      <w:pPr>
        <w:spacing w:line="360" w:lineRule="auto"/>
        <w:ind w:firstLine="480" w:firstLineChars="200"/>
        <w:jc w:val="left"/>
        <w:rPr>
          <w:rFonts w:hint="eastAsia" w:ascii="宋体" w:hAnsi="宋体" w:eastAsia="宋体"/>
          <w:sz w:val="24"/>
          <w:szCs w:val="24"/>
          <w:lang w:eastAsia="zh-CN"/>
        </w:rPr>
      </w:pPr>
      <w:r>
        <w:rPr>
          <w:rFonts w:hint="eastAsia" w:ascii="宋体" w:hAnsi="宋体"/>
          <w:sz w:val="24"/>
          <w:szCs w:val="24"/>
        </w:rPr>
        <w:t>采购文件编号：</w:t>
      </w:r>
      <w:r>
        <w:rPr>
          <w:rFonts w:hint="eastAsia" w:ascii="宋体" w:hAnsi="宋体"/>
          <w:sz w:val="24"/>
          <w:szCs w:val="24"/>
          <w:lang w:eastAsia="zh-CN"/>
        </w:rPr>
        <w:t>CG2019FDY397 （受理编号</w:t>
      </w:r>
      <w:r>
        <w:rPr>
          <w:rFonts w:hint="eastAsia" w:ascii="宋体" w:hAnsi="宋体"/>
          <w:sz w:val="24"/>
          <w:szCs w:val="24"/>
          <w:lang w:val="en-US" w:eastAsia="zh-CN"/>
        </w:rPr>
        <w:t>2019CGHD0013</w:t>
      </w:r>
      <w:r>
        <w:rPr>
          <w:rFonts w:hint="eastAsia" w:ascii="宋体" w:hAnsi="宋体"/>
          <w:sz w:val="24"/>
          <w:szCs w:val="24"/>
          <w:lang w:eastAsia="zh-CN"/>
        </w:rPr>
        <w:t>）</w:t>
      </w:r>
    </w:p>
    <w:p>
      <w:pPr>
        <w:spacing w:line="360" w:lineRule="auto"/>
        <w:ind w:firstLine="480" w:firstLineChars="200"/>
        <w:jc w:val="left"/>
        <w:rPr>
          <w:rFonts w:ascii="宋体" w:hAnsi="宋体"/>
          <w:sz w:val="24"/>
          <w:szCs w:val="24"/>
        </w:rPr>
      </w:pPr>
      <w:r>
        <w:rPr>
          <w:rFonts w:hint="eastAsia" w:ascii="宋体" w:hAnsi="宋体"/>
          <w:sz w:val="24"/>
          <w:szCs w:val="24"/>
        </w:rPr>
        <w:t>2.内容及分包情况（技术规格、参数及要求）</w:t>
      </w:r>
    </w:p>
    <w:tbl>
      <w:tblPr>
        <w:tblStyle w:val="4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746"/>
        <w:gridCol w:w="1899"/>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服务名称</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数量</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电信和其他信息传输服务项目</w:t>
            </w:r>
            <w:r>
              <w:rPr>
                <w:rFonts w:hint="eastAsia" w:ascii="宋体" w:hAnsi="宋体"/>
                <w:sz w:val="24"/>
                <w:szCs w:val="24"/>
                <w:lang w:val="en-US" w:eastAsia="zh-CN"/>
              </w:rPr>
              <w:t>(掌上法院线路服务项目）</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详见单一来源文件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920000</w:t>
            </w:r>
          </w:p>
        </w:tc>
      </w:tr>
    </w:tbl>
    <w:p>
      <w:pPr>
        <w:pStyle w:val="66"/>
        <w:spacing w:line="360" w:lineRule="auto"/>
        <w:ind w:firstLine="482"/>
        <w:rPr>
          <w:rFonts w:ascii="宋体" w:hAnsi="宋体"/>
          <w:b/>
          <w:sz w:val="24"/>
          <w:szCs w:val="24"/>
        </w:rPr>
      </w:pPr>
      <w:r>
        <w:rPr>
          <w:rFonts w:hint="eastAsia" w:ascii="宋体" w:hAnsi="宋体"/>
          <w:b/>
          <w:sz w:val="24"/>
          <w:szCs w:val="24"/>
        </w:rPr>
        <w:t>二.供应商的资格要求</w:t>
      </w:r>
    </w:p>
    <w:p>
      <w:pPr>
        <w:spacing w:line="360" w:lineRule="auto"/>
        <w:ind w:firstLine="480" w:firstLineChars="200"/>
        <w:rPr>
          <w:rFonts w:ascii="宋体" w:hAnsi="宋体"/>
          <w:sz w:val="24"/>
          <w:szCs w:val="24"/>
        </w:rPr>
      </w:pPr>
      <w:r>
        <w:rPr>
          <w:rFonts w:hint="eastAsia" w:ascii="宋体" w:hAnsi="宋体"/>
          <w:sz w:val="24"/>
          <w:szCs w:val="24"/>
        </w:rPr>
        <w:t>1.供应商应符合《中华人民共和国政府采购法》第二十二条规定的条件；</w:t>
      </w:r>
    </w:p>
    <w:p>
      <w:pPr>
        <w:spacing w:line="360" w:lineRule="auto"/>
        <w:ind w:firstLine="480" w:firstLineChars="200"/>
        <w:rPr>
          <w:rFonts w:ascii="宋体" w:hAnsi="宋体"/>
          <w:sz w:val="24"/>
          <w:szCs w:val="24"/>
        </w:rPr>
      </w:pPr>
      <w:r>
        <w:rPr>
          <w:rFonts w:hint="eastAsia" w:ascii="宋体" w:hAnsi="宋体"/>
          <w:sz w:val="24"/>
          <w:szCs w:val="24"/>
        </w:rPr>
        <w:t>2.单一来源供应商名称：</w:t>
      </w:r>
      <w:r>
        <w:rPr>
          <w:rFonts w:hint="eastAsia" w:cs="宋体" w:asciiTheme="minorEastAsia" w:hAnsiTheme="minorEastAsia" w:eastAsiaTheme="minorEastAsia"/>
          <w:kern w:val="0"/>
          <w:sz w:val="24"/>
        </w:rPr>
        <w:t>中国联合网络通信有限公司鄂尔多斯市分公司</w:t>
      </w:r>
    </w:p>
    <w:p>
      <w:pPr>
        <w:spacing w:line="360" w:lineRule="auto"/>
        <w:ind w:left="560" w:leftChars="200"/>
        <w:rPr>
          <w:rFonts w:ascii="宋体" w:hAnsi="宋体"/>
          <w:b/>
          <w:sz w:val="24"/>
          <w:szCs w:val="24"/>
        </w:rPr>
      </w:pPr>
      <w:r>
        <w:rPr>
          <w:rFonts w:hint="eastAsia" w:ascii="宋体" w:hAnsi="宋体"/>
          <w:b/>
          <w:sz w:val="24"/>
          <w:szCs w:val="24"/>
        </w:rPr>
        <w:t>三.获取单一来源文件的时间、地点、方式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符合上述条件的供应商可于2</w:t>
      </w:r>
      <w:r>
        <w:rPr>
          <w:rFonts w:hint="eastAsia" w:ascii="宋体" w:hAnsi="宋体"/>
          <w:color w:val="000000" w:themeColor="text1"/>
          <w:sz w:val="24"/>
          <w:szCs w:val="24"/>
        </w:rPr>
        <w:t>019年3月28</w:t>
      </w:r>
      <w:r>
        <w:rPr>
          <w:rFonts w:hint="eastAsia" w:ascii="宋体" w:hAnsi="宋体"/>
          <w:sz w:val="24"/>
          <w:szCs w:val="24"/>
        </w:rPr>
        <w:t>日起登录内蒙古自治区政府采购网、内蒙古自治区公共资源交易网、鄂尔多斯市政府采购网或鄂尔多斯市公共资源交易网、杭锦旗公共资源交易网站获取单一来源文件。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1.内蒙古自治区政府采购网（http://www.nmgp.gov.cn）。登录网站页面，在“盟市旗县采购公告”中查询采购信息，点击信息公告页面下方的“相关附件”即可浏览、下载单一来源文件。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w:t>
      </w:r>
      <w:r>
        <w:rPr>
          <w:rFonts w:ascii="宋体" w:hAnsi="宋体"/>
          <w:sz w:val="24"/>
          <w:szCs w:val="24"/>
        </w:rPr>
        <w:t>http://zfcg.ordos.gov.cn</w:t>
      </w:r>
      <w:r>
        <w:rPr>
          <w:rFonts w:hint="eastAsia" w:ascii="宋体" w:hAnsi="宋体"/>
          <w:sz w:val="24"/>
          <w:szCs w:val="24"/>
        </w:rPr>
        <w:t>）。登陆网站页面，点击“政府采购公告”，查询采购信息，点击信息公告页面中“下载单一来源文件”可浏览、下载单一来源文件。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4.鄂尔多斯市公共资源交易网（http://www.ordosggzyjy.org.cn）。登陆网站页面，点击“政府采购”中的“信息公告”栏，查询采购信息，点击信息公告页面左下角“附件”即可浏览、下载单一来源文件。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5.杭锦旗公共资源交易网</w:t>
      </w:r>
      <w:r>
        <w:rPr>
          <w:rFonts w:hint="eastAsia" w:asciiTheme="minorEastAsia" w:hAnsiTheme="minorEastAsia" w:eastAsiaTheme="minorEastAsia"/>
          <w:color w:val="0D203D"/>
          <w:sz w:val="24"/>
          <w:szCs w:val="24"/>
        </w:rPr>
        <w:t>（http://www.ordosggzyjy.org.cn/TPFront_hjq/）</w:t>
      </w:r>
      <w:r>
        <w:rPr>
          <w:rFonts w:hint="eastAsia" w:ascii="宋体" w:hAnsi="宋体"/>
          <w:sz w:val="24"/>
          <w:szCs w:val="24"/>
        </w:rPr>
        <w:t>。登陆网站页面，点击“政府采购”中的“信息公告”栏，查询采购信息，点击信息公告页面左下角“附件”即可浏览、下载单一来源文件。</w:t>
      </w:r>
    </w:p>
    <w:p>
      <w:pPr>
        <w:spacing w:line="360" w:lineRule="auto"/>
        <w:ind w:firstLine="482" w:firstLineChars="200"/>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ind w:firstLine="482" w:firstLineChars="200"/>
        <w:rPr>
          <w:rFonts w:ascii="宋体" w:hAnsi="宋体"/>
          <w:b/>
          <w:sz w:val="24"/>
          <w:szCs w:val="24"/>
        </w:rPr>
      </w:pPr>
      <w:r>
        <w:rPr>
          <w:rFonts w:hint="eastAsia" w:ascii="宋体" w:hAnsi="宋体"/>
          <w:b/>
          <w:sz w:val="24"/>
          <w:szCs w:val="24"/>
        </w:rPr>
        <w:t>五.递交投标（响应）文件截止时间、商定时间及地点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递交投标（响应）文件截止时间：2019年3月29日</w:t>
      </w:r>
      <w:r>
        <w:rPr>
          <w:rFonts w:hint="eastAsia" w:ascii="宋体" w:hAnsi="宋体"/>
          <w:sz w:val="24"/>
          <w:szCs w:val="24"/>
          <w:lang w:eastAsia="zh-CN"/>
        </w:rPr>
        <w:t>10时</w:t>
      </w:r>
      <w:r>
        <w:rPr>
          <w:rFonts w:hint="eastAsia" w:ascii="宋体" w:hAnsi="宋体"/>
          <w:sz w:val="24"/>
          <w:szCs w:val="24"/>
        </w:rPr>
        <w:t>30分</w:t>
      </w:r>
    </w:p>
    <w:p>
      <w:pPr>
        <w:spacing w:line="360" w:lineRule="auto"/>
        <w:ind w:firstLine="480" w:firstLineChars="200"/>
        <w:rPr>
          <w:shd w:val="clear" w:color="auto" w:fill="FFFFFF"/>
        </w:rPr>
      </w:pPr>
      <w:r>
        <w:rPr>
          <w:rFonts w:hint="eastAsia" w:ascii="宋体" w:hAnsi="宋体"/>
          <w:sz w:val="24"/>
          <w:szCs w:val="24"/>
        </w:rPr>
        <w:t>投标地点：</w:t>
      </w:r>
      <w:r>
        <w:rPr>
          <w:rFonts w:hint="eastAsia"/>
          <w:sz w:val="24"/>
          <w:szCs w:val="24"/>
          <w:shd w:val="clear" w:color="auto" w:fill="FFFFFF"/>
        </w:rPr>
        <w:t>杭锦旗公共资源交易中心</w:t>
      </w:r>
      <w:r>
        <w:rPr>
          <w:rFonts w:hint="eastAsia"/>
          <w:sz w:val="24"/>
          <w:szCs w:val="24"/>
          <w:shd w:val="clear" w:color="auto" w:fill="FFFFFF"/>
          <w:lang w:eastAsia="zh-CN"/>
        </w:rPr>
        <w:t>七</w:t>
      </w:r>
      <w:r>
        <w:rPr>
          <w:rFonts w:hint="eastAsia"/>
          <w:sz w:val="24"/>
          <w:szCs w:val="24"/>
          <w:shd w:val="clear" w:color="auto" w:fill="FFFFFF"/>
        </w:rPr>
        <w:t>楼（杭锦旗锡尼镇杭锦大街武装部西荣泰丰地产</w:t>
      </w:r>
      <w:r>
        <w:rPr>
          <w:rFonts w:hint="eastAsia"/>
          <w:sz w:val="24"/>
          <w:szCs w:val="24"/>
          <w:shd w:val="clear" w:color="auto" w:fill="FFFFFF"/>
          <w:lang w:eastAsia="zh-CN"/>
        </w:rPr>
        <w:t>七</w:t>
      </w:r>
      <w:r>
        <w:rPr>
          <w:rFonts w:hint="eastAsia"/>
          <w:sz w:val="24"/>
          <w:szCs w:val="24"/>
          <w:shd w:val="clear" w:color="auto" w:fill="FFFFFF"/>
        </w:rPr>
        <w:t>楼）</w:t>
      </w:r>
    </w:p>
    <w:p>
      <w:pPr>
        <w:spacing w:line="360" w:lineRule="auto"/>
        <w:ind w:firstLine="480" w:firstLineChars="200"/>
        <w:rPr>
          <w:rFonts w:ascii="宋体" w:hAnsi="宋体"/>
          <w:sz w:val="24"/>
          <w:szCs w:val="24"/>
        </w:rPr>
      </w:pPr>
      <w:r>
        <w:rPr>
          <w:rFonts w:hint="eastAsia" w:ascii="宋体" w:hAnsi="宋体"/>
          <w:sz w:val="24"/>
          <w:szCs w:val="24"/>
        </w:rPr>
        <w:t>商定时间：2019年3月29日</w:t>
      </w:r>
      <w:r>
        <w:rPr>
          <w:rFonts w:hint="eastAsia" w:ascii="宋体" w:hAnsi="宋体"/>
          <w:sz w:val="24"/>
          <w:szCs w:val="24"/>
          <w:lang w:eastAsia="zh-CN"/>
        </w:rPr>
        <w:t>10时</w:t>
      </w:r>
      <w:r>
        <w:rPr>
          <w:rFonts w:hint="eastAsia" w:ascii="宋体" w:hAnsi="宋体"/>
          <w:sz w:val="24"/>
          <w:szCs w:val="24"/>
        </w:rPr>
        <w:t>30分</w:t>
      </w:r>
    </w:p>
    <w:p>
      <w:pPr>
        <w:spacing w:line="360" w:lineRule="auto"/>
        <w:ind w:firstLine="480" w:firstLineChars="200"/>
        <w:rPr>
          <w:sz w:val="24"/>
          <w:szCs w:val="24"/>
          <w:shd w:val="clear" w:color="auto" w:fill="FFFFFF"/>
        </w:rPr>
      </w:pPr>
      <w:r>
        <w:rPr>
          <w:rFonts w:hint="eastAsia" w:ascii="宋体" w:hAnsi="宋体"/>
          <w:sz w:val="24"/>
          <w:szCs w:val="24"/>
        </w:rPr>
        <w:t>商定地点：</w:t>
      </w:r>
      <w:r>
        <w:rPr>
          <w:rFonts w:hint="eastAsia"/>
          <w:sz w:val="24"/>
          <w:szCs w:val="24"/>
          <w:shd w:val="clear" w:color="auto" w:fill="FFFFFF"/>
        </w:rPr>
        <w:t>杭锦旗公共资源交易中心</w:t>
      </w:r>
      <w:r>
        <w:rPr>
          <w:rFonts w:hint="eastAsia"/>
          <w:sz w:val="24"/>
          <w:szCs w:val="24"/>
          <w:shd w:val="clear" w:color="auto" w:fill="FFFFFF"/>
          <w:lang w:eastAsia="zh-CN"/>
        </w:rPr>
        <w:t>七</w:t>
      </w:r>
      <w:r>
        <w:rPr>
          <w:rFonts w:hint="eastAsia"/>
          <w:sz w:val="24"/>
          <w:szCs w:val="24"/>
          <w:shd w:val="clear" w:color="auto" w:fill="FFFFFF"/>
        </w:rPr>
        <w:t>楼（杭锦旗锡尼镇杭锦大街武装部西荣泰丰地产</w:t>
      </w:r>
      <w:r>
        <w:rPr>
          <w:rFonts w:hint="eastAsia"/>
          <w:sz w:val="24"/>
          <w:szCs w:val="24"/>
          <w:shd w:val="clear" w:color="auto" w:fill="FFFFFF"/>
          <w:lang w:eastAsia="zh-CN"/>
        </w:rPr>
        <w:t>七</w:t>
      </w:r>
      <w:r>
        <w:rPr>
          <w:rFonts w:hint="eastAsia"/>
          <w:sz w:val="24"/>
          <w:szCs w:val="24"/>
          <w:shd w:val="clear" w:color="auto" w:fill="FFFFFF"/>
        </w:rPr>
        <w:t>楼）</w:t>
      </w:r>
    </w:p>
    <w:p>
      <w:pPr>
        <w:spacing w:line="360" w:lineRule="auto"/>
        <w:ind w:firstLine="482" w:firstLineChars="200"/>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采购代理机构名称：鄂尔多斯市杭锦旗公共资源交易中心</w:t>
      </w:r>
    </w:p>
    <w:p>
      <w:pPr>
        <w:spacing w:line="360" w:lineRule="auto"/>
        <w:ind w:firstLine="480" w:firstLineChars="200"/>
        <w:rPr>
          <w:rFonts w:ascii="宋体" w:hAnsi="宋体"/>
          <w:sz w:val="24"/>
          <w:szCs w:val="24"/>
        </w:rPr>
      </w:pPr>
      <w:r>
        <w:rPr>
          <w:rFonts w:hint="eastAsia" w:ascii="宋体" w:hAnsi="宋体"/>
          <w:sz w:val="24"/>
          <w:szCs w:val="24"/>
        </w:rPr>
        <w:t>地址：</w:t>
      </w:r>
      <w:r>
        <w:rPr>
          <w:rFonts w:hint="eastAsia"/>
          <w:sz w:val="24"/>
          <w:szCs w:val="24"/>
          <w:shd w:val="clear" w:color="auto" w:fill="FFFFFF"/>
        </w:rPr>
        <w:t>杭锦旗公共资源交易中心</w:t>
      </w:r>
      <w:r>
        <w:rPr>
          <w:rFonts w:hint="eastAsia"/>
          <w:sz w:val="24"/>
          <w:szCs w:val="24"/>
          <w:shd w:val="clear" w:color="auto" w:fill="FFFFFF"/>
          <w:lang w:eastAsia="zh-CN"/>
        </w:rPr>
        <w:t>七</w:t>
      </w:r>
      <w:r>
        <w:rPr>
          <w:rFonts w:hint="eastAsia"/>
          <w:sz w:val="24"/>
          <w:szCs w:val="24"/>
          <w:shd w:val="clear" w:color="auto" w:fill="FFFFFF"/>
        </w:rPr>
        <w:t>楼（杭锦旗锡尼镇杭锦大街武装部西荣泰丰地产</w:t>
      </w:r>
      <w:r>
        <w:rPr>
          <w:rFonts w:hint="eastAsia"/>
          <w:sz w:val="24"/>
          <w:szCs w:val="24"/>
          <w:shd w:val="clear" w:color="auto" w:fill="FFFFFF"/>
          <w:lang w:eastAsia="zh-CN"/>
        </w:rPr>
        <w:t>七</w:t>
      </w:r>
      <w:r>
        <w:rPr>
          <w:rFonts w:hint="eastAsia"/>
          <w:sz w:val="24"/>
          <w:szCs w:val="24"/>
          <w:shd w:val="clear" w:color="auto" w:fill="FFFFFF"/>
        </w:rPr>
        <w:t>楼）</w:t>
      </w:r>
    </w:p>
    <w:p>
      <w:pPr>
        <w:spacing w:line="360" w:lineRule="auto"/>
        <w:ind w:firstLine="480" w:firstLineChars="200"/>
        <w:rPr>
          <w:rFonts w:ascii="宋体" w:hAnsi="宋体"/>
          <w:sz w:val="24"/>
          <w:szCs w:val="24"/>
        </w:rPr>
      </w:pPr>
      <w:r>
        <w:rPr>
          <w:rFonts w:hint="eastAsia" w:ascii="宋体" w:hAnsi="宋体"/>
          <w:sz w:val="24"/>
          <w:szCs w:val="24"/>
        </w:rPr>
        <w:t>邮政编码：017400</w:t>
      </w:r>
    </w:p>
    <w:p>
      <w:pPr>
        <w:spacing w:line="360" w:lineRule="auto"/>
        <w:ind w:firstLine="480" w:firstLineChars="200"/>
        <w:rPr>
          <w:rFonts w:hint="eastAsia" w:ascii="宋体" w:hAnsi="宋体"/>
          <w:sz w:val="24"/>
          <w:szCs w:val="24"/>
        </w:rPr>
      </w:pPr>
      <w:r>
        <w:rPr>
          <w:rFonts w:hint="eastAsia" w:ascii="宋体" w:hAnsi="宋体"/>
          <w:sz w:val="24"/>
          <w:szCs w:val="24"/>
        </w:rPr>
        <w:t>联系人：敖日格乐</w:t>
      </w:r>
    </w:p>
    <w:p>
      <w:pPr>
        <w:spacing w:line="360" w:lineRule="auto"/>
        <w:ind w:firstLine="480" w:firstLineChars="200"/>
        <w:rPr>
          <w:rFonts w:hint="eastAsia" w:ascii="宋体" w:hAnsi="宋体"/>
          <w:sz w:val="24"/>
          <w:szCs w:val="24"/>
        </w:rPr>
      </w:pPr>
      <w:r>
        <w:rPr>
          <w:rFonts w:hint="eastAsia" w:ascii="宋体" w:hAnsi="宋体"/>
          <w:sz w:val="24"/>
          <w:szCs w:val="24"/>
        </w:rPr>
        <w:t>联系电话：0477-6860805</w:t>
      </w:r>
    </w:p>
    <w:p>
      <w:pPr>
        <w:spacing w:line="360" w:lineRule="auto"/>
        <w:ind w:firstLine="480" w:firstLineChars="200"/>
        <w:rPr>
          <w:rFonts w:hint="eastAsia" w:ascii="宋体" w:hAnsi="宋体"/>
          <w:sz w:val="24"/>
          <w:szCs w:val="24"/>
        </w:rPr>
      </w:pPr>
      <w:r>
        <w:rPr>
          <w:rFonts w:hint="eastAsia" w:ascii="宋体" w:hAnsi="宋体"/>
          <w:sz w:val="24"/>
          <w:szCs w:val="24"/>
        </w:rPr>
        <w:t>采购单位名称：杭锦旗人民法院</w:t>
      </w:r>
    </w:p>
    <w:p>
      <w:pPr>
        <w:spacing w:line="360" w:lineRule="auto"/>
        <w:ind w:firstLine="480" w:firstLineChars="200"/>
        <w:rPr>
          <w:rFonts w:hint="eastAsia" w:ascii="宋体" w:hAnsi="宋体"/>
          <w:sz w:val="24"/>
          <w:szCs w:val="24"/>
        </w:rPr>
      </w:pPr>
      <w:r>
        <w:rPr>
          <w:rFonts w:hint="eastAsia" w:ascii="宋体" w:hAnsi="宋体"/>
          <w:sz w:val="24"/>
          <w:szCs w:val="24"/>
        </w:rPr>
        <w:t>地址：杭锦旗锡尼镇</w:t>
      </w:r>
    </w:p>
    <w:p>
      <w:pPr>
        <w:spacing w:line="360" w:lineRule="auto"/>
        <w:ind w:firstLine="480" w:firstLineChars="200"/>
        <w:rPr>
          <w:rFonts w:hint="eastAsia" w:ascii="宋体" w:hAnsi="宋体"/>
          <w:sz w:val="24"/>
          <w:szCs w:val="24"/>
        </w:rPr>
      </w:pPr>
      <w:r>
        <w:rPr>
          <w:rFonts w:hint="eastAsia" w:ascii="宋体" w:hAnsi="宋体"/>
          <w:sz w:val="24"/>
          <w:szCs w:val="24"/>
        </w:rPr>
        <w:t>邮政编码：017400</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联系人：</w:t>
      </w:r>
      <w:r>
        <w:rPr>
          <w:rFonts w:hint="eastAsia" w:ascii="宋体" w:hAnsi="宋体"/>
          <w:sz w:val="24"/>
          <w:szCs w:val="24"/>
          <w:lang w:eastAsia="zh-CN"/>
        </w:rPr>
        <w:t>云峰</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联系电话：</w:t>
      </w:r>
      <w:r>
        <w:rPr>
          <w:rFonts w:hint="eastAsia" w:ascii="宋体" w:hAnsi="宋体"/>
          <w:sz w:val="24"/>
          <w:szCs w:val="24"/>
          <w:lang w:eastAsia="zh-CN"/>
        </w:rPr>
        <w:t>18648026008</w:t>
      </w:r>
    </w:p>
    <w:p>
      <w:pPr>
        <w:spacing w:line="360" w:lineRule="auto"/>
        <w:ind w:firstLine="480" w:firstLineChars="200"/>
        <w:rPr>
          <w:rFonts w:hint="eastAsia" w:ascii="宋体" w:hAnsi="宋体"/>
          <w:sz w:val="24"/>
          <w:szCs w:val="24"/>
        </w:rPr>
      </w:pPr>
      <w:r>
        <w:rPr>
          <w:rFonts w:hint="eastAsia" w:ascii="宋体" w:hAnsi="宋体"/>
          <w:sz w:val="24"/>
          <w:szCs w:val="24"/>
        </w:rPr>
        <w:t xml:space="preserve">                              鄂尔多斯市杭锦旗公共资源交易中心</w:t>
      </w:r>
    </w:p>
    <w:p>
      <w:pPr>
        <w:spacing w:line="360" w:lineRule="auto"/>
        <w:ind w:firstLine="4560" w:firstLineChars="1900"/>
        <w:rPr>
          <w:rFonts w:ascii="宋体" w:hAnsi="宋体"/>
          <w:sz w:val="24"/>
          <w:szCs w:val="24"/>
        </w:rPr>
      </w:pPr>
      <w:r>
        <w:rPr>
          <w:rFonts w:hint="eastAsia" w:ascii="宋体" w:hAnsi="宋体"/>
          <w:sz w:val="24"/>
          <w:szCs w:val="24"/>
        </w:rPr>
        <w:t>2019年3月28日</w:t>
      </w:r>
      <w:r>
        <w:rPr>
          <w:rFonts w:hint="eastAsia" w:ascii="宋体" w:hAnsi="宋体"/>
          <w:sz w:val="24"/>
          <w:szCs w:val="24"/>
        </w:rPr>
        <w:br w:type="page"/>
      </w:r>
    </w:p>
    <w:p>
      <w:pPr>
        <w:pStyle w:val="39"/>
        <w:spacing w:line="360" w:lineRule="auto"/>
        <w:rPr>
          <w:rFonts w:ascii="宋体" w:hAnsi="宋体" w:eastAsia="宋体"/>
          <w:sz w:val="24"/>
          <w:szCs w:val="24"/>
        </w:rPr>
      </w:pPr>
      <w:bookmarkStart w:id="5" w:name="_Toc497726799"/>
      <w:r>
        <w:rPr>
          <w:rFonts w:hint="eastAsia" w:ascii="宋体" w:hAnsi="宋体" w:eastAsia="宋体"/>
          <w:sz w:val="24"/>
          <w:szCs w:val="24"/>
        </w:rPr>
        <w:t>第二章 供应商须知</w:t>
      </w:r>
      <w:bookmarkEnd w:id="5"/>
    </w:p>
    <w:p>
      <w:pPr>
        <w:spacing w:line="360" w:lineRule="auto"/>
        <w:rPr>
          <w:rFonts w:ascii="宋体" w:hAnsi="宋体"/>
          <w:b/>
          <w:sz w:val="24"/>
          <w:szCs w:val="24"/>
        </w:rPr>
      </w:pPr>
      <w:r>
        <w:rPr>
          <w:rFonts w:hint="eastAsia" w:ascii="宋体" w:hAnsi="宋体"/>
          <w:b/>
          <w:sz w:val="24"/>
          <w:szCs w:val="24"/>
        </w:rPr>
        <w:t>一.前附表</w:t>
      </w:r>
    </w:p>
    <w:tbl>
      <w:tblPr>
        <w:tblStyle w:val="42"/>
        <w:tblpPr w:leftFromText="180" w:rightFromText="180" w:vertAnchor="text" w:tblpXSpec="center" w:tblpY="1"/>
        <w:tblOverlap w:val="never"/>
        <w:tblW w:w="96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268"/>
        <w:gridCol w:w="65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8"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条款名称</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14"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sz w:val="24"/>
                <w:szCs w:val="24"/>
              </w:rPr>
            </w:pPr>
            <w:r>
              <w:rPr>
                <w:rFonts w:hint="eastAsia" w:ascii="宋体" w:hAnsi="宋体"/>
                <w:sz w:val="24"/>
                <w:szCs w:val="24"/>
              </w:rPr>
              <w:t>采购人</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杭锦旗人民法院</w:t>
            </w:r>
          </w:p>
          <w:p>
            <w:pPr>
              <w:spacing w:line="360" w:lineRule="auto"/>
              <w:ind w:right="-140" w:rightChars="-50"/>
              <w:rPr>
                <w:rFonts w:hint="eastAsia" w:ascii="宋体" w:hAnsi="宋体" w:eastAsia="宋体"/>
                <w:sz w:val="24"/>
                <w:szCs w:val="24"/>
                <w:lang w:eastAsia="zh-CN"/>
              </w:rPr>
            </w:pPr>
            <w:r>
              <w:rPr>
                <w:rFonts w:hint="eastAsia" w:ascii="宋体" w:hAnsi="宋体"/>
                <w:sz w:val="24"/>
                <w:szCs w:val="24"/>
              </w:rPr>
              <w:t xml:space="preserve">联系人： </w:t>
            </w:r>
            <w:r>
              <w:rPr>
                <w:rFonts w:hint="eastAsia" w:ascii="宋体" w:hAnsi="宋体"/>
                <w:sz w:val="24"/>
                <w:szCs w:val="24"/>
                <w:lang w:eastAsia="zh-CN"/>
              </w:rPr>
              <w:t>云峰</w:t>
            </w:r>
            <w:r>
              <w:rPr>
                <w:rFonts w:hint="eastAsia" w:ascii="宋体" w:hAnsi="宋体"/>
                <w:sz w:val="24"/>
                <w:szCs w:val="24"/>
              </w:rPr>
              <w:t xml:space="preserve">           联系电话：</w:t>
            </w:r>
            <w:r>
              <w:rPr>
                <w:rFonts w:hint="eastAsia"/>
                <w:color w:val="000000"/>
                <w:sz w:val="27"/>
                <w:szCs w:val="27"/>
                <w:shd w:val="clear" w:color="auto" w:fill="FFFFFF"/>
              </w:rPr>
              <w:t xml:space="preserve"> </w:t>
            </w:r>
            <w:r>
              <w:rPr>
                <w:rFonts w:hint="eastAsia" w:ascii="宋体" w:hAnsi="宋体"/>
                <w:sz w:val="24"/>
                <w:szCs w:val="24"/>
                <w:lang w:eastAsia="zh-CN"/>
              </w:rPr>
              <w:t>18648026008</w:t>
            </w:r>
          </w:p>
          <w:p>
            <w:pPr>
              <w:spacing w:line="360" w:lineRule="auto"/>
              <w:ind w:right="-140" w:rightChars="-50"/>
              <w:rPr>
                <w:rFonts w:ascii="宋体" w:hAnsi="宋体"/>
                <w:sz w:val="24"/>
                <w:szCs w:val="24"/>
              </w:rPr>
            </w:pPr>
            <w:r>
              <w:rPr>
                <w:rFonts w:hint="eastAsia" w:ascii="宋体" w:hAnsi="宋体"/>
                <w:sz w:val="24"/>
                <w:szCs w:val="24"/>
              </w:rPr>
              <w:t>地址：杭锦旗锡尼镇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33"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采购代理机构</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 xml:space="preserve">鄂尔多斯市杭锦旗公共资源交易中心 </w:t>
            </w:r>
          </w:p>
          <w:p>
            <w:pPr>
              <w:spacing w:line="360" w:lineRule="auto"/>
              <w:ind w:right="-140" w:rightChars="-50"/>
              <w:rPr>
                <w:rFonts w:ascii="宋体" w:hAnsi="宋体"/>
                <w:sz w:val="24"/>
                <w:szCs w:val="24"/>
              </w:rPr>
            </w:pPr>
            <w:r>
              <w:rPr>
                <w:rFonts w:hint="eastAsia" w:ascii="宋体" w:hAnsi="宋体"/>
                <w:sz w:val="24"/>
                <w:szCs w:val="24"/>
              </w:rPr>
              <w:t>联系人： 敖日格乐       联系电话： 0477-6860805</w:t>
            </w:r>
          </w:p>
          <w:p>
            <w:pPr>
              <w:spacing w:line="360" w:lineRule="auto"/>
              <w:ind w:right="-140" w:rightChars="-50"/>
              <w:rPr>
                <w:rFonts w:ascii="宋体" w:hAnsi="宋体"/>
                <w:sz w:val="24"/>
                <w:szCs w:val="24"/>
              </w:rPr>
            </w:pPr>
            <w:r>
              <w:rPr>
                <w:rFonts w:hint="eastAsia" w:ascii="宋体" w:hAnsi="宋体"/>
                <w:sz w:val="24"/>
                <w:szCs w:val="24"/>
              </w:rPr>
              <w:t>地址： 杭锦旗公共资源交易中心七楼政府采购</w:t>
            </w:r>
            <w:r>
              <w:rPr>
                <w:rFonts w:hint="eastAsia" w:ascii="宋体" w:hAnsi="宋体"/>
                <w:sz w:val="24"/>
                <w:szCs w:val="24"/>
                <w:lang w:eastAsia="zh-CN"/>
              </w:rPr>
              <w:t>部</w:t>
            </w:r>
            <w:r>
              <w:rPr>
                <w:rFonts w:hint="eastAsia" w:ascii="宋体" w:hAnsi="宋体"/>
                <w:sz w:val="24"/>
                <w:szCs w:val="24"/>
              </w:rPr>
              <w:t>（杭锦旗锡尼镇杭锦大街武装部西荣泰丰地产七楼）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项目内容及要求</w:t>
            </w:r>
          </w:p>
        </w:tc>
        <w:tc>
          <w:tcPr>
            <w:tcW w:w="6543"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sz w:val="24"/>
                <w:szCs w:val="24"/>
              </w:rPr>
            </w:pPr>
            <w:r>
              <w:rPr>
                <w:rFonts w:hint="eastAsia" w:ascii="宋体" w:hAnsi="宋体"/>
                <w:sz w:val="24"/>
                <w:szCs w:val="24"/>
              </w:rPr>
              <w:t>详见单一来源文件第四章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采购预算</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u w:val="single"/>
              </w:rPr>
              <w:t xml:space="preserve"> </w:t>
            </w:r>
            <w:r>
              <w:rPr>
                <w:rFonts w:hint="eastAsia" w:ascii="宋体" w:hAnsi="宋体"/>
                <w:color w:val="000000" w:themeColor="text1"/>
                <w:sz w:val="24"/>
                <w:szCs w:val="24"/>
                <w:u w:val="single"/>
              </w:rPr>
              <w:t xml:space="preserve"> 920000 </w:t>
            </w:r>
            <w:r>
              <w:rPr>
                <w:rFonts w:hint="eastAsia" w:ascii="宋体" w:hAnsi="宋体"/>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分包情况</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一整包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1"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付款方式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sym w:font="Wingdings 2" w:char="0052"/>
            </w:r>
            <w:r>
              <w:rPr>
                <w:rFonts w:hint="eastAsia" w:ascii="宋体" w:hAnsi="宋体"/>
                <w:sz w:val="24"/>
                <w:szCs w:val="24"/>
              </w:rPr>
              <w:t>国库集中支付、</w:t>
            </w:r>
            <w:r>
              <w:rPr>
                <w:rFonts w:hint="eastAsia" w:ascii="宋体" w:hAnsi="宋体"/>
                <w:color w:val="000000"/>
                <w:sz w:val="24"/>
                <w:szCs w:val="24"/>
              </w:rPr>
              <w:sym w:font="Wingdings 2" w:char="00A3"/>
            </w:r>
            <w:r>
              <w:rPr>
                <w:rFonts w:hint="eastAsia" w:ascii="宋体" w:hAnsi="宋体"/>
                <w:sz w:val="24"/>
                <w:szCs w:val="24"/>
              </w:rPr>
              <w:t>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7</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采购方式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单一来源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8</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评标委员会数量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洽谈小组由采购人代表和评审专家组成，成员人数应当为3人及3人以上单数。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4"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9</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成交供应商确定</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采购人授权单一来源采购人员直接确定成交供应商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供应商资格要求</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详见单一来源采购公告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投标有效期</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商定之日起90日历天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sz w:val="24"/>
                <w:szCs w:val="24"/>
              </w:rPr>
            </w:pPr>
            <w:r>
              <w:rPr>
                <w:rFonts w:hint="eastAsia" w:ascii="宋体" w:hAnsi="宋体"/>
                <w:sz w:val="24"/>
                <w:szCs w:val="24"/>
              </w:rPr>
              <w:t>12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响应文件递交时间</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2019年3月29日</w:t>
            </w:r>
            <w:r>
              <w:rPr>
                <w:rFonts w:hint="eastAsia" w:ascii="宋体" w:hAnsi="宋体"/>
                <w:sz w:val="24"/>
                <w:szCs w:val="24"/>
                <w:lang w:eastAsia="zh-CN"/>
              </w:rPr>
              <w:t>10时</w:t>
            </w:r>
            <w:r>
              <w:rPr>
                <w:rFonts w:hint="eastAsia" w:ascii="宋体" w:hAnsi="宋体"/>
                <w:sz w:val="24"/>
                <w:szCs w:val="24"/>
                <w:lang w:val="en-US" w:eastAsia="zh-CN"/>
              </w:rPr>
              <w:t>0</w:t>
            </w:r>
            <w:r>
              <w:rPr>
                <w:rFonts w:hint="eastAsia" w:ascii="宋体" w:hAnsi="宋体"/>
                <w:sz w:val="24"/>
                <w:szCs w:val="24"/>
              </w:rPr>
              <w:t>0分--</w:t>
            </w:r>
            <w:r>
              <w:rPr>
                <w:rFonts w:hint="eastAsia" w:ascii="宋体" w:hAnsi="宋体"/>
                <w:sz w:val="24"/>
                <w:szCs w:val="24"/>
                <w:lang w:val="en-US" w:eastAsia="zh-CN"/>
              </w:rPr>
              <w:t>10</w:t>
            </w:r>
            <w:r>
              <w:rPr>
                <w:rFonts w:hint="eastAsia" w:ascii="宋体" w:hAnsi="宋体"/>
                <w:sz w:val="24"/>
                <w:szCs w:val="24"/>
              </w:rPr>
              <w:t>时</w:t>
            </w:r>
            <w:r>
              <w:rPr>
                <w:rFonts w:hint="eastAsia" w:ascii="宋体" w:hAnsi="宋体"/>
                <w:sz w:val="24"/>
                <w:szCs w:val="24"/>
                <w:lang w:val="en-US" w:eastAsia="zh-CN"/>
              </w:rPr>
              <w:t>3</w:t>
            </w:r>
            <w:r>
              <w:rPr>
                <w:rFonts w:hint="eastAsia" w:ascii="宋体" w:hAnsi="宋体"/>
                <w:sz w:val="24"/>
                <w:szCs w:val="24"/>
              </w:rPr>
              <w:t xml:space="preserve">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6"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13</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商定时间</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2019年3月29日</w:t>
            </w:r>
            <w:r>
              <w:rPr>
                <w:rFonts w:hint="eastAsia" w:ascii="宋体" w:hAnsi="宋体"/>
                <w:sz w:val="24"/>
                <w:szCs w:val="24"/>
                <w:lang w:val="en-US" w:eastAsia="zh-CN"/>
              </w:rPr>
              <w:t>10</w:t>
            </w:r>
            <w:r>
              <w:rPr>
                <w:rFonts w:hint="eastAsia" w:ascii="宋体" w:hAnsi="宋体"/>
                <w:sz w:val="24"/>
                <w:szCs w:val="24"/>
              </w:rPr>
              <w:t>时</w:t>
            </w:r>
            <w:r>
              <w:rPr>
                <w:rFonts w:hint="eastAsia" w:ascii="宋体" w:hAnsi="宋体"/>
                <w:sz w:val="24"/>
                <w:szCs w:val="24"/>
                <w:lang w:val="en-US" w:eastAsia="zh-CN"/>
              </w:rPr>
              <w:t>30</w:t>
            </w:r>
            <w:r>
              <w:rPr>
                <w:rFonts w:hint="eastAsia" w:ascii="宋体" w:hAnsi="宋体"/>
                <w:sz w:val="24"/>
                <w:szCs w:val="24"/>
              </w:rPr>
              <w:t>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14</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商定地点（响应文件提交地点）</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right="-140" w:rightChars="-50"/>
              <w:rPr>
                <w:rFonts w:ascii="宋体" w:hAnsi="宋体"/>
                <w:sz w:val="24"/>
                <w:szCs w:val="24"/>
              </w:rPr>
            </w:pPr>
            <w:r>
              <w:rPr>
                <w:rFonts w:hint="eastAsia" w:ascii="宋体" w:hAnsi="宋体"/>
                <w:sz w:val="24"/>
                <w:szCs w:val="24"/>
              </w:rPr>
              <w:t>杭锦旗公共资源交易中心七楼政府采购室（杭锦旗锡尼镇杭锦大街武装部西荣泰丰地产七楼）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9"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响应文件数量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正本1份、副本 2份，电子光盘1份（U盘上标明供应商名称）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16</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备选方案</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1"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17</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联合体投标</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18</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履约保证金</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4"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19</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采购机构代理费用</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报名与投标保证金</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200" w:right="750" w:hanging="1200" w:hangingChars="500"/>
              <w:rPr>
                <w:rFonts w:ascii="宋体" w:hAnsi="宋体"/>
                <w:sz w:val="24"/>
                <w:szCs w:val="24"/>
              </w:rPr>
            </w:pPr>
            <w:r>
              <w:rPr>
                <w:rFonts w:hint="eastAsia" w:ascii="宋体" w:hAnsi="宋体"/>
                <w:sz w:val="24"/>
                <w:szCs w:val="24"/>
              </w:rPr>
              <w:t>本项目无须网上报名、不收取投标保证金</w:t>
            </w:r>
          </w:p>
        </w:tc>
      </w:tr>
    </w:tbl>
    <w:p>
      <w:pPr>
        <w:spacing w:line="360" w:lineRule="auto"/>
        <w:ind w:firstLine="482" w:firstLineChars="200"/>
        <w:rPr>
          <w:rFonts w:ascii="宋体" w:hAnsi="宋体"/>
          <w:b/>
          <w:sz w:val="24"/>
          <w:szCs w:val="24"/>
        </w:rPr>
      </w:pPr>
      <w:r>
        <w:rPr>
          <w:rFonts w:hint="eastAsia" w:ascii="宋体" w:hAnsi="宋体"/>
          <w:b/>
          <w:sz w:val="24"/>
          <w:szCs w:val="24"/>
        </w:rPr>
        <w:t>二.说明</w:t>
      </w:r>
    </w:p>
    <w:p>
      <w:pPr>
        <w:spacing w:line="360" w:lineRule="auto"/>
        <w:ind w:firstLine="482" w:firstLineChars="200"/>
        <w:rPr>
          <w:rFonts w:ascii="宋体" w:hAnsi="宋体" w:cs="宋体"/>
          <w:b/>
          <w:sz w:val="24"/>
          <w:szCs w:val="24"/>
        </w:rPr>
      </w:pPr>
      <w:r>
        <w:rPr>
          <w:rFonts w:hint="eastAsia" w:ascii="宋体" w:hAnsi="宋体" w:cs="宋体"/>
          <w:b/>
          <w:sz w:val="24"/>
          <w:szCs w:val="24"/>
        </w:rPr>
        <w:t>1.总则</w:t>
      </w:r>
    </w:p>
    <w:p>
      <w:pPr>
        <w:spacing w:line="360" w:lineRule="auto"/>
        <w:ind w:firstLine="480" w:firstLineChars="200"/>
        <w:rPr>
          <w:rFonts w:ascii="宋体" w:hAnsi="宋体"/>
          <w:sz w:val="24"/>
          <w:szCs w:val="24"/>
        </w:rPr>
      </w:pPr>
      <w:r>
        <w:rPr>
          <w:rFonts w:hint="eastAsia" w:ascii="宋体" w:hAnsi="宋体"/>
          <w:sz w:val="24"/>
          <w:szCs w:val="24"/>
        </w:rPr>
        <w:t>本单一来源文件依据《中华人民共和国政府采购法》、《中华人民共和国政府采购法实施条例》和《政府采购非招标采购方式管理办法》（财政部令第74号）及国家和自治区有关法律、法规、规章制度编制。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供应商应仔细阅读本单一来源文件的所有内容（包括答疑、补充、澄清以及修改等），按照单一来源文件要求以及格式编制响应文件，并保证其真实性，否则一切后果自负。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本次政府采购方式为单一来源，是指采购人从某一特定供应商处采购货物、工程和服务的采购方式。</w:t>
      </w:r>
    </w:p>
    <w:p>
      <w:pPr>
        <w:pStyle w:val="22"/>
        <w:adjustRightInd w:val="0"/>
        <w:snapToGrid w:val="0"/>
        <w:spacing w:line="360" w:lineRule="auto"/>
        <w:ind w:firstLine="484" w:firstLineChars="201"/>
        <w:rPr>
          <w:rFonts w:hAnsi="宋体"/>
          <w:b/>
          <w:kern w:val="2"/>
          <w:sz w:val="24"/>
          <w:szCs w:val="24"/>
        </w:rPr>
      </w:pPr>
      <w:r>
        <w:rPr>
          <w:rFonts w:hint="eastAsia" w:hAnsi="宋体"/>
          <w:b/>
          <w:kern w:val="2"/>
          <w:sz w:val="24"/>
          <w:szCs w:val="24"/>
        </w:rPr>
        <w:t>2.适用范围</w:t>
      </w:r>
    </w:p>
    <w:p>
      <w:pPr>
        <w:spacing w:line="360" w:lineRule="auto"/>
        <w:ind w:firstLine="482" w:firstLineChars="201"/>
        <w:rPr>
          <w:rFonts w:ascii="宋体" w:hAnsi="宋体" w:cs="宋体"/>
          <w:sz w:val="24"/>
          <w:szCs w:val="24"/>
        </w:rPr>
      </w:pPr>
      <w:r>
        <w:rPr>
          <w:rFonts w:hint="eastAsia" w:ascii="宋体" w:hAnsi="宋体" w:cs="宋体"/>
          <w:sz w:val="24"/>
          <w:szCs w:val="24"/>
        </w:rPr>
        <w:t>本单一来源文件仅适用于本次单一来源采购公告中所涉及的项目和内容。</w:t>
      </w:r>
    </w:p>
    <w:p>
      <w:pPr>
        <w:pStyle w:val="22"/>
        <w:adjustRightInd w:val="0"/>
        <w:snapToGrid w:val="0"/>
        <w:spacing w:line="360" w:lineRule="auto"/>
        <w:ind w:firstLine="482" w:firstLineChars="200"/>
        <w:rPr>
          <w:rFonts w:hAnsi="宋体"/>
          <w:b/>
          <w:sz w:val="24"/>
          <w:szCs w:val="24"/>
        </w:rPr>
      </w:pPr>
      <w:r>
        <w:rPr>
          <w:rFonts w:hint="eastAsia" w:hAnsi="宋体"/>
          <w:b/>
          <w:sz w:val="24"/>
          <w:szCs w:val="24"/>
        </w:rPr>
        <w:t>3.投标费用</w:t>
      </w:r>
    </w:p>
    <w:p>
      <w:pPr>
        <w:pStyle w:val="22"/>
        <w:adjustRightInd w:val="0"/>
        <w:snapToGrid w:val="0"/>
        <w:spacing w:line="360" w:lineRule="auto"/>
        <w:ind w:firstLine="480" w:firstLineChars="200"/>
        <w:rPr>
          <w:rFonts w:hAnsi="宋体" w:cs="Arial"/>
          <w:kern w:val="2"/>
          <w:sz w:val="24"/>
          <w:szCs w:val="24"/>
        </w:rPr>
      </w:pPr>
      <w:r>
        <w:rPr>
          <w:rFonts w:hint="eastAsia" w:hAnsi="宋体"/>
          <w:sz w:val="24"/>
          <w:szCs w:val="24"/>
        </w:rPr>
        <w:t>供应商应承担所有与准备和参加投标有关的费用。不论投标结果如何，</w:t>
      </w:r>
      <w:r>
        <w:rPr>
          <w:rFonts w:hint="eastAsia" w:hAnsi="宋体"/>
          <w:sz w:val="24"/>
          <w:szCs w:val="24"/>
          <w:lang w:eastAsia="zh-CN"/>
        </w:rPr>
        <w:t>公共资源交易中心</w:t>
      </w:r>
      <w:r>
        <w:rPr>
          <w:rFonts w:hint="eastAsia" w:hAnsi="宋体" w:cs="Arial"/>
          <w:kern w:val="2"/>
          <w:sz w:val="24"/>
          <w:szCs w:val="24"/>
        </w:rPr>
        <w:t>和采购人均无义务和责任承担相关费用。</w:t>
      </w:r>
    </w:p>
    <w:p>
      <w:pPr>
        <w:spacing w:line="360" w:lineRule="auto"/>
        <w:ind w:firstLine="482" w:firstLineChars="200"/>
        <w:rPr>
          <w:rFonts w:ascii="宋体" w:hAnsi="宋体" w:cs="Arial"/>
          <w:b/>
          <w:sz w:val="24"/>
          <w:szCs w:val="24"/>
        </w:rPr>
      </w:pPr>
      <w:r>
        <w:rPr>
          <w:rFonts w:hint="eastAsia" w:ascii="宋体" w:hAnsi="宋体" w:cs="Arial"/>
          <w:b/>
          <w:sz w:val="24"/>
          <w:szCs w:val="24"/>
        </w:rPr>
        <w:t>4.当事人</w:t>
      </w:r>
    </w:p>
    <w:p>
      <w:pPr>
        <w:spacing w:line="360" w:lineRule="auto"/>
        <w:ind w:firstLine="480" w:firstLineChars="200"/>
        <w:rPr>
          <w:rFonts w:ascii="宋体" w:hAnsi="宋体"/>
          <w:sz w:val="24"/>
          <w:szCs w:val="24"/>
        </w:rPr>
      </w:pPr>
      <w:r>
        <w:rPr>
          <w:rFonts w:hint="eastAsia" w:ascii="宋体" w:hAnsi="宋体"/>
          <w:sz w:val="24"/>
          <w:szCs w:val="24"/>
        </w:rPr>
        <w:t>4.1“采购人”是指</w:t>
      </w:r>
      <w:r>
        <w:rPr>
          <w:rFonts w:hint="eastAsia" w:ascii="宋体" w:hAnsi="宋体" w:cs="Arial"/>
          <w:sz w:val="24"/>
          <w:szCs w:val="24"/>
        </w:rPr>
        <w:t>依法进行政府采购的国家机关、事业单位、团体组织。本单一来源文件的采购人特指（采购单位名称）。</w:t>
      </w:r>
    </w:p>
    <w:p>
      <w:pPr>
        <w:spacing w:line="360" w:lineRule="auto"/>
        <w:ind w:firstLine="480" w:firstLineChars="200"/>
        <w:rPr>
          <w:rFonts w:ascii="宋体" w:hAnsi="宋体"/>
          <w:sz w:val="24"/>
          <w:szCs w:val="24"/>
        </w:rPr>
      </w:pPr>
      <w:r>
        <w:rPr>
          <w:rFonts w:hint="eastAsia" w:ascii="宋体" w:hAnsi="宋体"/>
          <w:sz w:val="24"/>
          <w:szCs w:val="24"/>
        </w:rPr>
        <w:t>4.2“集中采购机构”是指人民政府依法设立的代理集中采购项目的执行机构。本单一来源文件的集中采购机构特指</w:t>
      </w:r>
      <w:r>
        <w:rPr>
          <w:rFonts w:hint="eastAsia" w:ascii="宋体" w:hAnsi="宋体"/>
          <w:sz w:val="24"/>
          <w:szCs w:val="24"/>
          <w:lang w:eastAsia="zh-CN"/>
        </w:rPr>
        <w:t>鄂尔多斯市杭锦旗公共资源交易中心</w:t>
      </w:r>
      <w:r>
        <w:rPr>
          <w:rFonts w:hint="eastAsia" w:ascii="宋体" w:hAnsi="宋体"/>
          <w:sz w:val="24"/>
          <w:szCs w:val="24"/>
        </w:rPr>
        <w:t>（以下简称</w:t>
      </w:r>
      <w:r>
        <w:rPr>
          <w:rFonts w:hint="eastAsia" w:ascii="宋体" w:hAnsi="宋体"/>
          <w:sz w:val="24"/>
          <w:szCs w:val="24"/>
          <w:lang w:eastAsia="zh-CN"/>
        </w:rPr>
        <w:t>公共资源交易中心</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4.3“供应商”是指向采购人提供货物、工程或者服务的法人、其他组织或者自然人。</w:t>
      </w:r>
    </w:p>
    <w:p>
      <w:pPr>
        <w:spacing w:line="360" w:lineRule="auto"/>
        <w:ind w:firstLine="480" w:firstLineChars="200"/>
        <w:rPr>
          <w:rFonts w:ascii="宋体" w:hAnsi="宋体"/>
          <w:sz w:val="24"/>
          <w:szCs w:val="24"/>
        </w:rPr>
      </w:pPr>
      <w:r>
        <w:rPr>
          <w:rFonts w:hint="eastAsia" w:ascii="宋体" w:hAnsi="宋体"/>
          <w:sz w:val="24"/>
          <w:szCs w:val="24"/>
        </w:rPr>
        <w:t>4.4“单一来源采购人员”是指根据《中华人民共和国政府采购法》等法律法规规定，由采购人代表和有关专家组成以确定成交供应商或者推荐成交候选人的临时组织。</w:t>
      </w:r>
    </w:p>
    <w:p>
      <w:pPr>
        <w:spacing w:line="360" w:lineRule="auto"/>
        <w:ind w:firstLine="480" w:firstLineChars="200"/>
        <w:rPr>
          <w:rFonts w:ascii="宋体" w:hAnsi="宋体"/>
          <w:sz w:val="24"/>
          <w:szCs w:val="24"/>
        </w:rPr>
      </w:pPr>
      <w:r>
        <w:rPr>
          <w:rFonts w:hint="eastAsia" w:ascii="宋体" w:hAnsi="宋体"/>
          <w:sz w:val="24"/>
          <w:szCs w:val="24"/>
        </w:rPr>
        <w:t>4.5“成交供应商”是指经单一来源采购人员评审确定的对单一来源文件做出实质性响应，取得与采购人签订合同资格的供应商。</w:t>
      </w:r>
    </w:p>
    <w:p>
      <w:pPr>
        <w:spacing w:line="360" w:lineRule="auto"/>
        <w:ind w:firstLine="482" w:firstLineChars="200"/>
        <w:rPr>
          <w:rFonts w:ascii="宋体" w:hAnsi="宋体"/>
          <w:b/>
          <w:sz w:val="24"/>
          <w:szCs w:val="24"/>
        </w:rPr>
      </w:pPr>
      <w:r>
        <w:rPr>
          <w:rFonts w:hint="eastAsia" w:ascii="宋体" w:hAnsi="宋体"/>
          <w:b/>
          <w:sz w:val="24"/>
          <w:szCs w:val="24"/>
        </w:rPr>
        <w:t>5.合格的供应商</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到递交响应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供应商，拒绝其参与政府采购活动。</w:t>
      </w:r>
    </w:p>
    <w:p>
      <w:pPr>
        <w:spacing w:line="360" w:lineRule="auto"/>
        <w:ind w:firstLine="480" w:firstLineChars="200"/>
        <w:rPr>
          <w:rFonts w:ascii="宋体" w:hAnsi="宋体"/>
          <w:bCs/>
          <w:sz w:val="24"/>
          <w:szCs w:val="24"/>
        </w:rPr>
      </w:pPr>
      <w:r>
        <w:rPr>
          <w:rFonts w:hint="eastAsia" w:ascii="宋体" w:hAnsi="宋体"/>
          <w:bCs/>
          <w:sz w:val="24"/>
          <w:szCs w:val="24"/>
        </w:rPr>
        <w:t>5.3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5.4单位负责人为同一人或者存在直接控股、管理关系的不同供应商，不得参加同一合同项下的政府采购活动。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5.5为采购项目提供整体设计、规范编制或者项目管理、监理、检测等服务的供应商，不得再参加该采购项目的其他采购活动。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5.6由于法人分支机构不能独立承担民事责任，不能以分支机构的身份参加政府采购，只能以法人身份参加。</w:t>
      </w:r>
    </w:p>
    <w:p>
      <w:pPr>
        <w:spacing w:line="360" w:lineRule="auto"/>
        <w:ind w:firstLine="482" w:firstLineChars="200"/>
        <w:rPr>
          <w:rFonts w:ascii="宋体" w:hAnsi="宋体"/>
          <w:b/>
          <w:sz w:val="24"/>
          <w:szCs w:val="24"/>
        </w:rPr>
      </w:pPr>
      <w:r>
        <w:rPr>
          <w:rFonts w:hint="eastAsia" w:ascii="宋体" w:hAnsi="宋体"/>
          <w:b/>
          <w:sz w:val="24"/>
          <w:szCs w:val="24"/>
        </w:rPr>
        <w:t>6.语言文字以及度量衡单位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6.1所有文件使用的语言文字为简体中文。专用术语使用外文的，应附有简体中文注释，否则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6.2所有计量均采用中国法定的计量单位。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6.3所有报价一律使用人民币，货币单位：元。</w:t>
      </w:r>
    </w:p>
    <w:p>
      <w:pPr>
        <w:spacing w:line="360" w:lineRule="auto"/>
        <w:ind w:firstLine="482" w:firstLineChars="200"/>
        <w:rPr>
          <w:rFonts w:ascii="宋体" w:hAnsi="宋体"/>
          <w:b/>
          <w:sz w:val="24"/>
          <w:szCs w:val="24"/>
        </w:rPr>
      </w:pPr>
      <w:r>
        <w:rPr>
          <w:rFonts w:hint="eastAsia" w:ascii="宋体" w:hAnsi="宋体"/>
          <w:b/>
          <w:sz w:val="24"/>
          <w:szCs w:val="24"/>
        </w:rPr>
        <w:t>7.其他条款</w:t>
      </w:r>
    </w:p>
    <w:p>
      <w:pPr>
        <w:spacing w:line="360" w:lineRule="auto"/>
        <w:ind w:firstLine="480" w:firstLineChars="200"/>
        <w:rPr>
          <w:rFonts w:ascii="宋体" w:hAnsi="宋体"/>
          <w:sz w:val="24"/>
          <w:szCs w:val="24"/>
        </w:rPr>
      </w:pPr>
      <w:r>
        <w:rPr>
          <w:rFonts w:hint="eastAsia" w:ascii="宋体" w:hAnsi="宋体"/>
          <w:sz w:val="24"/>
          <w:szCs w:val="24"/>
        </w:rPr>
        <w:t>无论成交与否供应商递交的响应文件均不予退还。</w:t>
      </w:r>
    </w:p>
    <w:p>
      <w:pPr>
        <w:spacing w:line="360" w:lineRule="auto"/>
        <w:ind w:firstLine="482" w:firstLineChars="200"/>
        <w:rPr>
          <w:rFonts w:ascii="宋体" w:hAnsi="宋体"/>
          <w:b/>
          <w:sz w:val="24"/>
          <w:szCs w:val="24"/>
        </w:rPr>
      </w:pPr>
      <w:r>
        <w:rPr>
          <w:rFonts w:hint="eastAsia" w:ascii="宋体" w:hAnsi="宋体"/>
          <w:b/>
          <w:sz w:val="24"/>
          <w:szCs w:val="24"/>
        </w:rPr>
        <w:t>三.单一来源文件的构成</w:t>
      </w:r>
    </w:p>
    <w:p>
      <w:pPr>
        <w:spacing w:line="360" w:lineRule="auto"/>
        <w:ind w:firstLine="480" w:firstLineChars="200"/>
        <w:rPr>
          <w:rFonts w:ascii="宋体" w:hAnsi="宋体"/>
          <w:b/>
          <w:sz w:val="24"/>
          <w:szCs w:val="24"/>
        </w:rPr>
      </w:pPr>
      <w:r>
        <w:rPr>
          <w:rFonts w:hint="eastAsia" w:ascii="宋体" w:hAnsi="宋体"/>
          <w:sz w:val="24"/>
          <w:szCs w:val="24"/>
        </w:rPr>
        <w:t>（1）单一来源采购公告；</w:t>
      </w:r>
    </w:p>
    <w:p>
      <w:pPr>
        <w:spacing w:line="360" w:lineRule="auto"/>
        <w:ind w:firstLine="480" w:firstLineChars="200"/>
        <w:rPr>
          <w:rFonts w:ascii="宋体" w:hAnsi="宋体"/>
          <w:sz w:val="24"/>
          <w:szCs w:val="24"/>
        </w:rPr>
      </w:pPr>
      <w:r>
        <w:rPr>
          <w:rFonts w:hint="eastAsia" w:ascii="宋体" w:hAnsi="宋体"/>
          <w:sz w:val="24"/>
          <w:szCs w:val="24"/>
        </w:rPr>
        <w:t>（2）供应商须知；</w:t>
      </w:r>
    </w:p>
    <w:p>
      <w:pPr>
        <w:spacing w:line="360" w:lineRule="auto"/>
        <w:ind w:firstLine="480" w:firstLineChars="200"/>
        <w:rPr>
          <w:rFonts w:ascii="宋体" w:hAnsi="宋体"/>
          <w:sz w:val="24"/>
          <w:szCs w:val="24"/>
        </w:rPr>
      </w:pPr>
      <w:r>
        <w:rPr>
          <w:rFonts w:hint="eastAsia" w:ascii="宋体" w:hAnsi="宋体"/>
          <w:sz w:val="24"/>
          <w:szCs w:val="24"/>
        </w:rPr>
        <w:t>（3）合同条款和格式；</w:t>
      </w:r>
    </w:p>
    <w:p>
      <w:pPr>
        <w:spacing w:line="360" w:lineRule="auto"/>
        <w:ind w:firstLine="480" w:firstLineChars="200"/>
        <w:rPr>
          <w:rFonts w:ascii="宋体" w:hAnsi="宋体"/>
          <w:sz w:val="24"/>
          <w:szCs w:val="24"/>
        </w:rPr>
      </w:pPr>
      <w:r>
        <w:rPr>
          <w:rFonts w:hint="eastAsia" w:ascii="宋体" w:hAnsi="宋体"/>
          <w:sz w:val="24"/>
          <w:szCs w:val="24"/>
        </w:rPr>
        <w:t>（4）单一来源内容和技术要求；</w:t>
      </w:r>
    </w:p>
    <w:p>
      <w:pPr>
        <w:spacing w:line="360" w:lineRule="auto"/>
        <w:ind w:firstLine="480" w:firstLineChars="200"/>
        <w:rPr>
          <w:rFonts w:ascii="宋体" w:hAnsi="宋体"/>
          <w:sz w:val="24"/>
          <w:szCs w:val="24"/>
        </w:rPr>
      </w:pPr>
      <w:r>
        <w:rPr>
          <w:rFonts w:hint="eastAsia" w:ascii="宋体" w:hAnsi="宋体"/>
          <w:sz w:val="24"/>
          <w:szCs w:val="24"/>
        </w:rPr>
        <w:t>（5）单一来源程序及方法；</w:t>
      </w:r>
    </w:p>
    <w:p>
      <w:pPr>
        <w:spacing w:line="360" w:lineRule="auto"/>
        <w:ind w:firstLine="482" w:firstLineChars="200"/>
        <w:rPr>
          <w:rFonts w:ascii="宋体" w:hAnsi="宋体"/>
          <w:b/>
          <w:sz w:val="24"/>
          <w:szCs w:val="24"/>
        </w:rPr>
      </w:pPr>
      <w:r>
        <w:rPr>
          <w:rFonts w:hint="eastAsia" w:ascii="宋体" w:hAnsi="宋体"/>
          <w:b/>
          <w:sz w:val="24"/>
          <w:szCs w:val="24"/>
        </w:rPr>
        <w:t>四.响应文件</w:t>
      </w:r>
    </w:p>
    <w:p>
      <w:pPr>
        <w:spacing w:line="360" w:lineRule="auto"/>
        <w:ind w:firstLine="482" w:firstLineChars="200"/>
        <w:rPr>
          <w:rFonts w:ascii="宋体" w:hAnsi="宋体"/>
          <w:b/>
          <w:sz w:val="24"/>
          <w:szCs w:val="24"/>
        </w:rPr>
      </w:pPr>
      <w:r>
        <w:rPr>
          <w:rFonts w:hint="eastAsia" w:ascii="宋体" w:hAnsi="宋体"/>
          <w:b/>
          <w:sz w:val="24"/>
          <w:szCs w:val="24"/>
        </w:rPr>
        <w:t>1.响应文件的构成</w:t>
      </w:r>
    </w:p>
    <w:p>
      <w:pPr>
        <w:spacing w:line="360" w:lineRule="auto"/>
        <w:ind w:firstLine="480" w:firstLineChars="200"/>
        <w:rPr>
          <w:rFonts w:ascii="宋体" w:hAnsi="宋体"/>
          <w:sz w:val="24"/>
          <w:szCs w:val="24"/>
        </w:rPr>
      </w:pPr>
      <w:r>
        <w:rPr>
          <w:rFonts w:hint="eastAsia" w:ascii="宋体" w:hAnsi="宋体"/>
          <w:sz w:val="24"/>
          <w:szCs w:val="24"/>
        </w:rPr>
        <w:t>响应文件应按照单一来源文件第七章“响应文件格式”进行编写（可以增加附页），作为响应文件的组成部分。</w:t>
      </w:r>
    </w:p>
    <w:p>
      <w:pPr>
        <w:spacing w:line="360" w:lineRule="auto"/>
        <w:ind w:firstLine="482" w:firstLineChars="200"/>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供应商应按照“第四章单一来源内容与要求”的</w:t>
      </w:r>
      <w:r>
        <w:rPr>
          <w:rFonts w:hint="eastAsia" w:ascii="宋体" w:hAnsi="宋体"/>
          <w:sz w:val="24"/>
          <w:szCs w:val="24"/>
        </w:rPr>
        <w:t>服务</w:t>
      </w:r>
      <w:r>
        <w:rPr>
          <w:rFonts w:ascii="宋体" w:hAnsi="宋体"/>
          <w:sz w:val="24"/>
          <w:szCs w:val="24"/>
        </w:rPr>
        <w:t>内容</w:t>
      </w:r>
      <w:r>
        <w:rPr>
          <w:rFonts w:hint="eastAsia" w:ascii="宋体" w:hAnsi="宋体"/>
          <w:sz w:val="24"/>
          <w:szCs w:val="24"/>
        </w:rPr>
        <w:t>、</w:t>
      </w:r>
      <w:r>
        <w:rPr>
          <w:rFonts w:ascii="宋体" w:hAnsi="宋体"/>
          <w:sz w:val="24"/>
          <w:szCs w:val="24"/>
        </w:rPr>
        <w:t>责任范围以及合同条款进行报价。并按“开标一览表”和“分项报价明细表”规定的格式报出总价和分项价格</w:t>
      </w:r>
      <w:r>
        <w:rPr>
          <w:rFonts w:ascii="宋体" w:hAnsi="宋体"/>
          <w:kern w:val="0"/>
          <w:sz w:val="24"/>
          <w:szCs w:val="24"/>
        </w:rPr>
        <w:t>。投标总价中不得包含单一来源文件要求以外的内容，否则，在评审时不予核减。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围：本次投标报价为一次性报价。投标报价含本招标文件要求、合同履约需要及服务过程中所产生的全部费用。</w:t>
      </w:r>
    </w:p>
    <w:p>
      <w:pPr>
        <w:tabs>
          <w:tab w:val="left" w:pos="567"/>
        </w:tabs>
        <w:spacing w:line="360" w:lineRule="auto"/>
        <w:ind w:firstLine="480" w:firstLineChars="200"/>
        <w:rPr>
          <w:rFonts w:ascii="宋体" w:hAnsi="宋体"/>
          <w:sz w:val="24"/>
          <w:szCs w:val="24"/>
        </w:rPr>
      </w:pPr>
      <w:r>
        <w:rPr>
          <w:rFonts w:hint="eastAsia" w:ascii="宋体" w:hAnsi="宋体"/>
          <w:sz w:val="24"/>
          <w:szCs w:val="24"/>
        </w:rPr>
        <w:t>2.3投标报价不得有选择性报价和附有条件的报价，不得缺项、漏项、不得高于预算价，否则按无效投标处理。</w:t>
      </w:r>
    </w:p>
    <w:p>
      <w:pPr>
        <w:spacing w:line="360" w:lineRule="auto"/>
        <w:ind w:firstLine="480" w:firstLineChars="200"/>
        <w:rPr>
          <w:rFonts w:ascii="宋体" w:hAnsi="宋体"/>
          <w:sz w:val="24"/>
          <w:szCs w:val="24"/>
        </w:rPr>
      </w:pPr>
      <w:r>
        <w:rPr>
          <w:rFonts w:hint="eastAsia" w:ascii="宋体" w:hAnsi="宋体"/>
          <w:sz w:val="24"/>
          <w:szCs w:val="24"/>
        </w:rPr>
        <w:t>2.4供应商应按单一来源文件《开标一览表》要求的统一格式填写。</w:t>
      </w:r>
    </w:p>
    <w:p>
      <w:pPr>
        <w:spacing w:line="360" w:lineRule="auto"/>
        <w:ind w:firstLine="480" w:firstLineChars="200"/>
        <w:rPr>
          <w:rFonts w:ascii="宋体" w:hAnsi="宋体"/>
          <w:sz w:val="24"/>
          <w:szCs w:val="24"/>
        </w:rPr>
      </w:pPr>
      <w:r>
        <w:rPr>
          <w:rFonts w:hint="eastAsia" w:ascii="宋体" w:hAnsi="宋体"/>
          <w:sz w:val="24"/>
          <w:szCs w:val="24"/>
        </w:rPr>
        <w:t>2.5</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）响应文件中开标一览表（报价表）内容与响应文件中相应内容不一致的，以开标一览表（报价表）为准；</w:t>
      </w:r>
    </w:p>
    <w:p>
      <w:pPr>
        <w:widowControl/>
        <w:spacing w:line="360" w:lineRule="auto"/>
        <w:ind w:firstLine="482" w:firstLineChars="201"/>
        <w:rPr>
          <w:rFonts w:ascii="宋体" w:hAnsi="宋体"/>
          <w:kern w:val="0"/>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hAnsi="宋体" w:cs="宋体"/>
          <w:kern w:val="0"/>
          <w:sz w:val="24"/>
          <w:szCs w:val="24"/>
        </w:rPr>
        <w:t>大写金额和小写金额不一致的，以大写金额为准；</w:t>
      </w:r>
    </w:p>
    <w:p>
      <w:pPr>
        <w:spacing w:line="360" w:lineRule="auto"/>
        <w:ind w:firstLine="480" w:firstLineChars="200"/>
        <w:rPr>
          <w:rFonts w:ascii="宋体" w:hAnsi="宋体" w:cs="宋体"/>
          <w:kern w:val="0"/>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hint="eastAsia" w:ascii="宋体" w:hAnsi="宋体" w:cs="宋体"/>
          <w:kern w:val="0"/>
          <w:sz w:val="24"/>
          <w:szCs w:val="24"/>
        </w:rPr>
        <w:t>单价金额之和与总价不符的，应以总价为准。</w:t>
      </w:r>
    </w:p>
    <w:p>
      <w:pPr>
        <w:spacing w:line="360" w:lineRule="auto"/>
        <w:ind w:firstLine="482" w:firstLineChars="200"/>
        <w:rPr>
          <w:rFonts w:ascii="宋体" w:hAnsi="宋体"/>
          <w:b/>
          <w:sz w:val="24"/>
          <w:szCs w:val="24"/>
        </w:rPr>
      </w:pPr>
      <w:r>
        <w:rPr>
          <w:rFonts w:hint="eastAsia" w:ascii="宋体" w:hAnsi="宋体"/>
          <w:b/>
          <w:sz w:val="24"/>
          <w:szCs w:val="24"/>
        </w:rPr>
        <w:t>3.响应文件的编制要求</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3.1纸质响应文件编制要求：响应文件应用A4纸书写、打印，响应文件正本1份,副本2份。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3.2电子版响应文件编制要求：提供PDF格式和word格式电子文档一份，内容必须一致，在电子文档上标明供应商全称。（电子文档可使用U盘或光盘）。</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注：供应商在响应文件及相关书面文件中的单位公章（包括印章、公章等）均指与供应商名称全称一致的标准公章，不得使用其他形式（如带有“专用章”、“财务章”、“业务章”等）的印章。</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3.4响应文件的装订应采用胶订方式牢固装订成册，不可插页抽页，不可采用活页纸进行装订；供应商同时对多个标包投标的，响应文件应按所投标包分别编制并分册胶装、分包密封。</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3.5响应文件的密封。供应商应使用密封袋将响应文件密封，电子文档可密封至响应文件中也可单独密封。密封封面上需注明“项目名称”、“项目编号”、“分包号”、“供应商全称”和《响应文件》或《电子版》字样，并在密封包装上粘贴密封条。</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供应商按上述规定进行密封和标记后，将响应文件按照单一来源文件的要求送达指定地点。如果未按上述规定进行密封和标记，</w:t>
      </w:r>
      <w:r>
        <w:rPr>
          <w:rFonts w:hint="eastAsia" w:ascii="宋体" w:hAnsi="宋体"/>
          <w:sz w:val="24"/>
          <w:szCs w:val="24"/>
          <w:lang w:eastAsia="zh-CN"/>
        </w:rPr>
        <w:t>公共资源交易中心</w:t>
      </w:r>
      <w:r>
        <w:rPr>
          <w:rFonts w:hint="eastAsia" w:ascii="宋体" w:hAnsi="宋体"/>
          <w:sz w:val="24"/>
          <w:szCs w:val="24"/>
        </w:rPr>
        <w:t>对误投或提前启封概不负责。</w:t>
      </w:r>
    </w:p>
    <w:p>
      <w:pPr>
        <w:spacing w:line="360" w:lineRule="auto"/>
        <w:ind w:firstLine="482" w:firstLineChars="200"/>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4.1在供应商须知前附表规定的投标有效期内，供应商不得要求撤销或修改其响应文件。</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4.2出现特殊情况需要延长投标有效期的，采购人以书面形式通知所有供应商延长投标有效期。</w:t>
      </w:r>
    </w:p>
    <w:p>
      <w:pPr>
        <w:spacing w:line="360" w:lineRule="auto"/>
        <w:ind w:firstLine="482" w:firstLineChars="200"/>
        <w:rPr>
          <w:rFonts w:ascii="宋体" w:hAnsi="宋体"/>
          <w:sz w:val="24"/>
          <w:szCs w:val="24"/>
        </w:rPr>
      </w:pPr>
      <w:r>
        <w:rPr>
          <w:rFonts w:hint="eastAsia" w:ascii="宋体" w:hAnsi="宋体"/>
          <w:b/>
          <w:sz w:val="24"/>
          <w:szCs w:val="24"/>
        </w:rPr>
        <w:t>5.</w:t>
      </w:r>
      <w:r>
        <w:rPr>
          <w:rFonts w:ascii="宋体" w:hAnsi="宋体"/>
          <w:b/>
          <w:sz w:val="24"/>
          <w:szCs w:val="24"/>
        </w:rPr>
        <w:t>响应文件的修改和撤回</w:t>
      </w:r>
    </w:p>
    <w:p>
      <w:pPr>
        <w:spacing w:line="360" w:lineRule="auto"/>
        <w:ind w:firstLine="480" w:firstLineChars="200"/>
        <w:rPr>
          <w:rFonts w:ascii="宋体" w:hAnsi="宋体"/>
          <w:sz w:val="24"/>
          <w:szCs w:val="24"/>
        </w:rPr>
      </w:pPr>
      <w:r>
        <w:rPr>
          <w:rFonts w:hint="eastAsia" w:ascii="宋体" w:hAnsi="宋体"/>
          <w:sz w:val="24"/>
          <w:szCs w:val="24"/>
        </w:rPr>
        <w:t>供应商在投标截止时间前，可以对所递交的响应文件进行补充、修改或者撤回。补充、修改的内容应当按单一来源文件要求签署、盖章，并作为响应文件的组成部分；补充、修改的内容与响应文件不一致的，以补充、修改的内容为准；撤回的应以书面形式告知</w:t>
      </w:r>
      <w:r>
        <w:rPr>
          <w:rFonts w:hint="eastAsia" w:ascii="宋体" w:hAnsi="宋体"/>
          <w:sz w:val="24"/>
          <w:szCs w:val="24"/>
          <w:lang w:eastAsia="zh-CN"/>
        </w:rPr>
        <w:t>公共资源交易中心</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在递交响应文件截止时间后到单一来源文件规定的投标有效期终止之前，供应商不得补充、修改、替代或者撤回其响应文件。</w:t>
      </w:r>
    </w:p>
    <w:p>
      <w:pPr>
        <w:spacing w:line="360" w:lineRule="auto"/>
        <w:ind w:firstLine="482" w:firstLineChars="200"/>
        <w:rPr>
          <w:rFonts w:ascii="宋体" w:hAnsi="宋体"/>
          <w:sz w:val="24"/>
          <w:szCs w:val="24"/>
        </w:rPr>
      </w:pPr>
      <w:r>
        <w:rPr>
          <w:rFonts w:hint="eastAsia" w:ascii="宋体" w:hAnsi="宋体"/>
          <w:b/>
          <w:sz w:val="24"/>
          <w:szCs w:val="24"/>
        </w:rPr>
        <w:t>6.响应文件的递交</w:t>
      </w:r>
    </w:p>
    <w:p>
      <w:pPr>
        <w:spacing w:line="360" w:lineRule="auto"/>
        <w:ind w:firstLine="480" w:firstLineChars="200"/>
        <w:rPr>
          <w:rFonts w:ascii="宋体" w:hAnsi="宋体"/>
          <w:sz w:val="24"/>
          <w:szCs w:val="24"/>
        </w:rPr>
      </w:pPr>
      <w:r>
        <w:rPr>
          <w:rFonts w:hint="eastAsia" w:ascii="宋体" w:hAnsi="宋体"/>
          <w:sz w:val="24"/>
          <w:szCs w:val="24"/>
        </w:rPr>
        <w:t>在单一来源文件要求提交响应文件的截止时间之后送达的响应文件</w:t>
      </w:r>
      <w:r>
        <w:rPr>
          <w:rFonts w:hint="eastAsia" w:ascii="宋体" w:hAnsi="宋体"/>
          <w:kern w:val="0"/>
          <w:sz w:val="24"/>
          <w:szCs w:val="24"/>
        </w:rPr>
        <w:t>，</w:t>
      </w:r>
      <w:r>
        <w:rPr>
          <w:rFonts w:hint="eastAsia" w:ascii="宋体" w:hAnsi="宋体"/>
          <w:sz w:val="24"/>
          <w:szCs w:val="24"/>
        </w:rPr>
        <w:t>为无效响应文件，采购单位或</w:t>
      </w:r>
      <w:r>
        <w:rPr>
          <w:rFonts w:hint="eastAsia" w:ascii="宋体" w:hAnsi="宋体"/>
          <w:sz w:val="24"/>
          <w:szCs w:val="24"/>
          <w:lang w:eastAsia="zh-CN"/>
        </w:rPr>
        <w:t>公共资源交易中心</w:t>
      </w:r>
      <w:r>
        <w:rPr>
          <w:rFonts w:hint="eastAsia" w:ascii="宋体" w:hAnsi="宋体"/>
          <w:sz w:val="24"/>
          <w:szCs w:val="24"/>
        </w:rPr>
        <w:t>拒收。</w:t>
      </w:r>
    </w:p>
    <w:p>
      <w:pPr>
        <w:spacing w:line="360" w:lineRule="auto"/>
        <w:ind w:firstLine="482" w:firstLineChars="200"/>
        <w:rPr>
          <w:rFonts w:ascii="宋体" w:hAnsi="宋体"/>
          <w:b/>
          <w:sz w:val="24"/>
          <w:szCs w:val="24"/>
        </w:rPr>
      </w:pPr>
      <w:r>
        <w:rPr>
          <w:rFonts w:hint="eastAsia" w:ascii="宋体" w:hAnsi="宋体"/>
          <w:b/>
          <w:sz w:val="24"/>
          <w:szCs w:val="24"/>
        </w:rPr>
        <w:t>六.商定</w:t>
      </w:r>
    </w:p>
    <w:p>
      <w:pPr>
        <w:spacing w:line="360" w:lineRule="auto"/>
        <w:ind w:firstLine="482" w:firstLineChars="200"/>
        <w:rPr>
          <w:rFonts w:ascii="宋体" w:hAnsi="宋体"/>
          <w:b/>
          <w:sz w:val="24"/>
          <w:szCs w:val="24"/>
        </w:rPr>
      </w:pPr>
      <w:r>
        <w:rPr>
          <w:rFonts w:hint="eastAsia" w:ascii="宋体" w:hAnsi="宋体"/>
          <w:b/>
          <w:sz w:val="24"/>
          <w:szCs w:val="24"/>
        </w:rPr>
        <w:t>商定时间和地点</w:t>
      </w:r>
    </w:p>
    <w:p>
      <w:pPr>
        <w:spacing w:line="360" w:lineRule="auto"/>
        <w:ind w:firstLine="480" w:firstLineChars="200"/>
        <w:rPr>
          <w:rFonts w:ascii="宋体" w:hAnsi="宋体"/>
          <w:sz w:val="24"/>
          <w:szCs w:val="24"/>
        </w:rPr>
      </w:pPr>
      <w:r>
        <w:rPr>
          <w:rFonts w:hint="eastAsia" w:ascii="宋体" w:hAnsi="宋体"/>
          <w:sz w:val="24"/>
          <w:szCs w:val="24"/>
        </w:rPr>
        <w:t>1.商定时间与投标截止时间为同一时间；商定地点为单一来源文件规定的地点。</w:t>
      </w:r>
    </w:p>
    <w:p>
      <w:pPr>
        <w:spacing w:line="360" w:lineRule="auto"/>
        <w:ind w:firstLine="480" w:firstLineChars="200"/>
        <w:rPr>
          <w:rFonts w:ascii="宋体" w:hAnsi="宋体"/>
          <w:sz w:val="24"/>
          <w:szCs w:val="24"/>
        </w:rPr>
      </w:pPr>
      <w:r>
        <w:rPr>
          <w:rFonts w:hint="eastAsia" w:ascii="宋体" w:hAnsi="宋体"/>
          <w:sz w:val="24"/>
          <w:szCs w:val="24"/>
        </w:rPr>
        <w:t>2.采购人、</w:t>
      </w:r>
      <w:r>
        <w:rPr>
          <w:rFonts w:hint="eastAsia" w:ascii="宋体" w:hAnsi="宋体"/>
          <w:sz w:val="24"/>
          <w:szCs w:val="24"/>
          <w:lang w:eastAsia="zh-CN"/>
        </w:rPr>
        <w:t>公共资源交易中心</w:t>
      </w:r>
      <w:r>
        <w:rPr>
          <w:rFonts w:hint="eastAsia" w:ascii="宋体" w:hAnsi="宋体"/>
          <w:sz w:val="24"/>
          <w:szCs w:val="24"/>
        </w:rPr>
        <w:t>对误投或未按规定时间、地点进行投标的概不负责。</w:t>
      </w:r>
    </w:p>
    <w:p>
      <w:pPr>
        <w:spacing w:line="360" w:lineRule="auto"/>
        <w:ind w:firstLine="482" w:firstLineChars="200"/>
        <w:rPr>
          <w:rFonts w:ascii="宋体" w:hAnsi="宋体"/>
          <w:b/>
          <w:sz w:val="24"/>
          <w:szCs w:val="24"/>
        </w:rPr>
      </w:pPr>
      <w:r>
        <w:rPr>
          <w:rFonts w:hint="eastAsia" w:ascii="宋体" w:hAnsi="宋体"/>
          <w:b/>
          <w:sz w:val="24"/>
          <w:szCs w:val="24"/>
        </w:rPr>
        <w:t>七.评审</w:t>
      </w:r>
    </w:p>
    <w:p>
      <w:pPr>
        <w:spacing w:line="360" w:lineRule="auto"/>
        <w:ind w:firstLine="480" w:firstLineChars="200"/>
        <w:rPr>
          <w:rFonts w:ascii="宋体" w:hAnsi="宋体"/>
          <w:sz w:val="24"/>
          <w:szCs w:val="24"/>
        </w:rPr>
      </w:pPr>
      <w:r>
        <w:rPr>
          <w:rFonts w:hint="eastAsia" w:ascii="宋体" w:hAnsi="宋体"/>
          <w:sz w:val="24"/>
          <w:szCs w:val="24"/>
        </w:rPr>
        <w:t>1.单一来源采购人员</w:t>
      </w:r>
    </w:p>
    <w:p>
      <w:pPr>
        <w:spacing w:line="360" w:lineRule="auto"/>
        <w:ind w:firstLine="480" w:firstLineChars="200"/>
        <w:rPr>
          <w:rFonts w:ascii="宋体" w:hAnsi="宋体"/>
          <w:sz w:val="24"/>
          <w:szCs w:val="24"/>
        </w:rPr>
      </w:pPr>
      <w:r>
        <w:rPr>
          <w:rFonts w:hint="eastAsia" w:ascii="宋体" w:hAnsi="宋体"/>
          <w:sz w:val="24"/>
          <w:szCs w:val="24"/>
        </w:rPr>
        <w:t>1.1单一来源采购人员由采购人代表和评审专家共3人及以上单数组成，其中评审专家人数不得少于单一来源小组成员总数的2/3。</w:t>
      </w:r>
    </w:p>
    <w:p>
      <w:pPr>
        <w:spacing w:line="360" w:lineRule="auto"/>
        <w:ind w:firstLine="480" w:firstLineChars="200"/>
        <w:rPr>
          <w:rFonts w:ascii="宋体" w:hAnsi="宋体"/>
          <w:sz w:val="24"/>
          <w:szCs w:val="24"/>
        </w:rPr>
      </w:pPr>
      <w:r>
        <w:rPr>
          <w:rFonts w:hint="eastAsia" w:ascii="宋体" w:hAnsi="宋体"/>
          <w:sz w:val="24"/>
          <w:szCs w:val="24"/>
        </w:rPr>
        <w:t>1.2单一来源采购人员成员有下列情形之一的，应当回避：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（1）参加采购活动前三年内,与供应商存在劳动关系,或者担任过供应商的董事、监事,或者是供应商的控股股东或实际控制人；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（2）与供应商的法定代表人或者负责人有夫妻、直系血亲、三代以内旁系血亲或者近姻亲关系；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（3）与供应商有其他可能影响政府采购活动公平、公正进行的关系；</w:t>
      </w:r>
    </w:p>
    <w:p>
      <w:pPr>
        <w:spacing w:line="360" w:lineRule="auto"/>
        <w:ind w:firstLine="482" w:firstLineChars="200"/>
        <w:rPr>
          <w:rFonts w:ascii="宋体" w:hAnsi="宋体"/>
          <w:b/>
          <w:sz w:val="24"/>
          <w:szCs w:val="24"/>
        </w:rPr>
      </w:pPr>
      <w:r>
        <w:rPr>
          <w:rFonts w:hint="eastAsia" w:ascii="宋体" w:hAnsi="宋体"/>
          <w:b/>
          <w:sz w:val="24"/>
          <w:szCs w:val="24"/>
        </w:rPr>
        <w:t>2.单一来源原则</w:t>
      </w:r>
    </w:p>
    <w:p>
      <w:pPr>
        <w:spacing w:line="360" w:lineRule="auto"/>
        <w:ind w:firstLine="480" w:firstLineChars="200"/>
        <w:rPr>
          <w:rFonts w:ascii="宋体" w:hAnsi="宋体"/>
          <w:sz w:val="24"/>
          <w:szCs w:val="24"/>
        </w:rPr>
      </w:pPr>
      <w:r>
        <w:rPr>
          <w:rFonts w:hint="eastAsia" w:ascii="宋体" w:hAnsi="宋体"/>
          <w:sz w:val="24"/>
          <w:szCs w:val="24"/>
        </w:rPr>
        <w:t>单一来源活动遵循公平、公正、科学和择优的原则，以单一来源文件和响应文件为基本依据，并按照单一来源文件规定的方法和标准与供应商商定合理的成交价格并保证采购项目质量。</w:t>
      </w:r>
    </w:p>
    <w:p>
      <w:pPr>
        <w:spacing w:line="360" w:lineRule="auto"/>
        <w:ind w:firstLine="482" w:firstLineChars="200"/>
        <w:rPr>
          <w:rFonts w:ascii="宋体" w:hAnsi="宋体"/>
          <w:sz w:val="24"/>
          <w:szCs w:val="24"/>
        </w:rPr>
      </w:pPr>
      <w:r>
        <w:rPr>
          <w:rFonts w:hint="eastAsia" w:ascii="宋体" w:hAnsi="宋体"/>
          <w:b/>
          <w:sz w:val="24"/>
          <w:szCs w:val="24"/>
        </w:rPr>
        <w:t>3.采购活动终止的情形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出现下列情形之一的，采购人或者采购代理机构应当终止采购活动：</w:t>
      </w:r>
    </w:p>
    <w:p>
      <w:pPr>
        <w:spacing w:line="360" w:lineRule="auto"/>
        <w:ind w:firstLine="480" w:firstLineChars="200"/>
        <w:rPr>
          <w:rFonts w:ascii="宋体" w:hAnsi="宋体"/>
          <w:sz w:val="24"/>
          <w:szCs w:val="24"/>
        </w:rPr>
      </w:pPr>
      <w:r>
        <w:rPr>
          <w:rFonts w:hint="eastAsia" w:ascii="宋体" w:hAnsi="宋体"/>
          <w:sz w:val="24"/>
          <w:szCs w:val="24"/>
        </w:rPr>
        <w:t>（1）因情况变化，不再符合规定的单一来源采购方式适用情形的；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（3）报价超过采购预算的。</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（5）法律、法规以及单一来源文件规定其他情形。</w:t>
      </w:r>
    </w:p>
    <w:p>
      <w:pPr>
        <w:spacing w:line="360" w:lineRule="auto"/>
        <w:ind w:firstLine="482" w:firstLineChars="200"/>
        <w:rPr>
          <w:rFonts w:ascii="宋体" w:hAnsi="宋体"/>
          <w:b/>
          <w:sz w:val="24"/>
          <w:szCs w:val="24"/>
        </w:rPr>
      </w:pPr>
      <w:r>
        <w:rPr>
          <w:rFonts w:hint="eastAsia" w:ascii="宋体" w:hAnsi="宋体"/>
          <w:b/>
          <w:sz w:val="24"/>
          <w:szCs w:val="24"/>
        </w:rPr>
        <w:t>4.定标</w:t>
      </w:r>
    </w:p>
    <w:p>
      <w:pPr>
        <w:spacing w:line="360" w:lineRule="auto"/>
        <w:ind w:firstLine="480" w:firstLineChars="200"/>
        <w:rPr>
          <w:rFonts w:ascii="宋体" w:hAnsi="宋体"/>
          <w:sz w:val="24"/>
          <w:szCs w:val="24"/>
        </w:rPr>
      </w:pPr>
      <w:r>
        <w:rPr>
          <w:rFonts w:hint="eastAsia" w:ascii="宋体" w:hAnsi="宋体"/>
          <w:sz w:val="24"/>
          <w:szCs w:val="24"/>
        </w:rPr>
        <w:t>单一来源采购人员按照单一来源文件确定的方法、步骤、标准确定合理的成交价格并保证采购项目质量。</w:t>
      </w:r>
    </w:p>
    <w:p>
      <w:pPr>
        <w:spacing w:line="360" w:lineRule="auto"/>
        <w:ind w:firstLine="482" w:firstLineChars="200"/>
        <w:rPr>
          <w:rFonts w:ascii="宋体" w:hAnsi="宋体"/>
          <w:b/>
          <w:sz w:val="24"/>
          <w:szCs w:val="24"/>
        </w:rPr>
      </w:pPr>
      <w:r>
        <w:rPr>
          <w:rFonts w:hint="eastAsia" w:ascii="宋体" w:hAnsi="宋体"/>
          <w:b/>
          <w:sz w:val="24"/>
          <w:szCs w:val="24"/>
        </w:rPr>
        <w:t>5.成交结果公告</w:t>
      </w:r>
    </w:p>
    <w:p>
      <w:pPr>
        <w:spacing w:line="360" w:lineRule="auto"/>
        <w:ind w:firstLine="480" w:firstLineChars="200"/>
        <w:rPr>
          <w:rFonts w:ascii="宋体" w:hAnsi="宋体"/>
          <w:sz w:val="24"/>
          <w:szCs w:val="24"/>
        </w:rPr>
      </w:pPr>
      <w:r>
        <w:rPr>
          <w:rFonts w:hint="eastAsia" w:ascii="宋体" w:hAnsi="宋体"/>
          <w:sz w:val="24"/>
          <w:szCs w:val="24"/>
        </w:rPr>
        <w:t>5.1成交供应商确定后，</w:t>
      </w:r>
      <w:r>
        <w:rPr>
          <w:rFonts w:hint="eastAsia" w:ascii="宋体" w:hAnsi="宋体"/>
          <w:sz w:val="24"/>
          <w:szCs w:val="24"/>
          <w:lang w:eastAsia="zh-CN"/>
        </w:rPr>
        <w:t>公共资源交易中心</w:t>
      </w:r>
      <w:r>
        <w:rPr>
          <w:rFonts w:hint="eastAsia" w:ascii="宋体" w:hAnsi="宋体"/>
          <w:sz w:val="24"/>
          <w:szCs w:val="24"/>
        </w:rPr>
        <w:t>将在内蒙古自治区政府采购网、内蒙古自治区公共资源交易网、鄂尔多斯市政府采购网和鄂尔多斯市公共资源交易网上发布成交结果公告，同时将成交结果以公告形式通知未成交的供应商，中标公告期限为1个工作日。</w:t>
      </w:r>
    </w:p>
    <w:p>
      <w:pPr>
        <w:spacing w:line="360" w:lineRule="auto"/>
        <w:ind w:firstLine="480" w:firstLineChars="200"/>
        <w:rPr>
          <w:rFonts w:ascii="宋体" w:hAnsi="宋体"/>
          <w:sz w:val="24"/>
          <w:szCs w:val="24"/>
        </w:rPr>
      </w:pPr>
      <w:r>
        <w:rPr>
          <w:rFonts w:hint="eastAsia" w:ascii="宋体" w:hAnsi="宋体"/>
          <w:sz w:val="24"/>
          <w:szCs w:val="24"/>
        </w:rPr>
        <w:t>5.2成交供应商须将成交货物报价明细表（WORD格式电子版，格式下载地址：鄂尔多斯市公共资源交易网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政府采购相关范本）（包括货物名称、生产厂家、品牌、规格、型号、数量、单位、单价及总价等）于单一来源结束后当天发送在</w:t>
      </w:r>
      <w:r>
        <w:rPr>
          <w:rFonts w:hint="eastAsia" w:ascii="宋体" w:hAnsi="宋体"/>
          <w:sz w:val="24"/>
          <w:szCs w:val="24"/>
          <w:lang w:eastAsia="zh-CN"/>
        </w:rPr>
        <w:t>公共资源交易中心</w:t>
      </w:r>
      <w:r>
        <w:rPr>
          <w:rFonts w:hint="eastAsia" w:ascii="宋体" w:hAnsi="宋体"/>
          <w:sz w:val="24"/>
          <w:szCs w:val="24"/>
        </w:rPr>
        <w:t>工作人员邮箱内（hjqzfcg@163.com，联系电话0477-686</w:t>
      </w:r>
      <w:r>
        <w:rPr>
          <w:rFonts w:hint="eastAsia" w:ascii="宋体" w:hAnsi="宋体"/>
          <w:sz w:val="24"/>
          <w:szCs w:val="24"/>
          <w:lang w:val="en-US" w:eastAsia="zh-CN"/>
        </w:rPr>
        <w:t>0</w:t>
      </w:r>
      <w:r>
        <w:rPr>
          <w:rFonts w:hint="eastAsia" w:ascii="宋体" w:hAnsi="宋体"/>
          <w:sz w:val="24"/>
          <w:szCs w:val="24"/>
        </w:rPr>
        <w:t>805），并在邮件标题注明项目名称及成交单位名称。</w:t>
      </w:r>
    </w:p>
    <w:p>
      <w:pPr>
        <w:spacing w:line="360" w:lineRule="auto"/>
        <w:ind w:firstLine="482" w:firstLineChars="200"/>
        <w:rPr>
          <w:rFonts w:ascii="宋体" w:hAnsi="宋体"/>
          <w:b/>
          <w:sz w:val="24"/>
          <w:szCs w:val="24"/>
        </w:rPr>
      </w:pPr>
      <w:r>
        <w:rPr>
          <w:rFonts w:hint="eastAsia" w:ascii="宋体" w:hAnsi="宋体"/>
          <w:b/>
          <w:sz w:val="24"/>
          <w:szCs w:val="24"/>
        </w:rPr>
        <w:t>八.成交通知书发放</w:t>
      </w:r>
    </w:p>
    <w:p>
      <w:pPr>
        <w:spacing w:line="360" w:lineRule="auto"/>
        <w:ind w:firstLine="480" w:firstLineChars="200"/>
        <w:rPr>
          <w:rFonts w:ascii="宋体" w:hAnsi="宋体"/>
          <w:sz w:val="24"/>
          <w:szCs w:val="24"/>
        </w:rPr>
      </w:pPr>
      <w:r>
        <w:rPr>
          <w:rFonts w:hint="eastAsia" w:ascii="宋体" w:hAnsi="宋体"/>
          <w:sz w:val="24"/>
          <w:szCs w:val="24"/>
          <w:lang w:eastAsia="zh-CN"/>
        </w:rPr>
        <w:t>公共资源交易中心</w:t>
      </w:r>
      <w:r>
        <w:rPr>
          <w:rFonts w:hint="eastAsia" w:ascii="宋体" w:hAnsi="宋体"/>
          <w:sz w:val="24"/>
          <w:szCs w:val="24"/>
        </w:rPr>
        <w:t>以书面形式向成交供应商发出成交通知书，</w:t>
      </w:r>
      <w:r>
        <w:rPr>
          <w:rFonts w:ascii="宋体" w:hAnsi="宋体"/>
          <w:sz w:val="24"/>
          <w:szCs w:val="24"/>
        </w:rPr>
        <w:t>成交通知书是合同的组成部分</w:t>
      </w:r>
      <w:r>
        <w:rPr>
          <w:rFonts w:hint="eastAsia" w:ascii="宋体" w:hAnsi="宋体"/>
          <w:sz w:val="24"/>
          <w:szCs w:val="24"/>
        </w:rPr>
        <w:t>，成交通知书对采购人和成交供应商具有同等法律效力。</w:t>
      </w:r>
    </w:p>
    <w:p>
      <w:pPr>
        <w:spacing w:line="360" w:lineRule="auto"/>
        <w:ind w:firstLine="480" w:firstLineChars="200"/>
        <w:rPr>
          <w:rFonts w:ascii="宋体" w:hAnsi="宋体"/>
          <w:sz w:val="24"/>
          <w:szCs w:val="24"/>
        </w:rPr>
      </w:pPr>
      <w:r>
        <w:rPr>
          <w:rFonts w:hint="eastAsia" w:ascii="宋体" w:hAnsi="宋体"/>
          <w:sz w:val="24"/>
          <w:szCs w:val="24"/>
        </w:rPr>
        <w:t>成交供应商须持法定代表人授权委托书及本人身份证至</w:t>
      </w:r>
      <w:r>
        <w:rPr>
          <w:rFonts w:hint="eastAsia" w:ascii="宋体" w:hAnsi="宋体"/>
          <w:sz w:val="24"/>
          <w:szCs w:val="24"/>
          <w:lang w:eastAsia="zh-CN"/>
        </w:rPr>
        <w:t>杭锦旗公共资源交易中心政府采购部</w:t>
      </w:r>
      <w:r>
        <w:rPr>
          <w:rFonts w:hint="eastAsia" w:ascii="宋体" w:hAnsi="宋体"/>
          <w:sz w:val="24"/>
          <w:szCs w:val="24"/>
        </w:rPr>
        <w:t>领取。</w:t>
      </w:r>
      <w:bookmarkEnd w:id="2"/>
      <w:bookmarkEnd w:id="3"/>
      <w:bookmarkStart w:id="6" w:name="_Toc447030612"/>
    </w:p>
    <w:p>
      <w:pPr>
        <w:pStyle w:val="39"/>
        <w:spacing w:line="360" w:lineRule="auto"/>
        <w:rPr>
          <w:rFonts w:ascii="宋体" w:hAnsi="宋体" w:eastAsia="宋体" w:cs="宋体"/>
          <w:sz w:val="24"/>
          <w:szCs w:val="24"/>
        </w:rPr>
      </w:pPr>
      <w:r>
        <w:rPr>
          <w:rFonts w:ascii="宋体" w:hAnsi="宋体" w:eastAsia="宋体" w:cs="宋体"/>
          <w:sz w:val="24"/>
          <w:szCs w:val="24"/>
        </w:rPr>
        <w:br w:type="page"/>
      </w:r>
      <w:bookmarkEnd w:id="6"/>
      <w:bookmarkStart w:id="7" w:name="_Toc497726800"/>
      <w:bookmarkStart w:id="8" w:name="_Toc494546020"/>
      <w:r>
        <w:rPr>
          <w:rFonts w:hint="eastAsia" w:ascii="宋体" w:hAnsi="宋体" w:eastAsia="宋体"/>
          <w:sz w:val="24"/>
          <w:szCs w:val="24"/>
        </w:rPr>
        <w:t>第三章 合同与验收</w:t>
      </w:r>
      <w:bookmarkEnd w:id="7"/>
      <w:bookmarkEnd w:id="8"/>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1.1采购人应当自中标通知书发出之日起30日内，按照单一来源文件和中标人响应文件的规定，与中标人签订书面合同。所签订的合同不得对单一来源文件确定的事项和中标人响应文件作实质性修改。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w:t>
      </w:r>
      <w:r>
        <w:rPr>
          <w:rFonts w:hint="eastAsia" w:ascii="宋体" w:hAnsi="宋体"/>
          <w:sz w:val="24"/>
          <w:szCs w:val="24"/>
          <w:lang w:eastAsia="zh-CN"/>
        </w:rPr>
        <w:t>杭锦旗公共资源交易中心政府采购部</w:t>
      </w:r>
      <w:r>
        <w:rPr>
          <w:rFonts w:hint="eastAsia" w:ascii="宋体" w:hAnsi="宋体"/>
          <w:sz w:val="24"/>
          <w:szCs w:val="24"/>
        </w:rPr>
        <w:t>（联系电话：0477-686</w:t>
      </w:r>
      <w:r>
        <w:rPr>
          <w:rFonts w:hint="eastAsia" w:ascii="宋体" w:hAnsi="宋体"/>
          <w:sz w:val="24"/>
          <w:szCs w:val="24"/>
          <w:lang w:val="en-US" w:eastAsia="zh-CN"/>
        </w:rPr>
        <w:t>0</w:t>
      </w:r>
      <w:r>
        <w:rPr>
          <w:rFonts w:hint="eastAsia" w:ascii="宋体" w:hAnsi="宋体"/>
          <w:sz w:val="24"/>
          <w:szCs w:val="24"/>
        </w:rPr>
        <w:t>805）存档，逾期未签订合同或未按时交回合同，将按照相关法律法规做出相应处罚。</w:t>
      </w:r>
      <w:bookmarkStart w:id="38" w:name="_GoBack"/>
      <w:bookmarkEnd w:id="38"/>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2.1具体格式见本单一来源文件后附拟签订的《合同文本》（部分合同条款），响应文件中可以不提供《合同文本》。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ascii="宋体" w:hAnsi="宋体"/>
          <w:b/>
          <w:bCs/>
          <w:kern w:val="44"/>
          <w:sz w:val="24"/>
          <w:szCs w:val="24"/>
        </w:rPr>
      </w:pPr>
      <w:r>
        <w:rPr>
          <w:rFonts w:hint="eastAsia" w:ascii="宋体" w:hAnsi="宋体"/>
          <w:sz w:val="24"/>
          <w:szCs w:val="24"/>
        </w:rPr>
        <w:t>中标人在供货、工程竣工或服务结束后，采购人应及时组织验收，并按照单一来源文件、响应文件及合同约定填写验收单（下载地址：鄂尔多斯市公共资源交易网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政府采购相关范本）。验收合格后2个工作日内，中标人应将政府采购项目验收单送达至鄂尔多斯市</w:t>
      </w:r>
      <w:r>
        <w:rPr>
          <w:rFonts w:hint="eastAsia" w:ascii="宋体" w:hAnsi="宋体"/>
          <w:sz w:val="24"/>
          <w:szCs w:val="24"/>
          <w:lang w:eastAsia="zh-CN"/>
        </w:rPr>
        <w:t>杭锦旗公共资源交易中心政府采购部</w:t>
      </w:r>
      <w:r>
        <w:rPr>
          <w:rFonts w:hint="eastAsia" w:hAnsi="宋体"/>
          <w:sz w:val="24"/>
          <w:szCs w:val="24"/>
        </w:rPr>
        <w:t>（联系电话：0477-686</w:t>
      </w:r>
      <w:r>
        <w:rPr>
          <w:rFonts w:hint="eastAsia" w:hAnsi="宋体"/>
          <w:sz w:val="24"/>
          <w:szCs w:val="24"/>
          <w:lang w:val="en-US" w:eastAsia="zh-CN"/>
        </w:rPr>
        <w:t>0</w:t>
      </w:r>
      <w:r>
        <w:rPr>
          <w:rFonts w:hint="eastAsia" w:hAnsi="宋体"/>
          <w:sz w:val="24"/>
          <w:szCs w:val="24"/>
        </w:rPr>
        <w:t>805）</w:t>
      </w:r>
      <w:r>
        <w:rPr>
          <w:rFonts w:hint="eastAsia" w:ascii="宋体" w:hAnsi="宋体"/>
          <w:sz w:val="24"/>
          <w:szCs w:val="24"/>
        </w:rPr>
        <w:t>存档。逾期未验收或未按时交回验收单，将按照相关法律法规做出相应处罚。</w:t>
      </w:r>
      <w:r>
        <w:rPr>
          <w:rFonts w:ascii="宋体" w:hAnsi="宋体"/>
          <w:b/>
          <w:bCs/>
          <w:kern w:val="44"/>
          <w:sz w:val="24"/>
          <w:szCs w:val="24"/>
        </w:rPr>
        <w:br w:type="page"/>
      </w:r>
    </w:p>
    <w:p>
      <w:pPr>
        <w:jc w:val="center"/>
        <w:rPr>
          <w:rFonts w:ascii="宋体" w:hAnsi="宋体"/>
          <w:b/>
          <w:sz w:val="24"/>
          <w:szCs w:val="24"/>
        </w:rPr>
      </w:pPr>
      <w:r>
        <w:rPr>
          <w:rFonts w:hint="eastAsia" w:ascii="宋体" w:hAnsi="宋体"/>
          <w:b/>
          <w:sz w:val="24"/>
          <w:szCs w:val="24"/>
        </w:rPr>
        <w:t>政府采购合同（合同文本）</w:t>
      </w:r>
    </w:p>
    <w:p>
      <w:pPr>
        <w:rPr>
          <w:rFonts w:ascii="宋体" w:hAnsi="宋体"/>
          <w:b/>
          <w:sz w:val="44"/>
          <w:szCs w:val="4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甲方：***（填写采购单位）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乙方：***（填写中标供应商）</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3、招标文件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4、响应文件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二、本合同所提供的服务以招标文件、响应文件要求的相关服务要求为主。后附主要服务内容清单。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***（见招标文件第四章）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五、提供服务时间、地点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1、服务期限：</w:t>
      </w:r>
      <w:r>
        <w:rPr>
          <w:rFonts w:asciiTheme="minorEastAsia" w:hAnsiTheme="minorEastAsia" w:eastAsiaTheme="minorEastAsia"/>
          <w:sz w:val="24"/>
          <w:szCs w:val="24"/>
        </w:rPr>
        <w:t xml:space="preserve"> </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2、服务地点：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1、由甲乙双方及第三方（如有）按照招标文件、响应文件及合同要求，一同对服务内容验收并签字确认。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2、验收不合格的甲方可以解除合同且不承担任何法律责任。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八、服务方案</w:t>
      </w:r>
    </w:p>
    <w:p>
      <w:pPr>
        <w:spacing w:line="15" w:lineRule="atLeast"/>
        <w:ind w:firstLine="720" w:firstLineChars="3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乙方应按招标文件、响应文件中做出的书面说明或承诺提供服务。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1、乙方逾期提供服务、甲方逾期付款，按日承担违约部分合同金额的违约金。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1、提交仲裁委员会仲裁。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2、向人民法院起诉。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合同文本一式五份，采购单位、供应商、政府采购监管部门、市</w:t>
      </w:r>
      <w:r>
        <w:rPr>
          <w:rFonts w:hint="eastAsia" w:asciiTheme="minorEastAsia" w:hAnsiTheme="minorEastAsia" w:eastAsiaTheme="minorEastAsia"/>
          <w:sz w:val="24"/>
          <w:szCs w:val="24"/>
          <w:lang w:eastAsia="zh-CN"/>
        </w:rPr>
        <w:t>公共资源交易中心</w:t>
      </w:r>
      <w:r>
        <w:rPr>
          <w:rFonts w:hint="eastAsia" w:asciiTheme="minorEastAsia" w:hAnsiTheme="minorEastAsia" w:eastAsiaTheme="minorEastAsia"/>
          <w:sz w:val="24"/>
          <w:szCs w:val="24"/>
        </w:rPr>
        <w:t>、国库支付执行机构各一份，自双方签订之日起生效。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供应商法人代表：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附表：服务内容</w:t>
      </w:r>
    </w:p>
    <w:tbl>
      <w:tblPr>
        <w:tblStyle w:val="42"/>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9"/>
        <w:gridCol w:w="2072"/>
        <w:gridCol w:w="1354"/>
        <w:gridCol w:w="1090"/>
        <w:gridCol w:w="1092"/>
        <w:gridCol w:w="1419"/>
        <w:gridCol w:w="10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序号</w:t>
            </w:r>
          </w:p>
        </w:tc>
        <w:tc>
          <w:tcPr>
            <w:tcW w:w="2072"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服务内容名称</w:t>
            </w:r>
          </w:p>
        </w:tc>
        <w:tc>
          <w:tcPr>
            <w:tcW w:w="1354"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服务内容简述</w:t>
            </w:r>
          </w:p>
        </w:tc>
        <w:tc>
          <w:tcPr>
            <w:tcW w:w="1090"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数量及单位</w:t>
            </w:r>
          </w:p>
        </w:tc>
        <w:tc>
          <w:tcPr>
            <w:tcW w:w="1092"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单价（元）</w:t>
            </w:r>
          </w:p>
        </w:tc>
        <w:tc>
          <w:tcPr>
            <w:tcW w:w="1419"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总价（元）</w:t>
            </w:r>
          </w:p>
        </w:tc>
        <w:tc>
          <w:tcPr>
            <w:tcW w:w="1082"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1</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2</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3</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4</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hint="eastAsia" w:ascii="宋体" w:hAnsi="宋体" w:cs="宋体"/>
                <w:sz w:val="24"/>
                <w:szCs w:val="24"/>
              </w:rPr>
              <w:t>…</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bottom w:val="single" w:color="auto" w:sz="4" w:space="0"/>
            </w:tcBorders>
            <w:vAlign w:val="center"/>
          </w:tcPr>
          <w:p>
            <w:pPr>
              <w:adjustRightInd w:val="0"/>
              <w:snapToGrid w:val="0"/>
              <w:spacing w:line="360" w:lineRule="auto"/>
              <w:ind w:left="-118" w:leftChars="-42"/>
              <w:jc w:val="center"/>
              <w:rPr>
                <w:rFonts w:ascii="宋体"/>
                <w:sz w:val="24"/>
                <w:szCs w:val="24"/>
              </w:rPr>
            </w:pPr>
            <w:r>
              <w:rPr>
                <w:rFonts w:hint="eastAsia" w:ascii="宋体" w:hAnsi="宋体" w:cs="宋体"/>
                <w:sz w:val="24"/>
                <w:szCs w:val="24"/>
              </w:rPr>
              <w:t>合计</w:t>
            </w:r>
          </w:p>
        </w:tc>
        <w:tc>
          <w:tcPr>
            <w:tcW w:w="207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r>
    </w:tbl>
    <w:p>
      <w:pPr>
        <w:jc w:val="left"/>
        <w:rPr>
          <w:rFonts w:ascii="宋体" w:hAnsi="宋体"/>
          <w:b/>
          <w:bCs/>
          <w:kern w:val="44"/>
          <w:sz w:val="24"/>
          <w:szCs w:val="24"/>
        </w:rPr>
      </w:pPr>
    </w:p>
    <w:p>
      <w:pPr>
        <w:widowControl/>
        <w:jc w:val="left"/>
        <w:rPr>
          <w:rFonts w:ascii="宋体" w:hAnsi="宋体"/>
          <w:b/>
          <w:bCs/>
          <w:kern w:val="44"/>
          <w:sz w:val="24"/>
          <w:szCs w:val="24"/>
        </w:rPr>
      </w:pPr>
      <w:r>
        <w:rPr>
          <w:rFonts w:ascii="宋体" w:hAnsi="宋体"/>
          <w:b/>
          <w:bCs/>
          <w:kern w:val="44"/>
          <w:sz w:val="24"/>
          <w:szCs w:val="24"/>
        </w:rPr>
        <w:br w:type="page"/>
      </w:r>
    </w:p>
    <w:p>
      <w:pPr>
        <w:pStyle w:val="2"/>
        <w:keepNext w:val="0"/>
        <w:keepLines w:val="0"/>
        <w:spacing w:line="360" w:lineRule="auto"/>
        <w:rPr>
          <w:rFonts w:ascii="宋体" w:hAnsi="宋体"/>
          <w:sz w:val="24"/>
          <w:szCs w:val="24"/>
        </w:rPr>
      </w:pPr>
      <w:bookmarkStart w:id="9" w:name="_Toc497726801"/>
      <w:r>
        <w:rPr>
          <w:rFonts w:hint="eastAsia" w:ascii="宋体" w:hAnsi="宋体"/>
          <w:sz w:val="24"/>
          <w:szCs w:val="24"/>
        </w:rPr>
        <w:t>第四章 单一来源内容与技术要求</w:t>
      </w:r>
      <w:bookmarkEnd w:id="9"/>
    </w:p>
    <w:p>
      <w:pPr>
        <w:jc w:val="left"/>
        <w:rPr>
          <w:rFonts w:hAnsi="宋体"/>
          <w:sz w:val="24"/>
          <w:szCs w:val="24"/>
        </w:rPr>
      </w:pPr>
      <w:bookmarkStart w:id="10" w:name="_Toc397088603"/>
      <w:bookmarkStart w:id="11" w:name="_Toc303801500"/>
      <w:r>
        <w:rPr>
          <w:rFonts w:hint="eastAsia" w:ascii="宋体" w:hAnsi="宋体"/>
          <w:b/>
          <w:bCs/>
          <w:kern w:val="44"/>
          <w:sz w:val="24"/>
          <w:szCs w:val="24"/>
        </w:rPr>
        <w:t>一.主要商务要求</w:t>
      </w:r>
    </w:p>
    <w:tbl>
      <w:tblPr>
        <w:tblStyle w:val="4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671" w:type="dxa"/>
            <w:vAlign w:val="center"/>
          </w:tcPr>
          <w:p>
            <w:pPr>
              <w:pStyle w:val="66"/>
              <w:ind w:firstLine="0" w:firstLineChars="0"/>
              <w:jc w:val="center"/>
              <w:rPr>
                <w:rFonts w:ascii="宋体" w:hAnsi="宋体"/>
                <w:sz w:val="24"/>
                <w:szCs w:val="24"/>
              </w:rPr>
            </w:pPr>
            <w:r>
              <w:rPr>
                <w:rFonts w:hint="eastAsia" w:ascii="宋体" w:hAnsi="宋体"/>
                <w:sz w:val="24"/>
                <w:szCs w:val="24"/>
              </w:rPr>
              <w:t xml:space="preserve">   </w:t>
            </w:r>
            <w:bookmarkStart w:id="12" w:name="_Toc491862079"/>
            <w:r>
              <w:rPr>
                <w:rFonts w:hint="eastAsia" w:ascii="宋体" w:hAnsi="宋体"/>
                <w:sz w:val="24"/>
                <w:szCs w:val="24"/>
              </w:rPr>
              <w:t>主要商务条款</w:t>
            </w:r>
            <w:bookmarkEnd w:id="12"/>
          </w:p>
        </w:tc>
        <w:tc>
          <w:tcPr>
            <w:tcW w:w="6957" w:type="dxa"/>
            <w:vAlign w:val="center"/>
          </w:tcPr>
          <w:p>
            <w:pPr>
              <w:pStyle w:val="66"/>
              <w:ind w:firstLine="0" w:firstLineChars="0"/>
              <w:jc w:val="center"/>
              <w:rPr>
                <w:rFonts w:ascii="宋体" w:hAnsi="宋体"/>
                <w:sz w:val="24"/>
                <w:szCs w:val="24"/>
              </w:rPr>
            </w:pPr>
            <w:bookmarkStart w:id="13" w:name="_Toc491862080"/>
            <w:r>
              <w:rPr>
                <w:rFonts w:hint="eastAsia" w:ascii="宋体" w:hAnsi="宋体"/>
                <w:sz w:val="24"/>
                <w:szCs w:val="24"/>
              </w:rPr>
              <w:t>具体要求</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2671" w:type="dxa"/>
            <w:vAlign w:val="center"/>
          </w:tcPr>
          <w:p>
            <w:pPr>
              <w:pStyle w:val="66"/>
              <w:ind w:firstLine="0" w:firstLineChars="0"/>
              <w:jc w:val="center"/>
              <w:rPr>
                <w:rFonts w:ascii="宋体" w:hAnsi="宋体"/>
                <w:sz w:val="24"/>
                <w:szCs w:val="24"/>
              </w:rPr>
            </w:pPr>
            <w:bookmarkStart w:id="14" w:name="_Toc491862082"/>
            <w:r>
              <w:rPr>
                <w:rFonts w:hint="eastAsia" w:ascii="宋体" w:hAnsi="宋体"/>
                <w:sz w:val="24"/>
                <w:szCs w:val="24"/>
              </w:rPr>
              <w:t xml:space="preserve">  采购预算</w:t>
            </w:r>
            <w:bookmarkEnd w:id="14"/>
          </w:p>
        </w:tc>
        <w:tc>
          <w:tcPr>
            <w:tcW w:w="6957" w:type="dxa"/>
            <w:vAlign w:val="center"/>
          </w:tcPr>
          <w:p>
            <w:pPr>
              <w:ind w:firstLine="480" w:firstLineChars="200"/>
              <w:rPr>
                <w:rFonts w:ascii="宋体" w:hAnsi="宋体"/>
                <w:sz w:val="24"/>
                <w:szCs w:val="24"/>
              </w:rPr>
            </w:pPr>
            <w:bookmarkStart w:id="15" w:name="_Toc491862083"/>
            <w:r>
              <w:rPr>
                <w:rFonts w:hint="eastAsia" w:ascii="宋体" w:hAnsi="宋体"/>
                <w:sz w:val="24"/>
                <w:szCs w:val="24"/>
              </w:rPr>
              <w:t>92万元</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spacing w:line="360" w:lineRule="auto"/>
              <w:jc w:val="center"/>
              <w:rPr>
                <w:rFonts w:ascii="宋体" w:hAnsi="宋体"/>
                <w:sz w:val="24"/>
                <w:szCs w:val="24"/>
              </w:rPr>
            </w:pPr>
            <w:r>
              <w:rPr>
                <w:rFonts w:hint="eastAsia" w:ascii="宋体" w:hAnsi="宋体"/>
                <w:sz w:val="24"/>
                <w:szCs w:val="24"/>
                <w:lang w:eastAsia="zh-CN"/>
              </w:rPr>
              <w:t>服务</w:t>
            </w:r>
            <w:r>
              <w:rPr>
                <w:rFonts w:hint="eastAsia" w:ascii="宋体" w:hAnsi="宋体"/>
                <w:sz w:val="24"/>
                <w:szCs w:val="24"/>
              </w:rPr>
              <w:t>时间</w:t>
            </w:r>
          </w:p>
        </w:tc>
        <w:tc>
          <w:tcPr>
            <w:tcW w:w="6957" w:type="dxa"/>
            <w:vAlign w:val="center"/>
          </w:tcPr>
          <w:p>
            <w:pPr>
              <w:spacing w:line="360" w:lineRule="auto"/>
              <w:rPr>
                <w:rFonts w:ascii="宋体" w:hAnsi="宋体"/>
                <w:sz w:val="24"/>
                <w:szCs w:val="24"/>
              </w:rPr>
            </w:pPr>
            <w:r>
              <w:rPr>
                <w:rFonts w:hint="eastAsia" w:ascii="宋体" w:hAnsi="宋体"/>
                <w:sz w:val="24"/>
                <w:szCs w:val="24"/>
                <w:lang w:eastAsia="zh-CN"/>
              </w:rPr>
              <w:t>合同生效后至</w:t>
            </w:r>
            <w:r>
              <w:rPr>
                <w:rFonts w:hint="eastAsia" w:ascii="宋体" w:hAnsi="宋体"/>
                <w:sz w:val="24"/>
                <w:szCs w:val="24"/>
                <w:lang w:val="en-US" w:eastAsia="zh-CN"/>
              </w:rPr>
              <w:t>2021年3月31日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671" w:type="dxa"/>
            <w:vAlign w:val="center"/>
          </w:tcPr>
          <w:p>
            <w:pPr>
              <w:pStyle w:val="66"/>
              <w:ind w:firstLine="0" w:firstLineChars="0"/>
              <w:jc w:val="center"/>
              <w:rPr>
                <w:rFonts w:ascii="宋体" w:hAnsi="宋体"/>
                <w:sz w:val="24"/>
                <w:szCs w:val="24"/>
              </w:rPr>
            </w:pPr>
            <w:r>
              <w:rPr>
                <w:rFonts w:hint="eastAsia" w:ascii="宋体" w:hAnsi="宋体"/>
                <w:sz w:val="24"/>
                <w:szCs w:val="24"/>
              </w:rPr>
              <w:t>交付使用地点</w:t>
            </w:r>
          </w:p>
        </w:tc>
        <w:tc>
          <w:tcPr>
            <w:tcW w:w="6957" w:type="dxa"/>
            <w:vAlign w:val="center"/>
          </w:tcPr>
          <w:p>
            <w:pPr>
              <w:pStyle w:val="66"/>
              <w:ind w:firstLine="0" w:firstLineChars="0"/>
              <w:rPr>
                <w:rFonts w:ascii="宋体" w:hAnsi="宋体"/>
                <w:sz w:val="24"/>
                <w:szCs w:val="24"/>
              </w:rPr>
            </w:pPr>
            <w:r>
              <w:rPr>
                <w:rFonts w:hint="eastAsia" w:ascii="宋体" w:hAnsi="宋体"/>
                <w:sz w:val="24"/>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pStyle w:val="66"/>
              <w:ind w:firstLine="0" w:firstLineChars="0"/>
              <w:jc w:val="center"/>
              <w:rPr>
                <w:rFonts w:ascii="宋体" w:hAnsi="宋体"/>
                <w:sz w:val="24"/>
                <w:szCs w:val="24"/>
              </w:rPr>
            </w:pPr>
            <w:r>
              <w:rPr>
                <w:rFonts w:hint="eastAsia" w:ascii="宋体" w:hAnsi="宋体"/>
                <w:sz w:val="24"/>
                <w:szCs w:val="24"/>
              </w:rPr>
              <w:t>投标有效期</w:t>
            </w:r>
          </w:p>
        </w:tc>
        <w:tc>
          <w:tcPr>
            <w:tcW w:w="6957" w:type="dxa"/>
            <w:vAlign w:val="center"/>
          </w:tcPr>
          <w:p>
            <w:pPr>
              <w:pStyle w:val="66"/>
              <w:ind w:firstLine="0" w:firstLineChars="0"/>
              <w:rPr>
                <w:rFonts w:ascii="宋体" w:hAnsi="宋体"/>
                <w:sz w:val="24"/>
                <w:szCs w:val="24"/>
              </w:rPr>
            </w:pPr>
            <w:r>
              <w:rPr>
                <w:rFonts w:hint="eastAsia" w:ascii="宋体" w:hAnsi="宋体"/>
                <w:color w:val="000000"/>
                <w:sz w:val="24"/>
                <w:szCs w:val="24"/>
              </w:rPr>
              <w:t>从提交投标文件的截止之日起</w:t>
            </w:r>
            <w:r>
              <w:rPr>
                <w:rFonts w:hint="eastAsia" w:ascii="宋体" w:hAnsi="宋体"/>
                <w:color w:val="000000"/>
                <w:sz w:val="24"/>
                <w:szCs w:val="24"/>
                <w:u w:val="single"/>
              </w:rPr>
              <w:t xml:space="preserve"> 90</w:t>
            </w:r>
            <w:r>
              <w:rPr>
                <w:rFonts w:hint="eastAsia" w:ascii="宋体" w:hAnsi="宋体"/>
                <w:color w:val="00000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671" w:type="dxa"/>
            <w:vAlign w:val="center"/>
          </w:tcPr>
          <w:p>
            <w:pPr>
              <w:pStyle w:val="66"/>
              <w:ind w:firstLine="0" w:firstLineChars="0"/>
              <w:jc w:val="center"/>
              <w:rPr>
                <w:rFonts w:ascii="宋体" w:hAnsi="宋体"/>
                <w:sz w:val="24"/>
                <w:szCs w:val="24"/>
              </w:rPr>
            </w:pPr>
            <w:bookmarkStart w:id="16" w:name="_Toc491862095"/>
            <w:r>
              <w:rPr>
                <w:rFonts w:hint="eastAsia" w:ascii="宋体" w:hAnsi="宋体"/>
                <w:sz w:val="24"/>
                <w:szCs w:val="24"/>
              </w:rPr>
              <w:t>付款方式</w:t>
            </w:r>
            <w:bookmarkEnd w:id="16"/>
          </w:p>
        </w:tc>
        <w:tc>
          <w:tcPr>
            <w:tcW w:w="6957" w:type="dxa"/>
            <w:vAlign w:val="center"/>
          </w:tcPr>
          <w:p>
            <w:pPr>
              <w:pStyle w:val="66"/>
              <w:ind w:firstLine="0" w:firstLineChars="0"/>
              <w:rPr>
                <w:rFonts w:hint="eastAsia" w:ascii="宋体" w:hAnsi="宋体" w:eastAsia="宋体"/>
                <w:sz w:val="24"/>
                <w:szCs w:val="24"/>
                <w:lang w:eastAsia="zh-CN"/>
              </w:rPr>
            </w:pPr>
            <w:r>
              <w:rPr>
                <w:rFonts w:hint="eastAsia" w:ascii="宋体" w:hAnsi="宋体"/>
                <w:sz w:val="24"/>
                <w:szCs w:val="24"/>
                <w:lang w:eastAsia="zh-CN"/>
              </w:rPr>
              <w:t>验收合格后一次性付款</w:t>
            </w:r>
          </w:p>
        </w:tc>
      </w:tr>
    </w:tbl>
    <w:p>
      <w:pPr>
        <w:spacing w:line="360" w:lineRule="auto"/>
        <w:jc w:val="left"/>
        <w:rPr>
          <w:rFonts w:hAnsi="宋体"/>
          <w:b/>
          <w:sz w:val="24"/>
          <w:szCs w:val="24"/>
        </w:rPr>
      </w:pPr>
      <w:r>
        <w:rPr>
          <w:rFonts w:hint="eastAsia" w:hAnsi="宋体"/>
          <w:b/>
          <w:sz w:val="24"/>
          <w:szCs w:val="24"/>
        </w:rPr>
        <w:t>二.服务需求：</w:t>
      </w:r>
    </w:p>
    <w:p>
      <w:pPr>
        <w:spacing w:line="360" w:lineRule="auto"/>
        <w:jc w:val="left"/>
        <w:rPr>
          <w:rFonts w:ascii="宋体" w:hAnsi="宋体"/>
          <w:b/>
          <w:sz w:val="24"/>
          <w:szCs w:val="24"/>
        </w:rPr>
      </w:pPr>
      <w:r>
        <w:rPr>
          <w:rFonts w:hint="eastAsia" w:ascii="宋体" w:hAnsi="宋体"/>
          <w:b/>
          <w:sz w:val="24"/>
          <w:szCs w:val="24"/>
        </w:rPr>
        <w:t>1.项目概况：</w:t>
      </w:r>
    </w:p>
    <w:p>
      <w:pPr>
        <w:spacing w:line="360" w:lineRule="auto"/>
        <w:ind w:firstLine="480" w:firstLineChars="200"/>
        <w:jc w:val="left"/>
        <w:rPr>
          <w:rFonts w:ascii="宋体" w:hAnsi="宋体"/>
          <w:sz w:val="24"/>
          <w:szCs w:val="24"/>
        </w:rPr>
      </w:pPr>
      <w:r>
        <w:rPr>
          <w:rFonts w:hint="eastAsia" w:asciiTheme="minorEastAsia" w:hAnsiTheme="minorEastAsia" w:eastAsiaTheme="minorEastAsia" w:cstheme="minorEastAsia"/>
          <w:sz w:val="24"/>
          <w:szCs w:val="24"/>
        </w:rPr>
        <w:t>本项目为一整包，预算金额为920000元</w:t>
      </w:r>
      <w:r>
        <w:rPr>
          <w:rFonts w:hint="eastAsia" w:ascii="宋体" w:hAnsi="宋体"/>
          <w:sz w:val="24"/>
          <w:szCs w:val="24"/>
        </w:rPr>
        <w:t>。</w:t>
      </w:r>
    </w:p>
    <w:p>
      <w:pPr>
        <w:spacing w:line="360" w:lineRule="auto"/>
        <w:ind w:right="57"/>
        <w:rPr>
          <w:rFonts w:ascii="宋体" w:hAnsi="宋体" w:cs="宋体"/>
          <w:b/>
          <w:sz w:val="24"/>
          <w:szCs w:val="24"/>
        </w:rPr>
      </w:pPr>
      <w:r>
        <w:rPr>
          <w:rFonts w:hint="eastAsia" w:ascii="宋体" w:hAnsi="宋体" w:cs="宋体"/>
          <w:b/>
          <w:sz w:val="24"/>
          <w:szCs w:val="24"/>
        </w:rPr>
        <w:t>2.服务需求一览表：</w:t>
      </w:r>
    </w:p>
    <w:tbl>
      <w:tblPr>
        <w:tblStyle w:val="4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402"/>
        <w:gridCol w:w="1984"/>
        <w:gridCol w:w="170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959" w:type="dxa"/>
            <w:vAlign w:val="center"/>
          </w:tcPr>
          <w:p>
            <w:pPr>
              <w:widowControl/>
              <w:spacing w:line="48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编号</w:t>
            </w:r>
          </w:p>
        </w:tc>
        <w:tc>
          <w:tcPr>
            <w:tcW w:w="3402" w:type="dxa"/>
            <w:vAlign w:val="center"/>
          </w:tcPr>
          <w:p>
            <w:pPr>
              <w:widowControl/>
              <w:spacing w:line="48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服务项目</w:t>
            </w:r>
          </w:p>
        </w:tc>
        <w:tc>
          <w:tcPr>
            <w:tcW w:w="1984" w:type="dxa"/>
            <w:vAlign w:val="center"/>
          </w:tcPr>
          <w:p>
            <w:pPr>
              <w:widowControl/>
              <w:spacing w:line="48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服务要求及标准</w:t>
            </w:r>
          </w:p>
        </w:tc>
        <w:tc>
          <w:tcPr>
            <w:tcW w:w="1701" w:type="dxa"/>
            <w:vAlign w:val="center"/>
          </w:tcPr>
          <w:p>
            <w:pPr>
              <w:widowControl/>
              <w:spacing w:line="48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数量</w:t>
            </w:r>
          </w:p>
        </w:tc>
        <w:tc>
          <w:tcPr>
            <w:tcW w:w="1560" w:type="dxa"/>
            <w:vAlign w:val="center"/>
          </w:tcPr>
          <w:p>
            <w:pPr>
              <w:widowControl/>
              <w:spacing w:line="48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959" w:type="dxa"/>
            <w:vAlign w:val="center"/>
          </w:tcPr>
          <w:p>
            <w:pPr>
              <w:widowControl/>
              <w:spacing w:line="48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3402" w:type="dxa"/>
            <w:vAlign w:val="center"/>
          </w:tcPr>
          <w:p>
            <w:pPr>
              <w:widowControl/>
              <w:spacing w:line="48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审务通系统组网</w:t>
            </w:r>
          </w:p>
        </w:tc>
        <w:tc>
          <w:tcPr>
            <w:tcW w:w="1984" w:type="dxa"/>
            <w:vAlign w:val="center"/>
          </w:tcPr>
          <w:p>
            <w:pPr>
              <w:widowControl/>
              <w:spacing w:line="48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详见附表1</w:t>
            </w:r>
          </w:p>
        </w:tc>
        <w:tc>
          <w:tcPr>
            <w:tcW w:w="1701" w:type="dxa"/>
            <w:vAlign w:val="center"/>
          </w:tcPr>
          <w:p>
            <w:pPr>
              <w:widowControl/>
              <w:spacing w:line="48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1560" w:type="dxa"/>
            <w:vAlign w:val="center"/>
          </w:tcPr>
          <w:p>
            <w:pPr>
              <w:widowControl/>
              <w:spacing w:line="48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959" w:type="dxa"/>
            <w:vAlign w:val="center"/>
          </w:tcPr>
          <w:p>
            <w:pPr>
              <w:spacing w:line="48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3402" w:type="dxa"/>
            <w:vAlign w:val="center"/>
          </w:tcPr>
          <w:p>
            <w:pPr>
              <w:widowControl/>
              <w:spacing w:line="48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D203D"/>
                <w:sz w:val="24"/>
                <w:szCs w:val="24"/>
                <w:shd w:val="clear" w:color="auto" w:fill="FFFFFF"/>
              </w:rPr>
              <w:t>审务通系统办公办案</w:t>
            </w:r>
            <w:r>
              <w:rPr>
                <w:rFonts w:hint="eastAsia" w:asciiTheme="minorEastAsia" w:hAnsiTheme="minorEastAsia" w:eastAsiaTheme="minorEastAsia" w:cstheme="minorEastAsia"/>
                <w:kern w:val="0"/>
                <w:sz w:val="24"/>
                <w:szCs w:val="24"/>
              </w:rPr>
              <w:t>终端</w:t>
            </w:r>
          </w:p>
        </w:tc>
        <w:tc>
          <w:tcPr>
            <w:tcW w:w="1984" w:type="dxa"/>
            <w:vAlign w:val="center"/>
          </w:tcPr>
          <w:p>
            <w:pPr>
              <w:widowControl/>
              <w:spacing w:line="48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详见附表2</w:t>
            </w:r>
          </w:p>
        </w:tc>
        <w:tc>
          <w:tcPr>
            <w:tcW w:w="1701" w:type="dxa"/>
            <w:vAlign w:val="center"/>
          </w:tcPr>
          <w:p>
            <w:pPr>
              <w:widowControl/>
              <w:spacing w:line="48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144</w:t>
            </w:r>
          </w:p>
        </w:tc>
        <w:tc>
          <w:tcPr>
            <w:tcW w:w="1560" w:type="dxa"/>
            <w:vAlign w:val="center"/>
          </w:tcPr>
          <w:p>
            <w:pPr>
              <w:widowControl/>
              <w:spacing w:line="48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959" w:type="dxa"/>
            <w:vAlign w:val="center"/>
          </w:tcPr>
          <w:p>
            <w:pPr>
              <w:spacing w:line="48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p>
        </w:tc>
        <w:tc>
          <w:tcPr>
            <w:tcW w:w="3402" w:type="dxa"/>
            <w:vAlign w:val="center"/>
          </w:tcPr>
          <w:p>
            <w:pPr>
              <w:widowControl/>
              <w:spacing w:line="480" w:lineRule="exact"/>
              <w:jc w:val="center"/>
              <w:rPr>
                <w:rFonts w:asciiTheme="minorEastAsia" w:hAnsiTheme="minorEastAsia" w:eastAsiaTheme="minorEastAsia" w:cstheme="minorEastAsia"/>
                <w:color w:val="0D203D"/>
                <w:sz w:val="24"/>
                <w:szCs w:val="24"/>
                <w:shd w:val="clear" w:color="auto" w:fill="FFFFFF"/>
              </w:rPr>
            </w:pPr>
            <w:r>
              <w:rPr>
                <w:rFonts w:hint="eastAsia" w:asciiTheme="minorEastAsia" w:hAnsiTheme="minorEastAsia" w:eastAsiaTheme="minorEastAsia" w:cstheme="minorEastAsia"/>
                <w:color w:val="0D203D"/>
                <w:sz w:val="24"/>
                <w:szCs w:val="24"/>
                <w:shd w:val="clear" w:color="auto" w:fill="FFFFFF"/>
              </w:rPr>
              <w:t>网络套餐</w:t>
            </w:r>
          </w:p>
        </w:tc>
        <w:tc>
          <w:tcPr>
            <w:tcW w:w="1984" w:type="dxa"/>
            <w:vAlign w:val="center"/>
          </w:tcPr>
          <w:p>
            <w:pPr>
              <w:widowControl/>
              <w:spacing w:line="48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详见附表3</w:t>
            </w:r>
          </w:p>
        </w:tc>
        <w:tc>
          <w:tcPr>
            <w:tcW w:w="1701" w:type="dxa"/>
            <w:vAlign w:val="center"/>
          </w:tcPr>
          <w:p>
            <w:pPr>
              <w:widowControl/>
              <w:spacing w:line="48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144</w:t>
            </w:r>
          </w:p>
        </w:tc>
        <w:tc>
          <w:tcPr>
            <w:tcW w:w="1560" w:type="dxa"/>
            <w:vAlign w:val="center"/>
          </w:tcPr>
          <w:p>
            <w:pPr>
              <w:widowControl/>
              <w:spacing w:line="48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959" w:type="dxa"/>
            <w:vAlign w:val="center"/>
          </w:tcPr>
          <w:p>
            <w:pPr>
              <w:spacing w:line="48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w:t>
            </w:r>
          </w:p>
        </w:tc>
        <w:tc>
          <w:tcPr>
            <w:tcW w:w="3402" w:type="dxa"/>
            <w:vAlign w:val="center"/>
          </w:tcPr>
          <w:p>
            <w:pPr>
              <w:widowControl/>
              <w:spacing w:line="480" w:lineRule="exact"/>
              <w:jc w:val="center"/>
              <w:rPr>
                <w:rFonts w:asciiTheme="minorEastAsia" w:hAnsiTheme="minorEastAsia" w:eastAsiaTheme="minorEastAsia" w:cstheme="minorEastAsia"/>
                <w:color w:val="0D203D"/>
                <w:sz w:val="24"/>
                <w:szCs w:val="24"/>
                <w:shd w:val="clear" w:color="auto" w:fill="FFFFFF"/>
              </w:rPr>
            </w:pPr>
            <w:r>
              <w:rPr>
                <w:rFonts w:hint="eastAsia" w:asciiTheme="minorEastAsia" w:hAnsiTheme="minorEastAsia" w:eastAsiaTheme="minorEastAsia" w:cstheme="minorEastAsia"/>
                <w:color w:val="0D203D"/>
                <w:sz w:val="24"/>
                <w:szCs w:val="24"/>
                <w:shd w:val="clear" w:color="auto" w:fill="FFFFFF"/>
              </w:rPr>
              <w:t>资料传递柜系统</w:t>
            </w:r>
          </w:p>
        </w:tc>
        <w:tc>
          <w:tcPr>
            <w:tcW w:w="1984" w:type="dxa"/>
            <w:vAlign w:val="center"/>
          </w:tcPr>
          <w:p>
            <w:pPr>
              <w:widowControl/>
              <w:spacing w:line="48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详见附表4</w:t>
            </w:r>
          </w:p>
        </w:tc>
        <w:tc>
          <w:tcPr>
            <w:tcW w:w="1701" w:type="dxa"/>
            <w:vAlign w:val="center"/>
          </w:tcPr>
          <w:p>
            <w:pPr>
              <w:widowControl/>
              <w:spacing w:line="48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1560" w:type="dxa"/>
            <w:vAlign w:val="center"/>
          </w:tcPr>
          <w:p>
            <w:pPr>
              <w:widowControl/>
              <w:spacing w:line="48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959" w:type="dxa"/>
            <w:vAlign w:val="center"/>
          </w:tcPr>
          <w:p>
            <w:pPr>
              <w:spacing w:line="48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合计</w:t>
            </w:r>
          </w:p>
        </w:tc>
        <w:tc>
          <w:tcPr>
            <w:tcW w:w="3402" w:type="dxa"/>
            <w:vAlign w:val="center"/>
          </w:tcPr>
          <w:p>
            <w:pPr>
              <w:widowControl/>
              <w:spacing w:line="480" w:lineRule="exact"/>
              <w:jc w:val="center"/>
              <w:rPr>
                <w:rFonts w:asciiTheme="minorEastAsia" w:hAnsiTheme="minorEastAsia" w:eastAsiaTheme="minorEastAsia" w:cstheme="minorEastAsia"/>
                <w:color w:val="0D203D"/>
                <w:sz w:val="24"/>
                <w:szCs w:val="24"/>
                <w:shd w:val="clear" w:color="auto" w:fill="FFFFFF"/>
              </w:rPr>
            </w:pPr>
          </w:p>
        </w:tc>
        <w:tc>
          <w:tcPr>
            <w:tcW w:w="1984" w:type="dxa"/>
            <w:vAlign w:val="center"/>
          </w:tcPr>
          <w:p>
            <w:pPr>
              <w:widowControl/>
              <w:spacing w:line="480" w:lineRule="exact"/>
              <w:jc w:val="center"/>
              <w:rPr>
                <w:rFonts w:asciiTheme="minorEastAsia" w:hAnsiTheme="minorEastAsia" w:eastAsiaTheme="minorEastAsia" w:cstheme="minorEastAsia"/>
                <w:sz w:val="24"/>
                <w:szCs w:val="24"/>
              </w:rPr>
            </w:pPr>
          </w:p>
        </w:tc>
        <w:tc>
          <w:tcPr>
            <w:tcW w:w="1701" w:type="dxa"/>
            <w:vAlign w:val="center"/>
          </w:tcPr>
          <w:p>
            <w:pPr>
              <w:widowControl/>
              <w:spacing w:line="480" w:lineRule="exact"/>
              <w:jc w:val="center"/>
              <w:rPr>
                <w:rFonts w:asciiTheme="minorEastAsia" w:hAnsiTheme="minorEastAsia" w:eastAsiaTheme="minorEastAsia" w:cstheme="minorEastAsia"/>
                <w:kern w:val="0"/>
                <w:sz w:val="24"/>
                <w:szCs w:val="24"/>
              </w:rPr>
            </w:pPr>
          </w:p>
        </w:tc>
        <w:tc>
          <w:tcPr>
            <w:tcW w:w="1560" w:type="dxa"/>
            <w:vAlign w:val="center"/>
          </w:tcPr>
          <w:p>
            <w:pPr>
              <w:widowControl/>
              <w:spacing w:line="480" w:lineRule="exact"/>
              <w:jc w:val="center"/>
              <w:rPr>
                <w:rFonts w:asciiTheme="minorEastAsia" w:hAnsiTheme="minorEastAsia" w:eastAsiaTheme="minorEastAsia" w:cstheme="minorEastAsia"/>
                <w:kern w:val="0"/>
                <w:sz w:val="24"/>
                <w:szCs w:val="24"/>
              </w:rPr>
            </w:pPr>
          </w:p>
        </w:tc>
      </w:tr>
    </w:tbl>
    <w:p>
      <w:pPr>
        <w:spacing w:line="360" w:lineRule="auto"/>
        <w:rPr>
          <w:rFonts w:ascii="宋体" w:hAnsi="宋体" w:cs="宋体"/>
          <w:b/>
          <w:sz w:val="24"/>
          <w:szCs w:val="24"/>
        </w:rPr>
      </w:pPr>
    </w:p>
    <w:p>
      <w:pPr>
        <w:spacing w:line="360" w:lineRule="auto"/>
        <w:rPr>
          <w:rFonts w:ascii="宋体" w:hAnsi="宋体" w:cs="宋体"/>
          <w:b/>
          <w:sz w:val="24"/>
          <w:szCs w:val="24"/>
        </w:rPr>
      </w:pPr>
      <w:r>
        <w:rPr>
          <w:rFonts w:hint="eastAsia" w:ascii="宋体" w:hAnsi="宋体" w:cs="宋体"/>
          <w:b/>
          <w:sz w:val="24"/>
          <w:szCs w:val="24"/>
        </w:rPr>
        <w:t>附表1</w:t>
      </w:r>
      <w:r>
        <w:rPr>
          <w:rFonts w:hint="eastAsia" w:ascii="宋体" w:hAnsi="宋体" w:cs="宋体"/>
          <w:b/>
          <w:kern w:val="0"/>
          <w:sz w:val="24"/>
          <w:szCs w:val="24"/>
        </w:rPr>
        <w:t>服务要求及标准</w:t>
      </w:r>
      <w:r>
        <w:rPr>
          <w:rFonts w:hint="eastAsia" w:ascii="宋体" w:hAnsi="宋体" w:cs="宋体"/>
          <w:b/>
          <w:sz w:val="24"/>
          <w:szCs w:val="24"/>
        </w:rPr>
        <w:t>。</w:t>
      </w:r>
      <w:r>
        <w:rPr>
          <w:rFonts w:hint="eastAsia" w:ascii="宋体" w:hAnsi="宋体" w:cs="宋体"/>
          <w:b/>
          <w:kern w:val="0"/>
          <w:sz w:val="24"/>
          <w:szCs w:val="24"/>
        </w:rPr>
        <w:t>服务项目：</w:t>
      </w:r>
      <w:r>
        <w:rPr>
          <w:rFonts w:hint="eastAsia" w:asciiTheme="minorEastAsia" w:hAnsiTheme="minorEastAsia" w:eastAsiaTheme="minorEastAsia" w:cstheme="minorEastAsia"/>
          <w:b/>
          <w:kern w:val="0"/>
          <w:sz w:val="24"/>
          <w:szCs w:val="24"/>
          <w:u w:val="single"/>
        </w:rPr>
        <w:t>审务通系统组网</w:t>
      </w:r>
      <w:r>
        <w:rPr>
          <w:rFonts w:hint="eastAsia" w:ascii="宋体" w:hAnsi="宋体" w:cs="宋体"/>
          <w:b/>
          <w:kern w:val="0"/>
          <w:sz w:val="24"/>
          <w:szCs w:val="24"/>
          <w:u w:val="single"/>
        </w:rPr>
        <w:t xml:space="preserve">      </w:t>
      </w:r>
      <w:r>
        <w:rPr>
          <w:rFonts w:hint="eastAsia" w:ascii="宋体" w:hAnsi="宋体" w:cs="宋体"/>
          <w:b/>
          <w:kern w:val="0"/>
          <w:sz w:val="24"/>
          <w:szCs w:val="24"/>
        </w:rPr>
        <w:t>。</w:t>
      </w:r>
    </w:p>
    <w:tbl>
      <w:tblPr>
        <w:tblStyle w:val="42"/>
        <w:tblW w:w="9464" w:type="dxa"/>
        <w:tblInd w:w="0" w:type="dxa"/>
        <w:tblLayout w:type="fixed"/>
        <w:tblCellMar>
          <w:top w:w="0" w:type="dxa"/>
          <w:left w:w="108" w:type="dxa"/>
          <w:bottom w:w="0" w:type="dxa"/>
          <w:right w:w="108" w:type="dxa"/>
        </w:tblCellMar>
      </w:tblPr>
      <w:tblGrid>
        <w:gridCol w:w="1562"/>
        <w:gridCol w:w="812"/>
        <w:gridCol w:w="7090"/>
      </w:tblGrid>
      <w:tr>
        <w:tblPrEx>
          <w:tblLayout w:type="fixed"/>
          <w:tblCellMar>
            <w:top w:w="0" w:type="dxa"/>
            <w:left w:w="108" w:type="dxa"/>
            <w:bottom w:w="0" w:type="dxa"/>
            <w:right w:w="108" w:type="dxa"/>
          </w:tblCellMar>
        </w:tblPrEx>
        <w:trPr>
          <w:trHeight w:val="573" w:hRule="atLeast"/>
        </w:trPr>
        <w:tc>
          <w:tcPr>
            <w:tcW w:w="1562"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要求性质</w:t>
            </w:r>
          </w:p>
        </w:tc>
        <w:tc>
          <w:tcPr>
            <w:tcW w:w="812"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编号</w:t>
            </w:r>
          </w:p>
        </w:tc>
        <w:tc>
          <w:tcPr>
            <w:tcW w:w="7090"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具体服务要求及标准</w:t>
            </w:r>
          </w:p>
        </w:tc>
      </w:tr>
      <w:tr>
        <w:tblPrEx>
          <w:tblLayout w:type="fixed"/>
          <w:tblCellMar>
            <w:top w:w="0" w:type="dxa"/>
            <w:left w:w="108" w:type="dxa"/>
            <w:bottom w:w="0" w:type="dxa"/>
            <w:right w:w="108" w:type="dxa"/>
          </w:tblCellMar>
        </w:tblPrEx>
        <w:trPr>
          <w:trHeight w:val="389" w:hRule="atLeast"/>
        </w:trPr>
        <w:tc>
          <w:tcPr>
            <w:tcW w:w="1562"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sz w:val="24"/>
                <w:szCs w:val="24"/>
                <w:lang w:bidi="lo-LA"/>
              </w:rPr>
              <w:t>*</w:t>
            </w:r>
          </w:p>
        </w:tc>
        <w:tc>
          <w:tcPr>
            <w:tcW w:w="812"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lang w:bidi="lo-LA"/>
              </w:rPr>
              <w:t>1</w:t>
            </w:r>
          </w:p>
        </w:tc>
        <w:tc>
          <w:tcPr>
            <w:tcW w:w="7090" w:type="dxa"/>
            <w:tcBorders>
              <w:top w:val="single" w:color="auto" w:sz="4" w:space="0"/>
              <w:left w:val="nil"/>
              <w:bottom w:val="single" w:color="auto" w:sz="4" w:space="0"/>
              <w:right w:val="single" w:color="auto" w:sz="4" w:space="0"/>
            </w:tcBorders>
            <w:vAlign w:val="center"/>
          </w:tcPr>
          <w:p>
            <w:pPr>
              <w:pStyle w:val="51"/>
              <w:spacing w:line="480" w:lineRule="exact"/>
              <w:ind w:firstLine="0" w:firstLineChars="0"/>
              <w:rPr>
                <w:rFonts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sz w:val="24"/>
                <w:szCs w:val="24"/>
              </w:rPr>
              <w:t>联通审务通管理系统，办公管理、日常考勤、办案辅助、即时通讯等模块</w:t>
            </w:r>
          </w:p>
        </w:tc>
      </w:tr>
      <w:tr>
        <w:tblPrEx>
          <w:tblLayout w:type="fixed"/>
          <w:tblCellMar>
            <w:top w:w="0" w:type="dxa"/>
            <w:left w:w="108" w:type="dxa"/>
            <w:bottom w:w="0" w:type="dxa"/>
            <w:right w:w="108" w:type="dxa"/>
          </w:tblCellMar>
        </w:tblPrEx>
        <w:trPr>
          <w:trHeight w:val="341" w:hRule="atLeast"/>
        </w:trPr>
        <w:tc>
          <w:tcPr>
            <w:tcW w:w="946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rPr>
              <w:t>注：“参数性质”标“*”表示此要求为主要服务指标。</w:t>
            </w:r>
          </w:p>
        </w:tc>
      </w:tr>
    </w:tbl>
    <w:p>
      <w:pPr>
        <w:spacing w:line="360" w:lineRule="auto"/>
        <w:rPr>
          <w:rFonts w:ascii="宋体" w:hAnsi="宋体" w:cs="宋体"/>
          <w:b/>
          <w:sz w:val="24"/>
          <w:szCs w:val="24"/>
        </w:rPr>
      </w:pPr>
    </w:p>
    <w:p>
      <w:pPr>
        <w:spacing w:line="360" w:lineRule="auto"/>
        <w:rPr>
          <w:rFonts w:ascii="宋体" w:hAnsi="宋体" w:cs="宋体"/>
          <w:b/>
          <w:sz w:val="24"/>
          <w:szCs w:val="24"/>
        </w:rPr>
      </w:pPr>
      <w:r>
        <w:rPr>
          <w:rFonts w:hint="eastAsia" w:ascii="宋体" w:hAnsi="宋体" w:cs="宋体"/>
          <w:b/>
          <w:sz w:val="24"/>
          <w:szCs w:val="24"/>
        </w:rPr>
        <w:t>附表2</w:t>
      </w:r>
      <w:r>
        <w:rPr>
          <w:rFonts w:hint="eastAsia" w:ascii="宋体" w:hAnsi="宋体" w:cs="宋体"/>
          <w:b/>
          <w:kern w:val="0"/>
          <w:sz w:val="24"/>
          <w:szCs w:val="24"/>
        </w:rPr>
        <w:t>服务要求及标准</w:t>
      </w:r>
      <w:r>
        <w:rPr>
          <w:rFonts w:hint="eastAsia" w:ascii="宋体" w:hAnsi="宋体" w:cs="宋体"/>
          <w:b/>
          <w:sz w:val="24"/>
          <w:szCs w:val="24"/>
        </w:rPr>
        <w:t>。</w:t>
      </w:r>
      <w:r>
        <w:rPr>
          <w:rFonts w:hint="eastAsia" w:ascii="宋体" w:hAnsi="宋体" w:cs="宋体"/>
          <w:b/>
          <w:kern w:val="0"/>
          <w:sz w:val="24"/>
          <w:szCs w:val="24"/>
        </w:rPr>
        <w:t>服务项目：</w:t>
      </w:r>
      <w:r>
        <w:rPr>
          <w:rFonts w:hint="eastAsia" w:asciiTheme="minorEastAsia" w:hAnsiTheme="minorEastAsia" w:eastAsiaTheme="minorEastAsia" w:cstheme="minorEastAsia"/>
          <w:b/>
          <w:bCs/>
          <w:color w:val="0D203D"/>
          <w:sz w:val="24"/>
          <w:szCs w:val="24"/>
          <w:u w:val="single"/>
          <w:shd w:val="clear" w:color="auto" w:fill="FFFFFF"/>
        </w:rPr>
        <w:t>审务通系统办公办案</w:t>
      </w:r>
      <w:r>
        <w:rPr>
          <w:rFonts w:hint="eastAsia" w:asciiTheme="minorEastAsia" w:hAnsiTheme="minorEastAsia" w:eastAsiaTheme="minorEastAsia" w:cstheme="minorEastAsia"/>
          <w:b/>
          <w:bCs/>
          <w:kern w:val="0"/>
          <w:sz w:val="24"/>
          <w:szCs w:val="24"/>
          <w:u w:val="single"/>
        </w:rPr>
        <w:t>终端</w:t>
      </w:r>
      <w:r>
        <w:rPr>
          <w:rFonts w:hint="eastAsia" w:ascii="宋体" w:hAnsi="宋体" w:cs="宋体"/>
          <w:b/>
          <w:kern w:val="0"/>
          <w:sz w:val="24"/>
          <w:szCs w:val="24"/>
          <w:u w:val="single"/>
        </w:rPr>
        <w:t xml:space="preserve">      </w:t>
      </w:r>
      <w:r>
        <w:rPr>
          <w:rFonts w:hint="eastAsia" w:ascii="宋体" w:hAnsi="宋体" w:cs="宋体"/>
          <w:b/>
          <w:kern w:val="0"/>
          <w:sz w:val="24"/>
          <w:szCs w:val="24"/>
        </w:rPr>
        <w:t>。</w:t>
      </w:r>
    </w:p>
    <w:tbl>
      <w:tblPr>
        <w:tblStyle w:val="42"/>
        <w:tblW w:w="9464" w:type="dxa"/>
        <w:tblInd w:w="0" w:type="dxa"/>
        <w:tblLayout w:type="fixed"/>
        <w:tblCellMar>
          <w:top w:w="0" w:type="dxa"/>
          <w:left w:w="108" w:type="dxa"/>
          <w:bottom w:w="0" w:type="dxa"/>
          <w:right w:w="108" w:type="dxa"/>
        </w:tblCellMar>
      </w:tblPr>
      <w:tblGrid>
        <w:gridCol w:w="1224"/>
        <w:gridCol w:w="1143"/>
        <w:gridCol w:w="7097"/>
      </w:tblGrid>
      <w:tr>
        <w:tblPrEx>
          <w:tblLayout w:type="fixed"/>
          <w:tblCellMar>
            <w:top w:w="0" w:type="dxa"/>
            <w:left w:w="108" w:type="dxa"/>
            <w:bottom w:w="0" w:type="dxa"/>
            <w:right w:w="108" w:type="dxa"/>
          </w:tblCellMar>
        </w:tblPrEx>
        <w:trPr>
          <w:trHeight w:val="585" w:hRule="atLeast"/>
        </w:trPr>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要求性质</w:t>
            </w:r>
          </w:p>
        </w:tc>
        <w:tc>
          <w:tcPr>
            <w:tcW w:w="1143"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编号</w:t>
            </w:r>
          </w:p>
        </w:tc>
        <w:tc>
          <w:tcPr>
            <w:tcW w:w="7097"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具体服务要求及标准</w:t>
            </w:r>
          </w:p>
        </w:tc>
      </w:tr>
      <w:tr>
        <w:tblPrEx>
          <w:tblLayout w:type="fixed"/>
          <w:tblCellMar>
            <w:top w:w="0" w:type="dxa"/>
            <w:left w:w="108" w:type="dxa"/>
            <w:bottom w:w="0" w:type="dxa"/>
            <w:right w:w="108" w:type="dxa"/>
          </w:tblCellMar>
        </w:tblPrEx>
        <w:trPr>
          <w:trHeight w:val="2758" w:hRule="atLeast"/>
        </w:trPr>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sz w:val="24"/>
                <w:szCs w:val="24"/>
                <w:lang w:bidi="lo-LA"/>
              </w:rPr>
              <w:t>*</w:t>
            </w:r>
          </w:p>
        </w:tc>
        <w:tc>
          <w:tcPr>
            <w:tcW w:w="1143"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lang w:bidi="lo-LA"/>
              </w:rPr>
              <w:t>1</w:t>
            </w:r>
          </w:p>
        </w:tc>
        <w:tc>
          <w:tcPr>
            <w:tcW w:w="7097" w:type="dxa"/>
            <w:tcBorders>
              <w:top w:val="single" w:color="auto" w:sz="4" w:space="0"/>
              <w:left w:val="nil"/>
              <w:bottom w:val="single" w:color="auto" w:sz="4" w:space="0"/>
              <w:right w:val="single" w:color="auto" w:sz="4" w:space="0"/>
            </w:tcBorders>
            <w:vAlign w:val="center"/>
          </w:tcPr>
          <w:p>
            <w:pPr>
              <w:widowControl/>
              <w:spacing w:line="480" w:lineRule="exact"/>
              <w:jc w:val="left"/>
              <w:rPr>
                <w:rFonts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sz w:val="24"/>
                <w:szCs w:val="24"/>
              </w:rPr>
              <w:t>数据网络平台依托联通公司的网络，通过与法院日常办案、办公、内部网站等系统专网连接，为法院领导和干警通过移动终端手机随时随地获知院内资讯、业务提醒、办案情况预警、院内通讯录等信息，能够及时、便捷、快速地完成移动审批、移动信息查询等工作，</w:t>
            </w:r>
            <w:r>
              <w:rPr>
                <w:rFonts w:hint="eastAsia" w:ascii="宋体" w:hAnsi="宋体"/>
                <w:sz w:val="24"/>
                <w:szCs w:val="24"/>
              </w:rPr>
              <w:t>支持NFC通道</w:t>
            </w:r>
            <w:r>
              <w:rPr>
                <w:rFonts w:hint="eastAsia" w:asciiTheme="minorEastAsia" w:hAnsiTheme="minorEastAsia" w:eastAsiaTheme="minorEastAsia" w:cstheme="minorEastAsia"/>
                <w:sz w:val="24"/>
                <w:szCs w:val="24"/>
              </w:rPr>
              <w:t>。</w:t>
            </w:r>
          </w:p>
        </w:tc>
      </w:tr>
      <w:tr>
        <w:tblPrEx>
          <w:tblLayout w:type="fixed"/>
          <w:tblCellMar>
            <w:top w:w="0" w:type="dxa"/>
            <w:left w:w="108" w:type="dxa"/>
            <w:bottom w:w="0" w:type="dxa"/>
            <w:right w:w="108" w:type="dxa"/>
          </w:tblCellMar>
        </w:tblPrEx>
        <w:trPr>
          <w:trHeight w:val="1024" w:hRule="atLeast"/>
        </w:trPr>
        <w:tc>
          <w:tcPr>
            <w:tcW w:w="122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Theme="minorEastAsia" w:hAnsiTheme="minorEastAsia" w:eastAsiaTheme="minorEastAsia" w:cstheme="minorEastAsia"/>
                <w:sz w:val="24"/>
                <w:szCs w:val="24"/>
                <w:lang w:bidi="lo-LA"/>
              </w:rPr>
            </w:pPr>
          </w:p>
        </w:tc>
        <w:tc>
          <w:tcPr>
            <w:tcW w:w="1143"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lang w:bidi="lo-LA"/>
              </w:rPr>
              <w:t>2</w:t>
            </w:r>
          </w:p>
        </w:tc>
        <w:tc>
          <w:tcPr>
            <w:tcW w:w="7097" w:type="dxa"/>
            <w:tcBorders>
              <w:top w:val="single" w:color="auto" w:sz="4" w:space="0"/>
              <w:left w:val="nil"/>
              <w:bottom w:val="single" w:color="auto" w:sz="4" w:space="0"/>
              <w:right w:val="single" w:color="auto" w:sz="4" w:space="0"/>
            </w:tcBorders>
            <w:vAlign w:val="center"/>
          </w:tcPr>
          <w:p>
            <w:pPr>
              <w:widowControl/>
              <w:spacing w:line="480" w:lineRule="exact"/>
              <w:jc w:val="left"/>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1、重要参数</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主屏尺寸：6.53英寸</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主屏分辨率：2244x1080像素</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后置摄像头：1200万像素+1600万像素+80</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前置摄像头：2400万像素</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电池容量：4000mAh</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电池类型：不可拆卸式电池</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核心数：八核</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内存：6GB</w:t>
            </w:r>
          </w:p>
          <w:p>
            <w:pPr>
              <w:widowControl/>
              <w:spacing w:line="480" w:lineRule="exact"/>
              <w:jc w:val="left"/>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2、基本参数</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手机类型：4G手机 3G手机 智能手机 平板手机 拍照手机 快充手机</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操作系统：EMUI 9 基于Android 9.0</w:t>
            </w:r>
          </w:p>
          <w:p>
            <w:pPr>
              <w:widowControl/>
              <w:spacing w:line="480" w:lineRule="exact"/>
              <w:jc w:val="left"/>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3、屏幕</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触摸屏类型：电容屏 多点触控 十点</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主屏尺寸：6.53英寸</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主屏材质：TFT LCD IPS</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主屏分辨率：2244x1080像素</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屏幕像素密度：381ppi</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屏幕技术：全贴合</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窄边框：2.63mm</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屏幕占比：88.07%</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其他屏幕参数：铝硅玻璃</w:t>
            </w:r>
          </w:p>
          <w:p>
            <w:pPr>
              <w:widowControl/>
              <w:spacing w:line="480" w:lineRule="exact"/>
              <w:jc w:val="left"/>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4、硬件</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CPU型号：海思 Kirin 980</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CPU频率：2×Cortex A76 2.6GHz+2×Cortex A76 1.92GHz+4×Cortex A55 1.8GHz</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核心数：八核</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GPU型号：Mali G76720MHz</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RAM容量：6GB</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ROM容量：128GB</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存储卡：超微型存储卡 NM存储卡或NM Card</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扩展容量：256GB</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电池类型：不可拆卸式电池</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电池容量：4000mAh</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续航时间：理论通话时间：最长可达31小时 3G； 理论待机时间：最长可达16.7天</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电池充电：快速充电 超级快充4.5V/5A兼容5V/4.5A 理论充电时间：约1.5小时</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其他硬件参数：双NPU 神经网络处理单元</w:t>
            </w:r>
          </w:p>
          <w:p>
            <w:pPr>
              <w:widowControl/>
              <w:spacing w:line="480" w:lineRule="exact"/>
              <w:jc w:val="left"/>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5、网络与连接</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4G网络：移动TD-LTE 联通TD-LTE 联通FDD-LTE 电信TD-LTE 电信FDD-LTE</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3G网络：移动3G TD-SCDMA 联通3G WCDMA 电信3G CDMA2000 联通2G/移动2G GSM 电信2G CDMA</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WLAN功能：双频WIFI IEEE 802.11 a/b/g/n/ac wave2</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导航：GPS L1+L5双频 AGPS Glonass 北斗 伽利略 E1+E5a双频 QZSS L1+L5双频</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连接与共享：WLAN热点 蓝牙5.0 BLE SBC AAC 支持aptX 支持aptX HD LDAC和HWA高清音频移动VoLTE 电信VoLTE 移动ViLTE 电信ViLTE NM卡热插拔 红外遥控 PC数据同步 OTG 红外遥控 NFC 支持读卡器模式 点对点模式 卡模拟模式 华为钱包支付 SIM卡支付 HCE支付</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机身接口：USB 3.1 GEN1 USB Type-C接口</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其他网络参数：SD卡热插拔</w:t>
            </w:r>
          </w:p>
          <w:p>
            <w:pPr>
              <w:widowControl/>
              <w:spacing w:line="480" w:lineRule="exact"/>
              <w:jc w:val="left"/>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6、摄像头</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摄像头总数：四摄像头 后三</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后置摄像头：1200万像素+1600万像素+800万像素</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前置摄像头：2400万像素</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传感器类型：BSI CMOS</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闪光灯：后置单LED闪光灯</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光圈：后置f/1.8+f/2.2+f/2.4 前置f/2.0</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视频拍摄：后置：4K 3840x2160 30帧/秒视频录制 ； 前置：1080p 1920×1080 30帧/秒视频录制</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拍照功能：后置：自动对焦 激光对焦 相位对焦 反差对焦 AIS防抖 三摄变焦 2倍光学变焦 10倍数字变焦； 前置：固定焦距； 超大广角 超微距 大光圈虚化 超级夜景 人像模式 专业模式 慢动作 全景模式 黑白艺术 趣AR 流光快门 HDR 延时摄影 智能滤镜 3D动态全景 水印 文档矫正 AI摄影大师 4D预测追焦 熄屏快拍 笑脸抓拍 声控拍照 定时拍照</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其他摄像头参数</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照片分辨率； 后置：最大可支持3968×2976像素； 前置：最大可支持5632×4224像素； 摄像分辨率：； 后置：最大可支持 3840×2160像素； 前置：最大可支持 2160×1080像素</w:t>
            </w:r>
          </w:p>
          <w:p>
            <w:pPr>
              <w:widowControl/>
              <w:spacing w:line="480" w:lineRule="exact"/>
              <w:jc w:val="left"/>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7、外观</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造型设计：直板</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机身颜色：翡冷翠 极光色 樱粉金 宝石蓝 亮黑色</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手机尺寸：158.2x77.2x8.3mm</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手机重量：188g</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机身材质：卡托：金属+塑胶； 后盖：玻璃； 边框：铝合金</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操作类型：虚拟按键</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指纹识别设计：后置指纹识别</w:t>
            </w:r>
          </w:p>
          <w:p>
            <w:pPr>
              <w:widowControl/>
              <w:spacing w:line="480" w:lineRule="exact"/>
              <w:jc w:val="left"/>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8、功能与服务</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三防功能：IP53等级</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感应器类型：重力感应器 光线传感器 距离传感器 指纹识别 陀螺仪 指南针 霍尔传感器 Camera激光对焦传感器 气压计 色温传感器</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音频支持：支持MIDI/MP3/AAC等格式</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视频支持：支持3GP/MP4等格式</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图片支持：支持JPEG等格式</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常用功能：秒表 计算器 电子词典 备忘录 日程表 记事本 收音机</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商务功能：飞行模式</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服务特色：人脸解锁 智能截屏 语音控制 情景智能 名片扫描 Huawei Share 支付保护中心 天际通 运动健康 单手操作 皮套模式 杂志锁屏 玩机技巧 应用锁 应用分身 隐私空间 密码保险箱 三重备份与恢复 云空间 外部存储 华为手机助手 手机克隆</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其他功能参数：手势导航 屏幕内三键导航 悬浮导航</w:t>
            </w:r>
          </w:p>
          <w:p>
            <w:pPr>
              <w:widowControl/>
              <w:spacing w:line="480" w:lineRule="exact"/>
              <w:jc w:val="left"/>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9、手机附件</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包装清单：主机x1； 电池 内置x1； 华为SuperCharge充电器x1； Type-C 数据线x1； 半入耳式线控耳机x1； TPU保护壳x1； 快速指南x1； 三包凭证x1； 取卡针x1</w:t>
            </w:r>
          </w:p>
          <w:p>
            <w:pPr>
              <w:widowControl/>
              <w:spacing w:line="480" w:lineRule="exact"/>
              <w:jc w:val="left"/>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10、保修信息</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保修政策：全国联保 享受三包服务</w:t>
            </w:r>
          </w:p>
          <w:p>
            <w:pPr>
              <w:widowControl/>
              <w:spacing w:line="48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质保时间：1年</w:t>
            </w:r>
          </w:p>
          <w:p>
            <w:pPr>
              <w:widowControl/>
              <w:spacing w:line="48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质保备注：主机1年 电池1年 充电器1年</w:t>
            </w:r>
          </w:p>
        </w:tc>
      </w:tr>
    </w:tbl>
    <w:p>
      <w:pPr>
        <w:widowControl/>
        <w:jc w:val="left"/>
        <w:rPr>
          <w:rFonts w:ascii="宋体" w:hAnsi="宋体"/>
          <w:b/>
          <w:bCs/>
          <w:kern w:val="44"/>
          <w:sz w:val="24"/>
          <w:szCs w:val="24"/>
        </w:rPr>
      </w:pPr>
    </w:p>
    <w:p>
      <w:pPr>
        <w:widowControl/>
        <w:jc w:val="left"/>
        <w:rPr>
          <w:rFonts w:asciiTheme="minorEastAsia" w:hAnsiTheme="minorEastAsia" w:eastAsiaTheme="minorEastAsia" w:cstheme="minorEastAsia"/>
          <w:b/>
          <w:kern w:val="0"/>
          <w:sz w:val="24"/>
          <w:szCs w:val="24"/>
          <w:u w:val="single"/>
        </w:rPr>
      </w:pPr>
      <w:r>
        <w:rPr>
          <w:rFonts w:hint="eastAsia" w:asciiTheme="minorEastAsia" w:hAnsiTheme="minorEastAsia" w:eastAsiaTheme="minorEastAsia" w:cstheme="minorEastAsia"/>
          <w:b/>
          <w:sz w:val="24"/>
          <w:szCs w:val="24"/>
        </w:rPr>
        <w:t>附表</w:t>
      </w:r>
      <w:r>
        <w:rPr>
          <w:rFonts w:hint="eastAsia" w:asciiTheme="minorEastAsia" w:hAnsiTheme="minorEastAsia" w:eastAsiaTheme="minorEastAsia" w:cstheme="minorEastAsia"/>
          <w:b/>
          <w:sz w:val="24"/>
          <w:szCs w:val="24"/>
          <w:lang w:val="en-US" w:eastAsia="zh-CN"/>
        </w:rPr>
        <w:t>3</w:t>
      </w:r>
      <w:r>
        <w:rPr>
          <w:rFonts w:hint="eastAsia" w:asciiTheme="minorEastAsia" w:hAnsiTheme="minorEastAsia" w:eastAsiaTheme="minorEastAsia" w:cstheme="minorEastAsia"/>
          <w:b/>
          <w:kern w:val="0"/>
          <w:sz w:val="24"/>
          <w:szCs w:val="24"/>
        </w:rPr>
        <w:t>服务要求及标准</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kern w:val="0"/>
          <w:sz w:val="24"/>
          <w:szCs w:val="24"/>
        </w:rPr>
        <w:t>服务项目：</w:t>
      </w:r>
      <w:r>
        <w:rPr>
          <w:rFonts w:hint="eastAsia" w:asciiTheme="minorEastAsia" w:hAnsiTheme="minorEastAsia" w:eastAsiaTheme="minorEastAsia" w:cstheme="minorEastAsia"/>
          <w:b/>
          <w:kern w:val="0"/>
          <w:sz w:val="24"/>
          <w:szCs w:val="24"/>
          <w:u w:val="single"/>
        </w:rPr>
        <w:t>网络套餐</w:t>
      </w:r>
    </w:p>
    <w:tbl>
      <w:tblPr>
        <w:tblStyle w:val="42"/>
        <w:tblW w:w="9561" w:type="dxa"/>
        <w:tblInd w:w="0" w:type="dxa"/>
        <w:tblLayout w:type="fixed"/>
        <w:tblCellMar>
          <w:top w:w="0" w:type="dxa"/>
          <w:left w:w="108" w:type="dxa"/>
          <w:bottom w:w="0" w:type="dxa"/>
          <w:right w:w="108" w:type="dxa"/>
        </w:tblCellMar>
      </w:tblPr>
      <w:tblGrid>
        <w:gridCol w:w="1562"/>
        <w:gridCol w:w="812"/>
        <w:gridCol w:w="7187"/>
      </w:tblGrid>
      <w:tr>
        <w:tblPrEx>
          <w:tblLayout w:type="fixed"/>
          <w:tblCellMar>
            <w:top w:w="0" w:type="dxa"/>
            <w:left w:w="108" w:type="dxa"/>
            <w:bottom w:w="0" w:type="dxa"/>
            <w:right w:w="108" w:type="dxa"/>
          </w:tblCellMar>
        </w:tblPrEx>
        <w:trPr>
          <w:trHeight w:val="573" w:hRule="atLeast"/>
        </w:trPr>
        <w:tc>
          <w:tcPr>
            <w:tcW w:w="1562"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sz w:val="24"/>
                <w:szCs w:val="24"/>
              </w:rPr>
            </w:pPr>
            <w:r>
              <w:rPr>
                <w:rFonts w:hint="eastAsia" w:ascii="宋体" w:hAnsi="宋体" w:cs="宋体"/>
                <w:sz w:val="24"/>
                <w:szCs w:val="24"/>
              </w:rPr>
              <w:t>要求性质</w:t>
            </w:r>
          </w:p>
        </w:tc>
        <w:tc>
          <w:tcPr>
            <w:tcW w:w="812"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宋体" w:hAnsi="宋体" w:cs="宋体"/>
                <w:sz w:val="24"/>
                <w:szCs w:val="24"/>
              </w:rPr>
            </w:pPr>
            <w:r>
              <w:rPr>
                <w:rFonts w:hint="eastAsia" w:ascii="宋体" w:hAnsi="宋体" w:cs="宋体"/>
                <w:sz w:val="24"/>
                <w:szCs w:val="24"/>
              </w:rPr>
              <w:t>编号</w:t>
            </w:r>
          </w:p>
        </w:tc>
        <w:tc>
          <w:tcPr>
            <w:tcW w:w="7187"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宋体" w:hAnsi="宋体" w:cs="宋体"/>
                <w:sz w:val="24"/>
                <w:szCs w:val="24"/>
              </w:rPr>
            </w:pPr>
            <w:r>
              <w:rPr>
                <w:rFonts w:hint="eastAsia" w:ascii="宋体" w:hAnsi="宋体" w:cs="宋体"/>
                <w:sz w:val="24"/>
                <w:szCs w:val="24"/>
              </w:rPr>
              <w:t>具体服务要求及标准</w:t>
            </w:r>
          </w:p>
        </w:tc>
      </w:tr>
      <w:tr>
        <w:tblPrEx>
          <w:tblLayout w:type="fixed"/>
          <w:tblCellMar>
            <w:top w:w="0" w:type="dxa"/>
            <w:left w:w="108" w:type="dxa"/>
            <w:bottom w:w="0" w:type="dxa"/>
            <w:right w:w="108" w:type="dxa"/>
          </w:tblCellMar>
        </w:tblPrEx>
        <w:trPr>
          <w:trHeight w:val="389" w:hRule="atLeast"/>
        </w:trPr>
        <w:tc>
          <w:tcPr>
            <w:tcW w:w="1562"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lang w:bidi="lo-LA"/>
              </w:rPr>
            </w:pPr>
            <w:r>
              <w:rPr>
                <w:rFonts w:hint="eastAsia" w:ascii="宋体" w:hAnsi="宋体" w:cs="宋体"/>
                <w:sz w:val="24"/>
                <w:szCs w:val="24"/>
                <w:lang w:bidi="lo-LA"/>
              </w:rPr>
              <w:t>*</w:t>
            </w:r>
          </w:p>
        </w:tc>
        <w:tc>
          <w:tcPr>
            <w:tcW w:w="812"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宋体" w:hAnsi="宋体" w:cs="宋体"/>
                <w:kern w:val="0"/>
                <w:sz w:val="24"/>
                <w:szCs w:val="24"/>
                <w:lang w:bidi="lo-LA"/>
              </w:rPr>
            </w:pPr>
            <w:r>
              <w:rPr>
                <w:rFonts w:hint="eastAsia" w:ascii="宋体" w:hAnsi="宋体" w:cs="宋体"/>
                <w:kern w:val="0"/>
                <w:sz w:val="24"/>
                <w:szCs w:val="24"/>
                <w:lang w:bidi="lo-LA"/>
              </w:rPr>
              <w:t>1</w:t>
            </w:r>
          </w:p>
        </w:tc>
        <w:tc>
          <w:tcPr>
            <w:tcW w:w="7187" w:type="dxa"/>
            <w:tcBorders>
              <w:top w:val="single" w:color="auto" w:sz="4" w:space="0"/>
              <w:left w:val="nil"/>
              <w:bottom w:val="single" w:color="auto" w:sz="4" w:space="0"/>
              <w:right w:val="single" w:color="auto" w:sz="4" w:space="0"/>
            </w:tcBorders>
            <w:vAlign w:val="center"/>
          </w:tcPr>
          <w:p>
            <w:pPr>
              <w:pStyle w:val="51"/>
              <w:spacing w:line="480" w:lineRule="exact"/>
              <w:ind w:firstLine="0" w:firstLineChars="0"/>
              <w:rPr>
                <w:rFonts w:ascii="宋体" w:hAnsi="宋体" w:cs="宋体"/>
                <w:kern w:val="0"/>
                <w:sz w:val="24"/>
                <w:szCs w:val="24"/>
                <w:lang w:bidi="lo-LA"/>
              </w:rPr>
            </w:pPr>
            <w:r>
              <w:rPr>
                <w:rFonts w:hint="eastAsia" w:ascii="宋体" w:hAnsi="宋体" w:cs="宋体"/>
                <w:sz w:val="24"/>
                <w:szCs w:val="24"/>
              </w:rPr>
              <w:t>套餐每月包含1000分钟国内通话（不含港澳台）、33G国内流量（不含港澳台）、100条短信（不含港澳台）。共计24个月。</w:t>
            </w:r>
          </w:p>
        </w:tc>
      </w:tr>
    </w:tbl>
    <w:p>
      <w:pPr>
        <w:widowControl/>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附表4</w:t>
      </w:r>
      <w:r>
        <w:rPr>
          <w:rFonts w:hint="eastAsia" w:asciiTheme="minorEastAsia" w:hAnsiTheme="minorEastAsia" w:eastAsiaTheme="minorEastAsia" w:cstheme="minorEastAsia"/>
          <w:b/>
          <w:kern w:val="0"/>
          <w:sz w:val="24"/>
          <w:szCs w:val="24"/>
        </w:rPr>
        <w:t>服务要求及标准</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kern w:val="0"/>
          <w:sz w:val="24"/>
          <w:szCs w:val="24"/>
        </w:rPr>
        <w:t>服务项目：</w:t>
      </w:r>
      <w:r>
        <w:rPr>
          <w:rFonts w:hint="eastAsia" w:asciiTheme="minorEastAsia" w:hAnsiTheme="minorEastAsia" w:eastAsiaTheme="minorEastAsia" w:cstheme="minorEastAsia"/>
          <w:b/>
          <w:kern w:val="0"/>
          <w:sz w:val="24"/>
          <w:szCs w:val="24"/>
          <w:u w:val="single"/>
        </w:rPr>
        <w:t>资料传递柜系统</w:t>
      </w:r>
    </w:p>
    <w:tbl>
      <w:tblPr>
        <w:tblStyle w:val="42"/>
        <w:tblpPr w:leftFromText="180" w:rightFromText="180" w:vertAnchor="text" w:horzAnchor="margin" w:tblpY="557"/>
        <w:tblW w:w="9606" w:type="dxa"/>
        <w:tblInd w:w="0" w:type="dxa"/>
        <w:tblLayout w:type="fixed"/>
        <w:tblCellMar>
          <w:top w:w="0" w:type="dxa"/>
          <w:left w:w="108" w:type="dxa"/>
          <w:bottom w:w="0" w:type="dxa"/>
          <w:right w:w="108" w:type="dxa"/>
        </w:tblCellMar>
      </w:tblPr>
      <w:tblGrid>
        <w:gridCol w:w="967"/>
        <w:gridCol w:w="2010"/>
        <w:gridCol w:w="993"/>
        <w:gridCol w:w="850"/>
        <w:gridCol w:w="1276"/>
        <w:gridCol w:w="3510"/>
      </w:tblGrid>
      <w:tr>
        <w:tblPrEx>
          <w:tblLayout w:type="fixed"/>
          <w:tblCellMar>
            <w:top w:w="0" w:type="dxa"/>
            <w:left w:w="108" w:type="dxa"/>
            <w:bottom w:w="0" w:type="dxa"/>
            <w:right w:w="108" w:type="dxa"/>
          </w:tblCellMar>
        </w:tblPrEx>
        <w:trPr>
          <w:trHeight w:val="525" w:hRule="atLeast"/>
        </w:trPr>
        <w:tc>
          <w:tcPr>
            <w:tcW w:w="967"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序号</w:t>
            </w:r>
          </w:p>
        </w:tc>
        <w:tc>
          <w:tcPr>
            <w:tcW w:w="2010"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名称</w:t>
            </w:r>
          </w:p>
        </w:tc>
        <w:tc>
          <w:tcPr>
            <w:tcW w:w="993"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型号</w:t>
            </w:r>
          </w:p>
        </w:tc>
        <w:tc>
          <w:tcPr>
            <w:tcW w:w="850"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单位</w:t>
            </w:r>
          </w:p>
        </w:tc>
        <w:tc>
          <w:tcPr>
            <w:tcW w:w="127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规格（宽*深*高）</w:t>
            </w:r>
          </w:p>
        </w:tc>
        <w:tc>
          <w:tcPr>
            <w:tcW w:w="351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数量（台）</w:t>
            </w:r>
          </w:p>
        </w:tc>
      </w:tr>
      <w:tr>
        <w:tblPrEx>
          <w:tblLayout w:type="fixed"/>
          <w:tblCellMar>
            <w:top w:w="0" w:type="dxa"/>
            <w:left w:w="108" w:type="dxa"/>
            <w:bottom w:w="0" w:type="dxa"/>
            <w:right w:w="108" w:type="dxa"/>
          </w:tblCellMar>
        </w:tblPrEx>
        <w:trPr>
          <w:trHeight w:val="990" w:hRule="atLeast"/>
        </w:trPr>
        <w:tc>
          <w:tcPr>
            <w:tcW w:w="967"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201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xml:space="preserve">资料传递柜主机柜（常规版，不带广告机） </w:t>
            </w:r>
          </w:p>
        </w:tc>
        <w:tc>
          <w:tcPr>
            <w:tcW w:w="99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1"/>
                <w:szCs w:val="21"/>
              </w:rPr>
            </w:pPr>
          </w:p>
        </w:tc>
        <w:tc>
          <w:tcPr>
            <w:tcW w:w="85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台</w:t>
            </w:r>
          </w:p>
        </w:tc>
        <w:tc>
          <w:tcPr>
            <w:tcW w:w="127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630×500×1850mm</w:t>
            </w:r>
          </w:p>
        </w:tc>
        <w:tc>
          <w:tcPr>
            <w:tcW w:w="351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1"/>
                <w:szCs w:val="21"/>
              </w:rPr>
            </w:pPr>
            <w:bookmarkStart w:id="17" w:name="RANGE!F31"/>
            <w:r>
              <w:rPr>
                <w:rFonts w:hint="eastAsia" w:ascii="宋体" w:hAnsi="宋体" w:cs="宋体"/>
                <w:color w:val="000000"/>
                <w:kern w:val="0"/>
                <w:sz w:val="21"/>
                <w:szCs w:val="21"/>
              </w:rPr>
              <w:t>1</w:t>
            </w:r>
            <w:bookmarkEnd w:id="17"/>
          </w:p>
        </w:tc>
      </w:tr>
      <w:tr>
        <w:tblPrEx>
          <w:tblLayout w:type="fixed"/>
          <w:tblCellMar>
            <w:top w:w="0" w:type="dxa"/>
            <w:left w:w="108" w:type="dxa"/>
            <w:bottom w:w="0" w:type="dxa"/>
            <w:right w:w="108" w:type="dxa"/>
          </w:tblCellMar>
        </w:tblPrEx>
        <w:trPr>
          <w:trHeight w:val="272" w:hRule="atLeast"/>
        </w:trPr>
        <w:tc>
          <w:tcPr>
            <w:tcW w:w="9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1"/>
                <w:szCs w:val="21"/>
              </w:rPr>
            </w:pPr>
          </w:p>
        </w:tc>
        <w:tc>
          <w:tcPr>
            <w:tcW w:w="201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1"/>
                <w:szCs w:val="21"/>
              </w:rPr>
            </w:pPr>
          </w:p>
        </w:tc>
        <w:tc>
          <w:tcPr>
            <w:tcW w:w="99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1"/>
                <w:szCs w:val="21"/>
              </w:rPr>
            </w:pPr>
          </w:p>
        </w:tc>
        <w:tc>
          <w:tcPr>
            <w:tcW w:w="85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1"/>
                <w:szCs w:val="21"/>
              </w:rPr>
            </w:pPr>
          </w:p>
        </w:tc>
        <w:tc>
          <w:tcPr>
            <w:tcW w:w="127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1"/>
                <w:szCs w:val="21"/>
              </w:rPr>
            </w:pPr>
          </w:p>
        </w:tc>
        <w:tc>
          <w:tcPr>
            <w:tcW w:w="351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1"/>
                <w:szCs w:val="21"/>
              </w:rPr>
            </w:pPr>
          </w:p>
        </w:tc>
      </w:tr>
      <w:tr>
        <w:tblPrEx>
          <w:tblLayout w:type="fixed"/>
          <w:tblCellMar>
            <w:top w:w="0" w:type="dxa"/>
            <w:left w:w="108" w:type="dxa"/>
            <w:bottom w:w="0" w:type="dxa"/>
            <w:right w:w="108" w:type="dxa"/>
          </w:tblCellMar>
        </w:tblPrEx>
        <w:trPr>
          <w:trHeight w:val="525" w:hRule="atLeast"/>
        </w:trPr>
        <w:tc>
          <w:tcPr>
            <w:tcW w:w="96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201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副柜（18门）</w:t>
            </w:r>
          </w:p>
        </w:tc>
        <w:tc>
          <w:tcPr>
            <w:tcW w:w="99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1"/>
                <w:szCs w:val="21"/>
              </w:rPr>
            </w:pP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台</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930×500×1850mm</w:t>
            </w:r>
          </w:p>
        </w:tc>
        <w:tc>
          <w:tcPr>
            <w:tcW w:w="351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r>
        <w:tblPrEx>
          <w:tblLayout w:type="fixed"/>
          <w:tblCellMar>
            <w:top w:w="0" w:type="dxa"/>
            <w:left w:w="108" w:type="dxa"/>
            <w:bottom w:w="0" w:type="dxa"/>
            <w:right w:w="108" w:type="dxa"/>
          </w:tblCellMar>
        </w:tblPrEx>
        <w:trPr>
          <w:trHeight w:val="285" w:hRule="atLeast"/>
        </w:trPr>
        <w:tc>
          <w:tcPr>
            <w:tcW w:w="96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w:t>
            </w:r>
          </w:p>
        </w:tc>
        <w:tc>
          <w:tcPr>
            <w:tcW w:w="201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联网软件</w:t>
            </w:r>
          </w:p>
        </w:tc>
        <w:tc>
          <w:tcPr>
            <w:tcW w:w="99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1"/>
                <w:szCs w:val="21"/>
              </w:rPr>
            </w:pPr>
          </w:p>
        </w:tc>
        <w:tc>
          <w:tcPr>
            <w:tcW w:w="8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套</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351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r>
    </w:tbl>
    <w:p>
      <w:pPr>
        <w:widowControl/>
        <w:jc w:val="left"/>
        <w:rPr>
          <w:rFonts w:hint="eastAsia" w:asciiTheme="minorEastAsia" w:hAnsiTheme="minorEastAsia" w:eastAsiaTheme="minorEastAsia" w:cstheme="minorEastAsia"/>
          <w:b/>
          <w:sz w:val="24"/>
          <w:szCs w:val="24"/>
        </w:rPr>
      </w:pPr>
    </w:p>
    <w:tbl>
      <w:tblPr>
        <w:tblStyle w:val="42"/>
        <w:tblpPr w:leftFromText="180" w:rightFromText="180" w:vertAnchor="page" w:horzAnchor="page" w:tblpX="1165" w:tblpY="4161"/>
        <w:tblW w:w="9628" w:type="dxa"/>
        <w:tblInd w:w="0" w:type="dxa"/>
        <w:tblLayout w:type="fixed"/>
        <w:tblCellMar>
          <w:top w:w="0" w:type="dxa"/>
          <w:left w:w="108" w:type="dxa"/>
          <w:bottom w:w="0" w:type="dxa"/>
          <w:right w:w="108" w:type="dxa"/>
        </w:tblCellMar>
      </w:tblPr>
      <w:tblGrid>
        <w:gridCol w:w="2124"/>
        <w:gridCol w:w="1103"/>
        <w:gridCol w:w="6401"/>
      </w:tblGrid>
      <w:tr>
        <w:tblPrEx>
          <w:tblLayout w:type="fixed"/>
          <w:tblCellMar>
            <w:top w:w="0" w:type="dxa"/>
            <w:left w:w="108" w:type="dxa"/>
            <w:bottom w:w="0" w:type="dxa"/>
            <w:right w:w="108" w:type="dxa"/>
          </w:tblCellMar>
        </w:tblPrEx>
        <w:trPr>
          <w:trHeight w:val="360" w:hRule="atLeast"/>
        </w:trPr>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
                <w:bCs/>
                <w:color w:val="000000"/>
                <w:kern w:val="0"/>
                <w:sz w:val="21"/>
                <w:szCs w:val="21"/>
              </w:rPr>
            </w:pPr>
            <w:r>
              <w:rPr>
                <w:rFonts w:hint="eastAsia" w:ascii="宋体" w:hAnsi="宋体" w:cs="宋体"/>
                <w:sz w:val="24"/>
                <w:szCs w:val="24"/>
              </w:rPr>
              <w:t>要求性质</w:t>
            </w:r>
          </w:p>
        </w:tc>
        <w:tc>
          <w:tcPr>
            <w:tcW w:w="1103" w:type="dxa"/>
            <w:tcBorders>
              <w:top w:val="single" w:color="auto" w:sz="4" w:space="0"/>
              <w:left w:val="nil"/>
              <w:bottom w:val="single" w:color="auto" w:sz="4" w:space="0"/>
              <w:right w:val="single" w:color="auto" w:sz="4" w:space="0"/>
            </w:tcBorders>
          </w:tcPr>
          <w:p>
            <w:pPr>
              <w:widowControl/>
              <w:rPr>
                <w:rFonts w:ascii="宋体" w:hAnsi="宋体" w:cs="宋体"/>
                <w:sz w:val="24"/>
                <w:szCs w:val="24"/>
              </w:rPr>
            </w:pPr>
            <w:r>
              <w:rPr>
                <w:rFonts w:hint="eastAsia" w:ascii="宋体" w:hAnsi="宋体" w:cs="宋体"/>
                <w:sz w:val="24"/>
                <w:szCs w:val="24"/>
              </w:rPr>
              <w:t>编号</w:t>
            </w:r>
          </w:p>
        </w:tc>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sz w:val="24"/>
                <w:szCs w:val="24"/>
              </w:rPr>
            </w:pPr>
            <w:r>
              <w:rPr>
                <w:rFonts w:hint="eastAsia" w:ascii="宋体" w:hAnsi="宋体" w:cs="宋体"/>
                <w:sz w:val="24"/>
                <w:szCs w:val="24"/>
              </w:rPr>
              <w:t>具体要求标准</w:t>
            </w:r>
          </w:p>
        </w:tc>
      </w:tr>
      <w:tr>
        <w:tblPrEx>
          <w:tblLayout w:type="fixed"/>
          <w:tblCellMar>
            <w:top w:w="0" w:type="dxa"/>
            <w:left w:w="108" w:type="dxa"/>
            <w:bottom w:w="0" w:type="dxa"/>
            <w:right w:w="108" w:type="dxa"/>
          </w:tblCellMar>
        </w:tblPrEx>
        <w:trPr>
          <w:trHeight w:val="360" w:hRule="atLeast"/>
        </w:trPr>
        <w:tc>
          <w:tcPr>
            <w:tcW w:w="21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独立式工控板</w:t>
            </w:r>
          </w:p>
        </w:tc>
        <w:tc>
          <w:tcPr>
            <w:tcW w:w="1103" w:type="dxa"/>
            <w:tcBorders>
              <w:top w:val="single" w:color="auto" w:sz="4" w:space="0"/>
              <w:left w:val="nil"/>
              <w:bottom w:val="single" w:color="auto" w:sz="4" w:space="0"/>
              <w:right w:val="single" w:color="auto" w:sz="4" w:space="0"/>
            </w:tcBorders>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w:t>
            </w:r>
          </w:p>
        </w:tc>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工业级ITX-JWD525-6</w:t>
            </w:r>
          </w:p>
        </w:tc>
      </w:tr>
      <w:tr>
        <w:tblPrEx>
          <w:tblLayout w:type="fixed"/>
          <w:tblCellMar>
            <w:top w:w="0" w:type="dxa"/>
            <w:left w:w="108" w:type="dxa"/>
            <w:bottom w:w="0" w:type="dxa"/>
            <w:right w:w="108" w:type="dxa"/>
          </w:tblCellMar>
        </w:tblPrEx>
        <w:trPr>
          <w:trHeight w:val="360" w:hRule="atLeast"/>
        </w:trPr>
        <w:tc>
          <w:tcPr>
            <w:tcW w:w="21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103" w:type="dxa"/>
            <w:tcBorders>
              <w:top w:val="single" w:color="auto" w:sz="4" w:space="0"/>
              <w:left w:val="nil"/>
              <w:bottom w:val="single" w:color="auto" w:sz="4" w:space="0"/>
              <w:right w:val="single" w:color="auto" w:sz="4" w:space="0"/>
            </w:tcBorders>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2</w:t>
            </w:r>
          </w:p>
        </w:tc>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配置：D525 双核1.8G 1VGA 1网口 8USB 6串口</w:t>
            </w:r>
          </w:p>
        </w:tc>
      </w:tr>
      <w:tr>
        <w:tblPrEx>
          <w:tblLayout w:type="fixed"/>
          <w:tblCellMar>
            <w:top w:w="0" w:type="dxa"/>
            <w:left w:w="108" w:type="dxa"/>
            <w:bottom w:w="0" w:type="dxa"/>
            <w:right w:w="108" w:type="dxa"/>
          </w:tblCellMar>
        </w:tblPrEx>
        <w:trPr>
          <w:trHeight w:val="360" w:hRule="atLeast"/>
        </w:trPr>
        <w:tc>
          <w:tcPr>
            <w:tcW w:w="21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103" w:type="dxa"/>
            <w:tcBorders>
              <w:top w:val="single" w:color="auto" w:sz="4" w:space="0"/>
              <w:left w:val="nil"/>
              <w:bottom w:val="single" w:color="auto" w:sz="4" w:space="0"/>
              <w:right w:val="single" w:color="auto" w:sz="4" w:space="0"/>
            </w:tcBorders>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3</w:t>
            </w:r>
          </w:p>
        </w:tc>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上电自动开机</w:t>
            </w:r>
          </w:p>
        </w:tc>
      </w:tr>
      <w:tr>
        <w:tblPrEx>
          <w:tblLayout w:type="fixed"/>
          <w:tblCellMar>
            <w:top w:w="0" w:type="dxa"/>
            <w:left w:w="108" w:type="dxa"/>
            <w:bottom w:w="0" w:type="dxa"/>
            <w:right w:w="108" w:type="dxa"/>
          </w:tblCellMar>
        </w:tblPrEx>
        <w:trPr>
          <w:trHeight w:val="360" w:hRule="atLeast"/>
        </w:trPr>
        <w:tc>
          <w:tcPr>
            <w:tcW w:w="21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103" w:type="dxa"/>
            <w:tcBorders>
              <w:top w:val="single" w:color="auto" w:sz="4" w:space="0"/>
              <w:left w:val="nil"/>
              <w:bottom w:val="single" w:color="auto" w:sz="4" w:space="0"/>
              <w:right w:val="single" w:color="auto" w:sz="4" w:space="0"/>
            </w:tcBorders>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4</w:t>
            </w:r>
          </w:p>
        </w:tc>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配套串口线</w:t>
            </w:r>
          </w:p>
        </w:tc>
      </w:tr>
      <w:tr>
        <w:tblPrEx>
          <w:tblLayout w:type="fixed"/>
          <w:tblCellMar>
            <w:top w:w="0" w:type="dxa"/>
            <w:left w:w="108" w:type="dxa"/>
            <w:bottom w:w="0" w:type="dxa"/>
            <w:right w:w="108" w:type="dxa"/>
          </w:tblCellMar>
        </w:tblPrEx>
        <w:trPr>
          <w:trHeight w:val="360" w:hRule="atLeast"/>
        </w:trPr>
        <w:tc>
          <w:tcPr>
            <w:tcW w:w="2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工控硬盘</w:t>
            </w:r>
          </w:p>
        </w:tc>
        <w:tc>
          <w:tcPr>
            <w:tcW w:w="1103" w:type="dxa"/>
            <w:tcBorders>
              <w:top w:val="single" w:color="auto" w:sz="4" w:space="0"/>
              <w:left w:val="nil"/>
              <w:bottom w:val="single" w:color="auto" w:sz="4" w:space="0"/>
              <w:right w:val="single" w:color="auto" w:sz="4" w:space="0"/>
            </w:tcBorders>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5</w:t>
            </w:r>
          </w:p>
        </w:tc>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16GSSD固态硬盘</w:t>
            </w:r>
          </w:p>
        </w:tc>
      </w:tr>
      <w:tr>
        <w:tblPrEx>
          <w:tblLayout w:type="fixed"/>
          <w:tblCellMar>
            <w:top w:w="0" w:type="dxa"/>
            <w:left w:w="108" w:type="dxa"/>
            <w:bottom w:w="0" w:type="dxa"/>
            <w:right w:w="108" w:type="dxa"/>
          </w:tblCellMar>
        </w:tblPrEx>
        <w:trPr>
          <w:trHeight w:val="360" w:hRule="atLeast"/>
        </w:trPr>
        <w:tc>
          <w:tcPr>
            <w:tcW w:w="2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操作系统</w:t>
            </w:r>
          </w:p>
        </w:tc>
        <w:tc>
          <w:tcPr>
            <w:tcW w:w="1103" w:type="dxa"/>
            <w:tcBorders>
              <w:top w:val="single" w:color="auto" w:sz="4" w:space="0"/>
              <w:left w:val="nil"/>
              <w:bottom w:val="single" w:color="auto" w:sz="4" w:space="0"/>
              <w:right w:val="single" w:color="auto" w:sz="4" w:space="0"/>
            </w:tcBorders>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6</w:t>
            </w:r>
          </w:p>
        </w:tc>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Microsoft Windows XPE</w:t>
            </w:r>
          </w:p>
        </w:tc>
      </w:tr>
      <w:tr>
        <w:tblPrEx>
          <w:tblLayout w:type="fixed"/>
          <w:tblCellMar>
            <w:top w:w="0" w:type="dxa"/>
            <w:left w:w="108" w:type="dxa"/>
            <w:bottom w:w="0" w:type="dxa"/>
            <w:right w:w="108" w:type="dxa"/>
          </w:tblCellMar>
        </w:tblPrEx>
        <w:trPr>
          <w:trHeight w:val="660" w:hRule="atLeast"/>
        </w:trPr>
        <w:tc>
          <w:tcPr>
            <w:tcW w:w="2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17寸触摸屏</w:t>
            </w:r>
          </w:p>
        </w:tc>
        <w:tc>
          <w:tcPr>
            <w:tcW w:w="1103" w:type="dxa"/>
            <w:tcBorders>
              <w:top w:val="single" w:color="auto" w:sz="4" w:space="0"/>
              <w:left w:val="nil"/>
              <w:bottom w:val="single" w:color="auto" w:sz="4" w:space="0"/>
              <w:right w:val="single" w:color="auto" w:sz="4" w:space="0"/>
            </w:tcBorders>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7</w:t>
            </w:r>
          </w:p>
        </w:tc>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xml:space="preserve">分辨率1280*1080，红外触摸屏显示器/VGA/DC12V/双磁环屏蔽VGA/124A电源 </w:t>
            </w:r>
          </w:p>
        </w:tc>
      </w:tr>
      <w:tr>
        <w:tblPrEx>
          <w:tblLayout w:type="fixed"/>
          <w:tblCellMar>
            <w:top w:w="0" w:type="dxa"/>
            <w:left w:w="108" w:type="dxa"/>
            <w:bottom w:w="0" w:type="dxa"/>
            <w:right w:w="108" w:type="dxa"/>
          </w:tblCellMar>
        </w:tblPrEx>
        <w:trPr>
          <w:trHeight w:val="570" w:hRule="atLeast"/>
        </w:trPr>
        <w:tc>
          <w:tcPr>
            <w:tcW w:w="2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激光一维扫描模块</w:t>
            </w:r>
          </w:p>
        </w:tc>
        <w:tc>
          <w:tcPr>
            <w:tcW w:w="1103" w:type="dxa"/>
            <w:tcBorders>
              <w:top w:val="single" w:color="auto" w:sz="4" w:space="0"/>
              <w:left w:val="nil"/>
              <w:bottom w:val="single" w:color="auto" w:sz="4" w:space="0"/>
              <w:right w:val="single" w:color="auto" w:sz="4" w:space="0"/>
            </w:tcBorders>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8</w:t>
            </w:r>
          </w:p>
        </w:tc>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支持多钟协议格式</w:t>
            </w:r>
          </w:p>
        </w:tc>
      </w:tr>
      <w:tr>
        <w:tblPrEx>
          <w:tblLayout w:type="fixed"/>
          <w:tblCellMar>
            <w:top w:w="0" w:type="dxa"/>
            <w:left w:w="108" w:type="dxa"/>
            <w:bottom w:w="0" w:type="dxa"/>
            <w:right w:w="108" w:type="dxa"/>
          </w:tblCellMar>
        </w:tblPrEx>
        <w:trPr>
          <w:trHeight w:val="360" w:hRule="atLeast"/>
        </w:trPr>
        <w:tc>
          <w:tcPr>
            <w:tcW w:w="2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金属键盘</w:t>
            </w:r>
          </w:p>
        </w:tc>
        <w:tc>
          <w:tcPr>
            <w:tcW w:w="1103" w:type="dxa"/>
            <w:tcBorders>
              <w:top w:val="single" w:color="auto" w:sz="4" w:space="0"/>
              <w:left w:val="nil"/>
              <w:bottom w:val="single" w:color="auto" w:sz="4" w:space="0"/>
              <w:right w:val="single" w:color="auto" w:sz="4" w:space="0"/>
            </w:tcBorders>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9</w:t>
            </w:r>
          </w:p>
        </w:tc>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密码健盘（标准16键）</w:t>
            </w:r>
          </w:p>
        </w:tc>
      </w:tr>
      <w:tr>
        <w:tblPrEx>
          <w:tblLayout w:type="fixed"/>
          <w:tblCellMar>
            <w:top w:w="0" w:type="dxa"/>
            <w:left w:w="108" w:type="dxa"/>
            <w:bottom w:w="0" w:type="dxa"/>
            <w:right w:w="108" w:type="dxa"/>
          </w:tblCellMar>
        </w:tblPrEx>
        <w:trPr>
          <w:trHeight w:val="360" w:hRule="atLeast"/>
        </w:trPr>
        <w:tc>
          <w:tcPr>
            <w:tcW w:w="2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电脑小音箱</w:t>
            </w:r>
          </w:p>
        </w:tc>
        <w:tc>
          <w:tcPr>
            <w:tcW w:w="1103" w:type="dxa"/>
            <w:tcBorders>
              <w:top w:val="single" w:color="auto" w:sz="4" w:space="0"/>
              <w:left w:val="nil"/>
              <w:bottom w:val="single" w:color="auto" w:sz="4" w:space="0"/>
              <w:right w:val="single" w:color="auto" w:sz="4" w:space="0"/>
            </w:tcBorders>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10</w:t>
            </w:r>
          </w:p>
        </w:tc>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扬声器(单声道) x 2；</w:t>
            </w:r>
          </w:p>
        </w:tc>
      </w:tr>
      <w:tr>
        <w:tblPrEx>
          <w:tblLayout w:type="fixed"/>
          <w:tblCellMar>
            <w:top w:w="0" w:type="dxa"/>
            <w:left w:w="108" w:type="dxa"/>
            <w:bottom w:w="0" w:type="dxa"/>
            <w:right w:w="108" w:type="dxa"/>
          </w:tblCellMar>
        </w:tblPrEx>
        <w:trPr>
          <w:trHeight w:val="360" w:hRule="atLeast"/>
        </w:trPr>
        <w:tc>
          <w:tcPr>
            <w:tcW w:w="2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电源组件</w:t>
            </w:r>
          </w:p>
        </w:tc>
        <w:tc>
          <w:tcPr>
            <w:tcW w:w="1103" w:type="dxa"/>
            <w:tcBorders>
              <w:top w:val="single" w:color="auto" w:sz="4" w:space="0"/>
              <w:left w:val="nil"/>
              <w:bottom w:val="single" w:color="auto" w:sz="4" w:space="0"/>
              <w:right w:val="single" w:color="auto" w:sz="4" w:space="0"/>
            </w:tcBorders>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11</w:t>
            </w:r>
          </w:p>
        </w:tc>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自制</w:t>
            </w:r>
          </w:p>
        </w:tc>
      </w:tr>
      <w:tr>
        <w:tblPrEx>
          <w:tblLayout w:type="fixed"/>
          <w:tblCellMar>
            <w:top w:w="0" w:type="dxa"/>
            <w:left w:w="108" w:type="dxa"/>
            <w:bottom w:w="0" w:type="dxa"/>
            <w:right w:w="108" w:type="dxa"/>
          </w:tblCellMar>
        </w:tblPrEx>
        <w:trPr>
          <w:trHeight w:val="360" w:hRule="atLeast"/>
        </w:trPr>
        <w:tc>
          <w:tcPr>
            <w:tcW w:w="2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监控主机</w:t>
            </w:r>
          </w:p>
        </w:tc>
        <w:tc>
          <w:tcPr>
            <w:tcW w:w="1103" w:type="dxa"/>
            <w:tcBorders>
              <w:top w:val="single" w:color="auto" w:sz="4" w:space="0"/>
              <w:left w:val="nil"/>
              <w:bottom w:val="single" w:color="auto" w:sz="4" w:space="0"/>
              <w:right w:val="single" w:color="auto" w:sz="4" w:space="0"/>
            </w:tcBorders>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12</w:t>
            </w:r>
          </w:p>
        </w:tc>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1T硬盘</w:t>
            </w:r>
          </w:p>
        </w:tc>
      </w:tr>
      <w:tr>
        <w:tblPrEx>
          <w:tblLayout w:type="fixed"/>
          <w:tblCellMar>
            <w:top w:w="0" w:type="dxa"/>
            <w:left w:w="108" w:type="dxa"/>
            <w:bottom w:w="0" w:type="dxa"/>
            <w:right w:w="108" w:type="dxa"/>
          </w:tblCellMar>
        </w:tblPrEx>
        <w:trPr>
          <w:trHeight w:val="360" w:hRule="atLeast"/>
        </w:trPr>
        <w:tc>
          <w:tcPr>
            <w:tcW w:w="2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监控摄像机</w:t>
            </w:r>
          </w:p>
        </w:tc>
        <w:tc>
          <w:tcPr>
            <w:tcW w:w="1103" w:type="dxa"/>
            <w:tcBorders>
              <w:top w:val="single" w:color="auto" w:sz="4" w:space="0"/>
              <w:left w:val="nil"/>
              <w:bottom w:val="single" w:color="auto" w:sz="4" w:space="0"/>
              <w:right w:val="single" w:color="auto" w:sz="4" w:space="0"/>
            </w:tcBorders>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13</w:t>
            </w:r>
          </w:p>
        </w:tc>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带红外夜视</w:t>
            </w:r>
          </w:p>
        </w:tc>
      </w:tr>
      <w:tr>
        <w:tblPrEx>
          <w:tblLayout w:type="fixed"/>
          <w:tblCellMar>
            <w:top w:w="0" w:type="dxa"/>
            <w:left w:w="108" w:type="dxa"/>
            <w:bottom w:w="0" w:type="dxa"/>
            <w:right w:w="108" w:type="dxa"/>
          </w:tblCellMar>
        </w:tblPrEx>
        <w:trPr>
          <w:trHeight w:val="360" w:hRule="atLeast"/>
        </w:trPr>
        <w:tc>
          <w:tcPr>
            <w:tcW w:w="2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监控视屏支架及布线</w:t>
            </w:r>
          </w:p>
        </w:tc>
        <w:tc>
          <w:tcPr>
            <w:tcW w:w="1103" w:type="dxa"/>
            <w:tcBorders>
              <w:top w:val="single" w:color="auto" w:sz="4" w:space="0"/>
              <w:left w:val="nil"/>
              <w:bottom w:val="single" w:color="auto" w:sz="4" w:space="0"/>
              <w:right w:val="single" w:color="auto" w:sz="4" w:space="0"/>
            </w:tcBorders>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14</w:t>
            </w:r>
          </w:p>
        </w:tc>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自制</w:t>
            </w:r>
          </w:p>
        </w:tc>
      </w:tr>
      <w:tr>
        <w:tblPrEx>
          <w:tblLayout w:type="fixed"/>
          <w:tblCellMar>
            <w:top w:w="0" w:type="dxa"/>
            <w:left w:w="108" w:type="dxa"/>
            <w:bottom w:w="0" w:type="dxa"/>
            <w:right w:w="108" w:type="dxa"/>
          </w:tblCellMar>
        </w:tblPrEx>
        <w:trPr>
          <w:trHeight w:val="360" w:hRule="atLeast"/>
        </w:trPr>
        <w:tc>
          <w:tcPr>
            <w:tcW w:w="2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壳体</w:t>
            </w:r>
          </w:p>
        </w:tc>
        <w:tc>
          <w:tcPr>
            <w:tcW w:w="1103" w:type="dxa"/>
            <w:tcBorders>
              <w:top w:val="single" w:color="auto" w:sz="4" w:space="0"/>
              <w:left w:val="nil"/>
              <w:bottom w:val="single" w:color="auto" w:sz="4" w:space="0"/>
              <w:right w:val="single" w:color="auto" w:sz="4" w:space="0"/>
            </w:tcBorders>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15</w:t>
            </w:r>
          </w:p>
        </w:tc>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自制</w:t>
            </w:r>
          </w:p>
        </w:tc>
      </w:tr>
      <w:tr>
        <w:tblPrEx>
          <w:tblLayout w:type="fixed"/>
          <w:tblCellMar>
            <w:top w:w="0" w:type="dxa"/>
            <w:left w:w="108" w:type="dxa"/>
            <w:bottom w:w="0" w:type="dxa"/>
            <w:right w:w="108" w:type="dxa"/>
          </w:tblCellMar>
        </w:tblPrEx>
        <w:trPr>
          <w:trHeight w:val="360" w:hRule="atLeast"/>
        </w:trPr>
        <w:tc>
          <w:tcPr>
            <w:tcW w:w="21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其它附件若干</w:t>
            </w:r>
          </w:p>
        </w:tc>
        <w:tc>
          <w:tcPr>
            <w:tcW w:w="1103" w:type="dxa"/>
            <w:tcBorders>
              <w:top w:val="single" w:color="auto" w:sz="4" w:space="0"/>
              <w:left w:val="nil"/>
              <w:bottom w:val="single" w:color="auto" w:sz="4" w:space="0"/>
              <w:right w:val="single" w:color="auto" w:sz="4" w:space="0"/>
            </w:tcBorders>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16</w:t>
            </w:r>
          </w:p>
        </w:tc>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按需</w:t>
            </w:r>
          </w:p>
        </w:tc>
      </w:tr>
    </w:tbl>
    <w:p>
      <w:pPr>
        <w:pStyle w:val="2"/>
        <w:keepNext w:val="0"/>
        <w:keepLines w:val="0"/>
        <w:spacing w:line="360" w:lineRule="auto"/>
        <w:rPr>
          <w:rFonts w:ascii="宋体" w:hAnsi="宋体"/>
          <w:sz w:val="24"/>
          <w:szCs w:val="24"/>
        </w:rPr>
      </w:pPr>
      <w:bookmarkStart w:id="18" w:name="_Toc497726802"/>
    </w:p>
    <w:p>
      <w:pPr>
        <w:pStyle w:val="2"/>
        <w:keepNext w:val="0"/>
        <w:keepLines w:val="0"/>
        <w:spacing w:line="360" w:lineRule="auto"/>
        <w:rPr>
          <w:rFonts w:ascii="宋体" w:hAnsi="宋体"/>
          <w:sz w:val="24"/>
          <w:szCs w:val="24"/>
        </w:rPr>
      </w:pPr>
    </w:p>
    <w:p>
      <w:pPr>
        <w:pStyle w:val="2"/>
        <w:keepNext w:val="0"/>
        <w:keepLines w:val="0"/>
        <w:spacing w:line="360" w:lineRule="auto"/>
        <w:rPr>
          <w:rFonts w:ascii="宋体" w:hAnsi="宋体"/>
          <w:sz w:val="24"/>
          <w:szCs w:val="24"/>
        </w:rPr>
      </w:pPr>
    </w:p>
    <w:p>
      <w:pPr>
        <w:pStyle w:val="2"/>
        <w:keepNext w:val="0"/>
        <w:keepLines w:val="0"/>
        <w:spacing w:line="360" w:lineRule="auto"/>
        <w:jc w:val="both"/>
        <w:rPr>
          <w:rFonts w:ascii="宋体" w:hAnsi="宋体"/>
          <w:sz w:val="24"/>
          <w:szCs w:val="24"/>
        </w:rPr>
      </w:pPr>
    </w:p>
    <w:p>
      <w:pPr>
        <w:rPr>
          <w:rFonts w:ascii="宋体" w:hAnsi="宋体"/>
          <w:sz w:val="24"/>
          <w:szCs w:val="24"/>
        </w:rPr>
      </w:pPr>
    </w:p>
    <w:p>
      <w:pPr>
        <w:rPr>
          <w:rFonts w:ascii="宋体" w:hAnsi="宋体"/>
          <w:sz w:val="24"/>
          <w:szCs w:val="24"/>
        </w:rPr>
      </w:pPr>
    </w:p>
    <w:p>
      <w:pPr>
        <w:pStyle w:val="2"/>
        <w:keepNext w:val="0"/>
        <w:keepLines w:val="0"/>
        <w:spacing w:line="360" w:lineRule="auto"/>
        <w:rPr>
          <w:rFonts w:ascii="宋体" w:hAnsi="宋体"/>
          <w:b/>
          <w:bCs/>
          <w:kern w:val="44"/>
          <w:sz w:val="24"/>
          <w:szCs w:val="24"/>
        </w:rPr>
      </w:pPr>
      <w:r>
        <w:rPr>
          <w:rFonts w:hint="eastAsia" w:ascii="宋体" w:hAnsi="宋体"/>
          <w:sz w:val="24"/>
          <w:szCs w:val="24"/>
        </w:rPr>
        <w:t>第五章 供应商资格证明</w:t>
      </w:r>
      <w:bookmarkEnd w:id="18"/>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供应商应提交证明其有资格参加投标和成交后有能力履行合同的文件，并作为其响应文件的一部分，所有文件</w:t>
      </w:r>
      <w:r>
        <w:rPr>
          <w:rFonts w:hint="eastAsia" w:ascii="宋体" w:hAnsi="宋体" w:cs="宋体"/>
          <w:sz w:val="24"/>
          <w:szCs w:val="24"/>
        </w:rPr>
        <w:t>必须真实可靠、不得伪造，否则将按相关规定予以处罚。资质证明文件及其他文件</w:t>
      </w:r>
      <w:r>
        <w:rPr>
          <w:rFonts w:hint="eastAsia" w:ascii="宋体" w:hAnsi="宋体" w:cs="宋体"/>
          <w:kern w:val="0"/>
          <w:sz w:val="24"/>
          <w:szCs w:val="24"/>
        </w:rPr>
        <w:t>应包括：</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 xml:space="preserve"> 供应商是企业（包括合伙企业），提供工商部门注册的有效“企业法人营业执照”或“营业执照”；供应商是事业单位，提供有效的“事业单位法人证书”；供应商是非企业专业服务机构的，提供执业许可证等证明文件；供应商是个体工商户的，提供有效的“个体工商户营业执照”；供应商是自然人，提供有效的自然人身份证明。</w:t>
      </w:r>
    </w:p>
    <w:p>
      <w:pPr>
        <w:spacing w:line="360" w:lineRule="auto"/>
        <w:ind w:firstLine="482" w:firstLineChars="201"/>
        <w:rPr>
          <w:rFonts w:hAnsi="宋体"/>
          <w:sz w:val="24"/>
          <w:szCs w:val="24"/>
        </w:rPr>
      </w:pPr>
      <w:r>
        <w:rPr>
          <w:rFonts w:hAnsi="宋体"/>
          <w:sz w:val="24"/>
          <w:szCs w:val="24"/>
        </w:rPr>
        <w:t>2</w:t>
      </w:r>
      <w:r>
        <w:rPr>
          <w:rFonts w:hint="eastAsia" w:hAnsi="宋体"/>
          <w:sz w:val="24"/>
          <w:szCs w:val="24"/>
        </w:rPr>
        <w:t>．</w:t>
      </w:r>
      <w:r>
        <w:rPr>
          <w:rFonts w:hint="eastAsia" w:ascii="宋体" w:hAnsi="宋体" w:cs="宋体"/>
          <w:sz w:val="24"/>
          <w:szCs w:val="24"/>
        </w:rPr>
        <w:t>财务状况报告，应附经会计师事务所出具的财务审计报告或其基本开户银行出具的资信证明；</w:t>
      </w:r>
    </w:p>
    <w:p>
      <w:pPr>
        <w:spacing w:line="360" w:lineRule="auto"/>
        <w:ind w:firstLine="482" w:firstLineChars="201"/>
        <w:rPr>
          <w:rFonts w:ascii="宋体" w:hAnsi="宋体"/>
          <w:sz w:val="24"/>
          <w:szCs w:val="24"/>
        </w:rPr>
      </w:pPr>
      <w:r>
        <w:rPr>
          <w:rFonts w:ascii="宋体" w:hAnsi="宋体"/>
          <w:sz w:val="24"/>
          <w:szCs w:val="24"/>
        </w:rPr>
        <w:t>3</w:t>
      </w:r>
      <w:r>
        <w:rPr>
          <w:rFonts w:hint="eastAsia" w:ascii="宋体" w:hAnsi="宋体" w:cs="宋体"/>
          <w:sz w:val="24"/>
          <w:szCs w:val="24"/>
        </w:rPr>
        <w:t>．供应商依法缴纳税收证明材料；</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．供应商为企业员工缴纳社保资金的证明材料；</w:t>
      </w:r>
      <w:r>
        <w:rPr>
          <w:rFonts w:ascii="宋体" w:hAnsi="宋体"/>
          <w:sz w:val="24"/>
          <w:szCs w:val="24"/>
        </w:rPr>
        <w:t xml:space="preserve"> </w:t>
      </w:r>
    </w:p>
    <w:p>
      <w:pPr>
        <w:spacing w:line="360" w:lineRule="auto"/>
        <w:ind w:firstLine="482" w:firstLineChars="201"/>
        <w:rPr>
          <w:rFonts w:ascii="宋体" w:hAnsi="宋体"/>
          <w:sz w:val="24"/>
          <w:szCs w:val="24"/>
        </w:rPr>
      </w:pPr>
      <w:r>
        <w:rPr>
          <w:rFonts w:ascii="宋体" w:hAnsi="宋体" w:cs="宋体"/>
          <w:sz w:val="24"/>
          <w:szCs w:val="24"/>
        </w:rPr>
        <w:t>5</w:t>
      </w:r>
      <w:r>
        <w:rPr>
          <w:rFonts w:hint="eastAsia" w:ascii="宋体" w:hAnsi="宋体" w:cs="宋体"/>
          <w:sz w:val="24"/>
          <w:szCs w:val="24"/>
        </w:rPr>
        <w:t>．供应商参加政府采购前三年内在经营活动中没有重大违法记录书面声明函；</w:t>
      </w:r>
      <w:r>
        <w:rPr>
          <w:rFonts w:ascii="宋体" w:hAnsi="宋体"/>
          <w:sz w:val="24"/>
          <w:szCs w:val="24"/>
        </w:rPr>
        <w:t xml:space="preserve"> </w:t>
      </w:r>
    </w:p>
    <w:p>
      <w:pPr>
        <w:autoSpaceDE w:val="0"/>
        <w:autoSpaceDN w:val="0"/>
        <w:adjustRightInd w:val="0"/>
        <w:snapToGrid w:val="0"/>
        <w:spacing w:line="360" w:lineRule="auto"/>
        <w:ind w:right="32" w:firstLine="482" w:firstLineChars="201"/>
        <w:rPr>
          <w:rFonts w:ascii="宋体" w:hAnsi="宋体" w:cs="宋体"/>
          <w:sz w:val="24"/>
          <w:szCs w:val="24"/>
        </w:rPr>
      </w:pPr>
      <w:r>
        <w:rPr>
          <w:rFonts w:ascii="宋体" w:hAnsi="宋体" w:cs="宋体"/>
          <w:sz w:val="24"/>
          <w:szCs w:val="24"/>
        </w:rPr>
        <w:t>6</w:t>
      </w:r>
      <w:r>
        <w:rPr>
          <w:rFonts w:hint="eastAsia" w:ascii="宋体" w:hAnsi="宋体" w:cs="宋体"/>
          <w:sz w:val="24"/>
          <w:szCs w:val="24"/>
        </w:rPr>
        <w:t>.在“信用中国”网站(</w:t>
      </w:r>
      <w:r>
        <w:fldChar w:fldCharType="begin"/>
      </w:r>
      <w:r>
        <w:instrText xml:space="preserve"> HYPERLINK "http://www.creditchina.gov.cn" </w:instrText>
      </w:r>
      <w:r>
        <w:fldChar w:fldCharType="separate"/>
      </w:r>
      <w:r>
        <w:rPr>
          <w:rFonts w:hint="eastAsia" w:ascii="宋体" w:hAnsi="宋体" w:cs="宋体"/>
          <w:sz w:val="24"/>
          <w:szCs w:val="24"/>
        </w:rPr>
        <w:t>www.creditchina.gov.cn</w:t>
      </w:r>
      <w:r>
        <w:rPr>
          <w:rFonts w:hint="eastAsia" w:ascii="宋体" w:hAnsi="宋体" w:cs="宋体"/>
          <w:sz w:val="24"/>
          <w:szCs w:val="24"/>
        </w:rPr>
        <w:fldChar w:fldCharType="end"/>
      </w:r>
      <w:r>
        <w:rPr>
          <w:rFonts w:hint="eastAsia" w:ascii="宋体" w:hAnsi="宋体" w:cs="宋体"/>
          <w:sz w:val="24"/>
          <w:szCs w:val="24"/>
        </w:rPr>
        <w:t>)和“中国政府采购网”（www.ccgp.gov.cn）查询供应商的信用记录截图。</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sz w:val="24"/>
          <w:szCs w:val="24"/>
        </w:rPr>
        <w:t>7.</w:t>
      </w:r>
      <w:r>
        <w:rPr>
          <w:rFonts w:hint="eastAsia" w:ascii="宋体" w:hAnsi="宋体" w:cs="宋体"/>
          <w:sz w:val="24"/>
          <w:szCs w:val="24"/>
        </w:rPr>
        <w:t xml:space="preserve"> 供应商</w:t>
      </w:r>
      <w:r>
        <w:rPr>
          <w:rFonts w:hint="eastAsia" w:ascii="宋体" w:hAnsi="宋体"/>
          <w:sz w:val="24"/>
          <w:szCs w:val="24"/>
        </w:rPr>
        <w:t>工商注册所在地或项目所在地检察机关出具的《检察机关行贿犯罪档案查询结果告知函》（在有效期范围内）；</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8. 招标文件对供应商的其他资格要求。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以上文件除要求提供“原件”以外，均应在响应文件中提供复印件并加盖供应商公章，未提供或提供的文件过期、失效的，均为无效投标。（具体要求详见本招标文件初审表）</w:t>
      </w:r>
    </w:p>
    <w:p>
      <w:pPr>
        <w:spacing w:line="360" w:lineRule="auto"/>
        <w:ind w:firstLine="482" w:firstLineChars="201"/>
        <w:rPr>
          <w:rFonts w:ascii="宋体" w:hAnsi="宋体"/>
          <w:sz w:val="24"/>
          <w:szCs w:val="24"/>
        </w:rPr>
      </w:pPr>
      <w:r>
        <w:rPr>
          <w:rFonts w:ascii="宋体" w:hAnsi="宋体"/>
          <w:sz w:val="24"/>
          <w:szCs w:val="24"/>
        </w:rPr>
        <w:br w:type="page"/>
      </w:r>
    </w:p>
    <w:p>
      <w:pPr>
        <w:pStyle w:val="2"/>
        <w:keepNext w:val="0"/>
        <w:keepLines w:val="0"/>
        <w:spacing w:line="360" w:lineRule="auto"/>
        <w:ind w:firstLine="2891" w:firstLineChars="1200"/>
        <w:jc w:val="both"/>
        <w:rPr>
          <w:rFonts w:ascii="宋体" w:hAnsi="宋体"/>
          <w:sz w:val="24"/>
          <w:szCs w:val="24"/>
        </w:rPr>
      </w:pPr>
      <w:bookmarkStart w:id="19" w:name="_Toc497726803"/>
      <w:r>
        <w:rPr>
          <w:rFonts w:hint="eastAsia" w:ascii="宋体" w:hAnsi="宋体"/>
          <w:sz w:val="24"/>
          <w:szCs w:val="24"/>
        </w:rPr>
        <w:t>第六章 单一来源程序及方法</w:t>
      </w:r>
      <w:bookmarkEnd w:id="10"/>
      <w:bookmarkEnd w:id="19"/>
    </w:p>
    <w:p>
      <w:pPr>
        <w:spacing w:after="120" w:line="360" w:lineRule="auto"/>
        <w:ind w:firstLine="446" w:firstLineChars="186"/>
        <w:rPr>
          <w:rFonts w:ascii="宋体" w:hAnsi="宋体"/>
          <w:kern w:val="0"/>
          <w:sz w:val="24"/>
          <w:szCs w:val="24"/>
        </w:rPr>
      </w:pPr>
      <w:bookmarkStart w:id="20" w:name="_Toc355703360"/>
      <w:bookmarkStart w:id="21" w:name="_Toc355703243"/>
      <w:bookmarkStart w:id="22" w:name="_Toc257983096"/>
      <w:r>
        <w:rPr>
          <w:rFonts w:hint="eastAsia" w:ascii="宋体" w:hAnsi="宋体"/>
          <w:kern w:val="0"/>
          <w:sz w:val="24"/>
          <w:szCs w:val="24"/>
        </w:rPr>
        <w:t>一.单一来源</w:t>
      </w:r>
      <w:bookmarkEnd w:id="20"/>
      <w:bookmarkEnd w:id="21"/>
      <w:bookmarkEnd w:id="22"/>
      <w:r>
        <w:rPr>
          <w:rFonts w:hint="eastAsia" w:ascii="宋体" w:hAnsi="宋体"/>
          <w:kern w:val="0"/>
          <w:sz w:val="24"/>
          <w:szCs w:val="24"/>
        </w:rPr>
        <w:t>程序</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1.第一阶段：初步审查</w:t>
      </w:r>
    </w:p>
    <w:p>
      <w:pPr>
        <w:adjustRightInd w:val="0"/>
        <w:snapToGrid w:val="0"/>
        <w:spacing w:line="360" w:lineRule="auto"/>
        <w:ind w:firstLine="482" w:firstLineChars="201"/>
        <w:rPr>
          <w:rFonts w:ascii="宋体" w:hAnsi="宋体"/>
          <w:kern w:val="0"/>
          <w:sz w:val="24"/>
          <w:szCs w:val="24"/>
        </w:rPr>
      </w:pPr>
      <w:r>
        <w:rPr>
          <w:rFonts w:ascii="宋体" w:hAnsi="宋体"/>
          <w:kern w:val="0"/>
          <w:sz w:val="24"/>
          <w:szCs w:val="24"/>
        </w:rPr>
        <w:t>依据有关法律和</w:t>
      </w:r>
      <w:r>
        <w:rPr>
          <w:rFonts w:hint="eastAsia" w:ascii="宋体" w:hAnsi="宋体"/>
          <w:kern w:val="0"/>
          <w:sz w:val="24"/>
          <w:szCs w:val="24"/>
        </w:rPr>
        <w:t>单一来源</w:t>
      </w:r>
      <w:r>
        <w:rPr>
          <w:rFonts w:ascii="宋体" w:hAnsi="宋体"/>
          <w:kern w:val="0"/>
          <w:sz w:val="24"/>
          <w:szCs w:val="24"/>
        </w:rPr>
        <w:t>文件的规定,对</w:t>
      </w:r>
      <w:r>
        <w:rPr>
          <w:rFonts w:hint="eastAsia" w:ascii="宋体" w:hAnsi="宋体"/>
          <w:kern w:val="0"/>
          <w:sz w:val="24"/>
          <w:szCs w:val="24"/>
        </w:rPr>
        <w:t>响应文件</w:t>
      </w:r>
      <w:r>
        <w:rPr>
          <w:rFonts w:ascii="宋体" w:hAnsi="宋体"/>
          <w:kern w:val="0"/>
          <w:sz w:val="24"/>
          <w:szCs w:val="24"/>
        </w:rPr>
        <w:t>的</w:t>
      </w:r>
      <w:r>
        <w:rPr>
          <w:rFonts w:hint="eastAsia" w:ascii="宋体" w:hAnsi="宋体"/>
          <w:kern w:val="0"/>
          <w:sz w:val="24"/>
          <w:szCs w:val="24"/>
        </w:rPr>
        <w:t>资格性、符合性</w:t>
      </w:r>
      <w:r>
        <w:rPr>
          <w:rFonts w:ascii="宋体" w:hAnsi="宋体"/>
          <w:kern w:val="0"/>
          <w:sz w:val="24"/>
          <w:szCs w:val="24"/>
        </w:rPr>
        <w:t>进行审查，以确定</w:t>
      </w:r>
      <w:r>
        <w:rPr>
          <w:rFonts w:hint="eastAsia" w:ascii="宋体" w:hAnsi="宋体"/>
          <w:kern w:val="0"/>
          <w:sz w:val="24"/>
          <w:szCs w:val="24"/>
        </w:rPr>
        <w:t>供应商是否具备商定资格</w:t>
      </w:r>
      <w:r>
        <w:rPr>
          <w:rFonts w:ascii="宋体" w:hAnsi="宋体"/>
          <w:kern w:val="0"/>
          <w:sz w:val="24"/>
          <w:szCs w:val="24"/>
        </w:rPr>
        <w:t>。</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2.第二阶段：商定</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1）对单一来源采购文件和响应文件进行澄清或修正。澄清或修正的事项不得有实质性改变、或者导致采购预算不足。澄清或修正的事项作为单一来源采购文件和响应文件的组成部分，与单一来源采购文件和响应文件同具法律效应。</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（2）商定双方进行价格及质量商定。</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3.第三阶段：最终报价</w:t>
      </w:r>
    </w:p>
    <w:p>
      <w:pPr>
        <w:widowControl/>
        <w:tabs>
          <w:tab w:val="left" w:pos="540"/>
        </w:tabs>
        <w:spacing w:line="360" w:lineRule="auto"/>
        <w:ind w:firstLine="480" w:firstLineChars="200"/>
        <w:jc w:val="left"/>
        <w:rPr>
          <w:rFonts w:ascii="宋体" w:hAnsi="宋体"/>
          <w:kern w:val="0"/>
          <w:sz w:val="24"/>
          <w:szCs w:val="24"/>
        </w:rPr>
      </w:pPr>
      <w:r>
        <w:rPr>
          <w:rFonts w:hint="eastAsia" w:ascii="宋体" w:hAnsi="宋体"/>
          <w:kern w:val="0"/>
          <w:sz w:val="24"/>
          <w:szCs w:val="24"/>
        </w:rPr>
        <w:t>供应商按照采购要求和商定内容的承诺将最后报价填写至《最终报价表》（该表在单一来源过程中由工作人员发放），并在规定的时间内递交至单一来源采购人员或</w:t>
      </w:r>
      <w:r>
        <w:rPr>
          <w:rFonts w:hint="eastAsia" w:ascii="宋体" w:hAnsi="宋体"/>
          <w:kern w:val="0"/>
          <w:sz w:val="24"/>
          <w:szCs w:val="24"/>
          <w:lang w:eastAsia="zh-CN"/>
        </w:rPr>
        <w:t>公共资源交易中心</w:t>
      </w:r>
      <w:r>
        <w:rPr>
          <w:rFonts w:hint="eastAsia" w:ascii="宋体" w:hAnsi="宋体"/>
          <w:kern w:val="0"/>
          <w:sz w:val="24"/>
          <w:szCs w:val="24"/>
        </w:rPr>
        <w:t>。</w:t>
      </w:r>
    </w:p>
    <w:p>
      <w:pPr>
        <w:widowControl/>
        <w:spacing w:afterLines="50" w:line="360" w:lineRule="auto"/>
        <w:ind w:firstLine="480" w:firstLineChars="200"/>
        <w:jc w:val="left"/>
        <w:rPr>
          <w:rFonts w:ascii="宋体" w:hAnsi="宋体"/>
          <w:kern w:val="0"/>
          <w:sz w:val="24"/>
          <w:szCs w:val="24"/>
        </w:rPr>
      </w:pPr>
      <w:r>
        <w:rPr>
          <w:rFonts w:hint="eastAsia" w:ascii="宋体" w:hAnsi="宋体"/>
          <w:kern w:val="0"/>
          <w:sz w:val="24"/>
          <w:szCs w:val="24"/>
        </w:rPr>
        <w:t>二.确定成交供应商</w:t>
      </w:r>
    </w:p>
    <w:p>
      <w:pPr>
        <w:widowControl/>
        <w:spacing w:afterLines="50" w:line="360" w:lineRule="auto"/>
        <w:ind w:firstLine="480" w:firstLineChars="200"/>
        <w:jc w:val="left"/>
        <w:rPr>
          <w:rFonts w:ascii="宋体" w:hAnsi="宋体"/>
          <w:kern w:val="0"/>
          <w:sz w:val="24"/>
          <w:szCs w:val="24"/>
        </w:rPr>
      </w:pPr>
      <w:r>
        <w:rPr>
          <w:rFonts w:hint="eastAsia" w:ascii="宋体" w:hAnsi="宋体"/>
          <w:kern w:val="0"/>
          <w:sz w:val="24"/>
          <w:szCs w:val="24"/>
        </w:rPr>
        <w:t>通过商定，最终确定成交价格，并由单一来源采购人员编写协商情况记录。</w:t>
      </w:r>
      <w:r>
        <w:rPr>
          <w:rFonts w:ascii="宋体" w:hAnsi="宋体"/>
          <w:b/>
          <w:sz w:val="24"/>
          <w:szCs w:val="24"/>
        </w:rPr>
        <w:br w:type="page"/>
      </w:r>
    </w:p>
    <w:p>
      <w:pPr>
        <w:spacing w:line="360" w:lineRule="auto"/>
        <w:rPr>
          <w:rFonts w:ascii="宋体" w:hAnsi="宋体"/>
          <w:b/>
          <w:sz w:val="24"/>
          <w:szCs w:val="24"/>
        </w:rPr>
      </w:pPr>
      <w:r>
        <w:rPr>
          <w:rFonts w:hint="eastAsia" w:ascii="宋体" w:hAnsi="宋体"/>
          <w:b/>
          <w:sz w:val="24"/>
          <w:szCs w:val="24"/>
        </w:rPr>
        <w:t>三．评审表：</w:t>
      </w:r>
    </w:p>
    <w:tbl>
      <w:tblPr>
        <w:tblStyle w:val="42"/>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57" w:type="dxa"/>
            <w:vMerge w:val="restart"/>
            <w:tcBorders>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资格性审查</w:t>
            </w:r>
          </w:p>
          <w:p>
            <w:pPr>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1.供应商是法人的审查会计师事务所出具的近一年度财务审计报告或基本开户银行近一年内出具的资信证明。</w:t>
            </w:r>
          </w:p>
          <w:p>
            <w:pPr>
              <w:jc w:val="left"/>
              <w:rPr>
                <w:rFonts w:ascii="宋体" w:hAnsi="宋体"/>
                <w:sz w:val="24"/>
                <w:szCs w:val="24"/>
              </w:rPr>
            </w:pPr>
            <w:r>
              <w:rPr>
                <w:rFonts w:hint="eastAsia" w:ascii="宋体" w:hAnsi="宋体"/>
                <w:sz w:val="24"/>
                <w:szCs w:val="24"/>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1.提供递交响应文件截止之日前六个月内（至少一个月）的良好缴纳税收的相关凭据。（以税务机关提供的纳税凭据或银行入账单为准）</w:t>
            </w:r>
          </w:p>
          <w:p>
            <w:pPr>
              <w:jc w:val="left"/>
              <w:rPr>
                <w:rFonts w:ascii="宋体" w:hAnsi="宋体" w:cs="宋体"/>
                <w:sz w:val="24"/>
                <w:szCs w:val="24"/>
              </w:rPr>
            </w:pPr>
            <w:r>
              <w:rPr>
                <w:rFonts w:hint="eastAsia" w:ascii="宋体" w:hAnsi="宋体" w:cs="宋体"/>
                <w:sz w:val="24"/>
                <w:szCs w:val="24"/>
              </w:rPr>
              <w:t>2.提供递交响应文件截止之日前六个月内（至少一个月）缴纳社会保险的凭证。（以社保机构出具的专用收据或社会保险缴纳清单为准）</w:t>
            </w:r>
          </w:p>
          <w:p>
            <w:pPr>
              <w:jc w:val="left"/>
              <w:rPr>
                <w:rFonts w:ascii="宋体" w:hAnsi="宋体"/>
                <w:sz w:val="24"/>
                <w:szCs w:val="24"/>
              </w:rPr>
            </w:pPr>
            <w:r>
              <w:rPr>
                <w:rFonts w:hint="eastAsia" w:ascii="宋体" w:hAnsi="宋体" w:cs="宋体"/>
                <w:sz w:val="24"/>
                <w:szCs w:val="24"/>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1.审查“参加本采购活动前3年内”供应商书面声明函；</w:t>
            </w:r>
          </w:p>
          <w:p>
            <w:pPr>
              <w:jc w:val="left"/>
              <w:rPr>
                <w:rFonts w:ascii="宋体" w:hAnsi="宋体"/>
                <w:sz w:val="24"/>
                <w:szCs w:val="24"/>
              </w:rPr>
            </w:pPr>
            <w:r>
              <w:rPr>
                <w:rFonts w:hint="eastAsia" w:ascii="宋体" w:hAnsi="宋体"/>
                <w:sz w:val="24"/>
                <w:szCs w:val="24"/>
              </w:rPr>
              <w:t>2.到提交响应文件的截止时间，供应商未被列入失信被执行人、重大税收违法案件当事人名单、政府采购严重违法失信行为记录名单。（以供应商通过“信用中国”网站和“中国政府采购网”网站的信用记录截图和评标现场核实情况为准，如相关失信记录已失效，供应商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olor w:val="FF0000"/>
                <w:sz w:val="24"/>
                <w:szCs w:val="24"/>
              </w:rPr>
            </w:pPr>
            <w:r>
              <w:rPr>
                <w:rFonts w:hint="eastAsia" w:ascii="宋体" w:hAnsi="宋体"/>
                <w:sz w:val="24"/>
                <w:szCs w:val="24"/>
              </w:rPr>
              <w:t>供应商名称</w:t>
            </w:r>
          </w:p>
        </w:tc>
        <w:tc>
          <w:tcPr>
            <w:tcW w:w="6258" w:type="dxa"/>
            <w:tcBorders>
              <w:top w:val="single" w:color="auto" w:sz="4" w:space="0"/>
              <w:left w:val="single" w:color="auto" w:sz="4" w:space="0"/>
              <w:right w:val="single" w:color="auto" w:sz="4" w:space="0"/>
            </w:tcBorders>
            <w:vAlign w:val="center"/>
          </w:tcPr>
          <w:p>
            <w:pPr>
              <w:jc w:val="left"/>
              <w:rPr>
                <w:rFonts w:ascii="宋体" w:hAnsi="宋体"/>
                <w:color w:val="FF0000"/>
                <w:sz w:val="24"/>
                <w:szCs w:val="24"/>
              </w:rPr>
            </w:pPr>
            <w:r>
              <w:rPr>
                <w:rFonts w:hint="eastAsia" w:ascii="宋体" w:hAnsi="宋体"/>
                <w:sz w:val="24"/>
                <w:szCs w:val="24"/>
              </w:rPr>
              <w:t>与单一来源公示中供应商名称一致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符合单一来源文件要求。（格式、填写要求、签署、盖章、委托人身份等）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符合性审查</w:t>
            </w:r>
          </w:p>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符合单一来源文件要求。（格式、填写要求、签署、盖章等）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响应文件规范性、符合性</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响应文件的编制、密封、装订、签署、盖章、涂改、删除、插字、公章使用等符合单一来源文件要求；响应文件的格式、文字、目录、页码等符合单一来源文件要求或对投标无实质性影响。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1"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满足单一来源文件关于交付使用时间、付款方式要求。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法律法规规定的其它投标无效条款。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right w:val="single" w:color="auto" w:sz="4" w:space="0"/>
            </w:tcBorders>
            <w:vAlign w:val="center"/>
          </w:tcPr>
          <w:p>
            <w:pPr>
              <w:jc w:val="left"/>
              <w:rPr>
                <w:rFonts w:ascii="宋体" w:hAnsi="宋体"/>
                <w:sz w:val="24"/>
                <w:szCs w:val="24"/>
              </w:rPr>
            </w:pPr>
          </w:p>
        </w:tc>
      </w:tr>
    </w:tbl>
    <w:p>
      <w:pPr>
        <w:spacing w:line="360" w:lineRule="auto"/>
        <w:rPr>
          <w:rFonts w:ascii="宋体" w:hAnsi="宋体"/>
          <w:b/>
          <w:sz w:val="24"/>
          <w:szCs w:val="24"/>
        </w:rPr>
      </w:pPr>
      <w:r>
        <w:rPr>
          <w:rFonts w:ascii="宋体" w:hAnsi="宋体"/>
          <w:b/>
          <w:sz w:val="24"/>
          <w:szCs w:val="24"/>
        </w:rPr>
        <w:br w:type="page"/>
      </w:r>
    </w:p>
    <w:p>
      <w:pPr>
        <w:pStyle w:val="2"/>
        <w:keepNext w:val="0"/>
        <w:keepLines w:val="0"/>
        <w:spacing w:line="360" w:lineRule="auto"/>
        <w:ind w:firstLine="2891" w:firstLineChars="1200"/>
        <w:jc w:val="both"/>
        <w:rPr>
          <w:rFonts w:ascii="宋体" w:hAnsi="宋体"/>
          <w:sz w:val="24"/>
          <w:szCs w:val="24"/>
        </w:rPr>
      </w:pPr>
      <w:bookmarkStart w:id="23" w:name="_Toc497726804"/>
      <w:r>
        <w:rPr>
          <w:rFonts w:hint="eastAsia" w:ascii="宋体" w:hAnsi="宋体"/>
          <w:sz w:val="24"/>
          <w:szCs w:val="24"/>
        </w:rPr>
        <w:t>第七章 响应文件格式与要求</w:t>
      </w:r>
      <w:bookmarkEnd w:id="11"/>
      <w:bookmarkEnd w:id="23"/>
    </w:p>
    <w:p>
      <w:pPr>
        <w:spacing w:line="360" w:lineRule="auto"/>
        <w:rPr>
          <w:sz w:val="24"/>
          <w:szCs w:val="24"/>
        </w:rPr>
      </w:pPr>
    </w:p>
    <w:p>
      <w:pPr>
        <w:spacing w:line="360" w:lineRule="auto"/>
        <w:ind w:firstLine="480" w:firstLineChars="200"/>
        <w:rPr>
          <w:sz w:val="24"/>
          <w:szCs w:val="24"/>
        </w:rPr>
      </w:pPr>
      <w:r>
        <w:rPr>
          <w:rFonts w:hint="eastAsia"/>
          <w:sz w:val="24"/>
          <w:szCs w:val="24"/>
        </w:rPr>
        <w:t>供应商提供响应文件应当按照以下格式急要求进行编制，且应不少于以下内容。</w:t>
      </w:r>
    </w:p>
    <w:p>
      <w:pPr>
        <w:spacing w:line="360" w:lineRule="auto"/>
        <w:rPr>
          <w:rFonts w:ascii="宋体" w:hAnsi="宋体"/>
          <w:bCs/>
          <w:kern w:val="0"/>
          <w:sz w:val="24"/>
          <w:szCs w:val="24"/>
        </w:rPr>
      </w:pPr>
      <w:r>
        <w:rPr>
          <w:rFonts w:ascii="宋体" w:hAnsi="宋体"/>
          <w:bCs/>
          <w:kern w:val="0"/>
          <w:sz w:val="24"/>
          <w:szCs w:val="24"/>
        </w:rPr>
        <w:br w:type="page"/>
      </w:r>
    </w:p>
    <w:p>
      <w:pPr>
        <w:spacing w:line="360" w:lineRule="auto"/>
        <w:rPr>
          <w:rFonts w:ascii="宋体" w:hAnsi="宋体" w:cs="宋体"/>
          <w:sz w:val="24"/>
          <w:szCs w:val="24"/>
        </w:rPr>
      </w:pPr>
      <w:r>
        <w:rPr>
          <w:rFonts w:hint="eastAsia" w:ascii="宋体" w:hAnsi="宋体" w:cs="宋体"/>
          <w:sz w:val="24"/>
          <w:szCs w:val="24"/>
        </w:rPr>
        <w:t>格式一：</w:t>
      </w:r>
    </w:p>
    <w:p>
      <w:pPr>
        <w:spacing w:line="360" w:lineRule="auto"/>
        <w:ind w:firstLine="3603" w:firstLineChars="1001"/>
        <w:rPr>
          <w:rFonts w:ascii="宋体" w:hAnsi="宋体" w:cs="楷体_GB2312"/>
          <w:sz w:val="36"/>
          <w:szCs w:val="36"/>
        </w:rPr>
      </w:pPr>
      <w:r>
        <w:rPr>
          <w:rFonts w:hint="eastAsia" w:ascii="宋体" w:hAnsi="宋体" w:cs="楷体_GB2312"/>
          <w:sz w:val="36"/>
          <w:szCs w:val="36"/>
        </w:rPr>
        <w:t>响应文件封面</w:t>
      </w:r>
    </w:p>
    <w:p>
      <w:pPr>
        <w:spacing w:line="360" w:lineRule="auto"/>
        <w:ind w:firstLine="3603" w:firstLineChars="1001"/>
        <w:rPr>
          <w:rFonts w:ascii="宋体" w:hAnsi="宋体" w:cs="楷体_GB2312"/>
          <w:sz w:val="36"/>
          <w:szCs w:val="36"/>
        </w:rPr>
      </w:pPr>
    </w:p>
    <w:p>
      <w:pPr>
        <w:spacing w:line="360" w:lineRule="auto"/>
        <w:rPr>
          <w:rFonts w:hint="eastAsia" w:ascii="宋体" w:hAnsi="宋体" w:eastAsia="宋体"/>
          <w:b/>
          <w:bCs/>
          <w:kern w:val="0"/>
          <w:sz w:val="52"/>
          <w:szCs w:val="52"/>
          <w:lang w:eastAsia="zh-CN"/>
        </w:rPr>
      </w:pPr>
      <w:r>
        <w:rPr>
          <w:rFonts w:hint="eastAsia" w:ascii="宋体" w:hAnsi="宋体" w:cs="宋体"/>
          <w:b/>
          <w:bCs/>
          <w:kern w:val="0"/>
          <w:sz w:val="52"/>
          <w:szCs w:val="52"/>
          <w:lang w:eastAsia="zh-CN"/>
        </w:rPr>
        <w:t>杭锦旗人民法院采购电信和其他信息传输服务项目(掌上法院线路服务项目）</w:t>
      </w:r>
    </w:p>
    <w:p>
      <w:pPr>
        <w:spacing w:line="360" w:lineRule="auto"/>
        <w:ind w:firstLine="3659" w:firstLineChars="701"/>
        <w:rPr>
          <w:rFonts w:ascii="宋体" w:hAnsi="宋体"/>
          <w:b/>
          <w:bCs/>
          <w:kern w:val="0"/>
          <w:sz w:val="52"/>
          <w:szCs w:val="52"/>
        </w:rPr>
      </w:pPr>
      <w:r>
        <w:rPr>
          <w:rFonts w:hint="eastAsia" w:ascii="宋体" w:hAnsi="宋体" w:cs="宋体"/>
          <w:b/>
          <w:bCs/>
          <w:kern w:val="0"/>
          <w:sz w:val="52"/>
          <w:szCs w:val="52"/>
        </w:rPr>
        <w:t>响应文件</w:t>
      </w:r>
    </w:p>
    <w:p>
      <w:pPr>
        <w:spacing w:line="360" w:lineRule="auto"/>
        <w:ind w:firstLine="3600" w:firstLineChars="1000"/>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2" w:firstLineChars="201"/>
        <w:jc w:val="left"/>
        <w:rPr>
          <w:rFonts w:ascii="宋体" w:hAnsi="宋体" w:cs="宋体"/>
          <w:sz w:val="24"/>
          <w:szCs w:val="24"/>
        </w:rPr>
      </w:pPr>
    </w:p>
    <w:p>
      <w:pPr>
        <w:spacing w:line="360" w:lineRule="auto"/>
        <w:ind w:firstLine="482" w:firstLineChars="201"/>
        <w:rPr>
          <w:rFonts w:ascii="宋体" w:hAnsi="宋体" w:cs="宋体"/>
          <w:sz w:val="24"/>
          <w:szCs w:val="24"/>
        </w:rPr>
      </w:pPr>
      <w:r>
        <w:rPr>
          <w:rFonts w:hint="eastAsia" w:ascii="宋体" w:hAnsi="宋体" w:cs="宋体"/>
          <w:sz w:val="24"/>
          <w:szCs w:val="24"/>
        </w:rPr>
        <w:t>项目编号：</w:t>
      </w:r>
    </w:p>
    <w:p>
      <w:pPr>
        <w:spacing w:line="360" w:lineRule="auto"/>
        <w:ind w:firstLine="482" w:firstLineChars="201"/>
        <w:rPr>
          <w:rFonts w:ascii="宋体" w:hAnsi="宋体" w:cs="宋体"/>
          <w:sz w:val="24"/>
          <w:szCs w:val="24"/>
        </w:rPr>
      </w:pPr>
      <w:r>
        <w:rPr>
          <w:rFonts w:hint="eastAsia" w:ascii="宋体" w:hAnsi="宋体" w:cs="宋体"/>
          <w:sz w:val="24"/>
          <w:szCs w:val="24"/>
        </w:rPr>
        <w:t>包</w:t>
      </w:r>
      <w:r>
        <w:rPr>
          <w:rFonts w:ascii="宋体" w:hAnsi="宋体" w:cs="宋体"/>
          <w:sz w:val="24"/>
          <w:szCs w:val="24"/>
        </w:rPr>
        <w:t xml:space="preserve">    </w:t>
      </w:r>
      <w:r>
        <w:rPr>
          <w:rFonts w:hint="eastAsia" w:ascii="宋体" w:hAnsi="宋体" w:cs="宋体"/>
          <w:sz w:val="24"/>
          <w:szCs w:val="24"/>
        </w:rPr>
        <w:t>号：</w:t>
      </w:r>
      <w:r>
        <w:rPr>
          <w:rFonts w:ascii="宋体" w:hAnsi="宋体" w:cs="宋体"/>
          <w:sz w:val="24"/>
          <w:szCs w:val="24"/>
        </w:rPr>
        <w:t xml:space="preserve">    </w:t>
      </w:r>
      <w:r>
        <w:rPr>
          <w:rFonts w:hint="eastAsia" w:ascii="宋体" w:hAnsi="宋体" w:cs="宋体"/>
          <w:sz w:val="24"/>
          <w:szCs w:val="24"/>
        </w:rPr>
        <w:t>第</w:t>
      </w:r>
      <w:r>
        <w:rPr>
          <w:rFonts w:ascii="宋体" w:hAnsi="宋体" w:cs="宋体"/>
          <w:sz w:val="24"/>
          <w:szCs w:val="24"/>
        </w:rPr>
        <w:t xml:space="preserve">    </w:t>
      </w:r>
      <w:r>
        <w:rPr>
          <w:rFonts w:hint="eastAsia" w:ascii="宋体" w:hAnsi="宋体" w:cs="宋体"/>
          <w:sz w:val="24"/>
          <w:szCs w:val="24"/>
        </w:rPr>
        <w:t>包（若项目分包时使用）</w:t>
      </w:r>
    </w:p>
    <w:p>
      <w:pPr>
        <w:spacing w:line="360" w:lineRule="auto"/>
        <w:ind w:firstLine="482" w:firstLineChars="201"/>
        <w:jc w:val="center"/>
        <w:rPr>
          <w:rFonts w:ascii="宋体" w:hAnsi="宋体" w:cs="宋体"/>
          <w:sz w:val="24"/>
          <w:szCs w:val="24"/>
        </w:rPr>
      </w:pPr>
    </w:p>
    <w:p>
      <w:pPr>
        <w:spacing w:line="360" w:lineRule="auto"/>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（供应商名称）</w:t>
      </w:r>
    </w:p>
    <w:p>
      <w:pPr>
        <w:spacing w:line="360" w:lineRule="auto"/>
        <w:ind w:firstLine="482" w:firstLineChars="201"/>
        <w:jc w:val="center"/>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bookmarkStart w:id="24" w:name="_Toc482026546"/>
    </w:p>
    <w:bookmarkEnd w:id="24"/>
    <w:p>
      <w:pPr>
        <w:spacing w:line="360" w:lineRule="auto"/>
        <w:rPr>
          <w:rFonts w:ascii="宋体" w:hAnsi="宋体" w:cs="宋体"/>
          <w:sz w:val="24"/>
          <w:szCs w:val="24"/>
        </w:rPr>
      </w:pPr>
      <w:bookmarkStart w:id="25" w:name="_Toc482196940"/>
      <w:r>
        <w:rPr>
          <w:rFonts w:ascii="宋体" w:hAnsi="宋体" w:cs="宋体"/>
          <w:sz w:val="24"/>
          <w:szCs w:val="24"/>
        </w:rPr>
        <w:br w:type="page"/>
      </w:r>
    </w:p>
    <w:bookmarkEnd w:id="25"/>
    <w:p>
      <w:pPr>
        <w:spacing w:line="360" w:lineRule="auto"/>
        <w:rPr>
          <w:rFonts w:ascii="宋体" w:hAnsi="宋体" w:cs="宋体"/>
          <w:sz w:val="24"/>
          <w:szCs w:val="24"/>
        </w:rPr>
      </w:pPr>
      <w:r>
        <w:rPr>
          <w:rFonts w:hint="eastAsia" w:ascii="宋体" w:hAnsi="宋体" w:cs="宋体"/>
          <w:sz w:val="24"/>
          <w:szCs w:val="24"/>
        </w:rPr>
        <w:t>格式二：</w:t>
      </w:r>
    </w:p>
    <w:p>
      <w:pPr>
        <w:spacing w:line="360" w:lineRule="auto"/>
        <w:jc w:val="center"/>
        <w:rPr>
          <w:rFonts w:ascii="宋体" w:hAnsi="宋体" w:cs="宋体"/>
          <w:sz w:val="24"/>
          <w:szCs w:val="24"/>
        </w:rPr>
      </w:pPr>
      <w:r>
        <w:rPr>
          <w:rFonts w:hint="eastAsia" w:ascii="宋体" w:hAnsi="宋体" w:cs="宋体"/>
          <w:sz w:val="24"/>
          <w:szCs w:val="24"/>
        </w:rPr>
        <w:t>响应文件目录</w:t>
      </w:r>
    </w:p>
    <w:p>
      <w:pPr>
        <w:spacing w:line="360" w:lineRule="auto"/>
        <w:rPr>
          <w:rFonts w:ascii="宋体" w:hAnsi="宋体" w:cs="宋体"/>
          <w:sz w:val="24"/>
          <w:szCs w:val="24"/>
        </w:rPr>
      </w:pPr>
      <w:r>
        <w:rPr>
          <w:rFonts w:hint="eastAsia" w:ascii="宋体" w:hAnsi="宋体" w:cs="宋体"/>
          <w:sz w:val="24"/>
          <w:szCs w:val="24"/>
        </w:rPr>
        <w:t>一. 投标承诺书…………………………………………………………</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二. 开标一览表</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三. 法定代表人身份证明………………………………………………… （ ）</w:t>
      </w:r>
    </w:p>
    <w:p>
      <w:pPr>
        <w:spacing w:line="360" w:lineRule="auto"/>
        <w:rPr>
          <w:rFonts w:ascii="宋体" w:hAnsi="宋体" w:cs="宋体"/>
          <w:sz w:val="24"/>
          <w:szCs w:val="24"/>
        </w:rPr>
      </w:pPr>
      <w:r>
        <w:rPr>
          <w:rFonts w:hint="eastAsia" w:ascii="宋体" w:hAnsi="宋体" w:cs="宋体"/>
          <w:sz w:val="24"/>
          <w:szCs w:val="24"/>
        </w:rPr>
        <w:t>四. 授权委托人身份证明</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 （ ）</w:t>
      </w:r>
    </w:p>
    <w:p>
      <w:pPr>
        <w:spacing w:line="360" w:lineRule="auto"/>
        <w:rPr>
          <w:rFonts w:ascii="宋体" w:hAnsi="宋体" w:cs="宋体"/>
          <w:sz w:val="24"/>
          <w:szCs w:val="24"/>
        </w:rPr>
      </w:pPr>
      <w:r>
        <w:rPr>
          <w:rFonts w:hint="eastAsia" w:ascii="宋体" w:hAnsi="宋体" w:cs="宋体"/>
          <w:sz w:val="24"/>
          <w:szCs w:val="24"/>
        </w:rPr>
        <w:t>五. 授权委托书</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sz w:val="24"/>
          <w:szCs w:val="24"/>
        </w:rPr>
      </w:pPr>
      <w:r>
        <w:rPr>
          <w:rFonts w:hint="eastAsia" w:ascii="宋体" w:hAnsi="宋体"/>
          <w:sz w:val="24"/>
          <w:szCs w:val="24"/>
        </w:rPr>
        <w:t>六．本项目服务人员简表………………………………………………… （ ）</w:t>
      </w:r>
    </w:p>
    <w:p>
      <w:pPr>
        <w:spacing w:line="360" w:lineRule="auto"/>
        <w:rPr>
          <w:rFonts w:ascii="宋体" w:hAnsi="宋体"/>
          <w:sz w:val="24"/>
          <w:szCs w:val="24"/>
        </w:rPr>
      </w:pPr>
      <w:r>
        <w:rPr>
          <w:rFonts w:hint="eastAsia" w:ascii="宋体" w:hAnsi="宋体"/>
          <w:sz w:val="24"/>
          <w:szCs w:val="24"/>
        </w:rPr>
        <w:t>七.分项报价明细表</w:t>
      </w:r>
      <w:r>
        <w:rPr>
          <w:rFonts w:ascii="宋体" w:hAnsi="宋体"/>
          <w:sz w:val="24"/>
          <w:szCs w:val="24"/>
        </w:rPr>
        <w:t>………………</w:t>
      </w:r>
      <w:r>
        <w:rPr>
          <w:rFonts w:hint="eastAsia" w:ascii="宋体" w:hAnsi="宋体"/>
          <w:sz w:val="24"/>
          <w:szCs w:val="24"/>
        </w:rPr>
        <w:t>……………………………………</w:t>
      </w:r>
      <w:r>
        <w:rPr>
          <w:rFonts w:ascii="宋体" w:hAnsi="宋体"/>
          <w:sz w:val="24"/>
          <w:szCs w:val="24"/>
        </w:rPr>
        <w:t>……</w:t>
      </w:r>
      <w:r>
        <w:rPr>
          <w:rFonts w:hint="eastAsia" w:ascii="宋体" w:hAnsi="宋体"/>
          <w:sz w:val="24"/>
          <w:szCs w:val="24"/>
        </w:rPr>
        <w:t>（ ）</w:t>
      </w:r>
    </w:p>
    <w:p>
      <w:pPr>
        <w:spacing w:line="360" w:lineRule="auto"/>
        <w:rPr>
          <w:rFonts w:ascii="宋体" w:hAnsi="宋体"/>
          <w:sz w:val="24"/>
          <w:szCs w:val="24"/>
        </w:rPr>
      </w:pPr>
      <w:r>
        <w:rPr>
          <w:rFonts w:hint="eastAsia" w:ascii="宋体" w:hAnsi="宋体"/>
          <w:sz w:val="24"/>
          <w:szCs w:val="24"/>
        </w:rPr>
        <w:t>八.服务需求响应表………………………………………………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九.项目服务方案………………………………………………</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cs="宋体"/>
          <w:sz w:val="24"/>
          <w:szCs w:val="24"/>
        </w:rPr>
      </w:pPr>
      <w:r>
        <w:rPr>
          <w:rFonts w:hint="eastAsia" w:ascii="宋体" w:hAnsi="宋体"/>
          <w:sz w:val="24"/>
          <w:szCs w:val="24"/>
        </w:rPr>
        <w:t>十.商务规格响应表…………………………………………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 xml:space="preserve">十一. 上一年度财务会计制度… </w:t>
      </w:r>
      <w:r>
        <w:rPr>
          <w:rFonts w:ascii="宋体" w:hAnsi="宋体" w:cs="宋体"/>
          <w:sz w:val="24"/>
          <w:szCs w:val="24"/>
        </w:rPr>
        <w:t>…………………………………………</w:t>
      </w:r>
      <w:r>
        <w:rPr>
          <w:rFonts w:hint="eastAsia" w:ascii="宋体" w:hAnsi="宋体" w:cs="宋体"/>
          <w:sz w:val="24"/>
          <w:szCs w:val="24"/>
        </w:rPr>
        <w:t>（ ）</w:t>
      </w:r>
    </w:p>
    <w:p>
      <w:pPr>
        <w:autoSpaceDE w:val="0"/>
        <w:autoSpaceDN w:val="0"/>
        <w:spacing w:line="360" w:lineRule="auto"/>
        <w:rPr>
          <w:rFonts w:ascii="宋体" w:hAnsi="宋体"/>
          <w:sz w:val="24"/>
          <w:szCs w:val="24"/>
        </w:rPr>
      </w:pPr>
      <w:r>
        <w:rPr>
          <w:rFonts w:hint="eastAsia" w:ascii="宋体" w:hAnsi="宋体" w:cs="宋体"/>
          <w:sz w:val="24"/>
          <w:szCs w:val="24"/>
        </w:rPr>
        <w:t>十二.</w:t>
      </w:r>
      <w:r>
        <w:rPr>
          <w:rFonts w:hint="eastAsia" w:ascii="宋体" w:hAnsi="宋体"/>
          <w:sz w:val="24"/>
          <w:szCs w:val="24"/>
        </w:rPr>
        <w:t>依法缴纳税收的凭据 ……………………………………………   （ ）</w:t>
      </w:r>
    </w:p>
    <w:p>
      <w:pPr>
        <w:autoSpaceDE w:val="0"/>
        <w:autoSpaceDN w:val="0"/>
        <w:spacing w:line="360" w:lineRule="auto"/>
        <w:rPr>
          <w:rFonts w:ascii="宋体" w:hAnsi="宋体" w:cs="宋体"/>
          <w:sz w:val="24"/>
          <w:szCs w:val="24"/>
        </w:rPr>
      </w:pPr>
      <w:r>
        <w:rPr>
          <w:rFonts w:hint="eastAsia" w:ascii="宋体" w:hAnsi="宋体" w:cs="宋体"/>
          <w:sz w:val="24"/>
          <w:szCs w:val="24"/>
        </w:rPr>
        <w:t>十三.</w:t>
      </w:r>
      <w:r>
        <w:rPr>
          <w:rFonts w:hint="eastAsia" w:ascii="宋体" w:hAnsi="宋体"/>
          <w:sz w:val="24"/>
          <w:szCs w:val="24"/>
        </w:rPr>
        <w:t>依法缴纳社会保险的凭据…………………………………………  （ ）</w:t>
      </w:r>
    </w:p>
    <w:p>
      <w:pPr>
        <w:autoSpaceDE w:val="0"/>
        <w:autoSpaceDN w:val="0"/>
        <w:spacing w:line="360" w:lineRule="auto"/>
        <w:jc w:val="left"/>
        <w:rPr>
          <w:rFonts w:ascii="宋体" w:hAnsi="宋体" w:cs="宋体"/>
          <w:sz w:val="24"/>
          <w:szCs w:val="24"/>
        </w:rPr>
      </w:pPr>
      <w:r>
        <w:rPr>
          <w:rFonts w:hint="eastAsia" w:ascii="宋体" w:hAnsi="宋体" w:cs="宋体"/>
          <w:sz w:val="24"/>
          <w:szCs w:val="24"/>
        </w:rPr>
        <w:t>十四.参加政府采购前三年内在经营活动中无重大违法记录书面声明</w:t>
      </w:r>
      <w:r>
        <w:rPr>
          <w:rFonts w:ascii="宋体" w:hAnsi="宋体" w:cs="宋体"/>
          <w:sz w:val="24"/>
          <w:szCs w:val="24"/>
        </w:rPr>
        <w:t>…</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十五.类证明材料……………………………………………………</w:t>
      </w:r>
      <w:r>
        <w:rPr>
          <w:rFonts w:ascii="宋体" w:hAnsi="宋体" w:cs="宋体"/>
          <w:sz w:val="24"/>
          <w:szCs w:val="24"/>
        </w:rPr>
        <w:t>……</w:t>
      </w:r>
      <w:r>
        <w:rPr>
          <w:rFonts w:hint="eastAsia" w:ascii="宋体" w:hAnsi="宋体" w:cs="宋体"/>
          <w:sz w:val="24"/>
          <w:szCs w:val="24"/>
        </w:rPr>
        <w:t xml:space="preserve">  （ ）</w:t>
      </w:r>
    </w:p>
    <w:p>
      <w:pPr>
        <w:pStyle w:val="3"/>
        <w:keepNext w:val="0"/>
        <w:keepLines w:val="0"/>
        <w:spacing w:line="360" w:lineRule="auto"/>
        <w:jc w:val="left"/>
        <w:rPr>
          <w:rFonts w:ascii="宋体" w:hAnsi="宋体" w:eastAsia="宋体"/>
          <w:sz w:val="24"/>
          <w:szCs w:val="24"/>
        </w:rPr>
      </w:pPr>
      <w:bookmarkStart w:id="26" w:name="_Toc482026547"/>
      <w:r>
        <w:rPr>
          <w:rFonts w:ascii="宋体" w:hAnsi="宋体" w:eastAsia="宋体"/>
          <w:sz w:val="24"/>
          <w:szCs w:val="24"/>
        </w:rPr>
        <w:br w:type="page"/>
      </w:r>
      <w:bookmarkEnd w:id="26"/>
    </w:p>
    <w:p>
      <w:pPr>
        <w:spacing w:line="360" w:lineRule="auto"/>
        <w:rPr>
          <w:rFonts w:ascii="宋体" w:hAnsi="宋体"/>
          <w:bCs/>
          <w:sz w:val="24"/>
          <w:szCs w:val="24"/>
        </w:rPr>
      </w:pPr>
      <w:r>
        <w:rPr>
          <w:rFonts w:hint="eastAsia" w:ascii="宋体" w:hAnsi="宋体"/>
          <w:bCs/>
          <w:sz w:val="24"/>
          <w:szCs w:val="24"/>
        </w:rPr>
        <w:t>格式三：</w:t>
      </w:r>
    </w:p>
    <w:p>
      <w:pPr>
        <w:spacing w:line="360" w:lineRule="auto"/>
        <w:jc w:val="center"/>
        <w:rPr>
          <w:rFonts w:ascii="宋体" w:hAnsi="宋体"/>
          <w:bCs/>
          <w:sz w:val="24"/>
          <w:szCs w:val="24"/>
        </w:rPr>
      </w:pPr>
      <w:r>
        <w:rPr>
          <w:rFonts w:hint="eastAsia" w:ascii="宋体" w:hAnsi="宋体"/>
          <w:bCs/>
          <w:sz w:val="24"/>
          <w:szCs w:val="24"/>
        </w:rPr>
        <w:t>投标承诺书</w:t>
      </w:r>
    </w:p>
    <w:p>
      <w:pPr>
        <w:spacing w:line="360" w:lineRule="auto"/>
        <w:rPr>
          <w:rFonts w:ascii="宋体" w:hAnsi="宋体"/>
          <w:sz w:val="24"/>
          <w:szCs w:val="24"/>
        </w:rPr>
      </w:pPr>
      <w:r>
        <w:rPr>
          <w:rFonts w:hint="eastAsia" w:ascii="宋体" w:hAnsi="宋体"/>
          <w:sz w:val="24"/>
          <w:szCs w:val="24"/>
          <w:lang w:eastAsia="zh-CN"/>
        </w:rPr>
        <w:t>鄂尔多斯市杭锦旗公共资源交易中心</w:t>
      </w:r>
      <w:r>
        <w:rPr>
          <w:rFonts w:hint="eastAsia" w:ascii="宋体" w:hAnsi="宋体"/>
          <w:sz w:val="24"/>
          <w:szCs w:val="24"/>
        </w:rPr>
        <w:t xml:space="preserve">： </w:t>
      </w:r>
    </w:p>
    <w:p>
      <w:pPr>
        <w:spacing w:line="360" w:lineRule="auto"/>
        <w:ind w:firstLine="528" w:firstLineChars="220"/>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）单一来源文件要求，经我方</w:t>
      </w:r>
      <w:r>
        <w:rPr>
          <w:rFonts w:hint="eastAsia" w:ascii="宋体" w:hAnsi="宋体"/>
          <w:sz w:val="24"/>
          <w:szCs w:val="24"/>
          <w:u w:val="single"/>
        </w:rPr>
        <w:t xml:space="preserve">  （供应商名称）  </w:t>
      </w:r>
      <w:r>
        <w:rPr>
          <w:rFonts w:hint="eastAsia" w:ascii="宋体" w:hAnsi="宋体"/>
          <w:sz w:val="24"/>
          <w:szCs w:val="24"/>
        </w:rPr>
        <w:t>认真研究投标须知、合同条款、技术规范、资质要求和其它有关要求后，我方愿按上述合同条款、技术规范、资质要求进行投标。我方完全接受本次单一来源文件规定的所有要求，并承诺在中标后执行单一来源文件、响应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sz w:val="24"/>
          <w:szCs w:val="24"/>
        </w:rPr>
      </w:pPr>
      <w:r>
        <w:rPr>
          <w:rFonts w:hint="eastAsia" w:ascii="宋体" w:hAnsi="宋体"/>
          <w:sz w:val="24"/>
          <w:szCs w:val="24"/>
        </w:rPr>
        <w:t xml:space="preserve">    2. 我方同意所递交的响应文件在“投标须知”规定的投标有效期内有效，在此期间内我方的投标如能中标，我方将受此约束。</w:t>
      </w:r>
    </w:p>
    <w:p>
      <w:pPr>
        <w:spacing w:line="360" w:lineRule="auto"/>
        <w:ind w:firstLine="528" w:firstLineChars="220"/>
        <w:rPr>
          <w:rFonts w:ascii="宋体" w:hAnsi="宋体"/>
          <w:sz w:val="24"/>
          <w:szCs w:val="24"/>
        </w:rPr>
      </w:pPr>
      <w:r>
        <w:rPr>
          <w:rFonts w:hint="eastAsia" w:ascii="宋体" w:hAnsi="宋体"/>
          <w:sz w:val="24"/>
          <w:szCs w:val="24"/>
        </w:rPr>
        <w:t>3. 我方郑重声明：所提供的响应文件内容全部真实有效。如经查实承诺的内容事项存在虚假，我公司愿意接受提供虚假材料谋取中标追究法律责任。</w:t>
      </w:r>
    </w:p>
    <w:p>
      <w:pPr>
        <w:spacing w:line="36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36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可能另外要求的与其投标有关的任何数据或资料。除非另外达成协议并生效，否则，中标通知书和本响应文件将构成约束双方合同的组成部分。</w:t>
      </w:r>
    </w:p>
    <w:p>
      <w:pPr>
        <w:spacing w:line="360" w:lineRule="auto"/>
        <w:ind w:firstLine="528" w:firstLineChars="220"/>
        <w:rPr>
          <w:rFonts w:ascii="宋体" w:hAnsi="宋体"/>
          <w:kern w:val="0"/>
          <w:sz w:val="24"/>
          <w:szCs w:val="24"/>
        </w:rPr>
      </w:pPr>
      <w:r>
        <w:rPr>
          <w:rFonts w:hint="eastAsia" w:ascii="宋体" w:hAnsi="宋体"/>
          <w:kern w:val="0"/>
          <w:sz w:val="24"/>
          <w:szCs w:val="24"/>
        </w:rPr>
        <w:t>6. 我单位如果出现违法违规情况，愿意承担取消中标资格、接受有关监督部门处罚等后果。</w:t>
      </w:r>
    </w:p>
    <w:p>
      <w:pPr>
        <w:spacing w:line="360" w:lineRule="auto"/>
        <w:ind w:firstLine="528" w:firstLineChars="220"/>
        <w:rPr>
          <w:rFonts w:ascii="宋体" w:hAnsi="宋体"/>
          <w:kern w:val="0"/>
          <w:sz w:val="24"/>
          <w:szCs w:val="24"/>
        </w:rPr>
      </w:pPr>
    </w:p>
    <w:p>
      <w:pPr>
        <w:spacing w:line="360" w:lineRule="auto"/>
        <w:ind w:firstLine="528" w:firstLineChars="220"/>
        <w:rPr>
          <w:rFonts w:ascii="宋体" w:hAnsi="宋体"/>
          <w:kern w:val="0"/>
          <w:sz w:val="24"/>
          <w:szCs w:val="24"/>
        </w:rPr>
      </w:pPr>
    </w:p>
    <w:p>
      <w:pPr>
        <w:spacing w:line="360" w:lineRule="auto"/>
        <w:ind w:firstLine="768" w:firstLineChars="32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rPr>
        <w:t>供应商开户银行：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 xml:space="preserve">供应商法人签字：            </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供应商法人授权代表签字：（加盖公章）     年 月 日</w:t>
      </w:r>
      <w:r>
        <w:rPr>
          <w:rFonts w:ascii="宋体" w:hAnsi="宋体"/>
          <w:sz w:val="24"/>
          <w:szCs w:val="24"/>
        </w:rPr>
        <w:br w:type="page"/>
      </w:r>
    </w:p>
    <w:p>
      <w:pPr>
        <w:adjustRightInd w:val="0"/>
        <w:snapToGrid w:val="0"/>
        <w:spacing w:line="360" w:lineRule="auto"/>
        <w:rPr>
          <w:rFonts w:ascii="宋体" w:hAnsi="宋体"/>
          <w:sz w:val="24"/>
          <w:szCs w:val="24"/>
        </w:rPr>
      </w:pPr>
      <w:r>
        <w:rPr>
          <w:rFonts w:hint="eastAsia" w:ascii="宋体" w:hAnsi="宋体"/>
          <w:sz w:val="24"/>
          <w:szCs w:val="24"/>
        </w:rPr>
        <w:t>格式四：</w:t>
      </w:r>
    </w:p>
    <w:p>
      <w:pPr>
        <w:adjustRightInd w:val="0"/>
        <w:snapToGrid w:val="0"/>
        <w:spacing w:line="360" w:lineRule="auto"/>
        <w:jc w:val="center"/>
        <w:rPr>
          <w:rFonts w:ascii="宋体" w:hAnsi="宋体"/>
          <w:sz w:val="24"/>
          <w:szCs w:val="24"/>
        </w:rPr>
      </w:pPr>
      <w:r>
        <w:rPr>
          <w:rFonts w:hint="eastAsia" w:ascii="宋体" w:hAnsi="宋体"/>
          <w:sz w:val="24"/>
          <w:szCs w:val="24"/>
        </w:rPr>
        <w:t>开标一览表</w:t>
      </w:r>
    </w:p>
    <w:p>
      <w:pPr>
        <w:pStyle w:val="22"/>
        <w:spacing w:line="360" w:lineRule="auto"/>
        <w:ind w:left="57" w:right="57" w:firstLine="57"/>
        <w:rPr>
          <w:rFonts w:hAnsi="宋体"/>
          <w:bCs/>
          <w:sz w:val="24"/>
          <w:szCs w:val="24"/>
        </w:rPr>
      </w:pPr>
    </w:p>
    <w:p>
      <w:pPr>
        <w:pStyle w:val="22"/>
        <w:spacing w:line="360" w:lineRule="auto"/>
        <w:ind w:left="57" w:right="57" w:firstLine="57"/>
        <w:rPr>
          <w:rFonts w:hAnsi="宋体"/>
          <w:sz w:val="24"/>
          <w:szCs w:val="24"/>
        </w:rPr>
      </w:pPr>
      <w:r>
        <w:rPr>
          <w:rFonts w:hint="eastAsia" w:hAnsi="宋体"/>
          <w:sz w:val="24"/>
          <w:szCs w:val="24"/>
        </w:rPr>
        <w:t>供应商名称（加盖公章）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42"/>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4"/>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5494" w:type="dxa"/>
            <w:vAlign w:val="center"/>
          </w:tcPr>
          <w:p>
            <w:pPr>
              <w:spacing w:line="360" w:lineRule="auto"/>
              <w:ind w:firstLine="240" w:firstLineChars="100"/>
              <w:jc w:val="center"/>
              <w:rPr>
                <w:rFonts w:ascii="宋体" w:hAnsi="宋体"/>
                <w:sz w:val="24"/>
                <w:szCs w:val="24"/>
              </w:rPr>
            </w:pPr>
            <w:r>
              <w:rPr>
                <w:rFonts w:hint="eastAsia" w:ascii="宋体" w:hAnsi="宋体"/>
                <w:sz w:val="24"/>
                <w:szCs w:val="24"/>
              </w:rPr>
              <w:t>投标总报价（元）</w:t>
            </w:r>
          </w:p>
        </w:tc>
        <w:tc>
          <w:tcPr>
            <w:tcW w:w="3828" w:type="dxa"/>
            <w:vAlign w:val="center"/>
          </w:tcPr>
          <w:p>
            <w:pPr>
              <w:spacing w:line="360" w:lineRule="auto"/>
              <w:jc w:val="center"/>
              <w:rPr>
                <w:rFonts w:ascii="宋体" w:hAnsi="宋体"/>
                <w:sz w:val="24"/>
                <w:szCs w:val="24"/>
              </w:rPr>
            </w:pPr>
            <w:r>
              <w:rPr>
                <w:rFonts w:hint="eastAsia" w:ascii="宋体" w:hAnsi="宋体"/>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494" w:type="dxa"/>
            <w:vAlign w:val="center"/>
          </w:tcPr>
          <w:p>
            <w:pPr>
              <w:spacing w:line="360" w:lineRule="auto"/>
              <w:jc w:val="left"/>
              <w:rPr>
                <w:rFonts w:ascii="宋体" w:hAnsi="宋体"/>
                <w:sz w:val="24"/>
                <w:szCs w:val="24"/>
              </w:rPr>
            </w:pPr>
            <w:r>
              <w:rPr>
                <w:rFonts w:hint="eastAsia" w:ascii="宋体" w:hAnsi="宋体"/>
                <w:sz w:val="24"/>
                <w:szCs w:val="24"/>
              </w:rPr>
              <w:t>大写：</w:t>
            </w:r>
          </w:p>
        </w:tc>
        <w:tc>
          <w:tcPr>
            <w:tcW w:w="3828" w:type="dxa"/>
            <w:vMerge w:val="restart"/>
            <w:vAlign w:val="center"/>
          </w:tcPr>
          <w:p>
            <w:pPr>
              <w:spacing w:line="360" w:lineRule="auto"/>
              <w:ind w:left="57" w:right="57" w:firstLine="57"/>
              <w:jc w:val="center"/>
              <w:outlineLvl w:val="0"/>
              <w:rPr>
                <w:rFonts w:ascii="宋体" w:hAnsi="宋体"/>
                <w:sz w:val="24"/>
                <w:szCs w:val="24"/>
              </w:rPr>
            </w:pPr>
            <w:bookmarkStart w:id="27" w:name="_Toc497726805"/>
            <w:r>
              <w:rPr>
                <w:rFonts w:hint="eastAsia" w:ascii="宋体" w:hAnsi="宋体"/>
                <w:sz w:val="24"/>
                <w:szCs w:val="24"/>
              </w:rPr>
              <w:t>合同生效后至</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494" w:type="dxa"/>
            <w:vAlign w:val="center"/>
          </w:tcPr>
          <w:p>
            <w:pPr>
              <w:spacing w:line="360" w:lineRule="auto"/>
              <w:jc w:val="left"/>
              <w:rPr>
                <w:rFonts w:ascii="宋体" w:hAnsi="宋体"/>
                <w:sz w:val="24"/>
                <w:szCs w:val="24"/>
              </w:rPr>
            </w:pPr>
            <w:r>
              <w:rPr>
                <w:rFonts w:hint="eastAsia" w:ascii="宋体" w:hAnsi="宋体"/>
                <w:sz w:val="24"/>
                <w:szCs w:val="24"/>
              </w:rPr>
              <w:t>小写：</w:t>
            </w:r>
          </w:p>
        </w:tc>
        <w:tc>
          <w:tcPr>
            <w:tcW w:w="3828" w:type="dxa"/>
            <w:vMerge w:val="continue"/>
            <w:vAlign w:val="center"/>
          </w:tcPr>
          <w:p>
            <w:pPr>
              <w:spacing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2．价格应按照“供应商须知”的要求报价。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》中所填写内容与响应文件中内容不一致的，以开标一览表为准。</w:t>
      </w:r>
    </w:p>
    <w:p>
      <w:pPr>
        <w:adjustRightInd w:val="0"/>
        <w:snapToGrid w:val="0"/>
        <w:spacing w:line="360" w:lineRule="auto"/>
        <w:ind w:firstLine="720" w:firstLineChars="300"/>
        <w:rPr>
          <w:rFonts w:ascii="宋体" w:hAnsi="宋体" w:cs="Courier New"/>
          <w:kern w:val="0"/>
          <w:sz w:val="24"/>
          <w:szCs w:val="24"/>
        </w:rPr>
      </w:pPr>
    </w:p>
    <w:p>
      <w:pPr>
        <w:spacing w:line="360" w:lineRule="auto"/>
        <w:ind w:right="240"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autoSpaceDE w:val="0"/>
        <w:autoSpaceDN w:val="0"/>
        <w:spacing w:line="360" w:lineRule="auto"/>
        <w:jc w:val="center"/>
        <w:rPr>
          <w:rFonts w:ascii="宋体" w:hAnsi="宋体"/>
          <w:sz w:val="24"/>
          <w:szCs w:val="24"/>
        </w:rPr>
        <w:sectPr>
          <w:headerReference r:id="rId4" w:type="first"/>
          <w:headerReference r:id="rId3" w:type="default"/>
          <w:footerReference r:id="rId5" w:type="default"/>
          <w:pgSz w:w="11906" w:h="16838"/>
          <w:pgMar w:top="737" w:right="1247" w:bottom="737" w:left="1247" w:header="851" w:footer="992" w:gutter="0"/>
          <w:cols w:space="720" w:num="1"/>
          <w:titlePg/>
          <w:docGrid w:linePitch="312" w:charSpace="0"/>
        </w:sectPr>
      </w:pPr>
      <w:r>
        <w:rPr>
          <w:rFonts w:hint="eastAsia" w:ascii="宋体" w:hAnsi="宋体"/>
          <w:sz w:val="24"/>
          <w:szCs w:val="24"/>
        </w:rPr>
        <w:t xml:space="preserve">                                              年    月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格式五：</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（供应商名称）的法定代表人。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4920" w:firstLineChars="2050"/>
        <w:rPr>
          <w:rFonts w:asciiTheme="minorEastAsia" w:hAnsiTheme="minorEastAsia" w:eastAsiaTheme="minorEastAsia"/>
          <w:sz w:val="24"/>
          <w:szCs w:val="24"/>
        </w:rPr>
      </w:pPr>
    </w:p>
    <w:tbl>
      <w:tblPr>
        <w:tblStyle w:val="4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r>
        <w:rPr>
          <w:rFonts w:hint="eastAsia" w:asciiTheme="minorEastAsia" w:hAnsiTheme="minorEastAsia" w:eastAsiaTheme="minorEastAsia"/>
          <w:sz w:val="24"/>
          <w:szCs w:val="24"/>
        </w:rPr>
        <w:t xml:space="preserve">格式六： </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4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sz w:val="24"/>
          <w:szCs w:val="24"/>
        </w:rPr>
      </w:pPr>
      <w:bookmarkStart w:id="28" w:name="_Toc496001220"/>
      <w:r>
        <w:rPr>
          <w:rFonts w:hint="eastAsia" w:asciiTheme="minorEastAsia" w:hAnsiTheme="minorEastAsia" w:eastAsiaTheme="minorEastAsia"/>
          <w:sz w:val="24"/>
          <w:szCs w:val="24"/>
        </w:rPr>
        <w:t>格式七</w:t>
      </w:r>
      <w:bookmarkEnd w:id="28"/>
      <w:r>
        <w:rPr>
          <w:rFonts w:hint="eastAsia" w:asciiTheme="minorEastAsia" w:hAnsiTheme="minorEastAsia" w:eastAsiaTheme="minorEastAsia"/>
          <w:sz w:val="24"/>
          <w:szCs w:val="24"/>
        </w:rPr>
        <w:t>：</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交、撤回、修改招标项目响应文件、签订合同和处理有关事宜，其法律后果由我方承担。委托期限：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注：本授权委托书需由供应商加盖单位公章并由其法定代表人和委托代理人签字。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22"/>
        <w:spacing w:line="360" w:lineRule="auto"/>
        <w:ind w:right="57"/>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pStyle w:val="22"/>
        <w:spacing w:line="360" w:lineRule="auto"/>
        <w:ind w:right="57"/>
        <w:jc w:val="center"/>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格式八：</w:t>
      </w:r>
    </w:p>
    <w:p>
      <w:pPr>
        <w:jc w:val="center"/>
        <w:rPr>
          <w:sz w:val="24"/>
          <w:szCs w:val="24"/>
        </w:rPr>
      </w:pPr>
      <w:r>
        <w:rPr>
          <w:rFonts w:hint="eastAsia"/>
          <w:sz w:val="24"/>
          <w:szCs w:val="24"/>
        </w:rPr>
        <w:t>本项目服务人员简表</w:t>
      </w:r>
    </w:p>
    <w:tbl>
      <w:tblPr>
        <w:tblStyle w:val="43"/>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708"/>
        <w:gridCol w:w="899"/>
        <w:gridCol w:w="802"/>
        <w:gridCol w:w="1418"/>
        <w:gridCol w:w="1417"/>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r>
              <w:rPr>
                <w:rFonts w:hint="eastAsia"/>
                <w:sz w:val="24"/>
                <w:szCs w:val="24"/>
              </w:rPr>
              <w:t>姓名</w:t>
            </w:r>
          </w:p>
        </w:tc>
        <w:tc>
          <w:tcPr>
            <w:tcW w:w="851" w:type="dxa"/>
            <w:vAlign w:val="center"/>
          </w:tcPr>
          <w:p>
            <w:pPr>
              <w:jc w:val="center"/>
              <w:rPr>
                <w:sz w:val="24"/>
                <w:szCs w:val="24"/>
              </w:rPr>
            </w:pPr>
            <w:r>
              <w:rPr>
                <w:rFonts w:hint="eastAsia"/>
                <w:sz w:val="24"/>
                <w:szCs w:val="24"/>
              </w:rPr>
              <w:t>年龄</w:t>
            </w:r>
          </w:p>
        </w:tc>
        <w:tc>
          <w:tcPr>
            <w:tcW w:w="708" w:type="dxa"/>
            <w:vAlign w:val="center"/>
          </w:tcPr>
          <w:p>
            <w:pPr>
              <w:jc w:val="center"/>
              <w:rPr>
                <w:sz w:val="24"/>
                <w:szCs w:val="24"/>
              </w:rPr>
            </w:pPr>
            <w:r>
              <w:rPr>
                <w:rFonts w:hint="eastAsia"/>
                <w:sz w:val="24"/>
                <w:szCs w:val="24"/>
              </w:rPr>
              <w:t>职称</w:t>
            </w:r>
          </w:p>
        </w:tc>
        <w:tc>
          <w:tcPr>
            <w:tcW w:w="899" w:type="dxa"/>
            <w:vAlign w:val="center"/>
          </w:tcPr>
          <w:p>
            <w:pPr>
              <w:jc w:val="center"/>
              <w:rPr>
                <w:sz w:val="24"/>
                <w:szCs w:val="24"/>
              </w:rPr>
            </w:pPr>
            <w:r>
              <w:rPr>
                <w:rFonts w:hint="eastAsia"/>
                <w:sz w:val="24"/>
                <w:szCs w:val="24"/>
              </w:rPr>
              <w:t>职务</w:t>
            </w:r>
          </w:p>
        </w:tc>
        <w:tc>
          <w:tcPr>
            <w:tcW w:w="802" w:type="dxa"/>
            <w:vAlign w:val="center"/>
          </w:tcPr>
          <w:p>
            <w:pPr>
              <w:jc w:val="center"/>
              <w:rPr>
                <w:sz w:val="24"/>
                <w:szCs w:val="24"/>
              </w:rPr>
            </w:pPr>
            <w:r>
              <w:rPr>
                <w:rFonts w:hint="eastAsia"/>
                <w:sz w:val="24"/>
                <w:szCs w:val="24"/>
              </w:rPr>
              <w:t>学历</w:t>
            </w:r>
          </w:p>
        </w:tc>
        <w:tc>
          <w:tcPr>
            <w:tcW w:w="1418" w:type="dxa"/>
            <w:vAlign w:val="center"/>
          </w:tcPr>
          <w:p>
            <w:pPr>
              <w:jc w:val="center"/>
              <w:rPr>
                <w:sz w:val="24"/>
                <w:szCs w:val="24"/>
              </w:rPr>
            </w:pPr>
            <w:r>
              <w:rPr>
                <w:rFonts w:hint="eastAsia"/>
                <w:sz w:val="24"/>
                <w:szCs w:val="24"/>
              </w:rPr>
              <w:t>从事本工作年限</w:t>
            </w:r>
          </w:p>
        </w:tc>
        <w:tc>
          <w:tcPr>
            <w:tcW w:w="1417" w:type="dxa"/>
            <w:vAlign w:val="center"/>
          </w:tcPr>
          <w:p>
            <w:pPr>
              <w:jc w:val="center"/>
              <w:rPr>
                <w:sz w:val="24"/>
                <w:szCs w:val="24"/>
              </w:rPr>
            </w:pPr>
            <w:r>
              <w:rPr>
                <w:rFonts w:hint="eastAsia"/>
                <w:sz w:val="24"/>
                <w:szCs w:val="24"/>
              </w:rPr>
              <w:t>职责分配</w:t>
            </w:r>
          </w:p>
        </w:tc>
        <w:tc>
          <w:tcPr>
            <w:tcW w:w="2148" w:type="dxa"/>
            <w:vAlign w:val="center"/>
          </w:tcPr>
          <w:p>
            <w:pPr>
              <w:jc w:val="center"/>
              <w:rPr>
                <w:sz w:val="24"/>
                <w:szCs w:val="24"/>
              </w:rPr>
            </w:pPr>
            <w:r>
              <w:rPr>
                <w:rFonts w:hint="eastAsia"/>
                <w:sz w:val="24"/>
                <w:szCs w:val="24"/>
              </w:rPr>
              <w:t>工作简历（承担过的项目）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bl>
    <w:p/>
    <w:p>
      <w:pPr>
        <w:widowControl/>
        <w:jc w:val="left"/>
      </w:pPr>
      <w:r>
        <w:br w:type="page"/>
      </w:r>
    </w:p>
    <w:p>
      <w:pPr>
        <w:adjustRightInd w:val="0"/>
        <w:snapToGrid w:val="0"/>
        <w:spacing w:line="360" w:lineRule="auto"/>
        <w:jc w:val="left"/>
        <w:rPr>
          <w:rFonts w:hAnsi="宋体"/>
          <w:bCs/>
          <w:sz w:val="24"/>
          <w:szCs w:val="24"/>
        </w:rPr>
      </w:pPr>
      <w:r>
        <w:rPr>
          <w:rFonts w:hint="eastAsia" w:hAnsi="宋体"/>
          <w:bCs/>
          <w:sz w:val="24"/>
          <w:szCs w:val="24"/>
        </w:rPr>
        <w:t xml:space="preserve">格式九： </w:t>
      </w:r>
    </w:p>
    <w:p>
      <w:pPr>
        <w:adjustRightInd w:val="0"/>
        <w:snapToGrid w:val="0"/>
        <w:spacing w:line="360" w:lineRule="auto"/>
        <w:ind w:firstLine="3960" w:firstLineChars="1650"/>
        <w:jc w:val="left"/>
        <w:rPr>
          <w:rFonts w:ascii="宋体" w:hAnsi="宋体" w:cs="Courier New"/>
          <w:kern w:val="0"/>
          <w:sz w:val="24"/>
          <w:szCs w:val="24"/>
        </w:rPr>
      </w:pPr>
      <w:r>
        <w:rPr>
          <w:rFonts w:hint="eastAsia" w:ascii="宋体" w:hAnsi="宋体" w:cs="Courier New"/>
          <w:kern w:val="0"/>
          <w:sz w:val="24"/>
          <w:szCs w:val="24"/>
        </w:rPr>
        <w:t>分项报价明细表</w:t>
      </w:r>
    </w:p>
    <w:tbl>
      <w:tblPr>
        <w:tblStyle w:val="42"/>
        <w:tblW w:w="906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4"/>
        <w:gridCol w:w="1892"/>
        <w:gridCol w:w="1807"/>
        <w:gridCol w:w="1410"/>
        <w:gridCol w:w="1154"/>
        <w:gridCol w:w="1332"/>
        <w:gridCol w:w="72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jc w:val="center"/>
        </w:trPr>
        <w:tc>
          <w:tcPr>
            <w:tcW w:w="744" w:type="dxa"/>
            <w:tcBorders>
              <w:top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序号</w:t>
            </w:r>
          </w:p>
        </w:tc>
        <w:tc>
          <w:tcPr>
            <w:tcW w:w="1892" w:type="dxa"/>
            <w:tcBorders>
              <w:top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服务项目</w:t>
            </w:r>
          </w:p>
        </w:tc>
        <w:tc>
          <w:tcPr>
            <w:tcW w:w="1807" w:type="dxa"/>
            <w:tcBorders>
              <w:top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主要服务内容</w:t>
            </w:r>
          </w:p>
        </w:tc>
        <w:tc>
          <w:tcPr>
            <w:tcW w:w="1410" w:type="dxa"/>
            <w:tcBorders>
              <w:top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数量及单位</w:t>
            </w:r>
          </w:p>
        </w:tc>
        <w:tc>
          <w:tcPr>
            <w:tcW w:w="1154"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单价（元）</w:t>
            </w:r>
          </w:p>
        </w:tc>
        <w:tc>
          <w:tcPr>
            <w:tcW w:w="1332"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总价（元）</w:t>
            </w:r>
          </w:p>
        </w:tc>
        <w:tc>
          <w:tcPr>
            <w:tcW w:w="721"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1</w:t>
            </w:r>
          </w:p>
        </w:tc>
        <w:tc>
          <w:tcPr>
            <w:tcW w:w="1892"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807" w:type="dxa"/>
          </w:tcPr>
          <w:p>
            <w:pPr>
              <w:adjustRightInd w:val="0"/>
              <w:snapToGrid w:val="0"/>
              <w:spacing w:line="360" w:lineRule="auto"/>
              <w:ind w:firstLine="482" w:firstLineChars="201"/>
              <w:jc w:val="center"/>
              <w:rPr>
                <w:rFonts w:ascii="宋体" w:hAnsi="宋体" w:cs="Courier New"/>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2</w:t>
            </w:r>
          </w:p>
        </w:tc>
        <w:tc>
          <w:tcPr>
            <w:tcW w:w="1892"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807" w:type="dxa"/>
          </w:tcPr>
          <w:p>
            <w:pPr>
              <w:adjustRightInd w:val="0"/>
              <w:snapToGrid w:val="0"/>
              <w:spacing w:line="360" w:lineRule="auto"/>
              <w:ind w:firstLine="482" w:firstLineChars="201"/>
              <w:jc w:val="center"/>
              <w:rPr>
                <w:rFonts w:ascii="宋体" w:hAnsi="宋体" w:cs="Courier New"/>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3</w:t>
            </w:r>
          </w:p>
        </w:tc>
        <w:tc>
          <w:tcPr>
            <w:tcW w:w="1892"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807" w:type="dxa"/>
          </w:tcPr>
          <w:p>
            <w:pPr>
              <w:adjustRightInd w:val="0"/>
              <w:snapToGrid w:val="0"/>
              <w:spacing w:line="360" w:lineRule="auto"/>
              <w:ind w:firstLine="482" w:firstLineChars="201"/>
              <w:jc w:val="center"/>
              <w:rPr>
                <w:rFonts w:ascii="宋体" w:hAnsi="宋体" w:cs="Courier New"/>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4</w:t>
            </w:r>
          </w:p>
        </w:tc>
        <w:tc>
          <w:tcPr>
            <w:tcW w:w="1892"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807" w:type="dxa"/>
          </w:tcPr>
          <w:p>
            <w:pPr>
              <w:adjustRightInd w:val="0"/>
              <w:snapToGrid w:val="0"/>
              <w:spacing w:line="360" w:lineRule="auto"/>
              <w:ind w:firstLine="482" w:firstLineChars="201"/>
              <w:jc w:val="center"/>
              <w:rPr>
                <w:rFonts w:ascii="宋体" w:hAnsi="宋体" w:cs="Courier New"/>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w:t>
            </w:r>
          </w:p>
        </w:tc>
        <w:tc>
          <w:tcPr>
            <w:tcW w:w="1892"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807" w:type="dxa"/>
          </w:tcPr>
          <w:p>
            <w:pPr>
              <w:adjustRightInd w:val="0"/>
              <w:snapToGrid w:val="0"/>
              <w:spacing w:line="360" w:lineRule="auto"/>
              <w:ind w:firstLine="482" w:firstLineChars="201"/>
              <w:jc w:val="center"/>
              <w:rPr>
                <w:rFonts w:ascii="宋体" w:hAnsi="宋体" w:cs="Courier New"/>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tcBorders>
              <w:bottom w:val="single" w:color="auto" w:sz="4" w:space="0"/>
            </w:tcBorders>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合计</w:t>
            </w:r>
          </w:p>
        </w:tc>
        <w:tc>
          <w:tcPr>
            <w:tcW w:w="189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807" w:type="dxa"/>
            <w:tcBorders>
              <w:bottom w:val="single" w:color="auto" w:sz="4" w:space="0"/>
            </w:tcBorders>
          </w:tcPr>
          <w:p>
            <w:pPr>
              <w:adjustRightInd w:val="0"/>
              <w:snapToGrid w:val="0"/>
              <w:spacing w:line="360" w:lineRule="auto"/>
              <w:ind w:firstLine="482" w:firstLineChars="201"/>
              <w:jc w:val="center"/>
              <w:rPr>
                <w:rFonts w:ascii="宋体" w:hAnsi="宋体" w:cs="Courier New"/>
                <w:kern w:val="0"/>
                <w:sz w:val="24"/>
                <w:szCs w:val="24"/>
              </w:rPr>
            </w:pPr>
          </w:p>
        </w:tc>
        <w:tc>
          <w:tcPr>
            <w:tcW w:w="141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154"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33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21"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bl>
    <w:p>
      <w:pPr>
        <w:adjustRightInd w:val="0"/>
        <w:snapToGrid w:val="0"/>
        <w:spacing w:line="360" w:lineRule="auto"/>
        <w:ind w:firstLine="3960" w:firstLineChars="1650"/>
        <w:jc w:val="left"/>
        <w:rPr>
          <w:rFonts w:ascii="宋体" w:hAnsi="宋体" w:cs="Courier New"/>
          <w:kern w:val="0"/>
          <w:sz w:val="24"/>
          <w:szCs w:val="24"/>
        </w:rPr>
      </w:pPr>
    </w:p>
    <w:p>
      <w:pPr>
        <w:numPr>
          <w:ilvl w:val="0"/>
          <w:numId w:val="7"/>
        </w:numPr>
        <w:tabs>
          <w:tab w:val="left" w:pos="0"/>
        </w:tabs>
        <w:suppressAutoHyphens/>
        <w:spacing w:line="360" w:lineRule="auto"/>
        <w:ind w:left="432" w:hanging="432"/>
        <w:rPr>
          <w:rFonts w:ascii="宋体" w:hAnsi="宋体"/>
          <w:sz w:val="21"/>
          <w:szCs w:val="21"/>
          <w:lang w:val="en-GB"/>
        </w:rPr>
      </w:pPr>
      <w:r>
        <w:rPr>
          <w:rFonts w:hint="eastAsia" w:ascii="宋体" w:hAnsi="宋体"/>
          <w:sz w:val="21"/>
          <w:szCs w:val="21"/>
        </w:rPr>
        <w:t>注：</w:t>
      </w:r>
    </w:p>
    <w:p>
      <w:pPr>
        <w:numPr>
          <w:ilvl w:val="0"/>
          <w:numId w:val="7"/>
        </w:numPr>
        <w:tabs>
          <w:tab w:val="left" w:pos="0"/>
        </w:tabs>
        <w:suppressAutoHyphens/>
        <w:spacing w:line="360" w:lineRule="auto"/>
        <w:ind w:left="432" w:hanging="432"/>
        <w:rPr>
          <w:rFonts w:ascii="宋体" w:hAnsi="宋体"/>
          <w:sz w:val="21"/>
          <w:szCs w:val="21"/>
          <w:lang w:val="en-GB"/>
        </w:rPr>
      </w:pPr>
      <w:r>
        <w:rPr>
          <w:rFonts w:hint="eastAsia" w:ascii="宋体" w:hAnsi="宋体"/>
          <w:sz w:val="21"/>
          <w:szCs w:val="21"/>
          <w:lang w:val="en-GB"/>
        </w:rPr>
        <w:t>（1）以上内容必须全部填写；</w:t>
      </w:r>
    </w:p>
    <w:p>
      <w:pPr>
        <w:numPr>
          <w:ilvl w:val="0"/>
          <w:numId w:val="7"/>
        </w:numPr>
        <w:tabs>
          <w:tab w:val="left" w:pos="0"/>
        </w:tabs>
        <w:suppressAutoHyphens/>
        <w:spacing w:line="360" w:lineRule="auto"/>
        <w:ind w:left="432" w:hanging="432"/>
        <w:rPr>
          <w:rFonts w:ascii="宋体" w:hAnsi="宋体"/>
          <w:sz w:val="21"/>
          <w:szCs w:val="21"/>
          <w:lang w:val="en-GB"/>
        </w:rPr>
      </w:pPr>
      <w:r>
        <w:rPr>
          <w:rFonts w:hint="eastAsia"/>
          <w:snapToGrid w:val="0"/>
          <w:sz w:val="21"/>
        </w:rPr>
        <w:t>（2）“</w:t>
      </w:r>
      <w:r>
        <w:rPr>
          <w:rFonts w:hint="eastAsia"/>
          <w:sz w:val="21"/>
        </w:rPr>
        <w:t>服务项目</w:t>
      </w:r>
      <w:r>
        <w:rPr>
          <w:rFonts w:hint="eastAsia"/>
          <w:snapToGrid w:val="0"/>
          <w:sz w:val="21"/>
        </w:rPr>
        <w:t>”应当按照“第四章 服务需求”的要求进行分项填写；</w:t>
      </w:r>
    </w:p>
    <w:p>
      <w:pPr>
        <w:numPr>
          <w:ilvl w:val="0"/>
          <w:numId w:val="7"/>
        </w:numPr>
        <w:tabs>
          <w:tab w:val="left" w:pos="0"/>
        </w:tabs>
        <w:suppressAutoHyphens/>
        <w:spacing w:line="360" w:lineRule="auto"/>
        <w:ind w:left="432" w:hanging="432"/>
        <w:rPr>
          <w:rFonts w:ascii="宋体" w:hAnsi="宋体"/>
          <w:sz w:val="21"/>
          <w:szCs w:val="21"/>
          <w:lang w:val="en-GB"/>
        </w:rPr>
      </w:pPr>
      <w:r>
        <w:rPr>
          <w:rFonts w:hint="eastAsia"/>
          <w:snapToGrid w:val="0"/>
          <w:sz w:val="21"/>
        </w:rPr>
        <w:t>（3）根据合同或本表未列明的其它可能产生的费用应由供应商支付、负责；</w:t>
      </w:r>
    </w:p>
    <w:p>
      <w:pPr>
        <w:numPr>
          <w:ilvl w:val="0"/>
          <w:numId w:val="7"/>
        </w:numPr>
        <w:tabs>
          <w:tab w:val="left" w:pos="0"/>
        </w:tabs>
        <w:suppressAutoHyphens/>
        <w:spacing w:line="360" w:lineRule="auto"/>
        <w:ind w:left="432" w:hanging="432"/>
        <w:rPr>
          <w:snapToGrid w:val="0"/>
          <w:sz w:val="21"/>
        </w:rPr>
      </w:pPr>
      <w:r>
        <w:rPr>
          <w:rFonts w:hint="eastAsia"/>
          <w:snapToGrid w:val="0"/>
          <w:sz w:val="21"/>
        </w:rPr>
        <w:t>（4）此表将随中标公告一并公示，请供应商认真填写；</w:t>
      </w:r>
    </w:p>
    <w:p>
      <w:pPr>
        <w:suppressAutoHyphens/>
        <w:snapToGrid w:val="0"/>
        <w:spacing w:line="360" w:lineRule="auto"/>
        <w:rPr>
          <w:rFonts w:ascii="宋体" w:hAnsi="宋体" w:cs="宋体"/>
          <w:sz w:val="21"/>
          <w:szCs w:val="21"/>
        </w:rPr>
      </w:pPr>
    </w:p>
    <w:p>
      <w:pPr>
        <w:suppressAutoHyphens/>
        <w:snapToGrid w:val="0"/>
        <w:spacing w:line="360" w:lineRule="auto"/>
        <w:ind w:left="432"/>
        <w:rPr>
          <w:rFonts w:ascii="宋体" w:hAnsi="宋体" w:cs="宋体"/>
          <w:sz w:val="21"/>
          <w:szCs w:val="21"/>
        </w:rPr>
      </w:pPr>
      <w:r>
        <w:rPr>
          <w:rFonts w:hint="eastAsia" w:ascii="宋体" w:hAnsi="宋体" w:cs="宋体"/>
          <w:sz w:val="21"/>
          <w:szCs w:val="21"/>
        </w:rPr>
        <w:t xml:space="preserve">                                      供应商名称（盖章）：</w:t>
      </w:r>
      <w:r>
        <w:rPr>
          <w:rFonts w:hint="eastAsia" w:ascii="宋体" w:hAnsi="宋体" w:cs="宋体"/>
          <w:sz w:val="21"/>
          <w:szCs w:val="21"/>
          <w:u w:val="single"/>
        </w:rPr>
        <w:t xml:space="preserve">                        </w:t>
      </w:r>
    </w:p>
    <w:p>
      <w:pPr>
        <w:suppressAutoHyphens/>
        <w:spacing w:line="360" w:lineRule="auto"/>
        <w:ind w:left="432"/>
        <w:rPr>
          <w:rFonts w:ascii="宋体" w:hAnsi="宋体" w:cs="宋体"/>
          <w:sz w:val="21"/>
          <w:szCs w:val="21"/>
        </w:rPr>
      </w:pPr>
      <w:r>
        <w:rPr>
          <w:rFonts w:hint="eastAsia" w:ascii="宋体" w:hAnsi="宋体" w:cs="宋体"/>
          <w:sz w:val="21"/>
          <w:szCs w:val="21"/>
        </w:rPr>
        <w:t xml:space="preserve">                                                    日期：   年   月   日</w:t>
      </w:r>
    </w:p>
    <w:p>
      <w:pPr>
        <w:adjustRightInd w:val="0"/>
        <w:snapToGrid w:val="0"/>
        <w:spacing w:line="360" w:lineRule="auto"/>
        <w:ind w:firstLine="480" w:firstLineChars="200"/>
        <w:rPr>
          <w:rFonts w:ascii="宋体" w:hAnsi="宋体"/>
          <w:sz w:val="24"/>
          <w:szCs w:val="24"/>
        </w:rPr>
      </w:pPr>
    </w:p>
    <w:p>
      <w:pPr>
        <w:rPr>
          <w:b/>
          <w:sz w:val="24"/>
          <w:szCs w:val="24"/>
        </w:rPr>
      </w:pPr>
      <w:r>
        <w:rPr>
          <w:b/>
          <w:sz w:val="24"/>
          <w:szCs w:val="24"/>
        </w:rPr>
        <w:br w:type="page"/>
      </w:r>
    </w:p>
    <w:p>
      <w:pPr>
        <w:rPr>
          <w:sz w:val="24"/>
          <w:szCs w:val="24"/>
        </w:rPr>
      </w:pPr>
      <w:r>
        <w:rPr>
          <w:rFonts w:hint="eastAsia"/>
          <w:sz w:val="24"/>
          <w:szCs w:val="24"/>
        </w:rPr>
        <w:t>格式十：</w:t>
      </w:r>
    </w:p>
    <w:p>
      <w:pPr>
        <w:rPr>
          <w:sz w:val="24"/>
          <w:szCs w:val="24"/>
        </w:rPr>
      </w:pPr>
    </w:p>
    <w:p>
      <w:pPr>
        <w:spacing w:line="360" w:lineRule="auto"/>
        <w:jc w:val="center"/>
        <w:rPr>
          <w:rFonts w:ascii="宋体" w:hAnsi="宋体"/>
          <w:sz w:val="24"/>
          <w:szCs w:val="24"/>
        </w:rPr>
      </w:pPr>
      <w:r>
        <w:rPr>
          <w:rFonts w:hint="eastAsia" w:ascii="宋体" w:hAnsi="宋体"/>
          <w:sz w:val="24"/>
          <w:szCs w:val="24"/>
        </w:rPr>
        <w:t>服务需求响应表</w:t>
      </w:r>
    </w:p>
    <w:p>
      <w:pPr>
        <w:spacing w:line="360" w:lineRule="auto"/>
        <w:rPr>
          <w:rFonts w:ascii="宋体" w:hAnsi="宋体"/>
          <w:b/>
          <w:sz w:val="24"/>
          <w:szCs w:val="24"/>
        </w:rPr>
      </w:pPr>
      <w:r>
        <w:rPr>
          <w:rFonts w:hint="eastAsia" w:ascii="宋体" w:hAnsi="宋体" w:cs="宋体"/>
          <w:kern w:val="0"/>
          <w:sz w:val="24"/>
          <w:szCs w:val="24"/>
        </w:rPr>
        <w:t>1.服务项目名称：</w:t>
      </w:r>
    </w:p>
    <w:tbl>
      <w:tblPr>
        <w:tblStyle w:val="42"/>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821"/>
        <w:gridCol w:w="1567"/>
        <w:gridCol w:w="1216"/>
        <w:gridCol w:w="2598"/>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821" w:type="dxa"/>
            <w:vAlign w:val="center"/>
          </w:tcPr>
          <w:p>
            <w:pPr>
              <w:spacing w:line="360" w:lineRule="auto"/>
              <w:jc w:val="center"/>
              <w:rPr>
                <w:rFonts w:ascii="宋体" w:hAnsi="宋体"/>
                <w:sz w:val="24"/>
                <w:szCs w:val="24"/>
              </w:rPr>
            </w:pPr>
            <w:r>
              <w:rPr>
                <w:rFonts w:hint="eastAsia" w:ascii="宋体" w:hAnsi="宋体"/>
                <w:sz w:val="24"/>
                <w:szCs w:val="24"/>
              </w:rPr>
              <w:t>招标文件要求服务要求及标准</w:t>
            </w:r>
          </w:p>
        </w:tc>
        <w:tc>
          <w:tcPr>
            <w:tcW w:w="1567" w:type="dxa"/>
            <w:vAlign w:val="center"/>
          </w:tcPr>
          <w:p>
            <w:pPr>
              <w:spacing w:line="360" w:lineRule="auto"/>
              <w:jc w:val="center"/>
              <w:rPr>
                <w:rFonts w:ascii="宋体" w:hAnsi="宋体"/>
                <w:sz w:val="24"/>
                <w:szCs w:val="24"/>
              </w:rPr>
            </w:pPr>
            <w:r>
              <w:rPr>
                <w:rFonts w:hint="eastAsia" w:ascii="宋体" w:hAnsi="宋体"/>
                <w:sz w:val="24"/>
                <w:szCs w:val="24"/>
              </w:rPr>
              <w:t>供应商提供服务指标</w:t>
            </w:r>
          </w:p>
        </w:tc>
        <w:tc>
          <w:tcPr>
            <w:tcW w:w="1216"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598" w:type="dxa"/>
            <w:vAlign w:val="center"/>
          </w:tcPr>
          <w:p>
            <w:pPr>
              <w:spacing w:line="360" w:lineRule="auto"/>
              <w:jc w:val="center"/>
              <w:rPr>
                <w:rFonts w:ascii="宋体" w:hAnsi="宋体"/>
                <w:sz w:val="24"/>
                <w:szCs w:val="24"/>
              </w:rPr>
            </w:pPr>
            <w:r>
              <w:rPr>
                <w:rFonts w:hint="eastAsia" w:ascii="宋体" w:hAnsi="宋体" w:cs="宋体"/>
                <w:sz w:val="24"/>
                <w:szCs w:val="24"/>
              </w:rPr>
              <w:t>其他要求（如截图、演示要求等）请标明页码</w:t>
            </w:r>
          </w:p>
        </w:tc>
        <w:tc>
          <w:tcPr>
            <w:tcW w:w="1221"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821" w:type="dxa"/>
            <w:vAlign w:val="center"/>
          </w:tcPr>
          <w:p>
            <w:pPr>
              <w:spacing w:line="360" w:lineRule="auto"/>
              <w:rPr>
                <w:rFonts w:ascii="宋体" w:hAnsi="宋体"/>
                <w:sz w:val="24"/>
                <w:szCs w:val="24"/>
              </w:rPr>
            </w:pPr>
          </w:p>
        </w:tc>
        <w:tc>
          <w:tcPr>
            <w:tcW w:w="1567" w:type="dxa"/>
            <w:vAlign w:val="center"/>
          </w:tcPr>
          <w:p>
            <w:pPr>
              <w:spacing w:line="360" w:lineRule="auto"/>
              <w:rPr>
                <w:rFonts w:ascii="宋体" w:hAnsi="宋体"/>
                <w:sz w:val="24"/>
                <w:szCs w:val="24"/>
              </w:rPr>
            </w:pPr>
          </w:p>
        </w:tc>
        <w:tc>
          <w:tcPr>
            <w:tcW w:w="1216" w:type="dxa"/>
            <w:vAlign w:val="center"/>
          </w:tcPr>
          <w:p>
            <w:pPr>
              <w:spacing w:line="360" w:lineRule="auto"/>
              <w:rPr>
                <w:rFonts w:ascii="宋体" w:hAnsi="宋体"/>
                <w:sz w:val="24"/>
                <w:szCs w:val="24"/>
              </w:rPr>
            </w:pPr>
          </w:p>
        </w:tc>
        <w:tc>
          <w:tcPr>
            <w:tcW w:w="2598" w:type="dxa"/>
            <w:vAlign w:val="center"/>
          </w:tcPr>
          <w:p>
            <w:pPr>
              <w:spacing w:line="360" w:lineRule="auto"/>
              <w:ind w:left="2201" w:leftChars="786"/>
              <w:rPr>
                <w:rFonts w:ascii="宋体" w:hAnsi="宋体"/>
                <w:sz w:val="24"/>
                <w:szCs w:val="24"/>
              </w:rPr>
            </w:pPr>
          </w:p>
        </w:tc>
        <w:tc>
          <w:tcPr>
            <w:tcW w:w="1221"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821" w:type="dxa"/>
            <w:vAlign w:val="center"/>
          </w:tcPr>
          <w:p>
            <w:pPr>
              <w:spacing w:line="360" w:lineRule="auto"/>
              <w:rPr>
                <w:rFonts w:ascii="宋体" w:hAnsi="宋体"/>
                <w:sz w:val="24"/>
                <w:szCs w:val="24"/>
              </w:rPr>
            </w:pPr>
          </w:p>
        </w:tc>
        <w:tc>
          <w:tcPr>
            <w:tcW w:w="1567" w:type="dxa"/>
            <w:vAlign w:val="center"/>
          </w:tcPr>
          <w:p>
            <w:pPr>
              <w:spacing w:line="360" w:lineRule="auto"/>
              <w:rPr>
                <w:rFonts w:ascii="宋体" w:hAnsi="宋体"/>
                <w:sz w:val="24"/>
                <w:szCs w:val="24"/>
              </w:rPr>
            </w:pPr>
          </w:p>
        </w:tc>
        <w:tc>
          <w:tcPr>
            <w:tcW w:w="1216" w:type="dxa"/>
            <w:vAlign w:val="center"/>
          </w:tcPr>
          <w:p>
            <w:pPr>
              <w:spacing w:line="360" w:lineRule="auto"/>
              <w:rPr>
                <w:rFonts w:ascii="宋体" w:hAnsi="宋体"/>
                <w:sz w:val="24"/>
                <w:szCs w:val="24"/>
              </w:rPr>
            </w:pPr>
          </w:p>
        </w:tc>
        <w:tc>
          <w:tcPr>
            <w:tcW w:w="2598" w:type="dxa"/>
            <w:vAlign w:val="center"/>
          </w:tcPr>
          <w:p>
            <w:pPr>
              <w:spacing w:line="360" w:lineRule="auto"/>
              <w:rPr>
                <w:rFonts w:ascii="宋体" w:hAnsi="宋体"/>
                <w:sz w:val="24"/>
                <w:szCs w:val="24"/>
              </w:rPr>
            </w:pPr>
          </w:p>
        </w:tc>
        <w:tc>
          <w:tcPr>
            <w:tcW w:w="1221" w:type="dxa"/>
          </w:tcPr>
          <w:p>
            <w:pPr>
              <w:spacing w:line="360" w:lineRule="auto"/>
              <w:rPr>
                <w:rFonts w:ascii="宋体" w:hAnsi="宋体"/>
                <w:sz w:val="24"/>
                <w:szCs w:val="24"/>
              </w:rPr>
            </w:pPr>
          </w:p>
        </w:tc>
      </w:tr>
    </w:tbl>
    <w:p>
      <w:pPr>
        <w:spacing w:line="360" w:lineRule="auto"/>
        <w:rPr>
          <w:rFonts w:ascii="宋体" w:hAnsi="宋体"/>
          <w:b/>
          <w:sz w:val="24"/>
          <w:szCs w:val="24"/>
        </w:rPr>
      </w:pPr>
      <w:r>
        <w:rPr>
          <w:rFonts w:hint="eastAsia" w:ascii="宋体" w:hAnsi="宋体" w:cs="宋体"/>
          <w:kern w:val="0"/>
          <w:sz w:val="24"/>
          <w:szCs w:val="24"/>
        </w:rPr>
        <w:t>2. 服务项目名称：：</w:t>
      </w:r>
    </w:p>
    <w:tbl>
      <w:tblPr>
        <w:tblStyle w:val="42"/>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819"/>
        <w:gridCol w:w="1567"/>
        <w:gridCol w:w="1218"/>
        <w:gridCol w:w="2598"/>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819" w:type="dxa"/>
            <w:vAlign w:val="center"/>
          </w:tcPr>
          <w:p>
            <w:pPr>
              <w:spacing w:line="360" w:lineRule="auto"/>
              <w:jc w:val="center"/>
              <w:rPr>
                <w:rFonts w:ascii="宋体" w:hAnsi="宋体"/>
                <w:sz w:val="24"/>
                <w:szCs w:val="24"/>
              </w:rPr>
            </w:pPr>
            <w:r>
              <w:rPr>
                <w:rFonts w:hint="eastAsia" w:ascii="宋体" w:hAnsi="宋体"/>
                <w:sz w:val="24"/>
                <w:szCs w:val="24"/>
              </w:rPr>
              <w:t>招标文件要求服务要求及标准</w:t>
            </w:r>
          </w:p>
        </w:tc>
        <w:tc>
          <w:tcPr>
            <w:tcW w:w="1567" w:type="dxa"/>
            <w:vAlign w:val="center"/>
          </w:tcPr>
          <w:p>
            <w:pPr>
              <w:spacing w:line="360" w:lineRule="auto"/>
              <w:jc w:val="center"/>
              <w:rPr>
                <w:rFonts w:ascii="宋体" w:hAnsi="宋体"/>
                <w:sz w:val="24"/>
                <w:szCs w:val="24"/>
              </w:rPr>
            </w:pPr>
            <w:r>
              <w:rPr>
                <w:rFonts w:hint="eastAsia" w:ascii="宋体" w:hAnsi="宋体"/>
                <w:sz w:val="24"/>
                <w:szCs w:val="24"/>
              </w:rPr>
              <w:t>供应商提供服务指标</w:t>
            </w:r>
          </w:p>
        </w:tc>
        <w:tc>
          <w:tcPr>
            <w:tcW w:w="1218"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598" w:type="dxa"/>
            <w:vAlign w:val="center"/>
          </w:tcPr>
          <w:p>
            <w:pPr>
              <w:spacing w:line="360" w:lineRule="auto"/>
              <w:jc w:val="center"/>
              <w:rPr>
                <w:rFonts w:ascii="宋体" w:hAnsi="宋体"/>
                <w:sz w:val="24"/>
                <w:szCs w:val="24"/>
              </w:rPr>
            </w:pPr>
            <w:r>
              <w:rPr>
                <w:rFonts w:hint="eastAsia" w:ascii="宋体" w:hAnsi="宋体" w:cs="宋体"/>
                <w:sz w:val="24"/>
                <w:szCs w:val="24"/>
              </w:rPr>
              <w:t>其他要求（如截图、演示要求等）请标明页码</w:t>
            </w:r>
          </w:p>
        </w:tc>
        <w:tc>
          <w:tcPr>
            <w:tcW w:w="1221"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819" w:type="dxa"/>
            <w:vAlign w:val="center"/>
          </w:tcPr>
          <w:p>
            <w:pPr>
              <w:spacing w:line="360" w:lineRule="auto"/>
              <w:rPr>
                <w:rFonts w:ascii="宋体" w:hAnsi="宋体"/>
                <w:sz w:val="24"/>
                <w:szCs w:val="24"/>
              </w:rPr>
            </w:pPr>
          </w:p>
        </w:tc>
        <w:tc>
          <w:tcPr>
            <w:tcW w:w="1567" w:type="dxa"/>
            <w:vAlign w:val="center"/>
          </w:tcPr>
          <w:p>
            <w:pPr>
              <w:spacing w:line="360" w:lineRule="auto"/>
              <w:rPr>
                <w:rFonts w:ascii="宋体" w:hAnsi="宋体"/>
                <w:sz w:val="24"/>
                <w:szCs w:val="24"/>
              </w:rPr>
            </w:pPr>
          </w:p>
        </w:tc>
        <w:tc>
          <w:tcPr>
            <w:tcW w:w="1218" w:type="dxa"/>
            <w:vAlign w:val="center"/>
          </w:tcPr>
          <w:p>
            <w:pPr>
              <w:spacing w:line="360" w:lineRule="auto"/>
              <w:rPr>
                <w:rFonts w:ascii="宋体" w:hAnsi="宋体"/>
                <w:sz w:val="24"/>
                <w:szCs w:val="24"/>
              </w:rPr>
            </w:pPr>
          </w:p>
        </w:tc>
        <w:tc>
          <w:tcPr>
            <w:tcW w:w="2598" w:type="dxa"/>
            <w:vAlign w:val="center"/>
          </w:tcPr>
          <w:p>
            <w:pPr>
              <w:spacing w:line="360" w:lineRule="auto"/>
              <w:ind w:left="2201" w:leftChars="786"/>
              <w:rPr>
                <w:rFonts w:ascii="宋体" w:hAnsi="宋体"/>
                <w:sz w:val="24"/>
                <w:szCs w:val="24"/>
              </w:rPr>
            </w:pPr>
          </w:p>
        </w:tc>
        <w:tc>
          <w:tcPr>
            <w:tcW w:w="1221"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819" w:type="dxa"/>
            <w:vAlign w:val="center"/>
          </w:tcPr>
          <w:p>
            <w:pPr>
              <w:spacing w:line="360" w:lineRule="auto"/>
              <w:rPr>
                <w:rFonts w:ascii="宋体" w:hAnsi="宋体"/>
                <w:sz w:val="24"/>
                <w:szCs w:val="24"/>
              </w:rPr>
            </w:pPr>
          </w:p>
        </w:tc>
        <w:tc>
          <w:tcPr>
            <w:tcW w:w="1567" w:type="dxa"/>
            <w:vAlign w:val="center"/>
          </w:tcPr>
          <w:p>
            <w:pPr>
              <w:spacing w:line="360" w:lineRule="auto"/>
              <w:rPr>
                <w:rFonts w:ascii="宋体" w:hAnsi="宋体"/>
                <w:sz w:val="24"/>
                <w:szCs w:val="24"/>
              </w:rPr>
            </w:pPr>
          </w:p>
        </w:tc>
        <w:tc>
          <w:tcPr>
            <w:tcW w:w="1218" w:type="dxa"/>
            <w:vAlign w:val="center"/>
          </w:tcPr>
          <w:p>
            <w:pPr>
              <w:spacing w:line="360" w:lineRule="auto"/>
              <w:rPr>
                <w:rFonts w:ascii="宋体" w:hAnsi="宋体"/>
                <w:sz w:val="24"/>
                <w:szCs w:val="24"/>
              </w:rPr>
            </w:pPr>
          </w:p>
        </w:tc>
        <w:tc>
          <w:tcPr>
            <w:tcW w:w="2598" w:type="dxa"/>
            <w:vAlign w:val="center"/>
          </w:tcPr>
          <w:p>
            <w:pPr>
              <w:spacing w:line="360" w:lineRule="auto"/>
              <w:rPr>
                <w:rFonts w:ascii="宋体" w:hAnsi="宋体"/>
                <w:sz w:val="24"/>
                <w:szCs w:val="24"/>
              </w:rPr>
            </w:pPr>
          </w:p>
        </w:tc>
        <w:tc>
          <w:tcPr>
            <w:tcW w:w="1221" w:type="dxa"/>
          </w:tcPr>
          <w:p>
            <w:pPr>
              <w:spacing w:line="360" w:lineRule="auto"/>
              <w:rPr>
                <w:rFonts w:ascii="宋体" w:hAnsi="宋体"/>
                <w:sz w:val="24"/>
                <w:szCs w:val="24"/>
              </w:rPr>
            </w:pPr>
          </w:p>
        </w:tc>
      </w:tr>
    </w:tbl>
    <w:p>
      <w:pPr>
        <w:spacing w:line="360" w:lineRule="auto"/>
        <w:ind w:right="57"/>
        <w:rPr>
          <w:rFonts w:ascii="宋体" w:hAnsi="宋体"/>
          <w:b/>
          <w:bCs/>
          <w:sz w:val="24"/>
          <w:szCs w:val="24"/>
        </w:rPr>
      </w:pPr>
    </w:p>
    <w:p>
      <w:pPr>
        <w:spacing w:line="360" w:lineRule="auto"/>
        <w:ind w:right="57"/>
        <w:rPr>
          <w:rFonts w:ascii="宋体" w:hAnsi="宋体"/>
          <w:sz w:val="24"/>
          <w:szCs w:val="24"/>
        </w:rPr>
      </w:pPr>
      <w:r>
        <w:rPr>
          <w:rFonts w:hint="eastAsia" w:ascii="宋体" w:hAnsi="宋体"/>
          <w:b/>
          <w:bCs/>
          <w:sz w:val="24"/>
          <w:szCs w:val="24"/>
        </w:rPr>
        <w:t>说明</w:t>
      </w:r>
      <w:r>
        <w:rPr>
          <w:rFonts w:hint="eastAsia" w:ascii="宋体" w:hAnsi="宋体"/>
          <w:b/>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供应商应按照本招标文件第四章“服务需求一览表”中的要求，将</w:t>
      </w:r>
      <w:r>
        <w:rPr>
          <w:rFonts w:hint="eastAsia" w:ascii="宋体" w:hAnsi="宋体"/>
          <w:sz w:val="24"/>
          <w:szCs w:val="24"/>
        </w:rPr>
        <w:t>服务要求及标准</w:t>
      </w:r>
      <w:r>
        <w:rPr>
          <w:rFonts w:hint="eastAsia" w:ascii="宋体" w:hAnsi="宋体" w:cs="宋体"/>
          <w:sz w:val="24"/>
          <w:szCs w:val="24"/>
        </w:rPr>
        <w:t>逐一列出，以证明供应商对招标文件要求的服务内容做出实质性响应。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响应文件中的服务指标应达到或优于招标文件中所列要求。招标文件中所列服务指标仅列出了最低限度，供应商在提供的服务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此表按照服务项目分别填写，填写时注明服务项目名称。（每一种服务项目须分别填写此表）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 “备注”处可填写偏离情况的具体说明。</w:t>
      </w:r>
    </w:p>
    <w:p>
      <w:pPr>
        <w:widowControl/>
        <w:rPr>
          <w:sz w:val="21"/>
        </w:rPr>
      </w:pPr>
    </w:p>
    <w:p>
      <w:pPr>
        <w:spacing w:line="360" w:lineRule="auto"/>
        <w:rPr>
          <w:rFonts w:ascii="宋体" w:hAnsi="宋体"/>
          <w:sz w:val="24"/>
          <w:szCs w:val="24"/>
        </w:rPr>
      </w:pPr>
      <w:r>
        <w:rPr>
          <w:rFonts w:hint="eastAsia"/>
          <w:sz w:val="24"/>
        </w:rPr>
        <w:t>格式十一：</w:t>
      </w:r>
    </w:p>
    <w:p>
      <w:pPr>
        <w:spacing w:line="480" w:lineRule="exact"/>
        <w:ind w:firstLine="3465" w:firstLineChars="1650"/>
        <w:rPr>
          <w:rFonts w:ascii="宋体" w:hAnsi="Courier New"/>
          <w:b/>
          <w:snapToGrid w:val="0"/>
          <w:kern w:val="0"/>
          <w:sz w:val="21"/>
          <w:szCs w:val="21"/>
        </w:rPr>
      </w:pPr>
      <w:r>
        <w:rPr>
          <w:rFonts w:hint="eastAsia" w:ascii="宋体" w:hAnsi="Courier New"/>
          <w:snapToGrid w:val="0"/>
          <w:kern w:val="0"/>
          <w:sz w:val="21"/>
          <w:szCs w:val="21"/>
        </w:rPr>
        <w:t>项目服务方案</w:t>
      </w:r>
      <w:r>
        <w:rPr>
          <w:rFonts w:hint="eastAsia" w:ascii="宋体" w:hAnsi="Courier New"/>
          <w:b/>
          <w:snapToGrid w:val="0"/>
          <w:kern w:val="0"/>
          <w:sz w:val="21"/>
          <w:szCs w:val="21"/>
        </w:rPr>
        <w:t>（</w:t>
      </w:r>
      <w:r>
        <w:rPr>
          <w:rFonts w:hint="eastAsia" w:ascii="宋体" w:hAnsi="宋体"/>
          <w:sz w:val="24"/>
          <w:szCs w:val="24"/>
        </w:rPr>
        <w:t>整体实施方案</w:t>
      </w:r>
      <w:r>
        <w:rPr>
          <w:rFonts w:hint="eastAsia" w:ascii="宋体" w:hAnsi="Courier New"/>
          <w:b/>
          <w:snapToGrid w:val="0"/>
          <w:kern w:val="0"/>
          <w:sz w:val="21"/>
          <w:szCs w:val="21"/>
        </w:rPr>
        <w:t>）</w:t>
      </w:r>
    </w:p>
    <w:p>
      <w:pPr>
        <w:spacing w:line="480" w:lineRule="exact"/>
        <w:rPr>
          <w:rFonts w:ascii="宋体" w:hAnsi="Courier New"/>
          <w:snapToGrid w:val="0"/>
          <w:kern w:val="0"/>
          <w:sz w:val="21"/>
          <w:szCs w:val="21"/>
        </w:rPr>
      </w:pPr>
    </w:p>
    <w:p>
      <w:pPr>
        <w:spacing w:line="480" w:lineRule="exact"/>
        <w:rPr>
          <w:rFonts w:ascii="宋体" w:hAnsi="Courier New"/>
          <w:snapToGrid w:val="0"/>
          <w:kern w:val="0"/>
          <w:sz w:val="21"/>
          <w:szCs w:val="21"/>
        </w:rPr>
      </w:pPr>
      <w:r>
        <w:rPr>
          <w:rFonts w:hint="eastAsia" w:ascii="宋体" w:hAnsi="Courier New"/>
          <w:snapToGrid w:val="0"/>
          <w:kern w:val="0"/>
          <w:sz w:val="21"/>
          <w:szCs w:val="21"/>
        </w:rPr>
        <w:t>（由供应商自行编制）</w:t>
      </w:r>
    </w:p>
    <w:p>
      <w:pPr>
        <w:spacing w:line="480" w:lineRule="exac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r>
        <w:rPr>
          <w:rFonts w:hint="eastAsia" w:ascii="宋体" w:hAnsi="Courier New"/>
          <w:snapToGrid w:val="0"/>
          <w:kern w:val="0"/>
          <w:sz w:val="21"/>
          <w:szCs w:val="21"/>
        </w:rPr>
        <w:t>注：本部分内容应包含但不限于本招标文件服务要求的相关的内容。</w:t>
      </w:r>
    </w:p>
    <w:p>
      <w:r>
        <w:br w:type="page"/>
      </w:r>
    </w:p>
    <w:p>
      <w:pPr>
        <w:spacing w:line="360" w:lineRule="auto"/>
        <w:rPr>
          <w:rFonts w:ascii="宋体" w:hAnsi="宋体"/>
          <w:sz w:val="24"/>
          <w:szCs w:val="24"/>
        </w:rPr>
      </w:pPr>
      <w:r>
        <w:rPr>
          <w:rFonts w:hint="eastAsia" w:ascii="宋体" w:hAnsi="宋体"/>
          <w:bCs/>
          <w:kern w:val="0"/>
          <w:sz w:val="24"/>
          <w:szCs w:val="24"/>
        </w:rPr>
        <w:t>格式十二：</w:t>
      </w:r>
    </w:p>
    <w:p>
      <w:pPr>
        <w:spacing w:line="360" w:lineRule="auto"/>
        <w:jc w:val="center"/>
        <w:rPr>
          <w:rFonts w:ascii="宋体" w:hAnsi="宋体"/>
          <w:b/>
          <w:bCs/>
          <w:sz w:val="24"/>
          <w:szCs w:val="24"/>
        </w:rPr>
      </w:pPr>
      <w:r>
        <w:rPr>
          <w:rFonts w:hint="eastAsia" w:ascii="宋体" w:hAnsi="宋体"/>
          <w:sz w:val="24"/>
          <w:szCs w:val="24"/>
        </w:rPr>
        <w:t>商务规格响应表</w:t>
      </w:r>
    </w:p>
    <w:tbl>
      <w:tblPr>
        <w:tblStyle w:val="42"/>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招标文件商务</w:t>
            </w:r>
          </w:p>
          <w:p>
            <w:pPr>
              <w:spacing w:line="360" w:lineRule="auto"/>
              <w:ind w:left="57" w:right="57" w:firstLine="57"/>
              <w:jc w:val="center"/>
              <w:rPr>
                <w:rFonts w:ascii="宋体" w:hAnsi="宋体"/>
                <w:sz w:val="24"/>
                <w:szCs w:val="24"/>
              </w:rPr>
            </w:pPr>
            <w:r>
              <w:rPr>
                <w:rFonts w:hint="eastAsia" w:ascii="宋体" w:hAnsi="宋体"/>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供应商响应的</w:t>
            </w:r>
          </w:p>
          <w:p>
            <w:pPr>
              <w:spacing w:line="360" w:lineRule="auto"/>
              <w:jc w:val="center"/>
              <w:rPr>
                <w:rFonts w:ascii="宋体" w:hAnsi="宋体"/>
                <w:sz w:val="24"/>
                <w:szCs w:val="24"/>
              </w:rPr>
            </w:pPr>
            <w:r>
              <w:rPr>
                <w:rFonts w:hint="eastAsia" w:ascii="宋体" w:hAnsi="宋体"/>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服务时间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jc w:val="center"/>
              <w:rPr>
                <w:rFonts w:ascii="宋体" w:hAnsi="宋体"/>
                <w:sz w:val="24"/>
                <w:szCs w:val="24"/>
              </w:rPr>
            </w:pPr>
            <w:r>
              <w:rPr>
                <w:rFonts w:hint="eastAsia" w:ascii="宋体" w:hAnsi="宋体"/>
                <w:sz w:val="24"/>
                <w:szCs w:val="24"/>
              </w:rPr>
              <w:t>服务地点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bl>
    <w:p>
      <w:pPr>
        <w:spacing w:line="360" w:lineRule="auto"/>
        <w:ind w:right="57" w:firstLine="361" w:firstLineChars="150"/>
        <w:rPr>
          <w:rFonts w:ascii="宋体" w:hAnsi="宋体"/>
          <w:sz w:val="24"/>
          <w:szCs w:val="24"/>
        </w:rPr>
      </w:pPr>
      <w:r>
        <w:rPr>
          <w:rFonts w:hint="eastAsia" w:ascii="宋体" w:hAnsi="宋体"/>
          <w:b/>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b/>
          <w:sz w:val="24"/>
          <w:szCs w:val="24"/>
        </w:rPr>
      </w:pPr>
      <w:r>
        <w:rPr>
          <w:rFonts w:ascii="宋体" w:hAnsi="宋体"/>
          <w:b/>
          <w:sz w:val="24"/>
          <w:szCs w:val="24"/>
        </w:rPr>
        <w:br w:type="page"/>
      </w:r>
    </w:p>
    <w:p>
      <w:pPr>
        <w:spacing w:line="360" w:lineRule="auto"/>
        <w:rPr>
          <w:rFonts w:ascii="宋体" w:hAnsi="宋体"/>
          <w:sz w:val="24"/>
          <w:szCs w:val="24"/>
        </w:rPr>
      </w:pPr>
      <w:r>
        <w:rPr>
          <w:rFonts w:hint="eastAsia" w:ascii="宋体" w:hAnsi="宋体"/>
          <w:sz w:val="24"/>
          <w:szCs w:val="24"/>
        </w:rPr>
        <w:t>格式十三：</w:t>
      </w:r>
    </w:p>
    <w:p>
      <w:pPr>
        <w:spacing w:line="360" w:lineRule="auto"/>
        <w:jc w:val="center"/>
        <w:rPr>
          <w:rFonts w:ascii="宋体" w:hAnsi="宋体"/>
          <w:b/>
          <w:sz w:val="24"/>
          <w:szCs w:val="24"/>
        </w:rPr>
      </w:pPr>
      <w:r>
        <w:rPr>
          <w:rFonts w:hint="eastAsia" w:ascii="宋体" w:hAnsi="宋体"/>
          <w:b/>
          <w:sz w:val="24"/>
          <w:szCs w:val="24"/>
        </w:rPr>
        <w:t>上一年度财务会计制度</w:t>
      </w:r>
    </w:p>
    <w:p>
      <w:pPr>
        <w:spacing w:line="360" w:lineRule="auto"/>
        <w:rPr>
          <w:rFonts w:ascii="宋体" w:hAnsi="宋体"/>
          <w:sz w:val="24"/>
          <w:szCs w:val="24"/>
        </w:rPr>
      </w:pPr>
      <w:r>
        <w:rPr>
          <w:rFonts w:hint="eastAsia" w:ascii="宋体" w:hAnsi="宋体"/>
          <w:sz w:val="24"/>
          <w:szCs w:val="24"/>
        </w:rPr>
        <w:t>注：</w:t>
      </w:r>
    </w:p>
    <w:p>
      <w:pPr>
        <w:spacing w:line="360" w:lineRule="auto"/>
        <w:rPr>
          <w:rFonts w:ascii="宋体" w:hAnsi="宋体"/>
          <w:sz w:val="24"/>
          <w:szCs w:val="24"/>
        </w:rPr>
      </w:pPr>
      <w:r>
        <w:rPr>
          <w:rFonts w:hint="eastAsia" w:ascii="宋体" w:hAnsi="宋体"/>
          <w:sz w:val="24"/>
          <w:szCs w:val="24"/>
        </w:rPr>
        <w:t>1.提供上一年度财务审计报告的，须提供会计师事务所出具的经审计的财务报告。</w:t>
      </w:r>
    </w:p>
    <w:p>
      <w:pPr>
        <w:spacing w:line="360" w:lineRule="auto"/>
        <w:rPr>
          <w:rFonts w:ascii="宋体" w:hAnsi="宋体"/>
          <w:sz w:val="24"/>
          <w:szCs w:val="24"/>
        </w:rPr>
      </w:pPr>
      <w:r>
        <w:rPr>
          <w:rFonts w:hint="eastAsia" w:ascii="宋体" w:hAnsi="宋体"/>
          <w:sz w:val="24"/>
          <w:szCs w:val="24"/>
        </w:rPr>
        <w:t>2.提供银行资信证明的，同时提供基本开户银行的开户许可证。</w:t>
      </w:r>
      <w:bookmarkStart w:id="29" w:name="_Toc482026556"/>
      <w:bookmarkStart w:id="30" w:name="_Toc438714732"/>
      <w:bookmarkStart w:id="31" w:name="_Toc438655702"/>
    </w:p>
    <w:p>
      <w:pPr>
        <w:pStyle w:val="3"/>
        <w:keepNext w:val="0"/>
        <w:keepLines w:val="0"/>
        <w:spacing w:line="360" w:lineRule="auto"/>
        <w:rPr>
          <w:rFonts w:ascii="宋体" w:hAnsi="宋体" w:eastAsia="宋体"/>
          <w:b w:val="0"/>
          <w:sz w:val="24"/>
          <w:szCs w:val="24"/>
        </w:rPr>
      </w:pPr>
      <w:r>
        <w:rPr>
          <w:rFonts w:ascii="宋体" w:hAnsi="宋体" w:eastAsia="宋体"/>
          <w:b w:val="0"/>
          <w:sz w:val="24"/>
          <w:szCs w:val="24"/>
        </w:rPr>
        <w:br w:type="page"/>
      </w:r>
      <w:bookmarkEnd w:id="29"/>
      <w:bookmarkEnd w:id="30"/>
      <w:bookmarkEnd w:id="31"/>
    </w:p>
    <w:p>
      <w:pPr>
        <w:autoSpaceDE w:val="0"/>
        <w:autoSpaceDN w:val="0"/>
        <w:spacing w:line="360" w:lineRule="auto"/>
        <w:rPr>
          <w:rFonts w:ascii="宋体" w:hAnsi="宋体"/>
          <w:sz w:val="24"/>
          <w:szCs w:val="24"/>
        </w:rPr>
      </w:pPr>
      <w:r>
        <w:rPr>
          <w:rFonts w:hint="eastAsia" w:ascii="宋体" w:hAnsi="宋体"/>
          <w:sz w:val="24"/>
          <w:szCs w:val="24"/>
        </w:rPr>
        <w:t>格式十四：</w:t>
      </w:r>
    </w:p>
    <w:p>
      <w:pPr>
        <w:autoSpaceDE w:val="0"/>
        <w:autoSpaceDN w:val="0"/>
        <w:spacing w:line="360" w:lineRule="auto"/>
        <w:jc w:val="center"/>
        <w:rPr>
          <w:rFonts w:ascii="宋体" w:hAnsi="宋体"/>
          <w:sz w:val="24"/>
          <w:szCs w:val="24"/>
        </w:rPr>
      </w:pPr>
      <w:bookmarkStart w:id="32" w:name="_Toc482026557"/>
      <w:bookmarkStart w:id="33" w:name="_Toc438714733"/>
      <w:bookmarkStart w:id="34" w:name="_Toc438655703"/>
      <w:r>
        <w:rPr>
          <w:rFonts w:hint="eastAsia" w:ascii="宋体" w:hAnsi="宋体"/>
          <w:sz w:val="24"/>
          <w:szCs w:val="24"/>
        </w:rPr>
        <w:t>依法缴纳税收的凭据</w:t>
      </w:r>
    </w:p>
    <w:p>
      <w:pPr>
        <w:autoSpaceDE w:val="0"/>
        <w:autoSpaceDN w:val="0"/>
        <w:spacing w:line="360" w:lineRule="auto"/>
        <w:jc w:val="center"/>
        <w:rPr>
          <w:rFonts w:ascii="宋体" w:hAnsi="宋体"/>
          <w:b/>
          <w:sz w:val="24"/>
          <w:szCs w:val="24"/>
        </w:rPr>
      </w:pPr>
    </w:p>
    <w:p>
      <w:pPr>
        <w:spacing w:line="360" w:lineRule="auto"/>
        <w:ind w:firstLine="600" w:firstLineChars="250"/>
        <w:rPr>
          <w:rFonts w:ascii="宋体" w:hAnsi="宋体"/>
          <w:sz w:val="24"/>
          <w:szCs w:val="24"/>
        </w:rPr>
      </w:pPr>
      <w:r>
        <w:rPr>
          <w:rFonts w:hint="eastAsia" w:ascii="宋体" w:hAnsi="宋体"/>
          <w:sz w:val="24"/>
          <w:szCs w:val="24"/>
        </w:rPr>
        <w:t>提供递交响应文件截止之日前六个月内（至少一个月）的良好缴纳税收的相关凭据。</w:t>
      </w:r>
      <w:r>
        <w:rPr>
          <w:rFonts w:hint="eastAsia" w:ascii="宋体" w:hAnsi="宋体" w:cs="宋体"/>
          <w:sz w:val="24"/>
          <w:szCs w:val="24"/>
        </w:rPr>
        <w:t>（以税务机关提供的纳税凭据或银行入账单为准）</w:t>
      </w:r>
    </w:p>
    <w:p>
      <w:pPr>
        <w:pStyle w:val="3"/>
        <w:keepNext w:val="0"/>
        <w:keepLines w:val="0"/>
        <w:spacing w:line="360" w:lineRule="auto"/>
        <w:rPr>
          <w:rFonts w:ascii="宋体" w:hAnsi="宋体" w:eastAsia="宋体"/>
          <w:b w:val="0"/>
          <w:sz w:val="24"/>
          <w:szCs w:val="24"/>
        </w:rPr>
      </w:pPr>
      <w:r>
        <w:rPr>
          <w:rFonts w:ascii="宋体" w:hAnsi="宋体" w:eastAsia="宋体"/>
          <w:b w:val="0"/>
          <w:sz w:val="24"/>
          <w:szCs w:val="24"/>
        </w:rPr>
        <w:br w:type="page"/>
      </w:r>
    </w:p>
    <w:bookmarkEnd w:id="32"/>
    <w:bookmarkEnd w:id="33"/>
    <w:bookmarkEnd w:id="34"/>
    <w:p>
      <w:pPr>
        <w:autoSpaceDE w:val="0"/>
        <w:autoSpaceDN w:val="0"/>
        <w:spacing w:line="360" w:lineRule="auto"/>
        <w:rPr>
          <w:rFonts w:ascii="宋体" w:hAnsi="宋体"/>
          <w:sz w:val="24"/>
          <w:szCs w:val="24"/>
        </w:rPr>
      </w:pPr>
      <w:r>
        <w:rPr>
          <w:rFonts w:hint="eastAsia" w:ascii="宋体" w:hAnsi="宋体"/>
          <w:sz w:val="24"/>
          <w:szCs w:val="24"/>
        </w:rPr>
        <w:t>格式十五：</w:t>
      </w:r>
    </w:p>
    <w:p>
      <w:pPr>
        <w:autoSpaceDE w:val="0"/>
        <w:autoSpaceDN w:val="0"/>
        <w:spacing w:line="360" w:lineRule="auto"/>
        <w:jc w:val="center"/>
        <w:rPr>
          <w:rFonts w:ascii="宋体" w:hAnsi="宋体"/>
          <w:sz w:val="24"/>
          <w:szCs w:val="24"/>
        </w:rPr>
      </w:pPr>
      <w:bookmarkStart w:id="35" w:name="_Toc482026558"/>
      <w:r>
        <w:rPr>
          <w:rFonts w:hint="eastAsia" w:ascii="宋体" w:hAnsi="宋体"/>
          <w:sz w:val="24"/>
          <w:szCs w:val="24"/>
        </w:rPr>
        <w:t>依法缴纳社会保险的凭据</w:t>
      </w:r>
    </w:p>
    <w:p>
      <w:pPr>
        <w:autoSpaceDE w:val="0"/>
        <w:autoSpaceDN w:val="0"/>
        <w:spacing w:line="360" w:lineRule="auto"/>
        <w:rPr>
          <w:rFonts w:ascii="宋体" w:hAnsi="宋体"/>
          <w:b/>
          <w:sz w:val="24"/>
          <w:szCs w:val="24"/>
        </w:rPr>
      </w:pPr>
    </w:p>
    <w:p>
      <w:pPr>
        <w:ind w:firstLine="480" w:firstLineChars="200"/>
        <w:rPr>
          <w:rFonts w:ascii="宋体" w:hAnsi="宋体"/>
          <w:sz w:val="24"/>
          <w:szCs w:val="24"/>
        </w:rPr>
      </w:pPr>
      <w:r>
        <w:rPr>
          <w:rFonts w:hint="eastAsia" w:ascii="宋体" w:hAnsi="宋体"/>
          <w:sz w:val="24"/>
          <w:szCs w:val="24"/>
        </w:rPr>
        <w:t>提供递交响应文件截止之日前六个月内（至少一个月）缴纳社会保险的凭证。（以社保机构出具的专用收据或社会保险缴纳清单为准）</w:t>
      </w:r>
    </w:p>
    <w:p>
      <w:pPr>
        <w:pStyle w:val="3"/>
        <w:keepNext w:val="0"/>
        <w:keepLines w:val="0"/>
        <w:spacing w:line="360" w:lineRule="auto"/>
        <w:rPr>
          <w:rFonts w:ascii="宋体" w:hAnsi="宋体" w:eastAsia="宋体"/>
          <w:b w:val="0"/>
          <w:sz w:val="24"/>
          <w:szCs w:val="24"/>
        </w:rPr>
      </w:pPr>
      <w:r>
        <w:rPr>
          <w:rFonts w:ascii="宋体" w:hAnsi="宋体" w:eastAsia="宋体"/>
          <w:b w:val="0"/>
          <w:sz w:val="24"/>
          <w:szCs w:val="24"/>
        </w:rPr>
        <w:br w:type="page"/>
      </w:r>
    </w:p>
    <w:bookmarkEnd w:id="35"/>
    <w:p>
      <w:pPr>
        <w:spacing w:line="360" w:lineRule="auto"/>
        <w:rPr>
          <w:rFonts w:ascii="宋体" w:hAnsi="宋体" w:cs="宋体"/>
          <w:kern w:val="0"/>
          <w:sz w:val="24"/>
          <w:szCs w:val="24"/>
        </w:rPr>
      </w:pPr>
      <w:r>
        <w:rPr>
          <w:rFonts w:hint="eastAsia" w:ascii="宋体" w:hAnsi="宋体" w:cs="宋体"/>
          <w:kern w:val="0"/>
          <w:sz w:val="24"/>
          <w:szCs w:val="24"/>
        </w:rPr>
        <w:t>格式十六：</w:t>
      </w:r>
    </w:p>
    <w:p>
      <w:pPr>
        <w:ind w:firstLine="1440" w:firstLineChars="600"/>
        <w:rPr>
          <w:rFonts w:ascii="宋体" w:hAnsi="宋体" w:cs="宋体"/>
          <w:kern w:val="0"/>
          <w:sz w:val="24"/>
          <w:szCs w:val="24"/>
        </w:rPr>
      </w:pPr>
      <w:r>
        <w:rPr>
          <w:rFonts w:hint="eastAsia" w:ascii="宋体" w:hAnsi="宋体" w:cs="宋体"/>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lang w:eastAsia="zh-CN"/>
        </w:rPr>
        <w:t>鄂尔多斯市杭锦旗公共资源交易中心</w:t>
      </w:r>
      <w:r>
        <w:rPr>
          <w:rFonts w:hint="eastAsia" w:ascii="宋体" w:hAnsi="宋体" w:cs="宋体"/>
          <w:kern w:val="0"/>
          <w:sz w:val="24"/>
          <w:szCs w:val="24"/>
        </w:rPr>
        <w:t>：</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49"/>
          <w:rFonts w:hint="eastAsia" w:ascii="宋体" w:hAnsi="宋体" w:cs="宋体"/>
          <w:color w:val="auto"/>
          <w:kern w:val="0"/>
          <w:sz w:val="24"/>
          <w:szCs w:val="24"/>
        </w:rPr>
        <w:t>www.creditchina.gov.cn</w:t>
      </w:r>
      <w:r>
        <w:rPr>
          <w:rStyle w:val="49"/>
          <w:rFonts w:hint="eastAsia" w:ascii="宋体" w:hAnsi="宋体" w:cs="宋体"/>
          <w:color w:val="auto"/>
          <w:kern w:val="0"/>
          <w:sz w:val="24"/>
          <w:szCs w:val="24"/>
        </w:rPr>
        <w:fldChar w:fldCharType="end"/>
      </w:r>
      <w:r>
        <w:rPr>
          <w:rFonts w:hint="eastAsia" w:ascii="宋体" w:hAnsi="宋体" w:cs="宋体"/>
          <w:kern w:val="0"/>
          <w:sz w:val="24"/>
          <w:szCs w:val="24"/>
        </w:rPr>
        <w:t>)、“中国政府采购网”网站（</w:t>
      </w:r>
      <w:r>
        <w:rPr>
          <w:rStyle w:val="49"/>
          <w:rFonts w:hint="eastAsia" w:ascii="宋体" w:hAnsi="宋体"/>
          <w:color w:val="auto"/>
          <w:sz w:val="24"/>
          <w:szCs w:val="24"/>
        </w:rPr>
        <w:t>www.ccgp.gov.cn</w:t>
      </w:r>
      <w:r>
        <w:rPr>
          <w:rFonts w:hint="eastAsia" w:ascii="宋体" w:hAnsi="宋体" w:cs="宋体"/>
          <w:kern w:val="0"/>
          <w:sz w:val="24"/>
          <w:szCs w:val="24"/>
        </w:rPr>
        <w:t>）上均</w:t>
      </w:r>
      <w:r>
        <w:rPr>
          <w:rFonts w:hint="eastAsia" w:ascii="宋体" w:hAnsi="宋体"/>
          <w:sz w:val="24"/>
          <w:szCs w:val="24"/>
        </w:rPr>
        <w:t>无相关不良行为的纪录。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供应商名称（公章）：</w:t>
      </w:r>
      <w:r>
        <w:rPr>
          <w:rFonts w:hint="eastAsia" w:ascii="宋体" w:hAnsi="宋体"/>
          <w:sz w:val="24"/>
          <w:szCs w:val="24"/>
          <w:u w:val="single"/>
        </w:rPr>
        <w:t xml:space="preserve">                        </w:t>
      </w:r>
    </w:p>
    <w:p>
      <w:pPr>
        <w:tabs>
          <w:tab w:val="left" w:pos="8820"/>
        </w:tabs>
        <w:autoSpaceDE w:val="0"/>
        <w:autoSpaceDN w:val="0"/>
        <w:spacing w:line="360" w:lineRule="auto"/>
        <w:ind w:firstLine="560"/>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注：</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1.信用记录查询渠道：通过“信用中国”网站（www.creditchina.gov.cn）、中国政府采购网（www.ccgp.gov.cn）查询信用记录。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2.截图要求：</w:t>
      </w:r>
    </w:p>
    <w:p>
      <w:pPr>
        <w:tabs>
          <w:tab w:val="left" w:pos="8820"/>
        </w:tabs>
        <w:autoSpaceDE w:val="0"/>
        <w:autoSpaceDN w:val="0"/>
        <w:spacing w:line="360" w:lineRule="auto"/>
        <w:ind w:firstLine="360" w:firstLineChars="150"/>
        <w:rPr>
          <w:rFonts w:ascii="宋体" w:hAnsi="宋体"/>
          <w:sz w:val="24"/>
          <w:szCs w:val="24"/>
        </w:rPr>
      </w:pPr>
      <w:r>
        <w:rPr>
          <w:rFonts w:hint="eastAsia" w:ascii="宋体" w:hAnsi="宋体"/>
          <w:sz w:val="24"/>
          <w:szCs w:val="24"/>
        </w:rPr>
        <w:t>（1）登录“信用中国”网站，在搜索框中填写供应商全称，点击查询“下载信用报告”进行截图。</w:t>
      </w:r>
    </w:p>
    <w:p>
      <w:pPr>
        <w:spacing w:line="360" w:lineRule="auto"/>
        <w:ind w:firstLine="480" w:firstLineChars="200"/>
        <w:rPr>
          <w:rFonts w:ascii="宋体" w:hAnsi="宋体"/>
          <w:sz w:val="24"/>
          <w:szCs w:val="24"/>
          <w:u w:val="single"/>
        </w:rPr>
      </w:pPr>
      <w:r>
        <w:rPr>
          <w:rFonts w:hint="eastAsia" w:ascii="宋体" w:hAnsi="宋体"/>
          <w:sz w:val="24"/>
          <w:szCs w:val="24"/>
        </w:rPr>
        <w:t>（2）登录“中国政府采购网”网站，点击“</w:t>
      </w:r>
      <w:r>
        <w:fldChar w:fldCharType="begin"/>
      </w:r>
      <w:r>
        <w:instrText xml:space="preserve"> HYPERLINK "http://www.ccgp.gov.cn/search/cr/" \o "政府采购严重违法失信行为记录名单" </w:instrText>
      </w:r>
      <w:r>
        <w:fldChar w:fldCharType="separate"/>
      </w:r>
      <w:r>
        <w:rPr>
          <w:rFonts w:ascii="宋体" w:hAnsi="宋体"/>
          <w:sz w:val="24"/>
          <w:szCs w:val="24"/>
        </w:rPr>
        <w:t>政府采购严重违法失信行为记录名单</w:t>
      </w:r>
      <w:r>
        <w:rPr>
          <w:rFonts w:ascii="宋体" w:hAnsi="宋体"/>
          <w:sz w:val="24"/>
          <w:szCs w:val="24"/>
        </w:rPr>
        <w:fldChar w:fldCharType="end"/>
      </w:r>
      <w:r>
        <w:rPr>
          <w:rFonts w:hint="eastAsia" w:ascii="宋体" w:hAnsi="宋体"/>
          <w:sz w:val="24"/>
          <w:szCs w:val="24"/>
        </w:rPr>
        <w:t>”，输入供应商全称点击查询，将整个页面进行截图。</w:t>
      </w:r>
    </w:p>
    <w:p>
      <w:pPr>
        <w:pStyle w:val="3"/>
        <w:keepNext w:val="0"/>
        <w:keepLines w:val="0"/>
        <w:spacing w:line="360" w:lineRule="auto"/>
        <w:rPr>
          <w:rFonts w:ascii="宋体" w:hAnsi="宋体" w:eastAsia="宋体"/>
          <w:b w:val="0"/>
          <w:bCs w:val="0"/>
          <w:kern w:val="2"/>
          <w:sz w:val="24"/>
          <w:szCs w:val="24"/>
        </w:rPr>
      </w:pPr>
      <w:bookmarkStart w:id="36" w:name="_Toc482026559"/>
      <w:r>
        <w:rPr>
          <w:rFonts w:ascii="宋体" w:hAnsi="宋体" w:eastAsia="宋体"/>
          <w:b w:val="0"/>
          <w:bCs w:val="0"/>
          <w:kern w:val="2"/>
          <w:sz w:val="24"/>
          <w:szCs w:val="24"/>
        </w:rPr>
        <w:br w:type="page"/>
      </w:r>
    </w:p>
    <w:bookmarkEnd w:id="36"/>
    <w:p>
      <w:pPr>
        <w:spacing w:line="360" w:lineRule="auto"/>
        <w:rPr>
          <w:rFonts w:ascii="宋体" w:hAnsi="宋体"/>
          <w:sz w:val="24"/>
          <w:szCs w:val="24"/>
        </w:rPr>
      </w:pPr>
      <w:r>
        <w:rPr>
          <w:rFonts w:hint="eastAsia" w:ascii="宋体" w:hAnsi="宋体"/>
          <w:sz w:val="24"/>
          <w:szCs w:val="24"/>
        </w:rPr>
        <w:t>格式十七：</w:t>
      </w:r>
    </w:p>
    <w:p>
      <w:pPr>
        <w:autoSpaceDE w:val="0"/>
        <w:autoSpaceDN w:val="0"/>
        <w:spacing w:line="360" w:lineRule="auto"/>
        <w:jc w:val="center"/>
        <w:rPr>
          <w:rFonts w:ascii="宋体" w:hAnsi="宋体"/>
          <w:b/>
          <w:sz w:val="24"/>
          <w:szCs w:val="24"/>
          <w:lang w:val="zh-CN"/>
        </w:rPr>
      </w:pPr>
      <w:r>
        <w:rPr>
          <w:rFonts w:hint="eastAsia" w:ascii="宋体" w:hAnsi="宋体"/>
          <w:b/>
          <w:sz w:val="24"/>
          <w:szCs w:val="24"/>
        </w:rPr>
        <w:t>各类</w:t>
      </w:r>
      <w:r>
        <w:rPr>
          <w:rFonts w:hint="eastAsia" w:ascii="宋体" w:hAnsi="宋体"/>
          <w:b/>
          <w:sz w:val="24"/>
          <w:szCs w:val="24"/>
          <w:lang w:val="zh-CN"/>
        </w:rPr>
        <w:t>证明材料</w:t>
      </w:r>
    </w:p>
    <w:p>
      <w:pPr>
        <w:spacing w:line="360" w:lineRule="auto"/>
        <w:rPr>
          <w:rFonts w:ascii="宋体" w:hAnsi="宋体"/>
          <w:sz w:val="24"/>
          <w:szCs w:val="24"/>
        </w:rPr>
      </w:pPr>
      <w:r>
        <w:rPr>
          <w:rFonts w:hint="eastAsia" w:ascii="宋体" w:hAnsi="宋体"/>
          <w:sz w:val="24"/>
          <w:szCs w:val="24"/>
        </w:rPr>
        <w:t>1.单一来源文件要求提供的其他资料。</w:t>
      </w:r>
    </w:p>
    <w:p>
      <w:pPr>
        <w:spacing w:line="360" w:lineRule="auto"/>
        <w:rPr>
          <w:rFonts w:ascii="宋体" w:hAnsi="宋体"/>
          <w:sz w:val="24"/>
          <w:szCs w:val="24"/>
        </w:rPr>
      </w:pPr>
      <w:r>
        <w:rPr>
          <w:rFonts w:hint="eastAsia" w:ascii="宋体" w:hAnsi="宋体"/>
          <w:sz w:val="24"/>
          <w:szCs w:val="24"/>
        </w:rPr>
        <w:t>2.供应商认为需提供的其他资料。</w:t>
      </w:r>
    </w:p>
    <w:p>
      <w:pPr>
        <w:pStyle w:val="3"/>
        <w:keepNext w:val="0"/>
        <w:keepLines w:val="0"/>
        <w:spacing w:line="360" w:lineRule="auto"/>
        <w:ind w:firstLine="3012" w:firstLineChars="1250"/>
        <w:rPr>
          <w:rFonts w:ascii="宋体" w:hAnsi="宋体" w:eastAsia="宋体"/>
          <w:bCs w:val="0"/>
          <w:kern w:val="2"/>
          <w:sz w:val="24"/>
          <w:szCs w:val="24"/>
        </w:rPr>
      </w:pPr>
      <w:r>
        <w:rPr>
          <w:rFonts w:ascii="宋体" w:hAnsi="宋体" w:eastAsia="宋体"/>
          <w:bCs w:val="0"/>
          <w:kern w:val="2"/>
          <w:sz w:val="24"/>
          <w:szCs w:val="24"/>
        </w:rPr>
        <w:br w:type="page"/>
      </w:r>
    </w:p>
    <w:p>
      <w:pPr>
        <w:pStyle w:val="2"/>
        <w:keepNext w:val="0"/>
        <w:keepLines w:val="0"/>
        <w:spacing w:line="360" w:lineRule="auto"/>
        <w:rPr>
          <w:rFonts w:ascii="宋体" w:hAnsi="宋体"/>
          <w:sz w:val="24"/>
          <w:szCs w:val="24"/>
        </w:rPr>
      </w:pPr>
      <w:bookmarkStart w:id="37" w:name="_Toc497726806"/>
      <w:r>
        <w:rPr>
          <w:rFonts w:hint="eastAsia" w:ascii="宋体" w:hAnsi="宋体"/>
          <w:sz w:val="24"/>
          <w:szCs w:val="24"/>
        </w:rPr>
        <w:t>温馨提示</w:t>
      </w:r>
      <w:bookmarkEnd w:id="37"/>
    </w:p>
    <w:p>
      <w:pPr>
        <w:spacing w:line="360" w:lineRule="auto"/>
        <w:rPr>
          <w:rFonts w:ascii="宋体" w:hAnsi="宋体"/>
          <w:b/>
          <w:sz w:val="24"/>
          <w:szCs w:val="24"/>
        </w:rPr>
      </w:pPr>
      <w:r>
        <w:rPr>
          <w:rFonts w:hint="eastAsia" w:ascii="宋体" w:hAnsi="宋体"/>
          <w:b/>
          <w:sz w:val="24"/>
          <w:szCs w:val="24"/>
        </w:rPr>
        <w:t>各位供应商:</w:t>
      </w:r>
    </w:p>
    <w:p>
      <w:pPr>
        <w:spacing w:line="360" w:lineRule="auto"/>
        <w:rPr>
          <w:rFonts w:ascii="宋体" w:hAnsi="宋体"/>
          <w:b/>
          <w:sz w:val="24"/>
          <w:szCs w:val="24"/>
        </w:rPr>
      </w:pPr>
    </w:p>
    <w:p>
      <w:pPr>
        <w:spacing w:line="360" w:lineRule="auto"/>
        <w:rPr>
          <w:rFonts w:ascii="宋体" w:hAnsi="宋体"/>
          <w:sz w:val="24"/>
          <w:szCs w:val="24"/>
        </w:rPr>
      </w:pPr>
      <w:r>
        <w:rPr>
          <w:rFonts w:hint="eastAsia" w:ascii="宋体" w:hAnsi="宋体"/>
          <w:sz w:val="24"/>
          <w:szCs w:val="24"/>
        </w:rPr>
        <w:t xml:space="preserve">    请在编制响应文件前请认真阅读并理解单一来源文件。现就容易导致废标或无效投标的条款特别提示如下：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及时查看投标项目的相关信息公告，如单一来源采购公告、变更公告、废标公告等。</w:t>
      </w:r>
    </w:p>
    <w:p>
      <w:pPr>
        <w:tabs>
          <w:tab w:val="left" w:pos="851"/>
        </w:tabs>
        <w:spacing w:line="360" w:lineRule="auto"/>
        <w:rPr>
          <w:rFonts w:ascii="宋体" w:hAnsi="宋体"/>
          <w:sz w:val="24"/>
          <w:szCs w:val="24"/>
        </w:rPr>
      </w:pPr>
      <w:r>
        <w:rPr>
          <w:rFonts w:hint="eastAsia" w:ascii="宋体" w:hAnsi="宋体"/>
          <w:sz w:val="24"/>
          <w:szCs w:val="24"/>
        </w:rPr>
        <w:t>2. 注意响应文件的密封、装订及签署、盖章，如项目分包，响应文件务必分包、分别编制。</w:t>
      </w:r>
    </w:p>
    <w:p>
      <w:pPr>
        <w:tabs>
          <w:tab w:val="left" w:pos="851"/>
        </w:tabs>
        <w:spacing w:line="360" w:lineRule="auto"/>
        <w:rPr>
          <w:rFonts w:ascii="宋体" w:hAnsi="宋体"/>
          <w:sz w:val="24"/>
          <w:szCs w:val="24"/>
        </w:rPr>
      </w:pPr>
      <w:r>
        <w:rPr>
          <w:rFonts w:hint="eastAsia" w:ascii="宋体" w:hAnsi="宋体"/>
          <w:sz w:val="24"/>
          <w:szCs w:val="24"/>
        </w:rPr>
        <w:t>3. 按照单一来源文件规定的时间、地点，提前到达并递交响应文件。</w:t>
      </w:r>
    </w:p>
    <w:p>
      <w:pPr>
        <w:tabs>
          <w:tab w:val="left" w:pos="851"/>
        </w:tabs>
        <w:spacing w:line="360" w:lineRule="auto"/>
        <w:rPr>
          <w:rFonts w:ascii="宋体" w:hAnsi="宋体"/>
          <w:sz w:val="24"/>
          <w:szCs w:val="24"/>
        </w:rPr>
      </w:pPr>
      <w:r>
        <w:rPr>
          <w:rFonts w:hint="eastAsia" w:ascii="宋体" w:hAnsi="宋体"/>
          <w:sz w:val="24"/>
          <w:szCs w:val="24"/>
        </w:rPr>
        <w:t>4. 注意响应文件中相关证明材料的完整性及有效期限。</w:t>
      </w:r>
    </w:p>
    <w:p>
      <w:pPr>
        <w:tabs>
          <w:tab w:val="left" w:pos="851"/>
        </w:tabs>
        <w:spacing w:line="360" w:lineRule="auto"/>
        <w:rPr>
          <w:rFonts w:ascii="宋体" w:hAnsi="宋体"/>
          <w:sz w:val="24"/>
          <w:szCs w:val="24"/>
        </w:rPr>
      </w:pPr>
    </w:p>
    <w:p>
      <w:pPr>
        <w:tabs>
          <w:tab w:val="left" w:pos="851"/>
        </w:tabs>
        <w:spacing w:line="360" w:lineRule="auto"/>
        <w:ind w:firstLine="480" w:firstLineChars="200"/>
        <w:rPr>
          <w:rFonts w:ascii="宋体" w:hAnsi="宋体"/>
          <w:sz w:val="24"/>
          <w:szCs w:val="24"/>
        </w:rPr>
        <w:sectPr>
          <w:headerReference r:id="rId8" w:type="first"/>
          <w:footerReference r:id="rId11" w:type="first"/>
          <w:headerReference r:id="rId6" w:type="default"/>
          <w:footerReference r:id="rId9" w:type="default"/>
          <w:headerReference r:id="rId7" w:type="even"/>
          <w:footerReference r:id="rId10" w:type="even"/>
          <w:pgSz w:w="11906" w:h="16838"/>
          <w:pgMar w:top="1588" w:right="1474" w:bottom="1418" w:left="1588" w:header="851" w:footer="992" w:gutter="0"/>
          <w:cols w:space="720" w:num="1"/>
          <w:titlePg/>
          <w:docGrid w:linePitch="312" w:charSpace="0"/>
        </w:sectPr>
      </w:pPr>
      <w:r>
        <w:rPr>
          <w:rFonts w:hint="eastAsia" w:ascii="宋体" w:hAnsi="宋体"/>
          <w:sz w:val="24"/>
          <w:szCs w:val="24"/>
        </w:rPr>
        <w:t>请各供应商严格遵守《中华人民共和国政府采购法》及其条例，如出现违法、违规行为，将承担响应法律责任。</w:t>
      </w:r>
    </w:p>
    <w:p>
      <w:pPr>
        <w:pStyle w:val="3"/>
        <w:keepNext w:val="0"/>
        <w:keepLines w:val="0"/>
        <w:spacing w:line="360" w:lineRule="auto"/>
        <w:rPr>
          <w:rFonts w:ascii="宋体" w:hAnsi="宋体" w:eastAsia="宋体"/>
          <w:bCs w:val="0"/>
          <w:kern w:val="2"/>
          <w:sz w:val="24"/>
          <w:szCs w:val="24"/>
        </w:rPr>
      </w:pPr>
    </w:p>
    <w:sectPr>
      <w:headerReference r:id="rId12" w:type="default"/>
      <w:footerReference r:id="rId13" w:type="default"/>
      <w:footerReference r:id="rId14" w:type="even"/>
      <w:pgSz w:w="11907" w:h="16840"/>
      <w:pgMar w:top="1134" w:right="1134" w:bottom="1134" w:left="1134" w:header="851" w:footer="992" w:gutter="0"/>
      <w:pgNumType w:start="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方正楷体简体">
    <w:altName w:val="黑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昆仑黑体">
    <w:altName w:val="黑体"/>
    <w:panose1 w:val="00000000000000000000"/>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大黑简体">
    <w:altName w:val="黑体"/>
    <w:panose1 w:val="00000000000000000000"/>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黑体....">
    <w:altName w:val="黑体"/>
    <w:panose1 w:val="00000000000000000000"/>
    <w:charset w:val="86"/>
    <w:family w:val="swiss"/>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Align="top"/>
      <w:pBdr>
        <w:between w:val="none" w:color="auto" w:sz="0" w:space="0"/>
      </w:pBdr>
    </w:pPr>
    <w:r>
      <w:fldChar w:fldCharType="begin"/>
    </w:r>
    <w:r>
      <w:rPr>
        <w:rStyle w:val="46"/>
      </w:rPr>
      <w:instrText xml:space="preserve"> PAGE  </w:instrText>
    </w:r>
    <w:r>
      <w:fldChar w:fldCharType="separate"/>
    </w:r>
    <w:r>
      <w:rPr>
        <w:rStyle w:val="46"/>
      </w:rPr>
      <w:t>19</w:t>
    </w:r>
    <w:r>
      <w:fldChar w:fldCharType="end"/>
    </w:r>
  </w:p>
  <w:p>
    <w:pPr>
      <w:pStyle w:val="2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Align="top"/>
      <w:pBdr>
        <w:between w:val="none" w:color="auto" w:sz="0" w:space="0"/>
      </w:pBdr>
    </w:pPr>
    <w:r>
      <w:fldChar w:fldCharType="begin"/>
    </w:r>
    <w:r>
      <w:rPr>
        <w:rStyle w:val="46"/>
      </w:rPr>
      <w:instrText xml:space="preserve"> PAGE  </w:instrText>
    </w:r>
    <w:r>
      <w:fldChar w:fldCharType="separate"/>
    </w:r>
    <w:r>
      <w:rPr>
        <w:rStyle w:val="46"/>
      </w:rPr>
      <w:t>30</w:t>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6"/>
      </w:rPr>
    </w:pPr>
  </w:p>
  <w:p>
    <w:pPr>
      <w:pStyle w:val="27"/>
      <w:tabs>
        <w:tab w:val="right" w:pos="8485"/>
        <w:tab w:val="clear" w:pos="4153"/>
        <w:tab w:val="clear" w:pos="8306"/>
      </w:tabs>
      <w:ind w:right="360"/>
      <w:rPr>
        <w:rFonts w:ascii="宋体" w:hAnsi="宋体"/>
        <w:bCs/>
        <w:sz w:val="21"/>
        <w:szCs w:val="21"/>
      </w:rPr>
    </w:pPr>
    <w:r>
      <w:rPr>
        <w:rFonts w:ascii="宋体" w:hAnsi="宋体"/>
        <w:bCs/>
        <w:sz w:val="21"/>
        <w:szCs w:val="21"/>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-635</wp:posOffset>
              </wp:positionV>
              <wp:extent cx="4914900"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2.6pt;margin-top:-0.05pt;height:0pt;width:387pt;z-index:251660288;mso-width-relative:page;mso-height-relative:page;" filled="f" stroked="t" coordsize="21600,21600" o:gfxdata="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sMYwDSAAAABQEAAA8AAAAAAAAAAQAgAAAAIgAA&#10;AGRycy9kb3ducmV2LnhtbFBLAQIUABQAAAAIAIdO4kB5AiBo1QEAAHQDAAAOAAAAAAAAAAEAIAAA&#10;ACEBAABkcnMvZTJvRG9jLnhtbFBLBQYAAAAABgAGAFkBAABoBQAAAAA=&#10;">
              <v:fill on="f" focussize="0,0"/>
              <v:stroke color="#000000" joinstyle="round"/>
              <v:imagedata o:title=""/>
              <o:lock v:ext="edit" aspectratio="f"/>
            </v:line>
          </w:pict>
        </mc:Fallback>
      </mc:AlternateContent>
    </w:r>
    <w:r>
      <w:rPr>
        <w:rFonts w:ascii="宋体" w:hAnsi="宋体"/>
        <w:bCs/>
        <w:sz w:val="21"/>
        <w:szCs w:val="21"/>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2982595</wp:posOffset>
              </wp:positionV>
              <wp:extent cx="525780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15pt;margin-top:234.85pt;height:0pt;width:414pt;z-index:251659264;mso-width-relative:page;mso-height-relative:page;" filled="f" stroked="t" coordsize="21600,21600" o:gfxdata="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TGUda2QAAAAwBAAAPAAAAAAAAAAEAIAAAACIAAABk&#10;cnMvZG93bnJldi54bWxQSwECFAAUAAAACACHTuJA3MfypswBAABqAwAADgAAAAAAAAABACAAAAAo&#10;AQAAZHJzL2Uyb0RvYy54bWxQSwUGAAAAAAYABgBZAQAAZgUAAAAA&#10;">
              <v:fill on="f" focussize="0,0"/>
              <v:stroke color="#000000" joinstyle="round"/>
              <v:imagedata o:title=""/>
              <o:lock v:ext="edit" aspectratio="f"/>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6"/>
        <w:sz w:val="17"/>
        <w:szCs w:val="17"/>
      </w:rPr>
    </w:pPr>
    <w:r>
      <w:rPr>
        <w:rStyle w:val="46"/>
        <w:sz w:val="17"/>
        <w:szCs w:val="17"/>
      </w:rPr>
      <w:fldChar w:fldCharType="begin"/>
    </w:r>
    <w:r>
      <w:rPr>
        <w:rStyle w:val="46"/>
        <w:sz w:val="17"/>
        <w:szCs w:val="17"/>
      </w:rPr>
      <w:instrText xml:space="preserve">PAGE  </w:instrText>
    </w:r>
    <w:r>
      <w:rPr>
        <w:rStyle w:val="46"/>
        <w:sz w:val="17"/>
        <w:szCs w:val="17"/>
      </w:rPr>
      <w:fldChar w:fldCharType="end"/>
    </w:r>
  </w:p>
  <w:p>
    <w:pPr>
      <w:pStyle w:val="27"/>
      <w:ind w:right="360" w:firstLine="360"/>
      <w:rPr>
        <w:sz w:val="17"/>
        <w:szCs w:val="17"/>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both"/>
      <w:rPr>
        <w:sz w:val="24"/>
        <w:szCs w:val="24"/>
      </w:rPr>
    </w:pPr>
    <w:r>
      <w:rPr>
        <w:rFonts w:hint="eastAsia"/>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both"/>
      <w:rPr>
        <w:sz w:val="24"/>
        <w:szCs w:val="24"/>
      </w:rPr>
    </w:pPr>
    <w:r>
      <w:rPr>
        <w:rFonts w:hint="eastAsia"/>
        <w:sz w:val="24"/>
        <w:szCs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pStyle w:val="174"/>
      <w:lvlText w:val="一、"/>
      <w:lvlJc w:val="left"/>
      <w:pPr>
        <w:tabs>
          <w:tab w:val="left" w:pos="1282"/>
        </w:tabs>
        <w:ind w:left="1282" w:hanging="720"/>
      </w:pPr>
      <w:rPr>
        <w:rFonts w:hint="default"/>
        <w:color w:val="000000"/>
      </w:rPr>
    </w:lvl>
    <w:lvl w:ilvl="1" w:tentative="0">
      <w:start w:val="1"/>
      <w:numFmt w:val="lowerLetter"/>
      <w:lvlText w:val="%2)"/>
      <w:lvlJc w:val="left"/>
      <w:pPr>
        <w:tabs>
          <w:tab w:val="left" w:pos="1402"/>
        </w:tabs>
        <w:ind w:left="1402" w:hanging="420"/>
      </w:pPr>
    </w:lvl>
    <w:lvl w:ilvl="2" w:tentative="0">
      <w:start w:val="1"/>
      <w:numFmt w:val="lowerRoman"/>
      <w:lvlText w:val="%3."/>
      <w:lvlJc w:val="right"/>
      <w:pPr>
        <w:tabs>
          <w:tab w:val="left" w:pos="1822"/>
        </w:tabs>
        <w:ind w:left="1822" w:hanging="420"/>
      </w:pPr>
    </w:lvl>
    <w:lvl w:ilvl="3" w:tentative="0">
      <w:start w:val="1"/>
      <w:numFmt w:val="decimal"/>
      <w:lvlText w:val="%4."/>
      <w:lvlJc w:val="left"/>
      <w:pPr>
        <w:tabs>
          <w:tab w:val="left" w:pos="2242"/>
        </w:tabs>
        <w:ind w:left="2242" w:hanging="420"/>
      </w:pPr>
    </w:lvl>
    <w:lvl w:ilvl="4" w:tentative="0">
      <w:start w:val="1"/>
      <w:numFmt w:val="lowerLetter"/>
      <w:lvlText w:val="%5)"/>
      <w:lvlJc w:val="left"/>
      <w:pPr>
        <w:tabs>
          <w:tab w:val="left" w:pos="2662"/>
        </w:tabs>
        <w:ind w:left="2662" w:hanging="420"/>
      </w:pPr>
    </w:lvl>
    <w:lvl w:ilvl="5" w:tentative="0">
      <w:start w:val="1"/>
      <w:numFmt w:val="lowerRoman"/>
      <w:lvlText w:val="%6."/>
      <w:lvlJc w:val="right"/>
      <w:pPr>
        <w:tabs>
          <w:tab w:val="left" w:pos="3082"/>
        </w:tabs>
        <w:ind w:left="3082" w:hanging="420"/>
      </w:pPr>
    </w:lvl>
    <w:lvl w:ilvl="6" w:tentative="0">
      <w:start w:val="1"/>
      <w:numFmt w:val="decimal"/>
      <w:lvlText w:val="%7."/>
      <w:lvlJc w:val="left"/>
      <w:pPr>
        <w:tabs>
          <w:tab w:val="left" w:pos="3502"/>
        </w:tabs>
        <w:ind w:left="3502" w:hanging="420"/>
      </w:pPr>
    </w:lvl>
    <w:lvl w:ilvl="7" w:tentative="0">
      <w:start w:val="1"/>
      <w:numFmt w:val="lowerLetter"/>
      <w:lvlText w:val="%8)"/>
      <w:lvlJc w:val="left"/>
      <w:pPr>
        <w:tabs>
          <w:tab w:val="left" w:pos="3922"/>
        </w:tabs>
        <w:ind w:left="3922" w:hanging="420"/>
      </w:pPr>
    </w:lvl>
    <w:lvl w:ilvl="8" w:tentative="0">
      <w:start w:val="1"/>
      <w:numFmt w:val="lowerRoman"/>
      <w:lvlText w:val="%9."/>
      <w:lvlJc w:val="right"/>
      <w:pPr>
        <w:tabs>
          <w:tab w:val="left" w:pos="4342"/>
        </w:tabs>
        <w:ind w:left="4342" w:hanging="420"/>
      </w:pPr>
    </w:lvl>
  </w:abstractNum>
  <w:abstractNum w:abstractNumId="1">
    <w:nsid w:val="00000002"/>
    <w:multiLevelType w:val="multilevel"/>
    <w:tmpl w:val="00000002"/>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87"/>
      <w:suff w:val="nothing"/>
      <w:lvlText w:val="%1%2.%3.%4　"/>
      <w:lvlJc w:val="left"/>
      <w:pPr>
        <w:ind w:left="0" w:firstLine="0"/>
      </w:pPr>
      <w:rPr>
        <w:rFonts w:hint="eastAsia" w:ascii="黑体" w:hAnsi="Times New Roman" w:eastAsia="黑体"/>
        <w:b w:val="0"/>
        <w:i w:val="0"/>
        <w:sz w:val="21"/>
      </w:rPr>
    </w:lvl>
    <w:lvl w:ilvl="4" w:tentative="0">
      <w:start w:val="1"/>
      <w:numFmt w:val="decimal"/>
      <w:pStyle w:val="186"/>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2">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pStyle w:val="219"/>
      <w:lvlText w:val="%3."/>
      <w:lvlJc w:val="right"/>
      <w:pPr>
        <w:tabs>
          <w:tab w:val="left" w:pos="1809"/>
        </w:tabs>
        <w:ind w:left="1809" w:hanging="420"/>
      </w:pPr>
    </w:lvl>
    <w:lvl w:ilvl="3" w:tentative="0">
      <w:start w:val="1"/>
      <w:numFmt w:val="decimal"/>
      <w:pStyle w:val="222"/>
      <w:lvlText w:val="%4."/>
      <w:lvlJc w:val="left"/>
      <w:pPr>
        <w:tabs>
          <w:tab w:val="left" w:pos="2229"/>
        </w:tabs>
        <w:ind w:left="2229" w:hanging="420"/>
      </w:pPr>
    </w:lvl>
    <w:lvl w:ilvl="4" w:tentative="0">
      <w:start w:val="1"/>
      <w:numFmt w:val="lowerLetter"/>
      <w:pStyle w:val="6"/>
      <w:lvlText w:val="%5)"/>
      <w:lvlJc w:val="left"/>
      <w:pPr>
        <w:tabs>
          <w:tab w:val="left" w:pos="2649"/>
        </w:tabs>
        <w:ind w:left="2649" w:hanging="420"/>
      </w:pPr>
    </w:lvl>
    <w:lvl w:ilvl="5" w:tentative="0">
      <w:start w:val="1"/>
      <w:numFmt w:val="lowerRoman"/>
      <w:pStyle w:val="7"/>
      <w:lvlText w:val="%6."/>
      <w:lvlJc w:val="right"/>
      <w:pPr>
        <w:tabs>
          <w:tab w:val="left" w:pos="3069"/>
        </w:tabs>
        <w:ind w:left="3069" w:hanging="420"/>
      </w:pPr>
    </w:lvl>
    <w:lvl w:ilvl="6" w:tentative="0">
      <w:start w:val="1"/>
      <w:numFmt w:val="decimal"/>
      <w:pStyle w:val="8"/>
      <w:lvlText w:val="%7."/>
      <w:lvlJc w:val="left"/>
      <w:pPr>
        <w:tabs>
          <w:tab w:val="left" w:pos="3489"/>
        </w:tabs>
        <w:ind w:left="3489" w:hanging="420"/>
      </w:pPr>
    </w:lvl>
    <w:lvl w:ilvl="7" w:tentative="0">
      <w:start w:val="1"/>
      <w:numFmt w:val="lowerLetter"/>
      <w:pStyle w:val="9"/>
      <w:lvlText w:val="%8)"/>
      <w:lvlJc w:val="left"/>
      <w:pPr>
        <w:tabs>
          <w:tab w:val="left" w:pos="3909"/>
        </w:tabs>
        <w:ind w:left="3909" w:hanging="420"/>
      </w:pPr>
    </w:lvl>
    <w:lvl w:ilvl="8" w:tentative="0">
      <w:start w:val="1"/>
      <w:numFmt w:val="lowerRoman"/>
      <w:pStyle w:val="10"/>
      <w:lvlText w:val="%9."/>
      <w:lvlJc w:val="right"/>
      <w:pPr>
        <w:tabs>
          <w:tab w:val="left" w:pos="4329"/>
        </w:tabs>
        <w:ind w:left="4329" w:hanging="420"/>
      </w:pPr>
    </w:lvl>
  </w:abstractNum>
  <w:abstractNum w:abstractNumId="3">
    <w:nsid w:val="0000000C"/>
    <w:multiLevelType w:val="multilevel"/>
    <w:tmpl w:val="0000000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E"/>
    <w:multiLevelType w:val="multilevel"/>
    <w:tmpl w:val="0000000E"/>
    <w:lvl w:ilvl="0" w:tentative="0">
      <w:start w:val="1"/>
      <w:numFmt w:val="bullet"/>
      <w:pStyle w:val="93"/>
      <w:lvlText w:val=""/>
      <w:lvlJc w:val="left"/>
      <w:pPr>
        <w:tabs>
          <w:tab w:val="left" w:pos="840"/>
        </w:tabs>
        <w:ind w:left="840" w:hanging="420"/>
      </w:pPr>
      <w:rPr>
        <w:rFonts w:hint="default" w:ascii="Wingdings" w:hAnsi="Wingdings"/>
        <w:color w:val="auto"/>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5">
    <w:nsid w:val="00A1571F"/>
    <w:multiLevelType w:val="multilevel"/>
    <w:tmpl w:val="00A1571F"/>
    <w:lvl w:ilvl="0" w:tentative="0">
      <w:start w:val="1"/>
      <w:numFmt w:val="japaneseCounting"/>
      <w:lvlText w:val="第%1章"/>
      <w:lvlJc w:val="left"/>
      <w:pPr>
        <w:ind w:left="4331" w:hanging="840"/>
      </w:pPr>
      <w:rPr>
        <w:rFonts w:hint="default"/>
      </w:rPr>
    </w:lvl>
    <w:lvl w:ilvl="1" w:tentative="0">
      <w:start w:val="1"/>
      <w:numFmt w:val="lowerLetter"/>
      <w:lvlText w:val="%2)"/>
      <w:lvlJc w:val="left"/>
      <w:pPr>
        <w:ind w:left="4331" w:hanging="420"/>
      </w:pPr>
    </w:lvl>
    <w:lvl w:ilvl="2" w:tentative="0">
      <w:start w:val="1"/>
      <w:numFmt w:val="lowerRoman"/>
      <w:lvlText w:val="%3."/>
      <w:lvlJc w:val="right"/>
      <w:pPr>
        <w:ind w:left="4751" w:hanging="420"/>
      </w:pPr>
    </w:lvl>
    <w:lvl w:ilvl="3" w:tentative="0">
      <w:start w:val="1"/>
      <w:numFmt w:val="decimal"/>
      <w:lvlText w:val="%4."/>
      <w:lvlJc w:val="left"/>
      <w:pPr>
        <w:ind w:left="5171" w:hanging="420"/>
      </w:pPr>
    </w:lvl>
    <w:lvl w:ilvl="4" w:tentative="0">
      <w:start w:val="1"/>
      <w:numFmt w:val="lowerLetter"/>
      <w:lvlText w:val="%5)"/>
      <w:lvlJc w:val="left"/>
      <w:pPr>
        <w:ind w:left="5591" w:hanging="420"/>
      </w:pPr>
    </w:lvl>
    <w:lvl w:ilvl="5" w:tentative="0">
      <w:start w:val="1"/>
      <w:numFmt w:val="lowerRoman"/>
      <w:lvlText w:val="%6."/>
      <w:lvlJc w:val="right"/>
      <w:pPr>
        <w:ind w:left="6011" w:hanging="420"/>
      </w:pPr>
    </w:lvl>
    <w:lvl w:ilvl="6" w:tentative="0">
      <w:start w:val="1"/>
      <w:numFmt w:val="decimal"/>
      <w:lvlText w:val="%7."/>
      <w:lvlJc w:val="left"/>
      <w:pPr>
        <w:ind w:left="6431" w:hanging="420"/>
      </w:pPr>
    </w:lvl>
    <w:lvl w:ilvl="7" w:tentative="0">
      <w:start w:val="1"/>
      <w:numFmt w:val="lowerLetter"/>
      <w:lvlText w:val="%8)"/>
      <w:lvlJc w:val="left"/>
      <w:pPr>
        <w:ind w:left="6851" w:hanging="420"/>
      </w:pPr>
    </w:lvl>
    <w:lvl w:ilvl="8" w:tentative="0">
      <w:start w:val="1"/>
      <w:numFmt w:val="lowerRoman"/>
      <w:lvlText w:val="%9."/>
      <w:lvlJc w:val="right"/>
      <w:pPr>
        <w:ind w:left="7271" w:hanging="420"/>
      </w:pPr>
    </w:lvl>
  </w:abstractNum>
  <w:abstractNum w:abstractNumId="6">
    <w:nsid w:val="60B55DC2"/>
    <w:multiLevelType w:val="multilevel"/>
    <w:tmpl w:val="60B55DC2"/>
    <w:lvl w:ilvl="0" w:tentative="0">
      <w:start w:val="1"/>
      <w:numFmt w:val="upperLetter"/>
      <w:pStyle w:val="220"/>
      <w:lvlText w:val="%1"/>
      <w:lvlJc w:val="left"/>
      <w:pPr>
        <w:tabs>
          <w:tab w:val="left" w:pos="0"/>
        </w:tabs>
        <w:ind w:left="0" w:hanging="425"/>
      </w:pPr>
    </w:lvl>
    <w:lvl w:ilvl="1" w:tentative="0">
      <w:start w:val="1"/>
      <w:numFmt w:val="decimal"/>
      <w:pStyle w:val="221"/>
      <w:suff w:val="nothing"/>
      <w:lvlText w:val="表%1.%2　"/>
      <w:lvlJc w:val="left"/>
      <w:pPr>
        <w:ind w:left="3545" w:hanging="567"/>
      </w:pPr>
    </w:lvl>
    <w:lvl w:ilvl="2" w:tentative="0">
      <w:start w:val="1"/>
      <w:numFmt w:val="decimal"/>
      <w:lvlText w:val="%1.%2.%3"/>
      <w:lvlJc w:val="left"/>
      <w:pPr>
        <w:tabs>
          <w:tab w:val="left" w:pos="993"/>
        </w:tabs>
        <w:ind w:left="993" w:hanging="567"/>
      </w:pPr>
    </w:lvl>
    <w:lvl w:ilvl="3" w:tentative="0">
      <w:start w:val="1"/>
      <w:numFmt w:val="decimal"/>
      <w:lvlText w:val="%1.%2.%3.%4"/>
      <w:lvlJc w:val="left"/>
      <w:pPr>
        <w:tabs>
          <w:tab w:val="left" w:pos="2291"/>
        </w:tabs>
        <w:ind w:left="1559" w:hanging="708"/>
      </w:pPr>
    </w:lvl>
    <w:lvl w:ilvl="4" w:tentative="0">
      <w:start w:val="1"/>
      <w:numFmt w:val="decimal"/>
      <w:lvlText w:val="%1.%2.%3.%4.%5"/>
      <w:lvlJc w:val="left"/>
      <w:pPr>
        <w:tabs>
          <w:tab w:val="left" w:pos="3076"/>
        </w:tabs>
        <w:ind w:left="2126" w:hanging="850"/>
      </w:pPr>
    </w:lvl>
    <w:lvl w:ilvl="5" w:tentative="0">
      <w:start w:val="1"/>
      <w:numFmt w:val="decimal"/>
      <w:lvlText w:val="%1.%2.%3.%4.%5.%6"/>
      <w:lvlJc w:val="left"/>
      <w:pPr>
        <w:tabs>
          <w:tab w:val="left" w:pos="3861"/>
        </w:tabs>
        <w:ind w:left="2835" w:hanging="1134"/>
      </w:pPr>
    </w:lvl>
    <w:lvl w:ilvl="6" w:tentative="0">
      <w:start w:val="1"/>
      <w:numFmt w:val="decimal"/>
      <w:lvlText w:val="%1.%2.%3.%4.%5.%6.%7"/>
      <w:lvlJc w:val="left"/>
      <w:pPr>
        <w:tabs>
          <w:tab w:val="left" w:pos="4646"/>
        </w:tabs>
        <w:ind w:left="3402" w:hanging="1276"/>
      </w:pPr>
    </w:lvl>
    <w:lvl w:ilvl="7" w:tentative="0">
      <w:start w:val="1"/>
      <w:numFmt w:val="decimal"/>
      <w:lvlText w:val="%1.%2.%3.%4.%5.%6.%7.%8"/>
      <w:lvlJc w:val="left"/>
      <w:pPr>
        <w:tabs>
          <w:tab w:val="left" w:pos="5431"/>
        </w:tabs>
        <w:ind w:left="3969" w:hanging="1418"/>
      </w:pPr>
    </w:lvl>
    <w:lvl w:ilvl="8" w:tentative="0">
      <w:start w:val="1"/>
      <w:numFmt w:val="decimal"/>
      <w:lvlText w:val="%1.%2.%3.%4.%5.%6.%7.%8.%9"/>
      <w:lvlJc w:val="left"/>
      <w:pPr>
        <w:tabs>
          <w:tab w:val="left" w:pos="6217"/>
        </w:tabs>
        <w:ind w:left="4677" w:hanging="1700"/>
      </w:pPr>
    </w:lvl>
  </w:abstractNum>
  <w:num w:numId="1">
    <w:abstractNumId w:val="2"/>
  </w:num>
  <w:num w:numId="2">
    <w:abstractNumId w:val="4"/>
  </w:num>
  <w:num w:numId="3">
    <w:abstractNumId w:val="0"/>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85"/>
    <w:rsid w:val="000019B5"/>
    <w:rsid w:val="00001E33"/>
    <w:rsid w:val="000037F2"/>
    <w:rsid w:val="00005FCE"/>
    <w:rsid w:val="000064F9"/>
    <w:rsid w:val="000124B7"/>
    <w:rsid w:val="00014344"/>
    <w:rsid w:val="00015A02"/>
    <w:rsid w:val="00015B44"/>
    <w:rsid w:val="00021C1D"/>
    <w:rsid w:val="00024348"/>
    <w:rsid w:val="000275BE"/>
    <w:rsid w:val="00030745"/>
    <w:rsid w:val="0003153C"/>
    <w:rsid w:val="00032217"/>
    <w:rsid w:val="00032340"/>
    <w:rsid w:val="00032A72"/>
    <w:rsid w:val="00032C24"/>
    <w:rsid w:val="00035AB0"/>
    <w:rsid w:val="00040454"/>
    <w:rsid w:val="0004101F"/>
    <w:rsid w:val="00041414"/>
    <w:rsid w:val="0004149A"/>
    <w:rsid w:val="00042767"/>
    <w:rsid w:val="0004317D"/>
    <w:rsid w:val="00043181"/>
    <w:rsid w:val="000437CE"/>
    <w:rsid w:val="00044995"/>
    <w:rsid w:val="00044B0F"/>
    <w:rsid w:val="000521B0"/>
    <w:rsid w:val="0005504F"/>
    <w:rsid w:val="000554EC"/>
    <w:rsid w:val="000558A5"/>
    <w:rsid w:val="00060357"/>
    <w:rsid w:val="000629DD"/>
    <w:rsid w:val="00063168"/>
    <w:rsid w:val="0006359A"/>
    <w:rsid w:val="00065151"/>
    <w:rsid w:val="00071A78"/>
    <w:rsid w:val="00073FAA"/>
    <w:rsid w:val="000750A4"/>
    <w:rsid w:val="000750E1"/>
    <w:rsid w:val="0007548C"/>
    <w:rsid w:val="00075906"/>
    <w:rsid w:val="00076D91"/>
    <w:rsid w:val="00077EEC"/>
    <w:rsid w:val="00080598"/>
    <w:rsid w:val="00082D2C"/>
    <w:rsid w:val="0008436C"/>
    <w:rsid w:val="00086144"/>
    <w:rsid w:val="0008633D"/>
    <w:rsid w:val="00086FD7"/>
    <w:rsid w:val="00087037"/>
    <w:rsid w:val="0008773A"/>
    <w:rsid w:val="000900FC"/>
    <w:rsid w:val="00090186"/>
    <w:rsid w:val="00090F39"/>
    <w:rsid w:val="00091D78"/>
    <w:rsid w:val="0009262E"/>
    <w:rsid w:val="00096C31"/>
    <w:rsid w:val="000971DF"/>
    <w:rsid w:val="0009744B"/>
    <w:rsid w:val="000A0964"/>
    <w:rsid w:val="000A0F1D"/>
    <w:rsid w:val="000A132A"/>
    <w:rsid w:val="000A1428"/>
    <w:rsid w:val="000A3313"/>
    <w:rsid w:val="000A3541"/>
    <w:rsid w:val="000A5AB3"/>
    <w:rsid w:val="000B2D92"/>
    <w:rsid w:val="000B4FD6"/>
    <w:rsid w:val="000B5545"/>
    <w:rsid w:val="000B5551"/>
    <w:rsid w:val="000B63B3"/>
    <w:rsid w:val="000B7161"/>
    <w:rsid w:val="000B7365"/>
    <w:rsid w:val="000C2322"/>
    <w:rsid w:val="000C5C82"/>
    <w:rsid w:val="000C612E"/>
    <w:rsid w:val="000C6D84"/>
    <w:rsid w:val="000D02AA"/>
    <w:rsid w:val="000D0A17"/>
    <w:rsid w:val="000D17C6"/>
    <w:rsid w:val="000D515C"/>
    <w:rsid w:val="000D5C01"/>
    <w:rsid w:val="000E15BD"/>
    <w:rsid w:val="000E4D0C"/>
    <w:rsid w:val="000E550B"/>
    <w:rsid w:val="000E6319"/>
    <w:rsid w:val="000F0698"/>
    <w:rsid w:val="000F082D"/>
    <w:rsid w:val="000F333E"/>
    <w:rsid w:val="000F422E"/>
    <w:rsid w:val="000F6D0F"/>
    <w:rsid w:val="001016F2"/>
    <w:rsid w:val="00103E0C"/>
    <w:rsid w:val="00104530"/>
    <w:rsid w:val="00104570"/>
    <w:rsid w:val="00105203"/>
    <w:rsid w:val="001066A5"/>
    <w:rsid w:val="0010792E"/>
    <w:rsid w:val="001117FE"/>
    <w:rsid w:val="00111FA5"/>
    <w:rsid w:val="001131E3"/>
    <w:rsid w:val="00117038"/>
    <w:rsid w:val="00117F1A"/>
    <w:rsid w:val="00120A63"/>
    <w:rsid w:val="00120BA9"/>
    <w:rsid w:val="001246B6"/>
    <w:rsid w:val="001247E2"/>
    <w:rsid w:val="00127E2F"/>
    <w:rsid w:val="00130354"/>
    <w:rsid w:val="00132AC3"/>
    <w:rsid w:val="00134349"/>
    <w:rsid w:val="00135CFE"/>
    <w:rsid w:val="00141011"/>
    <w:rsid w:val="00141C9F"/>
    <w:rsid w:val="00142373"/>
    <w:rsid w:val="00143F98"/>
    <w:rsid w:val="0014459C"/>
    <w:rsid w:val="00146DBB"/>
    <w:rsid w:val="00147FB1"/>
    <w:rsid w:val="00150115"/>
    <w:rsid w:val="00154774"/>
    <w:rsid w:val="00155388"/>
    <w:rsid w:val="0015557E"/>
    <w:rsid w:val="00156723"/>
    <w:rsid w:val="00156A89"/>
    <w:rsid w:val="00156AC8"/>
    <w:rsid w:val="00157C1F"/>
    <w:rsid w:val="00160171"/>
    <w:rsid w:val="00160C4C"/>
    <w:rsid w:val="00161123"/>
    <w:rsid w:val="001611B8"/>
    <w:rsid w:val="00161331"/>
    <w:rsid w:val="00162B44"/>
    <w:rsid w:val="00165EB9"/>
    <w:rsid w:val="00166437"/>
    <w:rsid w:val="00170333"/>
    <w:rsid w:val="00171AA8"/>
    <w:rsid w:val="0017223F"/>
    <w:rsid w:val="00176355"/>
    <w:rsid w:val="00177528"/>
    <w:rsid w:val="00180D8E"/>
    <w:rsid w:val="0018304A"/>
    <w:rsid w:val="00183F40"/>
    <w:rsid w:val="00186AFA"/>
    <w:rsid w:val="00190BA3"/>
    <w:rsid w:val="00197761"/>
    <w:rsid w:val="001A0B92"/>
    <w:rsid w:val="001A22C1"/>
    <w:rsid w:val="001A3186"/>
    <w:rsid w:val="001A3257"/>
    <w:rsid w:val="001A4ADD"/>
    <w:rsid w:val="001A5910"/>
    <w:rsid w:val="001A6850"/>
    <w:rsid w:val="001B2547"/>
    <w:rsid w:val="001B4ECB"/>
    <w:rsid w:val="001B561C"/>
    <w:rsid w:val="001B631D"/>
    <w:rsid w:val="001C2945"/>
    <w:rsid w:val="001C4C6E"/>
    <w:rsid w:val="001C66C5"/>
    <w:rsid w:val="001C7085"/>
    <w:rsid w:val="001C780A"/>
    <w:rsid w:val="001C7988"/>
    <w:rsid w:val="001D1224"/>
    <w:rsid w:val="001D128E"/>
    <w:rsid w:val="001D3E3C"/>
    <w:rsid w:val="001D44B5"/>
    <w:rsid w:val="001D470F"/>
    <w:rsid w:val="001D4D24"/>
    <w:rsid w:val="001D7C35"/>
    <w:rsid w:val="001E146C"/>
    <w:rsid w:val="001E2F8C"/>
    <w:rsid w:val="001E6B2B"/>
    <w:rsid w:val="001F3324"/>
    <w:rsid w:val="001F38E6"/>
    <w:rsid w:val="001F46E4"/>
    <w:rsid w:val="001F50D5"/>
    <w:rsid w:val="001F7064"/>
    <w:rsid w:val="00200C69"/>
    <w:rsid w:val="002024F8"/>
    <w:rsid w:val="00203A97"/>
    <w:rsid w:val="00203C57"/>
    <w:rsid w:val="00204D35"/>
    <w:rsid w:val="00205A07"/>
    <w:rsid w:val="002138E0"/>
    <w:rsid w:val="002141C4"/>
    <w:rsid w:val="0021704B"/>
    <w:rsid w:val="00217885"/>
    <w:rsid w:val="00217F36"/>
    <w:rsid w:val="002216D2"/>
    <w:rsid w:val="002309C7"/>
    <w:rsid w:val="002349C2"/>
    <w:rsid w:val="002359DD"/>
    <w:rsid w:val="00236426"/>
    <w:rsid w:val="00236BF6"/>
    <w:rsid w:val="00236FE0"/>
    <w:rsid w:val="00246923"/>
    <w:rsid w:val="00247981"/>
    <w:rsid w:val="00247D3C"/>
    <w:rsid w:val="00251746"/>
    <w:rsid w:val="00252A85"/>
    <w:rsid w:val="00252E75"/>
    <w:rsid w:val="002531F7"/>
    <w:rsid w:val="002618B9"/>
    <w:rsid w:val="00262286"/>
    <w:rsid w:val="00267255"/>
    <w:rsid w:val="002677C5"/>
    <w:rsid w:val="0026789F"/>
    <w:rsid w:val="0027098A"/>
    <w:rsid w:val="00274A75"/>
    <w:rsid w:val="002758D1"/>
    <w:rsid w:val="00275B60"/>
    <w:rsid w:val="00276325"/>
    <w:rsid w:val="00276D08"/>
    <w:rsid w:val="00277A59"/>
    <w:rsid w:val="00280DF6"/>
    <w:rsid w:val="002813D5"/>
    <w:rsid w:val="002833E4"/>
    <w:rsid w:val="002847EC"/>
    <w:rsid w:val="00285C3F"/>
    <w:rsid w:val="00285DEC"/>
    <w:rsid w:val="00285F7D"/>
    <w:rsid w:val="00286176"/>
    <w:rsid w:val="002900C6"/>
    <w:rsid w:val="00290210"/>
    <w:rsid w:val="00290AF1"/>
    <w:rsid w:val="00290EA5"/>
    <w:rsid w:val="0029262E"/>
    <w:rsid w:val="00292903"/>
    <w:rsid w:val="00293351"/>
    <w:rsid w:val="00294C80"/>
    <w:rsid w:val="00294EA4"/>
    <w:rsid w:val="002954F1"/>
    <w:rsid w:val="00297645"/>
    <w:rsid w:val="002A1E57"/>
    <w:rsid w:val="002A2412"/>
    <w:rsid w:val="002A3538"/>
    <w:rsid w:val="002A5FA3"/>
    <w:rsid w:val="002A7A89"/>
    <w:rsid w:val="002B07D2"/>
    <w:rsid w:val="002B086D"/>
    <w:rsid w:val="002B46C2"/>
    <w:rsid w:val="002B6555"/>
    <w:rsid w:val="002B6ACB"/>
    <w:rsid w:val="002B7533"/>
    <w:rsid w:val="002C0752"/>
    <w:rsid w:val="002C1118"/>
    <w:rsid w:val="002C1AB6"/>
    <w:rsid w:val="002C2541"/>
    <w:rsid w:val="002C5CB7"/>
    <w:rsid w:val="002C5EBE"/>
    <w:rsid w:val="002C6105"/>
    <w:rsid w:val="002C7284"/>
    <w:rsid w:val="002D274A"/>
    <w:rsid w:val="002D2ABF"/>
    <w:rsid w:val="002D3A79"/>
    <w:rsid w:val="002D3B81"/>
    <w:rsid w:val="002D3D9A"/>
    <w:rsid w:val="002D565D"/>
    <w:rsid w:val="002D5A33"/>
    <w:rsid w:val="002D5B54"/>
    <w:rsid w:val="002E08E7"/>
    <w:rsid w:val="002E335C"/>
    <w:rsid w:val="002E3D50"/>
    <w:rsid w:val="002E5B7A"/>
    <w:rsid w:val="002E5EAB"/>
    <w:rsid w:val="002E5EDD"/>
    <w:rsid w:val="002E6E32"/>
    <w:rsid w:val="002E7AC9"/>
    <w:rsid w:val="002F14A2"/>
    <w:rsid w:val="002F4D72"/>
    <w:rsid w:val="002F4ECE"/>
    <w:rsid w:val="002F5386"/>
    <w:rsid w:val="002F5648"/>
    <w:rsid w:val="002F7057"/>
    <w:rsid w:val="002F7ADE"/>
    <w:rsid w:val="003028A1"/>
    <w:rsid w:val="00305086"/>
    <w:rsid w:val="0030511C"/>
    <w:rsid w:val="00305EF3"/>
    <w:rsid w:val="00307C6D"/>
    <w:rsid w:val="0031146F"/>
    <w:rsid w:val="00313BDC"/>
    <w:rsid w:val="003166E1"/>
    <w:rsid w:val="003175DD"/>
    <w:rsid w:val="00317A60"/>
    <w:rsid w:val="0032346F"/>
    <w:rsid w:val="003252DF"/>
    <w:rsid w:val="00330A6A"/>
    <w:rsid w:val="00330FBC"/>
    <w:rsid w:val="00331EF4"/>
    <w:rsid w:val="0033413C"/>
    <w:rsid w:val="0034009B"/>
    <w:rsid w:val="00340152"/>
    <w:rsid w:val="0034045A"/>
    <w:rsid w:val="00340B5B"/>
    <w:rsid w:val="00343DE1"/>
    <w:rsid w:val="003453A3"/>
    <w:rsid w:val="003456D5"/>
    <w:rsid w:val="00346797"/>
    <w:rsid w:val="003477E3"/>
    <w:rsid w:val="00350415"/>
    <w:rsid w:val="00351A42"/>
    <w:rsid w:val="00354113"/>
    <w:rsid w:val="00354D79"/>
    <w:rsid w:val="0035512E"/>
    <w:rsid w:val="00355D59"/>
    <w:rsid w:val="003562A9"/>
    <w:rsid w:val="0035724C"/>
    <w:rsid w:val="00357BB1"/>
    <w:rsid w:val="003601BC"/>
    <w:rsid w:val="003605DA"/>
    <w:rsid w:val="00361E13"/>
    <w:rsid w:val="00361E84"/>
    <w:rsid w:val="003620B6"/>
    <w:rsid w:val="00363A25"/>
    <w:rsid w:val="00363FBE"/>
    <w:rsid w:val="0036589D"/>
    <w:rsid w:val="00366DF7"/>
    <w:rsid w:val="00366FF7"/>
    <w:rsid w:val="00367583"/>
    <w:rsid w:val="00367DC0"/>
    <w:rsid w:val="00371797"/>
    <w:rsid w:val="00372CDD"/>
    <w:rsid w:val="00374800"/>
    <w:rsid w:val="0037604A"/>
    <w:rsid w:val="0037796F"/>
    <w:rsid w:val="003850C1"/>
    <w:rsid w:val="00386C41"/>
    <w:rsid w:val="00386F2E"/>
    <w:rsid w:val="00387C9F"/>
    <w:rsid w:val="00391691"/>
    <w:rsid w:val="0039586D"/>
    <w:rsid w:val="00396255"/>
    <w:rsid w:val="0039754F"/>
    <w:rsid w:val="003978E6"/>
    <w:rsid w:val="003A0038"/>
    <w:rsid w:val="003A059F"/>
    <w:rsid w:val="003A231E"/>
    <w:rsid w:val="003A585F"/>
    <w:rsid w:val="003A60CE"/>
    <w:rsid w:val="003A6F40"/>
    <w:rsid w:val="003A7970"/>
    <w:rsid w:val="003A79ED"/>
    <w:rsid w:val="003A7DC4"/>
    <w:rsid w:val="003A7FDC"/>
    <w:rsid w:val="003B5C3F"/>
    <w:rsid w:val="003C4C9F"/>
    <w:rsid w:val="003C57A9"/>
    <w:rsid w:val="003C62D0"/>
    <w:rsid w:val="003D1807"/>
    <w:rsid w:val="003D198A"/>
    <w:rsid w:val="003D305F"/>
    <w:rsid w:val="003D3113"/>
    <w:rsid w:val="003D3190"/>
    <w:rsid w:val="003D31B7"/>
    <w:rsid w:val="003D4292"/>
    <w:rsid w:val="003D4833"/>
    <w:rsid w:val="003D7194"/>
    <w:rsid w:val="003D73A0"/>
    <w:rsid w:val="003E0287"/>
    <w:rsid w:val="003E303A"/>
    <w:rsid w:val="003E309A"/>
    <w:rsid w:val="003E4CA7"/>
    <w:rsid w:val="003E53CD"/>
    <w:rsid w:val="003E61FE"/>
    <w:rsid w:val="003E6776"/>
    <w:rsid w:val="003E6B9C"/>
    <w:rsid w:val="003E7A65"/>
    <w:rsid w:val="003F1BED"/>
    <w:rsid w:val="003F4180"/>
    <w:rsid w:val="003F43DD"/>
    <w:rsid w:val="003F6293"/>
    <w:rsid w:val="003F68FC"/>
    <w:rsid w:val="0040058C"/>
    <w:rsid w:val="004010B1"/>
    <w:rsid w:val="0040126E"/>
    <w:rsid w:val="004023C0"/>
    <w:rsid w:val="00404152"/>
    <w:rsid w:val="00406E46"/>
    <w:rsid w:val="0040743F"/>
    <w:rsid w:val="00411079"/>
    <w:rsid w:val="004115E2"/>
    <w:rsid w:val="004117C1"/>
    <w:rsid w:val="00411877"/>
    <w:rsid w:val="004127CA"/>
    <w:rsid w:val="00414241"/>
    <w:rsid w:val="00414662"/>
    <w:rsid w:val="00417D84"/>
    <w:rsid w:val="00420B58"/>
    <w:rsid w:val="00420E78"/>
    <w:rsid w:val="004223BB"/>
    <w:rsid w:val="00425C9D"/>
    <w:rsid w:val="00425DB7"/>
    <w:rsid w:val="004261E5"/>
    <w:rsid w:val="00431F27"/>
    <w:rsid w:val="00432AB7"/>
    <w:rsid w:val="00433011"/>
    <w:rsid w:val="004352F5"/>
    <w:rsid w:val="00435D31"/>
    <w:rsid w:val="00435D5B"/>
    <w:rsid w:val="004374BE"/>
    <w:rsid w:val="00440E33"/>
    <w:rsid w:val="00441CA8"/>
    <w:rsid w:val="004431F8"/>
    <w:rsid w:val="00443247"/>
    <w:rsid w:val="00445BD5"/>
    <w:rsid w:val="00447B3B"/>
    <w:rsid w:val="00451144"/>
    <w:rsid w:val="00452F0B"/>
    <w:rsid w:val="00456764"/>
    <w:rsid w:val="004575B1"/>
    <w:rsid w:val="00457780"/>
    <w:rsid w:val="0046293D"/>
    <w:rsid w:val="0046308F"/>
    <w:rsid w:val="00465FFD"/>
    <w:rsid w:val="0047220D"/>
    <w:rsid w:val="00473067"/>
    <w:rsid w:val="004755C8"/>
    <w:rsid w:val="004771B0"/>
    <w:rsid w:val="00481182"/>
    <w:rsid w:val="00481B1C"/>
    <w:rsid w:val="004825C2"/>
    <w:rsid w:val="004827A6"/>
    <w:rsid w:val="00482AEC"/>
    <w:rsid w:val="00482DE0"/>
    <w:rsid w:val="00483816"/>
    <w:rsid w:val="00486BCF"/>
    <w:rsid w:val="0049094E"/>
    <w:rsid w:val="00491598"/>
    <w:rsid w:val="00492793"/>
    <w:rsid w:val="00493B4C"/>
    <w:rsid w:val="00493C31"/>
    <w:rsid w:val="0049481A"/>
    <w:rsid w:val="004A17D2"/>
    <w:rsid w:val="004A2023"/>
    <w:rsid w:val="004A2179"/>
    <w:rsid w:val="004A32E9"/>
    <w:rsid w:val="004A6F4D"/>
    <w:rsid w:val="004A7401"/>
    <w:rsid w:val="004B1CE0"/>
    <w:rsid w:val="004B22B2"/>
    <w:rsid w:val="004B565B"/>
    <w:rsid w:val="004B6BB2"/>
    <w:rsid w:val="004C362D"/>
    <w:rsid w:val="004C4D09"/>
    <w:rsid w:val="004C4F15"/>
    <w:rsid w:val="004C5AFB"/>
    <w:rsid w:val="004C6544"/>
    <w:rsid w:val="004C658C"/>
    <w:rsid w:val="004C6E43"/>
    <w:rsid w:val="004C759F"/>
    <w:rsid w:val="004C76F9"/>
    <w:rsid w:val="004D011C"/>
    <w:rsid w:val="004D01A9"/>
    <w:rsid w:val="004D0B6D"/>
    <w:rsid w:val="004D1A36"/>
    <w:rsid w:val="004D2924"/>
    <w:rsid w:val="004D2C93"/>
    <w:rsid w:val="004D3DB3"/>
    <w:rsid w:val="004D57AF"/>
    <w:rsid w:val="004D5A44"/>
    <w:rsid w:val="004D6BA9"/>
    <w:rsid w:val="004E0D0E"/>
    <w:rsid w:val="004E19E1"/>
    <w:rsid w:val="004E35E8"/>
    <w:rsid w:val="004E37D1"/>
    <w:rsid w:val="004E3BE0"/>
    <w:rsid w:val="004F1447"/>
    <w:rsid w:val="004F16A9"/>
    <w:rsid w:val="00500436"/>
    <w:rsid w:val="00500D74"/>
    <w:rsid w:val="0050117C"/>
    <w:rsid w:val="005032DD"/>
    <w:rsid w:val="005049B8"/>
    <w:rsid w:val="005055B0"/>
    <w:rsid w:val="005109E3"/>
    <w:rsid w:val="00510CE7"/>
    <w:rsid w:val="00511267"/>
    <w:rsid w:val="00511FC6"/>
    <w:rsid w:val="00517A47"/>
    <w:rsid w:val="00517F41"/>
    <w:rsid w:val="0052071C"/>
    <w:rsid w:val="00520A53"/>
    <w:rsid w:val="005214EC"/>
    <w:rsid w:val="0052378F"/>
    <w:rsid w:val="00523827"/>
    <w:rsid w:val="00523AF4"/>
    <w:rsid w:val="0052688C"/>
    <w:rsid w:val="005269E2"/>
    <w:rsid w:val="005275B1"/>
    <w:rsid w:val="00531038"/>
    <w:rsid w:val="005323F9"/>
    <w:rsid w:val="00532CEC"/>
    <w:rsid w:val="005351EA"/>
    <w:rsid w:val="0053557A"/>
    <w:rsid w:val="00535BD1"/>
    <w:rsid w:val="00536ACA"/>
    <w:rsid w:val="00536CC2"/>
    <w:rsid w:val="0053771F"/>
    <w:rsid w:val="00540583"/>
    <w:rsid w:val="00542B4D"/>
    <w:rsid w:val="00544F6C"/>
    <w:rsid w:val="00545552"/>
    <w:rsid w:val="005460E1"/>
    <w:rsid w:val="00547B46"/>
    <w:rsid w:val="00551BFF"/>
    <w:rsid w:val="00552AF4"/>
    <w:rsid w:val="00552C27"/>
    <w:rsid w:val="005541D2"/>
    <w:rsid w:val="00555169"/>
    <w:rsid w:val="00556CAB"/>
    <w:rsid w:val="00557212"/>
    <w:rsid w:val="005611C9"/>
    <w:rsid w:val="005655C3"/>
    <w:rsid w:val="0056676F"/>
    <w:rsid w:val="00570104"/>
    <w:rsid w:val="00570A65"/>
    <w:rsid w:val="00571223"/>
    <w:rsid w:val="0057590C"/>
    <w:rsid w:val="00575C09"/>
    <w:rsid w:val="005771EF"/>
    <w:rsid w:val="00577D22"/>
    <w:rsid w:val="00584B37"/>
    <w:rsid w:val="00585EC9"/>
    <w:rsid w:val="00586746"/>
    <w:rsid w:val="00587E08"/>
    <w:rsid w:val="00592E5D"/>
    <w:rsid w:val="00594ECC"/>
    <w:rsid w:val="00595358"/>
    <w:rsid w:val="00595AC9"/>
    <w:rsid w:val="0059662E"/>
    <w:rsid w:val="00596711"/>
    <w:rsid w:val="0059698F"/>
    <w:rsid w:val="00597732"/>
    <w:rsid w:val="005A238D"/>
    <w:rsid w:val="005A30D6"/>
    <w:rsid w:val="005A45E1"/>
    <w:rsid w:val="005A5BF4"/>
    <w:rsid w:val="005A63BF"/>
    <w:rsid w:val="005A75B9"/>
    <w:rsid w:val="005A75C8"/>
    <w:rsid w:val="005B0065"/>
    <w:rsid w:val="005B275E"/>
    <w:rsid w:val="005B37A7"/>
    <w:rsid w:val="005B71D9"/>
    <w:rsid w:val="005B72CA"/>
    <w:rsid w:val="005C0AAB"/>
    <w:rsid w:val="005C24D1"/>
    <w:rsid w:val="005C2E67"/>
    <w:rsid w:val="005C393D"/>
    <w:rsid w:val="005C46EF"/>
    <w:rsid w:val="005C7788"/>
    <w:rsid w:val="005D0F26"/>
    <w:rsid w:val="005D1575"/>
    <w:rsid w:val="005D18E5"/>
    <w:rsid w:val="005D1F48"/>
    <w:rsid w:val="005D20F2"/>
    <w:rsid w:val="005D450D"/>
    <w:rsid w:val="005D49D6"/>
    <w:rsid w:val="005D7B0E"/>
    <w:rsid w:val="005E0C34"/>
    <w:rsid w:val="005E0C67"/>
    <w:rsid w:val="005E1613"/>
    <w:rsid w:val="005E1B00"/>
    <w:rsid w:val="005E1E22"/>
    <w:rsid w:val="005E28DB"/>
    <w:rsid w:val="005E31CC"/>
    <w:rsid w:val="005E3207"/>
    <w:rsid w:val="005E3EC1"/>
    <w:rsid w:val="005E4F1E"/>
    <w:rsid w:val="005E7B84"/>
    <w:rsid w:val="005F01D8"/>
    <w:rsid w:val="005F04AE"/>
    <w:rsid w:val="005F1AFD"/>
    <w:rsid w:val="005F221E"/>
    <w:rsid w:val="005F461F"/>
    <w:rsid w:val="005F4751"/>
    <w:rsid w:val="005F5051"/>
    <w:rsid w:val="005F62DF"/>
    <w:rsid w:val="005F639F"/>
    <w:rsid w:val="005F6C1D"/>
    <w:rsid w:val="005F6C97"/>
    <w:rsid w:val="005F72B5"/>
    <w:rsid w:val="006033B9"/>
    <w:rsid w:val="00603405"/>
    <w:rsid w:val="00604E2D"/>
    <w:rsid w:val="0061529A"/>
    <w:rsid w:val="00615A8D"/>
    <w:rsid w:val="00616A52"/>
    <w:rsid w:val="00620B2E"/>
    <w:rsid w:val="00624825"/>
    <w:rsid w:val="00624BAD"/>
    <w:rsid w:val="0062530A"/>
    <w:rsid w:val="00625939"/>
    <w:rsid w:val="00634375"/>
    <w:rsid w:val="006370B3"/>
    <w:rsid w:val="006378FD"/>
    <w:rsid w:val="00637903"/>
    <w:rsid w:val="00637E93"/>
    <w:rsid w:val="00637F2E"/>
    <w:rsid w:val="00641217"/>
    <w:rsid w:val="0064532B"/>
    <w:rsid w:val="0064782F"/>
    <w:rsid w:val="0065013A"/>
    <w:rsid w:val="00650FB0"/>
    <w:rsid w:val="0065161B"/>
    <w:rsid w:val="00651831"/>
    <w:rsid w:val="006530CE"/>
    <w:rsid w:val="0065785E"/>
    <w:rsid w:val="00657D10"/>
    <w:rsid w:val="006604AC"/>
    <w:rsid w:val="00661376"/>
    <w:rsid w:val="006615E5"/>
    <w:rsid w:val="00663483"/>
    <w:rsid w:val="00663B6F"/>
    <w:rsid w:val="00663DD3"/>
    <w:rsid w:val="0066477C"/>
    <w:rsid w:val="006650C7"/>
    <w:rsid w:val="00666A3E"/>
    <w:rsid w:val="00670FAA"/>
    <w:rsid w:val="006718B0"/>
    <w:rsid w:val="006719FE"/>
    <w:rsid w:val="0067569A"/>
    <w:rsid w:val="006820F4"/>
    <w:rsid w:val="006825D8"/>
    <w:rsid w:val="00685872"/>
    <w:rsid w:val="006869C4"/>
    <w:rsid w:val="0068719C"/>
    <w:rsid w:val="00687D18"/>
    <w:rsid w:val="0069019B"/>
    <w:rsid w:val="00691D72"/>
    <w:rsid w:val="006974C8"/>
    <w:rsid w:val="00697B24"/>
    <w:rsid w:val="00697EA9"/>
    <w:rsid w:val="006A06EE"/>
    <w:rsid w:val="006A25CE"/>
    <w:rsid w:val="006A2FB1"/>
    <w:rsid w:val="006A3281"/>
    <w:rsid w:val="006A4BA2"/>
    <w:rsid w:val="006A640F"/>
    <w:rsid w:val="006A7FBB"/>
    <w:rsid w:val="006B0D3C"/>
    <w:rsid w:val="006B0E96"/>
    <w:rsid w:val="006B1ADB"/>
    <w:rsid w:val="006B23A4"/>
    <w:rsid w:val="006B3C71"/>
    <w:rsid w:val="006B4351"/>
    <w:rsid w:val="006B6D1C"/>
    <w:rsid w:val="006C227A"/>
    <w:rsid w:val="006C287A"/>
    <w:rsid w:val="006C344B"/>
    <w:rsid w:val="006C3D88"/>
    <w:rsid w:val="006D30BE"/>
    <w:rsid w:val="006D567A"/>
    <w:rsid w:val="006D58D2"/>
    <w:rsid w:val="006D5943"/>
    <w:rsid w:val="006E010B"/>
    <w:rsid w:val="006E16A8"/>
    <w:rsid w:val="006E382F"/>
    <w:rsid w:val="006E3EC4"/>
    <w:rsid w:val="006E4DA1"/>
    <w:rsid w:val="006E6765"/>
    <w:rsid w:val="006E6953"/>
    <w:rsid w:val="006F1AAC"/>
    <w:rsid w:val="006F2097"/>
    <w:rsid w:val="006F344D"/>
    <w:rsid w:val="006F5052"/>
    <w:rsid w:val="006F63B1"/>
    <w:rsid w:val="00700CD9"/>
    <w:rsid w:val="00701BA9"/>
    <w:rsid w:val="007020B5"/>
    <w:rsid w:val="007029E6"/>
    <w:rsid w:val="00703008"/>
    <w:rsid w:val="007039E3"/>
    <w:rsid w:val="007055F3"/>
    <w:rsid w:val="007056AE"/>
    <w:rsid w:val="00706DA6"/>
    <w:rsid w:val="007071EB"/>
    <w:rsid w:val="00710463"/>
    <w:rsid w:val="00710837"/>
    <w:rsid w:val="00710B71"/>
    <w:rsid w:val="00711815"/>
    <w:rsid w:val="00714859"/>
    <w:rsid w:val="00714F92"/>
    <w:rsid w:val="0071524A"/>
    <w:rsid w:val="00716EEF"/>
    <w:rsid w:val="00717FD3"/>
    <w:rsid w:val="0072022B"/>
    <w:rsid w:val="00720C41"/>
    <w:rsid w:val="00722FBA"/>
    <w:rsid w:val="0072313F"/>
    <w:rsid w:val="00727F36"/>
    <w:rsid w:val="0073012D"/>
    <w:rsid w:val="00732742"/>
    <w:rsid w:val="0073370C"/>
    <w:rsid w:val="00733A3B"/>
    <w:rsid w:val="00744479"/>
    <w:rsid w:val="00744FCC"/>
    <w:rsid w:val="00747D32"/>
    <w:rsid w:val="0075190A"/>
    <w:rsid w:val="00752753"/>
    <w:rsid w:val="00752854"/>
    <w:rsid w:val="0075471A"/>
    <w:rsid w:val="00754E54"/>
    <w:rsid w:val="00755E9B"/>
    <w:rsid w:val="00757E08"/>
    <w:rsid w:val="00766ADF"/>
    <w:rsid w:val="00772676"/>
    <w:rsid w:val="007726C3"/>
    <w:rsid w:val="00772B76"/>
    <w:rsid w:val="00773D9F"/>
    <w:rsid w:val="00774571"/>
    <w:rsid w:val="00780E8E"/>
    <w:rsid w:val="007812FA"/>
    <w:rsid w:val="0078207C"/>
    <w:rsid w:val="00782676"/>
    <w:rsid w:val="007830D7"/>
    <w:rsid w:val="0078499E"/>
    <w:rsid w:val="0078591F"/>
    <w:rsid w:val="0078611D"/>
    <w:rsid w:val="0078682A"/>
    <w:rsid w:val="00786E7B"/>
    <w:rsid w:val="00787879"/>
    <w:rsid w:val="00791867"/>
    <w:rsid w:val="007919E4"/>
    <w:rsid w:val="00791FF1"/>
    <w:rsid w:val="0079216A"/>
    <w:rsid w:val="00792D96"/>
    <w:rsid w:val="00793656"/>
    <w:rsid w:val="0079581E"/>
    <w:rsid w:val="007969EF"/>
    <w:rsid w:val="007A0737"/>
    <w:rsid w:val="007A1182"/>
    <w:rsid w:val="007A341B"/>
    <w:rsid w:val="007A5951"/>
    <w:rsid w:val="007A6419"/>
    <w:rsid w:val="007A6A02"/>
    <w:rsid w:val="007A7335"/>
    <w:rsid w:val="007B06C6"/>
    <w:rsid w:val="007B16B5"/>
    <w:rsid w:val="007B1F51"/>
    <w:rsid w:val="007B4372"/>
    <w:rsid w:val="007B4578"/>
    <w:rsid w:val="007B50EE"/>
    <w:rsid w:val="007B6C05"/>
    <w:rsid w:val="007B79A8"/>
    <w:rsid w:val="007C0099"/>
    <w:rsid w:val="007C0FB3"/>
    <w:rsid w:val="007C17CD"/>
    <w:rsid w:val="007C17F7"/>
    <w:rsid w:val="007C1873"/>
    <w:rsid w:val="007C1EAB"/>
    <w:rsid w:val="007C3673"/>
    <w:rsid w:val="007C3E96"/>
    <w:rsid w:val="007C4F12"/>
    <w:rsid w:val="007C6D29"/>
    <w:rsid w:val="007C6DE3"/>
    <w:rsid w:val="007D01CB"/>
    <w:rsid w:val="007D0240"/>
    <w:rsid w:val="007D06D2"/>
    <w:rsid w:val="007D1ACE"/>
    <w:rsid w:val="007D2830"/>
    <w:rsid w:val="007D4FF0"/>
    <w:rsid w:val="007D6050"/>
    <w:rsid w:val="007E1654"/>
    <w:rsid w:val="007E1922"/>
    <w:rsid w:val="007E4109"/>
    <w:rsid w:val="007E6083"/>
    <w:rsid w:val="007E7F1E"/>
    <w:rsid w:val="007F425A"/>
    <w:rsid w:val="007F5E84"/>
    <w:rsid w:val="007F5F08"/>
    <w:rsid w:val="007F5FD5"/>
    <w:rsid w:val="007F6127"/>
    <w:rsid w:val="007F6812"/>
    <w:rsid w:val="007F7A75"/>
    <w:rsid w:val="008010B3"/>
    <w:rsid w:val="00803208"/>
    <w:rsid w:val="00807358"/>
    <w:rsid w:val="00810769"/>
    <w:rsid w:val="00810B6E"/>
    <w:rsid w:val="008151FE"/>
    <w:rsid w:val="008160B8"/>
    <w:rsid w:val="008209C0"/>
    <w:rsid w:val="00822053"/>
    <w:rsid w:val="0082268F"/>
    <w:rsid w:val="008237E0"/>
    <w:rsid w:val="00823D48"/>
    <w:rsid w:val="008244AF"/>
    <w:rsid w:val="00825E02"/>
    <w:rsid w:val="008261CD"/>
    <w:rsid w:val="00827211"/>
    <w:rsid w:val="00827C96"/>
    <w:rsid w:val="008314C9"/>
    <w:rsid w:val="008314D1"/>
    <w:rsid w:val="00831F79"/>
    <w:rsid w:val="008342B6"/>
    <w:rsid w:val="0083503B"/>
    <w:rsid w:val="0083719D"/>
    <w:rsid w:val="008372F3"/>
    <w:rsid w:val="00837C3F"/>
    <w:rsid w:val="00840E26"/>
    <w:rsid w:val="00841F9C"/>
    <w:rsid w:val="00842A8E"/>
    <w:rsid w:val="00845391"/>
    <w:rsid w:val="00846755"/>
    <w:rsid w:val="00847B72"/>
    <w:rsid w:val="00852B2F"/>
    <w:rsid w:val="00853159"/>
    <w:rsid w:val="008545B8"/>
    <w:rsid w:val="00854E5C"/>
    <w:rsid w:val="0085576F"/>
    <w:rsid w:val="00857D31"/>
    <w:rsid w:val="00860870"/>
    <w:rsid w:val="0086264D"/>
    <w:rsid w:val="00863661"/>
    <w:rsid w:val="00863D3F"/>
    <w:rsid w:val="008640A9"/>
    <w:rsid w:val="00865130"/>
    <w:rsid w:val="0086561A"/>
    <w:rsid w:val="008659BF"/>
    <w:rsid w:val="00866326"/>
    <w:rsid w:val="00867A66"/>
    <w:rsid w:val="00867D40"/>
    <w:rsid w:val="0087042D"/>
    <w:rsid w:val="00871360"/>
    <w:rsid w:val="008714CE"/>
    <w:rsid w:val="00872F54"/>
    <w:rsid w:val="00874F1E"/>
    <w:rsid w:val="00874F94"/>
    <w:rsid w:val="008759F2"/>
    <w:rsid w:val="00875C20"/>
    <w:rsid w:val="00876D6E"/>
    <w:rsid w:val="00881C7A"/>
    <w:rsid w:val="00881CC4"/>
    <w:rsid w:val="008820EB"/>
    <w:rsid w:val="0088395D"/>
    <w:rsid w:val="0088652E"/>
    <w:rsid w:val="00887695"/>
    <w:rsid w:val="00887B1A"/>
    <w:rsid w:val="008920CE"/>
    <w:rsid w:val="00896BE8"/>
    <w:rsid w:val="0089756D"/>
    <w:rsid w:val="00897E21"/>
    <w:rsid w:val="008A090F"/>
    <w:rsid w:val="008A3F3D"/>
    <w:rsid w:val="008A6E74"/>
    <w:rsid w:val="008B2560"/>
    <w:rsid w:val="008B4F77"/>
    <w:rsid w:val="008B58CB"/>
    <w:rsid w:val="008B6131"/>
    <w:rsid w:val="008B6826"/>
    <w:rsid w:val="008B7069"/>
    <w:rsid w:val="008B773A"/>
    <w:rsid w:val="008B7C2B"/>
    <w:rsid w:val="008C0850"/>
    <w:rsid w:val="008C0BB8"/>
    <w:rsid w:val="008C141C"/>
    <w:rsid w:val="008C2460"/>
    <w:rsid w:val="008C61E1"/>
    <w:rsid w:val="008D03BD"/>
    <w:rsid w:val="008D0497"/>
    <w:rsid w:val="008D1CB0"/>
    <w:rsid w:val="008D4B46"/>
    <w:rsid w:val="008D51C7"/>
    <w:rsid w:val="008D6598"/>
    <w:rsid w:val="008D6D39"/>
    <w:rsid w:val="008D6E21"/>
    <w:rsid w:val="008D7F22"/>
    <w:rsid w:val="008E3AA7"/>
    <w:rsid w:val="008E475C"/>
    <w:rsid w:val="008E5FD0"/>
    <w:rsid w:val="008E64B5"/>
    <w:rsid w:val="008F1E56"/>
    <w:rsid w:val="008F6418"/>
    <w:rsid w:val="008F7C65"/>
    <w:rsid w:val="00900237"/>
    <w:rsid w:val="00900C9C"/>
    <w:rsid w:val="009023CD"/>
    <w:rsid w:val="00903251"/>
    <w:rsid w:val="009035CB"/>
    <w:rsid w:val="00904F9C"/>
    <w:rsid w:val="0090643C"/>
    <w:rsid w:val="00907078"/>
    <w:rsid w:val="00907B49"/>
    <w:rsid w:val="009101B9"/>
    <w:rsid w:val="0091105D"/>
    <w:rsid w:val="009132A8"/>
    <w:rsid w:val="00913F0D"/>
    <w:rsid w:val="009149DE"/>
    <w:rsid w:val="0091581B"/>
    <w:rsid w:val="009169B4"/>
    <w:rsid w:val="0091754C"/>
    <w:rsid w:val="009175DE"/>
    <w:rsid w:val="00920046"/>
    <w:rsid w:val="00920A46"/>
    <w:rsid w:val="0092378E"/>
    <w:rsid w:val="00924D6A"/>
    <w:rsid w:val="00925EC5"/>
    <w:rsid w:val="0092772C"/>
    <w:rsid w:val="009306F8"/>
    <w:rsid w:val="0093237F"/>
    <w:rsid w:val="00934288"/>
    <w:rsid w:val="0093717B"/>
    <w:rsid w:val="00937855"/>
    <w:rsid w:val="00945EC2"/>
    <w:rsid w:val="009464E6"/>
    <w:rsid w:val="00950A42"/>
    <w:rsid w:val="009510CA"/>
    <w:rsid w:val="00954B1F"/>
    <w:rsid w:val="00957FDA"/>
    <w:rsid w:val="009633B2"/>
    <w:rsid w:val="00964157"/>
    <w:rsid w:val="009654D6"/>
    <w:rsid w:val="0097254D"/>
    <w:rsid w:val="00972E53"/>
    <w:rsid w:val="00974D6B"/>
    <w:rsid w:val="00974DD5"/>
    <w:rsid w:val="00975CFC"/>
    <w:rsid w:val="00977590"/>
    <w:rsid w:val="00977707"/>
    <w:rsid w:val="00977A5E"/>
    <w:rsid w:val="0098116C"/>
    <w:rsid w:val="009836C4"/>
    <w:rsid w:val="009854E2"/>
    <w:rsid w:val="00985718"/>
    <w:rsid w:val="00986A6C"/>
    <w:rsid w:val="00991D87"/>
    <w:rsid w:val="009939F1"/>
    <w:rsid w:val="00994A54"/>
    <w:rsid w:val="00996755"/>
    <w:rsid w:val="00997359"/>
    <w:rsid w:val="009A0BCB"/>
    <w:rsid w:val="009A53E3"/>
    <w:rsid w:val="009B028A"/>
    <w:rsid w:val="009B5201"/>
    <w:rsid w:val="009C2E57"/>
    <w:rsid w:val="009C401C"/>
    <w:rsid w:val="009D1A5A"/>
    <w:rsid w:val="009D37AC"/>
    <w:rsid w:val="009D3EA9"/>
    <w:rsid w:val="009D54CB"/>
    <w:rsid w:val="009D799E"/>
    <w:rsid w:val="009E0628"/>
    <w:rsid w:val="009E1506"/>
    <w:rsid w:val="009E391F"/>
    <w:rsid w:val="009E4F61"/>
    <w:rsid w:val="009E55D8"/>
    <w:rsid w:val="009E60EB"/>
    <w:rsid w:val="009E69C0"/>
    <w:rsid w:val="009F074C"/>
    <w:rsid w:val="009F204C"/>
    <w:rsid w:val="009F31F8"/>
    <w:rsid w:val="009F354C"/>
    <w:rsid w:val="009F4F17"/>
    <w:rsid w:val="00A02889"/>
    <w:rsid w:val="00A031CD"/>
    <w:rsid w:val="00A03743"/>
    <w:rsid w:val="00A03B8F"/>
    <w:rsid w:val="00A04F9A"/>
    <w:rsid w:val="00A05DF3"/>
    <w:rsid w:val="00A10757"/>
    <w:rsid w:val="00A10B3D"/>
    <w:rsid w:val="00A10F23"/>
    <w:rsid w:val="00A13C8B"/>
    <w:rsid w:val="00A153E9"/>
    <w:rsid w:val="00A17462"/>
    <w:rsid w:val="00A177BC"/>
    <w:rsid w:val="00A17933"/>
    <w:rsid w:val="00A2176D"/>
    <w:rsid w:val="00A21819"/>
    <w:rsid w:val="00A22C5E"/>
    <w:rsid w:val="00A277B8"/>
    <w:rsid w:val="00A27998"/>
    <w:rsid w:val="00A32952"/>
    <w:rsid w:val="00A342F7"/>
    <w:rsid w:val="00A34CA2"/>
    <w:rsid w:val="00A3579C"/>
    <w:rsid w:val="00A35E73"/>
    <w:rsid w:val="00A3653F"/>
    <w:rsid w:val="00A36877"/>
    <w:rsid w:val="00A41B11"/>
    <w:rsid w:val="00A4479C"/>
    <w:rsid w:val="00A463C5"/>
    <w:rsid w:val="00A46519"/>
    <w:rsid w:val="00A467CB"/>
    <w:rsid w:val="00A472B6"/>
    <w:rsid w:val="00A47C5C"/>
    <w:rsid w:val="00A50001"/>
    <w:rsid w:val="00A50443"/>
    <w:rsid w:val="00A524BA"/>
    <w:rsid w:val="00A5438D"/>
    <w:rsid w:val="00A553D4"/>
    <w:rsid w:val="00A55693"/>
    <w:rsid w:val="00A5679A"/>
    <w:rsid w:val="00A57517"/>
    <w:rsid w:val="00A579B0"/>
    <w:rsid w:val="00A57FBF"/>
    <w:rsid w:val="00A6030F"/>
    <w:rsid w:val="00A612E4"/>
    <w:rsid w:val="00A6233D"/>
    <w:rsid w:val="00A635C1"/>
    <w:rsid w:val="00A639B9"/>
    <w:rsid w:val="00A70302"/>
    <w:rsid w:val="00A70F46"/>
    <w:rsid w:val="00A7112C"/>
    <w:rsid w:val="00A71C5A"/>
    <w:rsid w:val="00A71CF9"/>
    <w:rsid w:val="00A744A6"/>
    <w:rsid w:val="00A74670"/>
    <w:rsid w:val="00A75A4D"/>
    <w:rsid w:val="00A770AD"/>
    <w:rsid w:val="00A80FAB"/>
    <w:rsid w:val="00A847DE"/>
    <w:rsid w:val="00A84B75"/>
    <w:rsid w:val="00A8522A"/>
    <w:rsid w:val="00A85806"/>
    <w:rsid w:val="00A90680"/>
    <w:rsid w:val="00A90976"/>
    <w:rsid w:val="00A90D02"/>
    <w:rsid w:val="00A93EE5"/>
    <w:rsid w:val="00AA02D4"/>
    <w:rsid w:val="00AA0680"/>
    <w:rsid w:val="00AA1B71"/>
    <w:rsid w:val="00AA2404"/>
    <w:rsid w:val="00AA31B0"/>
    <w:rsid w:val="00AA4062"/>
    <w:rsid w:val="00AA44A2"/>
    <w:rsid w:val="00AA56A4"/>
    <w:rsid w:val="00AB6FD5"/>
    <w:rsid w:val="00AC08EC"/>
    <w:rsid w:val="00AC0FF8"/>
    <w:rsid w:val="00AC1C33"/>
    <w:rsid w:val="00AC445C"/>
    <w:rsid w:val="00AC5CD4"/>
    <w:rsid w:val="00AD2B93"/>
    <w:rsid w:val="00AD3D67"/>
    <w:rsid w:val="00AD5BBB"/>
    <w:rsid w:val="00AD6104"/>
    <w:rsid w:val="00AD7033"/>
    <w:rsid w:val="00AD7399"/>
    <w:rsid w:val="00AE4E5E"/>
    <w:rsid w:val="00AE731A"/>
    <w:rsid w:val="00AE7FD2"/>
    <w:rsid w:val="00AF0EC5"/>
    <w:rsid w:val="00AF15E2"/>
    <w:rsid w:val="00AF1E0E"/>
    <w:rsid w:val="00AF23DE"/>
    <w:rsid w:val="00AF3A3E"/>
    <w:rsid w:val="00AF45AC"/>
    <w:rsid w:val="00AF594A"/>
    <w:rsid w:val="00B02A87"/>
    <w:rsid w:val="00B035D1"/>
    <w:rsid w:val="00B06E77"/>
    <w:rsid w:val="00B07498"/>
    <w:rsid w:val="00B075FF"/>
    <w:rsid w:val="00B10A94"/>
    <w:rsid w:val="00B1130E"/>
    <w:rsid w:val="00B1143D"/>
    <w:rsid w:val="00B11984"/>
    <w:rsid w:val="00B11D81"/>
    <w:rsid w:val="00B1296E"/>
    <w:rsid w:val="00B12A12"/>
    <w:rsid w:val="00B1362E"/>
    <w:rsid w:val="00B14086"/>
    <w:rsid w:val="00B15F39"/>
    <w:rsid w:val="00B16ACB"/>
    <w:rsid w:val="00B1742A"/>
    <w:rsid w:val="00B204A1"/>
    <w:rsid w:val="00B219AE"/>
    <w:rsid w:val="00B23B8C"/>
    <w:rsid w:val="00B25381"/>
    <w:rsid w:val="00B26A4B"/>
    <w:rsid w:val="00B2713A"/>
    <w:rsid w:val="00B27C5F"/>
    <w:rsid w:val="00B30D85"/>
    <w:rsid w:val="00B31F5D"/>
    <w:rsid w:val="00B32CDD"/>
    <w:rsid w:val="00B33034"/>
    <w:rsid w:val="00B33BD3"/>
    <w:rsid w:val="00B33EDA"/>
    <w:rsid w:val="00B34C82"/>
    <w:rsid w:val="00B34FEA"/>
    <w:rsid w:val="00B353D5"/>
    <w:rsid w:val="00B401C4"/>
    <w:rsid w:val="00B401E8"/>
    <w:rsid w:val="00B402A9"/>
    <w:rsid w:val="00B40E60"/>
    <w:rsid w:val="00B41184"/>
    <w:rsid w:val="00B41D2C"/>
    <w:rsid w:val="00B4234F"/>
    <w:rsid w:val="00B423FA"/>
    <w:rsid w:val="00B4289E"/>
    <w:rsid w:val="00B434A7"/>
    <w:rsid w:val="00B437A0"/>
    <w:rsid w:val="00B44434"/>
    <w:rsid w:val="00B452D0"/>
    <w:rsid w:val="00B46FB3"/>
    <w:rsid w:val="00B50744"/>
    <w:rsid w:val="00B51355"/>
    <w:rsid w:val="00B5191F"/>
    <w:rsid w:val="00B51D74"/>
    <w:rsid w:val="00B54ADE"/>
    <w:rsid w:val="00B55C34"/>
    <w:rsid w:val="00B57F03"/>
    <w:rsid w:val="00B57F04"/>
    <w:rsid w:val="00B605EF"/>
    <w:rsid w:val="00B63244"/>
    <w:rsid w:val="00B636AC"/>
    <w:rsid w:val="00B65A95"/>
    <w:rsid w:val="00B66062"/>
    <w:rsid w:val="00B66D42"/>
    <w:rsid w:val="00B66E41"/>
    <w:rsid w:val="00B712A6"/>
    <w:rsid w:val="00B721FD"/>
    <w:rsid w:val="00B7294E"/>
    <w:rsid w:val="00B72BAF"/>
    <w:rsid w:val="00B73AB7"/>
    <w:rsid w:val="00B74AEE"/>
    <w:rsid w:val="00B75235"/>
    <w:rsid w:val="00B75348"/>
    <w:rsid w:val="00B762DB"/>
    <w:rsid w:val="00B76FD5"/>
    <w:rsid w:val="00B81725"/>
    <w:rsid w:val="00B82DAE"/>
    <w:rsid w:val="00B83520"/>
    <w:rsid w:val="00B8697F"/>
    <w:rsid w:val="00B86BC8"/>
    <w:rsid w:val="00B941A6"/>
    <w:rsid w:val="00B95A1E"/>
    <w:rsid w:val="00B97AC6"/>
    <w:rsid w:val="00BA22B4"/>
    <w:rsid w:val="00BA4166"/>
    <w:rsid w:val="00BA6AF0"/>
    <w:rsid w:val="00BA74C6"/>
    <w:rsid w:val="00BB1479"/>
    <w:rsid w:val="00BB1844"/>
    <w:rsid w:val="00BB1D5E"/>
    <w:rsid w:val="00BB3DB9"/>
    <w:rsid w:val="00BB407C"/>
    <w:rsid w:val="00BB4686"/>
    <w:rsid w:val="00BB4B11"/>
    <w:rsid w:val="00BB7E3F"/>
    <w:rsid w:val="00BC1390"/>
    <w:rsid w:val="00BC1EC4"/>
    <w:rsid w:val="00BC356E"/>
    <w:rsid w:val="00BC362E"/>
    <w:rsid w:val="00BC671A"/>
    <w:rsid w:val="00BC7718"/>
    <w:rsid w:val="00BC7CB0"/>
    <w:rsid w:val="00BD404C"/>
    <w:rsid w:val="00BD4981"/>
    <w:rsid w:val="00BD5066"/>
    <w:rsid w:val="00BD7D7A"/>
    <w:rsid w:val="00BE2A8C"/>
    <w:rsid w:val="00BE328A"/>
    <w:rsid w:val="00BE3FD8"/>
    <w:rsid w:val="00BE64FC"/>
    <w:rsid w:val="00BE7999"/>
    <w:rsid w:val="00BF2325"/>
    <w:rsid w:val="00BF31CC"/>
    <w:rsid w:val="00BF379A"/>
    <w:rsid w:val="00BF5599"/>
    <w:rsid w:val="00BF643D"/>
    <w:rsid w:val="00BF7B2E"/>
    <w:rsid w:val="00C025F2"/>
    <w:rsid w:val="00C06133"/>
    <w:rsid w:val="00C06595"/>
    <w:rsid w:val="00C10324"/>
    <w:rsid w:val="00C1035C"/>
    <w:rsid w:val="00C105D7"/>
    <w:rsid w:val="00C107EE"/>
    <w:rsid w:val="00C11493"/>
    <w:rsid w:val="00C11B33"/>
    <w:rsid w:val="00C14B78"/>
    <w:rsid w:val="00C17E80"/>
    <w:rsid w:val="00C20838"/>
    <w:rsid w:val="00C23E02"/>
    <w:rsid w:val="00C24386"/>
    <w:rsid w:val="00C25776"/>
    <w:rsid w:val="00C27AE9"/>
    <w:rsid w:val="00C27E3E"/>
    <w:rsid w:val="00C32B07"/>
    <w:rsid w:val="00C32BD6"/>
    <w:rsid w:val="00C3556B"/>
    <w:rsid w:val="00C35A0F"/>
    <w:rsid w:val="00C3609F"/>
    <w:rsid w:val="00C36118"/>
    <w:rsid w:val="00C36337"/>
    <w:rsid w:val="00C3696F"/>
    <w:rsid w:val="00C37D9B"/>
    <w:rsid w:val="00C413E4"/>
    <w:rsid w:val="00C41917"/>
    <w:rsid w:val="00C426E9"/>
    <w:rsid w:val="00C43A67"/>
    <w:rsid w:val="00C441CE"/>
    <w:rsid w:val="00C445A9"/>
    <w:rsid w:val="00C4548B"/>
    <w:rsid w:val="00C51ABB"/>
    <w:rsid w:val="00C53BB6"/>
    <w:rsid w:val="00C57BDD"/>
    <w:rsid w:val="00C57DD5"/>
    <w:rsid w:val="00C60605"/>
    <w:rsid w:val="00C60D33"/>
    <w:rsid w:val="00C61E6E"/>
    <w:rsid w:val="00C64F93"/>
    <w:rsid w:val="00C65E47"/>
    <w:rsid w:val="00C66124"/>
    <w:rsid w:val="00C667AE"/>
    <w:rsid w:val="00C70C7A"/>
    <w:rsid w:val="00C7235A"/>
    <w:rsid w:val="00C73054"/>
    <w:rsid w:val="00C733D3"/>
    <w:rsid w:val="00C7527E"/>
    <w:rsid w:val="00C7685A"/>
    <w:rsid w:val="00C76C70"/>
    <w:rsid w:val="00C80D9D"/>
    <w:rsid w:val="00C854C5"/>
    <w:rsid w:val="00C90015"/>
    <w:rsid w:val="00C90685"/>
    <w:rsid w:val="00C90A41"/>
    <w:rsid w:val="00C93B88"/>
    <w:rsid w:val="00C94EE5"/>
    <w:rsid w:val="00CA08FD"/>
    <w:rsid w:val="00CA11E5"/>
    <w:rsid w:val="00CA172D"/>
    <w:rsid w:val="00CA335D"/>
    <w:rsid w:val="00CA58E1"/>
    <w:rsid w:val="00CA5ADB"/>
    <w:rsid w:val="00CA68E7"/>
    <w:rsid w:val="00CB0B3F"/>
    <w:rsid w:val="00CB11BC"/>
    <w:rsid w:val="00CB513A"/>
    <w:rsid w:val="00CB53F8"/>
    <w:rsid w:val="00CB6561"/>
    <w:rsid w:val="00CB6C02"/>
    <w:rsid w:val="00CC1280"/>
    <w:rsid w:val="00CC3A13"/>
    <w:rsid w:val="00CC3A49"/>
    <w:rsid w:val="00CC4D5E"/>
    <w:rsid w:val="00CC5132"/>
    <w:rsid w:val="00CC6071"/>
    <w:rsid w:val="00CD0605"/>
    <w:rsid w:val="00CD22F9"/>
    <w:rsid w:val="00CD2825"/>
    <w:rsid w:val="00CD343A"/>
    <w:rsid w:val="00CD462C"/>
    <w:rsid w:val="00CD48EE"/>
    <w:rsid w:val="00CD5687"/>
    <w:rsid w:val="00CD6EC2"/>
    <w:rsid w:val="00CD75C7"/>
    <w:rsid w:val="00CD7F81"/>
    <w:rsid w:val="00CE19FA"/>
    <w:rsid w:val="00CE1B16"/>
    <w:rsid w:val="00CE1E0A"/>
    <w:rsid w:val="00CE24FB"/>
    <w:rsid w:val="00CE73FB"/>
    <w:rsid w:val="00CE75AC"/>
    <w:rsid w:val="00CF0668"/>
    <w:rsid w:val="00CF1ABC"/>
    <w:rsid w:val="00CF21D8"/>
    <w:rsid w:val="00CF3AA6"/>
    <w:rsid w:val="00CF3B7F"/>
    <w:rsid w:val="00CF4FC4"/>
    <w:rsid w:val="00CF5117"/>
    <w:rsid w:val="00CF5ECB"/>
    <w:rsid w:val="00CF653E"/>
    <w:rsid w:val="00CF6F9E"/>
    <w:rsid w:val="00CF7BE0"/>
    <w:rsid w:val="00D01D7D"/>
    <w:rsid w:val="00D02BE8"/>
    <w:rsid w:val="00D04195"/>
    <w:rsid w:val="00D05CEF"/>
    <w:rsid w:val="00D07405"/>
    <w:rsid w:val="00D10303"/>
    <w:rsid w:val="00D12282"/>
    <w:rsid w:val="00D13446"/>
    <w:rsid w:val="00D13817"/>
    <w:rsid w:val="00D13A24"/>
    <w:rsid w:val="00D15A4A"/>
    <w:rsid w:val="00D201DA"/>
    <w:rsid w:val="00D215CB"/>
    <w:rsid w:val="00D22056"/>
    <w:rsid w:val="00D222A1"/>
    <w:rsid w:val="00D22C68"/>
    <w:rsid w:val="00D243A5"/>
    <w:rsid w:val="00D2526B"/>
    <w:rsid w:val="00D264BE"/>
    <w:rsid w:val="00D2726D"/>
    <w:rsid w:val="00D274DC"/>
    <w:rsid w:val="00D27F14"/>
    <w:rsid w:val="00D30BF3"/>
    <w:rsid w:val="00D31203"/>
    <w:rsid w:val="00D31B6C"/>
    <w:rsid w:val="00D33F5B"/>
    <w:rsid w:val="00D3768D"/>
    <w:rsid w:val="00D37A5C"/>
    <w:rsid w:val="00D4093A"/>
    <w:rsid w:val="00D425AC"/>
    <w:rsid w:val="00D426BF"/>
    <w:rsid w:val="00D4281E"/>
    <w:rsid w:val="00D4489A"/>
    <w:rsid w:val="00D4525A"/>
    <w:rsid w:val="00D506E9"/>
    <w:rsid w:val="00D519D1"/>
    <w:rsid w:val="00D5774E"/>
    <w:rsid w:val="00D62D47"/>
    <w:rsid w:val="00D64FD0"/>
    <w:rsid w:val="00D66013"/>
    <w:rsid w:val="00D67284"/>
    <w:rsid w:val="00D67679"/>
    <w:rsid w:val="00D67C8B"/>
    <w:rsid w:val="00D70AA6"/>
    <w:rsid w:val="00D7189B"/>
    <w:rsid w:val="00D72E41"/>
    <w:rsid w:val="00D740A7"/>
    <w:rsid w:val="00D7423C"/>
    <w:rsid w:val="00D74E38"/>
    <w:rsid w:val="00D758EC"/>
    <w:rsid w:val="00D773D8"/>
    <w:rsid w:val="00D77699"/>
    <w:rsid w:val="00D77A17"/>
    <w:rsid w:val="00D77B3F"/>
    <w:rsid w:val="00D80224"/>
    <w:rsid w:val="00D82A8B"/>
    <w:rsid w:val="00D83AF5"/>
    <w:rsid w:val="00D84F53"/>
    <w:rsid w:val="00D85D82"/>
    <w:rsid w:val="00D865BB"/>
    <w:rsid w:val="00D87CBD"/>
    <w:rsid w:val="00D9048A"/>
    <w:rsid w:val="00D92142"/>
    <w:rsid w:val="00D95D5D"/>
    <w:rsid w:val="00DA1FCB"/>
    <w:rsid w:val="00DA397E"/>
    <w:rsid w:val="00DA4E92"/>
    <w:rsid w:val="00DA5237"/>
    <w:rsid w:val="00DB0233"/>
    <w:rsid w:val="00DB5509"/>
    <w:rsid w:val="00DC1103"/>
    <w:rsid w:val="00DC46B8"/>
    <w:rsid w:val="00DC53EC"/>
    <w:rsid w:val="00DC5610"/>
    <w:rsid w:val="00DC6D9D"/>
    <w:rsid w:val="00DC7CF8"/>
    <w:rsid w:val="00DD0764"/>
    <w:rsid w:val="00DD0CD7"/>
    <w:rsid w:val="00DD3477"/>
    <w:rsid w:val="00DD3D93"/>
    <w:rsid w:val="00DD40F5"/>
    <w:rsid w:val="00DD595F"/>
    <w:rsid w:val="00DD5AAA"/>
    <w:rsid w:val="00DD6928"/>
    <w:rsid w:val="00DD7725"/>
    <w:rsid w:val="00DE0BE2"/>
    <w:rsid w:val="00DE1C66"/>
    <w:rsid w:val="00DE1CF8"/>
    <w:rsid w:val="00DE2DEA"/>
    <w:rsid w:val="00DE5B7E"/>
    <w:rsid w:val="00DE61A4"/>
    <w:rsid w:val="00DE6E2C"/>
    <w:rsid w:val="00DE74E0"/>
    <w:rsid w:val="00DF0DB5"/>
    <w:rsid w:val="00DF2855"/>
    <w:rsid w:val="00DF42DE"/>
    <w:rsid w:val="00DF47E7"/>
    <w:rsid w:val="00DF49C8"/>
    <w:rsid w:val="00DF53E5"/>
    <w:rsid w:val="00E00781"/>
    <w:rsid w:val="00E01BC1"/>
    <w:rsid w:val="00E01BE5"/>
    <w:rsid w:val="00E01BEC"/>
    <w:rsid w:val="00E026DC"/>
    <w:rsid w:val="00E02E0C"/>
    <w:rsid w:val="00E032F1"/>
    <w:rsid w:val="00E036B1"/>
    <w:rsid w:val="00E04FDA"/>
    <w:rsid w:val="00E06326"/>
    <w:rsid w:val="00E06C1A"/>
    <w:rsid w:val="00E06F24"/>
    <w:rsid w:val="00E07FD6"/>
    <w:rsid w:val="00E13B0E"/>
    <w:rsid w:val="00E15C59"/>
    <w:rsid w:val="00E16261"/>
    <w:rsid w:val="00E20312"/>
    <w:rsid w:val="00E20403"/>
    <w:rsid w:val="00E209B5"/>
    <w:rsid w:val="00E20DB7"/>
    <w:rsid w:val="00E2232F"/>
    <w:rsid w:val="00E25AB5"/>
    <w:rsid w:val="00E302BE"/>
    <w:rsid w:val="00E3075F"/>
    <w:rsid w:val="00E31F3F"/>
    <w:rsid w:val="00E321C8"/>
    <w:rsid w:val="00E32815"/>
    <w:rsid w:val="00E40203"/>
    <w:rsid w:val="00E41A31"/>
    <w:rsid w:val="00E41BB1"/>
    <w:rsid w:val="00E443DE"/>
    <w:rsid w:val="00E46A38"/>
    <w:rsid w:val="00E52314"/>
    <w:rsid w:val="00E52942"/>
    <w:rsid w:val="00E52AE4"/>
    <w:rsid w:val="00E558E3"/>
    <w:rsid w:val="00E56761"/>
    <w:rsid w:val="00E638CF"/>
    <w:rsid w:val="00E64DBF"/>
    <w:rsid w:val="00E663ED"/>
    <w:rsid w:val="00E66D37"/>
    <w:rsid w:val="00E71663"/>
    <w:rsid w:val="00E72050"/>
    <w:rsid w:val="00E7366F"/>
    <w:rsid w:val="00E74A9C"/>
    <w:rsid w:val="00E74CD6"/>
    <w:rsid w:val="00E751D0"/>
    <w:rsid w:val="00E8218C"/>
    <w:rsid w:val="00E8244F"/>
    <w:rsid w:val="00E8295B"/>
    <w:rsid w:val="00E83A0B"/>
    <w:rsid w:val="00E83B6C"/>
    <w:rsid w:val="00E83C20"/>
    <w:rsid w:val="00E87BF0"/>
    <w:rsid w:val="00E902F4"/>
    <w:rsid w:val="00E919AB"/>
    <w:rsid w:val="00E91FB2"/>
    <w:rsid w:val="00E9217E"/>
    <w:rsid w:val="00E92598"/>
    <w:rsid w:val="00E93B3E"/>
    <w:rsid w:val="00E93C4D"/>
    <w:rsid w:val="00E93F42"/>
    <w:rsid w:val="00E95760"/>
    <w:rsid w:val="00E9604D"/>
    <w:rsid w:val="00E966AC"/>
    <w:rsid w:val="00E96B0E"/>
    <w:rsid w:val="00E96F9A"/>
    <w:rsid w:val="00E97B7D"/>
    <w:rsid w:val="00EA076E"/>
    <w:rsid w:val="00EA16B2"/>
    <w:rsid w:val="00EA3CB8"/>
    <w:rsid w:val="00EA4914"/>
    <w:rsid w:val="00EA7E87"/>
    <w:rsid w:val="00EB0871"/>
    <w:rsid w:val="00EB0B22"/>
    <w:rsid w:val="00EB1045"/>
    <w:rsid w:val="00EB18D5"/>
    <w:rsid w:val="00EB1ADC"/>
    <w:rsid w:val="00EB1DD1"/>
    <w:rsid w:val="00EB36C9"/>
    <w:rsid w:val="00EB49E6"/>
    <w:rsid w:val="00EB5684"/>
    <w:rsid w:val="00EB6A35"/>
    <w:rsid w:val="00EC30C5"/>
    <w:rsid w:val="00EC47C9"/>
    <w:rsid w:val="00EC6461"/>
    <w:rsid w:val="00EC6A69"/>
    <w:rsid w:val="00EC6C27"/>
    <w:rsid w:val="00EC7E99"/>
    <w:rsid w:val="00ED0367"/>
    <w:rsid w:val="00ED1E24"/>
    <w:rsid w:val="00ED2A12"/>
    <w:rsid w:val="00ED3ACC"/>
    <w:rsid w:val="00ED4CDC"/>
    <w:rsid w:val="00ED67BD"/>
    <w:rsid w:val="00ED733D"/>
    <w:rsid w:val="00EE10D5"/>
    <w:rsid w:val="00EE1CC5"/>
    <w:rsid w:val="00EE22EE"/>
    <w:rsid w:val="00EE2FF5"/>
    <w:rsid w:val="00EE337A"/>
    <w:rsid w:val="00EE6B97"/>
    <w:rsid w:val="00EE7EB4"/>
    <w:rsid w:val="00EF149F"/>
    <w:rsid w:val="00EF1D9D"/>
    <w:rsid w:val="00EF4CA0"/>
    <w:rsid w:val="00EF52FD"/>
    <w:rsid w:val="00EF544F"/>
    <w:rsid w:val="00EF731B"/>
    <w:rsid w:val="00EF7E88"/>
    <w:rsid w:val="00F023B2"/>
    <w:rsid w:val="00F025D4"/>
    <w:rsid w:val="00F037F8"/>
    <w:rsid w:val="00F039B5"/>
    <w:rsid w:val="00F03E93"/>
    <w:rsid w:val="00F05B2F"/>
    <w:rsid w:val="00F05F49"/>
    <w:rsid w:val="00F07397"/>
    <w:rsid w:val="00F12D43"/>
    <w:rsid w:val="00F13062"/>
    <w:rsid w:val="00F14EC6"/>
    <w:rsid w:val="00F1665D"/>
    <w:rsid w:val="00F17570"/>
    <w:rsid w:val="00F17582"/>
    <w:rsid w:val="00F20CD4"/>
    <w:rsid w:val="00F21890"/>
    <w:rsid w:val="00F26503"/>
    <w:rsid w:val="00F26B75"/>
    <w:rsid w:val="00F278D2"/>
    <w:rsid w:val="00F31131"/>
    <w:rsid w:val="00F313D5"/>
    <w:rsid w:val="00F31E1E"/>
    <w:rsid w:val="00F348AE"/>
    <w:rsid w:val="00F34992"/>
    <w:rsid w:val="00F3543A"/>
    <w:rsid w:val="00F35761"/>
    <w:rsid w:val="00F44352"/>
    <w:rsid w:val="00F44AF7"/>
    <w:rsid w:val="00F44E60"/>
    <w:rsid w:val="00F46A1D"/>
    <w:rsid w:val="00F47873"/>
    <w:rsid w:val="00F511C1"/>
    <w:rsid w:val="00F52576"/>
    <w:rsid w:val="00F52D81"/>
    <w:rsid w:val="00F54D93"/>
    <w:rsid w:val="00F55DF0"/>
    <w:rsid w:val="00F56BC9"/>
    <w:rsid w:val="00F56C79"/>
    <w:rsid w:val="00F57C43"/>
    <w:rsid w:val="00F61401"/>
    <w:rsid w:val="00F618D9"/>
    <w:rsid w:val="00F6248E"/>
    <w:rsid w:val="00F63C2E"/>
    <w:rsid w:val="00F63C33"/>
    <w:rsid w:val="00F63F80"/>
    <w:rsid w:val="00F64178"/>
    <w:rsid w:val="00F64437"/>
    <w:rsid w:val="00F64578"/>
    <w:rsid w:val="00F64AF9"/>
    <w:rsid w:val="00F64B41"/>
    <w:rsid w:val="00F64E90"/>
    <w:rsid w:val="00F64FA6"/>
    <w:rsid w:val="00F65EEF"/>
    <w:rsid w:val="00F664EB"/>
    <w:rsid w:val="00F665F5"/>
    <w:rsid w:val="00F70136"/>
    <w:rsid w:val="00F703A6"/>
    <w:rsid w:val="00F70E7C"/>
    <w:rsid w:val="00F71348"/>
    <w:rsid w:val="00F724A8"/>
    <w:rsid w:val="00F73151"/>
    <w:rsid w:val="00F734E3"/>
    <w:rsid w:val="00F737D0"/>
    <w:rsid w:val="00F74501"/>
    <w:rsid w:val="00F74504"/>
    <w:rsid w:val="00F765FE"/>
    <w:rsid w:val="00F76F26"/>
    <w:rsid w:val="00F77442"/>
    <w:rsid w:val="00F77737"/>
    <w:rsid w:val="00F82BC4"/>
    <w:rsid w:val="00F85BC6"/>
    <w:rsid w:val="00F8666A"/>
    <w:rsid w:val="00F86E63"/>
    <w:rsid w:val="00F90A2B"/>
    <w:rsid w:val="00F93CC9"/>
    <w:rsid w:val="00F95208"/>
    <w:rsid w:val="00F964B8"/>
    <w:rsid w:val="00FA0B1C"/>
    <w:rsid w:val="00FA2730"/>
    <w:rsid w:val="00FA477A"/>
    <w:rsid w:val="00FA4E3B"/>
    <w:rsid w:val="00FA6128"/>
    <w:rsid w:val="00FA691C"/>
    <w:rsid w:val="00FA7683"/>
    <w:rsid w:val="00FB380D"/>
    <w:rsid w:val="00FB3965"/>
    <w:rsid w:val="00FB7CD6"/>
    <w:rsid w:val="00FC08BE"/>
    <w:rsid w:val="00FC375D"/>
    <w:rsid w:val="00FC5551"/>
    <w:rsid w:val="00FC5D48"/>
    <w:rsid w:val="00FC751A"/>
    <w:rsid w:val="00FD0A07"/>
    <w:rsid w:val="00FD0F69"/>
    <w:rsid w:val="00FD1490"/>
    <w:rsid w:val="00FD6052"/>
    <w:rsid w:val="00FD71B1"/>
    <w:rsid w:val="00FE04C4"/>
    <w:rsid w:val="00FE0938"/>
    <w:rsid w:val="00FE164F"/>
    <w:rsid w:val="00FE22B0"/>
    <w:rsid w:val="00FE2B9B"/>
    <w:rsid w:val="00FE6E59"/>
    <w:rsid w:val="00FE6E67"/>
    <w:rsid w:val="00FF1D02"/>
    <w:rsid w:val="00FF1FE4"/>
    <w:rsid w:val="00FF2A96"/>
    <w:rsid w:val="00FF306B"/>
    <w:rsid w:val="00FF4262"/>
    <w:rsid w:val="00FF64D3"/>
    <w:rsid w:val="00FF6919"/>
    <w:rsid w:val="00FF71FD"/>
    <w:rsid w:val="3A116636"/>
    <w:rsid w:val="45255812"/>
    <w:rsid w:val="564F2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unhideWhenUsed="0" w:uiPriority="0" w:semiHidden="0" w:name="Body Text First Indent"/>
    <w:lsdException w:uiPriority="99" w:name="Body Text First Indent 2"/>
    <w:lsdException w:uiPriority="99" w:name="Note Heading"/>
    <w:lsdException w:uiPriority="99"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52"/>
    <w:qFormat/>
    <w:uiPriority w:val="0"/>
    <w:pPr>
      <w:keepNext/>
      <w:keepLines/>
      <w:spacing w:before="340" w:after="330" w:line="576" w:lineRule="auto"/>
      <w:jc w:val="center"/>
      <w:outlineLvl w:val="0"/>
    </w:pPr>
    <w:rPr>
      <w:b/>
      <w:bCs/>
      <w:kern w:val="44"/>
      <w:sz w:val="36"/>
      <w:szCs w:val="44"/>
    </w:rPr>
  </w:style>
  <w:style w:type="paragraph" w:styleId="3">
    <w:name w:val="heading 2"/>
    <w:basedOn w:val="1"/>
    <w:next w:val="1"/>
    <w:link w:val="53"/>
    <w:qFormat/>
    <w:uiPriority w:val="0"/>
    <w:pPr>
      <w:keepNext/>
      <w:keepLines/>
      <w:spacing w:before="260" w:after="260" w:line="413" w:lineRule="auto"/>
      <w:outlineLvl w:val="1"/>
    </w:pPr>
    <w:rPr>
      <w:rFonts w:ascii="Arial" w:hAnsi="Arial" w:eastAsia="黑体"/>
      <w:b/>
      <w:bCs/>
      <w:kern w:val="0"/>
      <w:sz w:val="32"/>
      <w:szCs w:val="32"/>
    </w:rPr>
  </w:style>
  <w:style w:type="paragraph" w:styleId="4">
    <w:name w:val="heading 3"/>
    <w:basedOn w:val="1"/>
    <w:next w:val="1"/>
    <w:link w:val="54"/>
    <w:qFormat/>
    <w:uiPriority w:val="0"/>
    <w:pPr>
      <w:keepNext/>
      <w:keepLines/>
      <w:spacing w:before="260" w:after="260" w:line="413" w:lineRule="auto"/>
      <w:outlineLvl w:val="2"/>
    </w:pPr>
    <w:rPr>
      <w:b/>
      <w:bCs/>
      <w:kern w:val="0"/>
      <w:sz w:val="32"/>
      <w:szCs w:val="32"/>
    </w:rPr>
  </w:style>
  <w:style w:type="paragraph" w:styleId="5">
    <w:name w:val="heading 4"/>
    <w:basedOn w:val="1"/>
    <w:next w:val="1"/>
    <w:link w:val="55"/>
    <w:qFormat/>
    <w:uiPriority w:val="0"/>
    <w:pPr>
      <w:keepNext/>
      <w:spacing w:line="440" w:lineRule="exact"/>
      <w:jc w:val="center"/>
      <w:outlineLvl w:val="3"/>
    </w:pPr>
    <w:rPr>
      <w:rFonts w:ascii="仿宋_GB2312" w:eastAsia="仿宋_GB2312"/>
      <w:kern w:val="0"/>
      <w:szCs w:val="24"/>
    </w:rPr>
  </w:style>
  <w:style w:type="paragraph" w:styleId="6">
    <w:name w:val="heading 5"/>
    <w:basedOn w:val="1"/>
    <w:next w:val="1"/>
    <w:link w:val="56"/>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7">
    <w:name w:val="heading 6"/>
    <w:basedOn w:val="1"/>
    <w:next w:val="1"/>
    <w:link w:val="57"/>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8">
    <w:name w:val="heading 7"/>
    <w:basedOn w:val="1"/>
    <w:next w:val="1"/>
    <w:link w:val="58"/>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9">
    <w:name w:val="heading 8"/>
    <w:basedOn w:val="1"/>
    <w:next w:val="1"/>
    <w:link w:val="59"/>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0">
    <w:name w:val="heading 9"/>
    <w:basedOn w:val="1"/>
    <w:next w:val="1"/>
    <w:link w:val="60"/>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2"/>
    <w:next w:val="1"/>
    <w:uiPriority w:val="39"/>
    <w:pPr>
      <w:suppressLineNumbers w:val="0"/>
      <w:ind w:left="1260"/>
      <w:jc w:val="left"/>
    </w:pPr>
    <w:rPr>
      <w:rFonts w:ascii="Times New Roman" w:hAnsi="Times New Roman"/>
      <w:sz w:val="18"/>
    </w:rPr>
  </w:style>
  <w:style w:type="paragraph" w:customStyle="1" w:styleId="12">
    <w:name w:val="目录"/>
    <w:basedOn w:val="1"/>
    <w:uiPriority w:val="0"/>
    <w:pPr>
      <w:suppressLineNumbers/>
      <w:suppressAutoHyphens/>
    </w:pPr>
    <w:rPr>
      <w:rFonts w:ascii="宋体" w:hAnsi="宋体"/>
      <w:kern w:val="21"/>
      <w:lang w:eastAsia="ar-SA"/>
    </w:rPr>
  </w:style>
  <w:style w:type="paragraph" w:styleId="13">
    <w:name w:val="Normal Indent"/>
    <w:basedOn w:val="1"/>
    <w:uiPriority w:val="0"/>
    <w:pPr>
      <w:ind w:firstLine="420"/>
    </w:pPr>
  </w:style>
  <w:style w:type="paragraph" w:styleId="14">
    <w:name w:val="Document Map"/>
    <w:basedOn w:val="1"/>
    <w:link w:val="203"/>
    <w:uiPriority w:val="0"/>
    <w:pPr>
      <w:shd w:val="clear" w:color="auto" w:fill="000080"/>
      <w:suppressAutoHyphens/>
    </w:pPr>
    <w:rPr>
      <w:rFonts w:ascii="宋体" w:hAnsi="宋体"/>
      <w:kern w:val="21"/>
      <w:lang w:eastAsia="ar-SA"/>
    </w:rPr>
  </w:style>
  <w:style w:type="paragraph" w:styleId="15">
    <w:name w:val="annotation text"/>
    <w:basedOn w:val="1"/>
    <w:link w:val="190"/>
    <w:uiPriority w:val="0"/>
    <w:pPr>
      <w:jc w:val="left"/>
    </w:pPr>
  </w:style>
  <w:style w:type="paragraph" w:styleId="16">
    <w:name w:val="Body Text 3"/>
    <w:basedOn w:val="1"/>
    <w:link w:val="122"/>
    <w:uiPriority w:val="0"/>
    <w:rPr>
      <w:rFonts w:ascii="黑体" w:hAnsi="Arial" w:eastAsia="黑体"/>
      <w:b/>
      <w:kern w:val="0"/>
    </w:rPr>
  </w:style>
  <w:style w:type="paragraph" w:styleId="17">
    <w:name w:val="Body Text"/>
    <w:basedOn w:val="1"/>
    <w:link w:val="80"/>
    <w:uiPriority w:val="0"/>
    <w:pPr>
      <w:spacing w:after="120"/>
    </w:pPr>
    <w:rPr>
      <w:kern w:val="0"/>
      <w:sz w:val="20"/>
      <w:szCs w:val="24"/>
    </w:rPr>
  </w:style>
  <w:style w:type="paragraph" w:styleId="18">
    <w:name w:val="Body Text Indent"/>
    <w:basedOn w:val="1"/>
    <w:link w:val="113"/>
    <w:uiPriority w:val="0"/>
    <w:pPr>
      <w:ind w:firstLine="830" w:firstLineChars="352"/>
    </w:pPr>
    <w:rPr>
      <w:rFonts w:ascii="仿宋_GB2312" w:eastAsia="仿宋_GB2312"/>
      <w:kern w:val="0"/>
      <w:sz w:val="32"/>
    </w:rPr>
  </w:style>
  <w:style w:type="paragraph" w:styleId="19">
    <w:name w:val="Block Text"/>
    <w:basedOn w:val="1"/>
    <w:uiPriority w:val="0"/>
    <w:pPr>
      <w:autoSpaceDE w:val="0"/>
      <w:autoSpaceDN w:val="0"/>
      <w:adjustRightInd w:val="0"/>
      <w:spacing w:line="500" w:lineRule="exact"/>
      <w:ind w:left="391" w:right="246"/>
    </w:pPr>
    <w:rPr>
      <w:rFonts w:ascii="仿宋_GB2312" w:eastAsia="仿宋_GB2312"/>
      <w:kern w:val="0"/>
      <w:sz w:val="24"/>
      <w:szCs w:val="24"/>
    </w:rPr>
  </w:style>
  <w:style w:type="paragraph" w:styleId="20">
    <w:name w:val="toc 5"/>
    <w:basedOn w:val="12"/>
    <w:next w:val="1"/>
    <w:uiPriority w:val="39"/>
    <w:pPr>
      <w:suppressLineNumbers w:val="0"/>
      <w:ind w:left="840"/>
      <w:jc w:val="left"/>
    </w:pPr>
    <w:rPr>
      <w:rFonts w:ascii="Times New Roman" w:hAnsi="Times New Roman"/>
      <w:sz w:val="18"/>
    </w:rPr>
  </w:style>
  <w:style w:type="paragraph" w:styleId="21">
    <w:name w:val="toc 3"/>
    <w:basedOn w:val="1"/>
    <w:next w:val="1"/>
    <w:uiPriority w:val="39"/>
    <w:pPr>
      <w:ind w:left="840" w:leftChars="400"/>
    </w:pPr>
  </w:style>
  <w:style w:type="paragraph" w:styleId="22">
    <w:name w:val="Plain Text"/>
    <w:basedOn w:val="1"/>
    <w:link w:val="63"/>
    <w:qFormat/>
    <w:uiPriority w:val="0"/>
    <w:rPr>
      <w:rFonts w:ascii="宋体" w:hAnsi="Courier New" w:cs="Courier New"/>
      <w:kern w:val="0"/>
      <w:sz w:val="20"/>
      <w:szCs w:val="21"/>
    </w:rPr>
  </w:style>
  <w:style w:type="paragraph" w:styleId="23">
    <w:name w:val="toc 8"/>
    <w:basedOn w:val="12"/>
    <w:next w:val="1"/>
    <w:uiPriority w:val="39"/>
    <w:pPr>
      <w:suppressLineNumbers w:val="0"/>
      <w:ind w:left="1470"/>
      <w:jc w:val="left"/>
    </w:pPr>
    <w:rPr>
      <w:rFonts w:ascii="Times New Roman" w:hAnsi="Times New Roman"/>
      <w:sz w:val="18"/>
    </w:rPr>
  </w:style>
  <w:style w:type="paragraph" w:styleId="24">
    <w:name w:val="Date"/>
    <w:basedOn w:val="1"/>
    <w:next w:val="1"/>
    <w:link w:val="115"/>
    <w:uiPriority w:val="0"/>
    <w:pPr>
      <w:ind w:left="100" w:leftChars="2500"/>
    </w:pPr>
    <w:rPr>
      <w:rFonts w:ascii="宋体" w:hAnsi="Courier New" w:cs="Courier New"/>
      <w:kern w:val="0"/>
      <w:sz w:val="20"/>
      <w:szCs w:val="21"/>
    </w:rPr>
  </w:style>
  <w:style w:type="paragraph" w:styleId="25">
    <w:name w:val="Body Text Indent 2"/>
    <w:basedOn w:val="1"/>
    <w:link w:val="108"/>
    <w:uiPriority w:val="0"/>
    <w:pPr>
      <w:spacing w:after="120" w:line="480" w:lineRule="auto"/>
      <w:ind w:left="420" w:leftChars="200"/>
    </w:pPr>
    <w:rPr>
      <w:kern w:val="0"/>
      <w:sz w:val="20"/>
      <w:szCs w:val="24"/>
    </w:rPr>
  </w:style>
  <w:style w:type="paragraph" w:styleId="26">
    <w:name w:val="Balloon Text"/>
    <w:basedOn w:val="1"/>
    <w:link w:val="104"/>
    <w:uiPriority w:val="0"/>
    <w:rPr>
      <w:kern w:val="0"/>
      <w:sz w:val="18"/>
      <w:szCs w:val="18"/>
    </w:rPr>
  </w:style>
  <w:style w:type="paragraph" w:styleId="27">
    <w:name w:val="footer"/>
    <w:basedOn w:val="1"/>
    <w:link w:val="127"/>
    <w:uiPriority w:val="0"/>
    <w:pPr>
      <w:tabs>
        <w:tab w:val="center" w:pos="4153"/>
        <w:tab w:val="right" w:pos="8306"/>
      </w:tabs>
      <w:snapToGrid w:val="0"/>
      <w:jc w:val="left"/>
    </w:pPr>
    <w:rPr>
      <w:kern w:val="0"/>
      <w:sz w:val="18"/>
      <w:szCs w:val="18"/>
    </w:rPr>
  </w:style>
  <w:style w:type="paragraph" w:styleId="28">
    <w:name w:val="header"/>
    <w:basedOn w:val="1"/>
    <w:link w:val="69"/>
    <w:uiPriority w:val="0"/>
    <w:pPr>
      <w:pBdr>
        <w:bottom w:val="single" w:color="auto" w:sz="6" w:space="1"/>
      </w:pBdr>
      <w:tabs>
        <w:tab w:val="center" w:pos="4153"/>
        <w:tab w:val="right" w:pos="8306"/>
      </w:tabs>
      <w:snapToGrid w:val="0"/>
      <w:jc w:val="center"/>
    </w:pPr>
    <w:rPr>
      <w:kern w:val="0"/>
      <w:sz w:val="18"/>
      <w:szCs w:val="18"/>
    </w:rPr>
  </w:style>
  <w:style w:type="paragraph" w:styleId="29">
    <w:name w:val="toc 1"/>
    <w:basedOn w:val="1"/>
    <w:next w:val="1"/>
    <w:uiPriority w:val="39"/>
    <w:pPr>
      <w:spacing w:before="120" w:after="120"/>
      <w:jc w:val="left"/>
    </w:pPr>
    <w:rPr>
      <w:b/>
      <w:bCs/>
      <w:caps/>
    </w:rPr>
  </w:style>
  <w:style w:type="paragraph" w:styleId="30">
    <w:name w:val="toc 4"/>
    <w:basedOn w:val="1"/>
    <w:next w:val="1"/>
    <w:uiPriority w:val="39"/>
    <w:pPr>
      <w:ind w:left="1260" w:leftChars="600"/>
    </w:pPr>
    <w:rPr>
      <w:szCs w:val="24"/>
    </w:rPr>
  </w:style>
  <w:style w:type="paragraph" w:styleId="31">
    <w:name w:val="Subtitle"/>
    <w:basedOn w:val="1"/>
    <w:next w:val="1"/>
    <w:link w:val="62"/>
    <w:qFormat/>
    <w:uiPriority w:val="0"/>
    <w:pPr>
      <w:spacing w:before="240" w:after="60" w:line="312" w:lineRule="auto"/>
      <w:jc w:val="center"/>
      <w:outlineLvl w:val="1"/>
    </w:pPr>
    <w:rPr>
      <w:rFonts w:ascii="Cambria" w:hAnsi="Cambria" w:eastAsia="方正楷体简体"/>
      <w:bCs/>
      <w:kern w:val="28"/>
      <w:sz w:val="20"/>
      <w:szCs w:val="32"/>
    </w:rPr>
  </w:style>
  <w:style w:type="paragraph" w:styleId="32">
    <w:name w:val="List"/>
    <w:basedOn w:val="17"/>
    <w:uiPriority w:val="0"/>
    <w:pPr>
      <w:suppressAutoHyphens/>
    </w:pPr>
    <w:rPr>
      <w:rFonts w:hint="eastAsia" w:ascii="方正大黑简体" w:hAnsi="宋体"/>
      <w:kern w:val="44"/>
      <w:position w:val="6"/>
      <w:sz w:val="30"/>
      <w:szCs w:val="20"/>
    </w:rPr>
  </w:style>
  <w:style w:type="paragraph" w:styleId="33">
    <w:name w:val="toc 6"/>
    <w:basedOn w:val="12"/>
    <w:next w:val="1"/>
    <w:uiPriority w:val="39"/>
    <w:pPr>
      <w:suppressLineNumbers w:val="0"/>
      <w:ind w:left="1050"/>
      <w:jc w:val="left"/>
    </w:pPr>
    <w:rPr>
      <w:rFonts w:ascii="Times New Roman" w:hAnsi="Times New Roman"/>
      <w:sz w:val="18"/>
    </w:rPr>
  </w:style>
  <w:style w:type="paragraph" w:styleId="34">
    <w:name w:val="Body Text Indent 3"/>
    <w:basedOn w:val="1"/>
    <w:link w:val="91"/>
    <w:uiPriority w:val="0"/>
    <w:pPr>
      <w:spacing w:after="120"/>
      <w:ind w:left="420" w:leftChars="200"/>
    </w:pPr>
    <w:rPr>
      <w:kern w:val="0"/>
      <w:sz w:val="16"/>
      <w:szCs w:val="16"/>
    </w:rPr>
  </w:style>
  <w:style w:type="paragraph" w:styleId="35">
    <w:name w:val="toc 2"/>
    <w:basedOn w:val="1"/>
    <w:next w:val="1"/>
    <w:uiPriority w:val="39"/>
    <w:pPr>
      <w:ind w:left="420" w:leftChars="200"/>
    </w:pPr>
    <w:rPr>
      <w:sz w:val="24"/>
    </w:rPr>
  </w:style>
  <w:style w:type="paragraph" w:styleId="36">
    <w:name w:val="toc 9"/>
    <w:basedOn w:val="12"/>
    <w:next w:val="1"/>
    <w:uiPriority w:val="39"/>
    <w:pPr>
      <w:suppressLineNumbers w:val="0"/>
      <w:ind w:left="1680"/>
      <w:jc w:val="left"/>
    </w:pPr>
    <w:rPr>
      <w:rFonts w:ascii="Times New Roman" w:hAnsi="Times New Roman"/>
      <w:sz w:val="18"/>
    </w:rPr>
  </w:style>
  <w:style w:type="paragraph" w:styleId="37">
    <w:name w:val="HTML Preformatted"/>
    <w:basedOn w:val="1"/>
    <w:link w:val="192"/>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8">
    <w:name w:val="Normal (Web)"/>
    <w:basedOn w:val="1"/>
    <w:uiPriority w:val="0"/>
    <w:pPr>
      <w:widowControl/>
      <w:spacing w:before="100" w:beforeAutospacing="1" w:after="100" w:afterAutospacing="1"/>
      <w:jc w:val="left"/>
    </w:pPr>
    <w:rPr>
      <w:rFonts w:ascii="宋体" w:hAnsi="宋体"/>
      <w:kern w:val="0"/>
      <w:sz w:val="24"/>
      <w:szCs w:val="24"/>
    </w:rPr>
  </w:style>
  <w:style w:type="paragraph" w:styleId="39">
    <w:name w:val="Title"/>
    <w:basedOn w:val="1"/>
    <w:next w:val="1"/>
    <w:link w:val="61"/>
    <w:qFormat/>
    <w:uiPriority w:val="99"/>
    <w:pPr>
      <w:spacing w:before="240" w:after="60"/>
      <w:jc w:val="center"/>
      <w:outlineLvl w:val="0"/>
    </w:pPr>
    <w:rPr>
      <w:rFonts w:ascii="Cambria" w:hAnsi="Cambria" w:eastAsia="方正小标宋简体"/>
      <w:b/>
      <w:bCs/>
      <w:kern w:val="0"/>
      <w:sz w:val="44"/>
      <w:szCs w:val="32"/>
    </w:rPr>
  </w:style>
  <w:style w:type="paragraph" w:styleId="40">
    <w:name w:val="annotation subject"/>
    <w:basedOn w:val="15"/>
    <w:next w:val="15"/>
    <w:link w:val="191"/>
    <w:uiPriority w:val="0"/>
    <w:pPr>
      <w:suppressAutoHyphens/>
    </w:pPr>
    <w:rPr>
      <w:rFonts w:ascii="宋体" w:hAnsi="宋体"/>
      <w:b/>
      <w:kern w:val="21"/>
      <w:lang w:eastAsia="ar-SA"/>
    </w:rPr>
  </w:style>
  <w:style w:type="paragraph" w:styleId="41">
    <w:name w:val="Body Text First Indent"/>
    <w:basedOn w:val="17"/>
    <w:link w:val="212"/>
    <w:uiPriority w:val="0"/>
    <w:pPr>
      <w:ind w:firstLine="420" w:firstLineChars="100"/>
    </w:pPr>
    <w:rPr>
      <w:kern w:val="2"/>
      <w:sz w:val="28"/>
    </w:rPr>
  </w:style>
  <w:style w:type="table" w:styleId="43">
    <w:name w:val="Table Grid"/>
    <w:basedOn w:val="4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5">
    <w:name w:val="Strong"/>
    <w:qFormat/>
    <w:uiPriority w:val="99"/>
    <w:rPr>
      <w:b/>
    </w:rPr>
  </w:style>
  <w:style w:type="character" w:styleId="46">
    <w:name w:val="page number"/>
    <w:basedOn w:val="44"/>
    <w:uiPriority w:val="0"/>
  </w:style>
  <w:style w:type="character" w:styleId="47">
    <w:name w:val="FollowedHyperlink"/>
    <w:uiPriority w:val="0"/>
    <w:rPr>
      <w:color w:val="800080"/>
      <w:u w:val="single"/>
    </w:rPr>
  </w:style>
  <w:style w:type="character" w:styleId="48">
    <w:name w:val="Emphasis"/>
    <w:qFormat/>
    <w:uiPriority w:val="0"/>
    <w:rPr>
      <w:rFonts w:hint="default" w:ascii="Times New Roman" w:hAnsi="Times New Roman" w:cs="Times New Roman"/>
    </w:rPr>
  </w:style>
  <w:style w:type="character" w:styleId="49">
    <w:name w:val="Hyperlink"/>
    <w:qFormat/>
    <w:uiPriority w:val="99"/>
    <w:rPr>
      <w:color w:val="0000FF"/>
      <w:u w:val="single"/>
    </w:rPr>
  </w:style>
  <w:style w:type="character" w:styleId="50">
    <w:name w:val="annotation reference"/>
    <w:uiPriority w:val="0"/>
    <w:rPr>
      <w:sz w:val="21"/>
    </w:rPr>
  </w:style>
  <w:style w:type="paragraph" w:customStyle="1" w:styleId="51">
    <w:name w:val="列出段落1"/>
    <w:basedOn w:val="1"/>
    <w:qFormat/>
    <w:uiPriority w:val="34"/>
    <w:pPr>
      <w:ind w:firstLine="420" w:firstLineChars="200"/>
    </w:pPr>
    <w:rPr>
      <w:rFonts w:ascii="Calibri" w:hAnsi="Calibri"/>
      <w:szCs w:val="22"/>
    </w:rPr>
  </w:style>
  <w:style w:type="character" w:customStyle="1" w:styleId="52">
    <w:name w:val="标题 1 Char"/>
    <w:link w:val="2"/>
    <w:qFormat/>
    <w:uiPriority w:val="0"/>
    <w:rPr>
      <w:rFonts w:ascii="Times New Roman" w:hAnsi="Times New Roman"/>
      <w:b/>
      <w:bCs/>
      <w:kern w:val="44"/>
      <w:sz w:val="36"/>
      <w:szCs w:val="44"/>
    </w:rPr>
  </w:style>
  <w:style w:type="character" w:customStyle="1" w:styleId="53">
    <w:name w:val="标题 2 Char"/>
    <w:link w:val="3"/>
    <w:qFormat/>
    <w:uiPriority w:val="0"/>
    <w:rPr>
      <w:rFonts w:ascii="Arial" w:hAnsi="Arial" w:eastAsia="黑体"/>
      <w:b/>
      <w:bCs/>
      <w:sz w:val="32"/>
      <w:szCs w:val="32"/>
    </w:rPr>
  </w:style>
  <w:style w:type="character" w:customStyle="1" w:styleId="54">
    <w:name w:val="标题 3 Char"/>
    <w:link w:val="4"/>
    <w:qFormat/>
    <w:uiPriority w:val="0"/>
    <w:rPr>
      <w:rFonts w:ascii="Times New Roman" w:hAnsi="Times New Roman"/>
      <w:b/>
      <w:bCs/>
      <w:sz w:val="32"/>
      <w:szCs w:val="32"/>
    </w:rPr>
  </w:style>
  <w:style w:type="character" w:customStyle="1" w:styleId="55">
    <w:name w:val="标题 4 Char"/>
    <w:link w:val="5"/>
    <w:qFormat/>
    <w:uiPriority w:val="0"/>
    <w:rPr>
      <w:rFonts w:ascii="仿宋_GB2312" w:hAnsi="Times New Roman" w:eastAsia="仿宋_GB2312"/>
      <w:sz w:val="28"/>
      <w:szCs w:val="24"/>
    </w:rPr>
  </w:style>
  <w:style w:type="character" w:customStyle="1" w:styleId="56">
    <w:name w:val="标题 5 Char"/>
    <w:link w:val="6"/>
    <w:qFormat/>
    <w:uiPriority w:val="0"/>
    <w:rPr>
      <w:rFonts w:ascii="宋体" w:hAnsi="宋体"/>
      <w:b/>
      <w:kern w:val="21"/>
      <w:sz w:val="28"/>
      <w:lang w:eastAsia="ar-SA"/>
    </w:rPr>
  </w:style>
  <w:style w:type="character" w:customStyle="1" w:styleId="57">
    <w:name w:val="标题 6 Char"/>
    <w:link w:val="7"/>
    <w:qFormat/>
    <w:uiPriority w:val="0"/>
    <w:rPr>
      <w:rFonts w:ascii="Arial" w:hAnsi="Arial" w:eastAsia="黑体"/>
      <w:b/>
      <w:kern w:val="21"/>
      <w:sz w:val="24"/>
      <w:lang w:eastAsia="ar-SA"/>
    </w:rPr>
  </w:style>
  <w:style w:type="character" w:customStyle="1" w:styleId="58">
    <w:name w:val="标题 7 Char"/>
    <w:link w:val="8"/>
    <w:qFormat/>
    <w:uiPriority w:val="0"/>
    <w:rPr>
      <w:rFonts w:ascii="宋体" w:hAnsi="宋体"/>
      <w:b/>
      <w:kern w:val="21"/>
      <w:sz w:val="24"/>
      <w:lang w:eastAsia="ar-SA"/>
    </w:rPr>
  </w:style>
  <w:style w:type="character" w:customStyle="1" w:styleId="59">
    <w:name w:val="标题 8 Char"/>
    <w:link w:val="9"/>
    <w:qFormat/>
    <w:uiPriority w:val="0"/>
    <w:rPr>
      <w:rFonts w:ascii="Arial" w:hAnsi="Arial" w:eastAsia="黑体"/>
      <w:kern w:val="21"/>
      <w:sz w:val="24"/>
      <w:lang w:eastAsia="ar-SA"/>
    </w:rPr>
  </w:style>
  <w:style w:type="character" w:customStyle="1" w:styleId="60">
    <w:name w:val="标题 9 Char"/>
    <w:link w:val="10"/>
    <w:qFormat/>
    <w:uiPriority w:val="0"/>
    <w:rPr>
      <w:rFonts w:ascii="Arial" w:hAnsi="Arial" w:eastAsia="黑体"/>
      <w:kern w:val="21"/>
      <w:sz w:val="21"/>
      <w:lang w:eastAsia="ar-SA"/>
    </w:rPr>
  </w:style>
  <w:style w:type="character" w:customStyle="1" w:styleId="61">
    <w:name w:val="标题 Char"/>
    <w:link w:val="39"/>
    <w:qFormat/>
    <w:uiPriority w:val="99"/>
    <w:rPr>
      <w:rFonts w:ascii="Cambria" w:hAnsi="Cambria" w:eastAsia="方正小标宋简体"/>
      <w:b/>
      <w:bCs/>
      <w:sz w:val="44"/>
      <w:szCs w:val="32"/>
    </w:rPr>
  </w:style>
  <w:style w:type="character" w:customStyle="1" w:styleId="62">
    <w:name w:val="副标题 Char"/>
    <w:link w:val="31"/>
    <w:qFormat/>
    <w:uiPriority w:val="0"/>
    <w:rPr>
      <w:rFonts w:ascii="Cambria" w:hAnsi="Cambria" w:eastAsia="方正楷体简体"/>
      <w:bCs/>
      <w:kern w:val="28"/>
      <w:szCs w:val="32"/>
    </w:rPr>
  </w:style>
  <w:style w:type="character" w:customStyle="1" w:styleId="63">
    <w:name w:val="纯文本 Char"/>
    <w:link w:val="22"/>
    <w:qFormat/>
    <w:uiPriority w:val="0"/>
    <w:rPr>
      <w:rFonts w:ascii="宋体" w:hAnsi="Courier New" w:cs="Courier New"/>
      <w:szCs w:val="21"/>
    </w:rPr>
  </w:style>
  <w:style w:type="paragraph" w:styleId="64">
    <w:name w:val="No Spacing"/>
    <w:link w:val="65"/>
    <w:qFormat/>
    <w:uiPriority w:val="0"/>
    <w:rPr>
      <w:rFonts w:ascii="Calibri" w:hAnsi="Calibri" w:eastAsia="宋体" w:cs="Times New Roman"/>
      <w:sz w:val="22"/>
      <w:lang w:val="en-US" w:eastAsia="zh-CN" w:bidi="ar-SA"/>
    </w:rPr>
  </w:style>
  <w:style w:type="character" w:customStyle="1" w:styleId="65">
    <w:name w:val="无间隔 Char"/>
    <w:link w:val="64"/>
    <w:uiPriority w:val="0"/>
    <w:rPr>
      <w:sz w:val="22"/>
    </w:rPr>
  </w:style>
  <w:style w:type="paragraph" w:styleId="66">
    <w:name w:val="List Paragraph"/>
    <w:basedOn w:val="1"/>
    <w:qFormat/>
    <w:uiPriority w:val="34"/>
    <w:pPr>
      <w:ind w:firstLine="420" w:firstLineChars="200"/>
    </w:pPr>
    <w:rPr>
      <w:szCs w:val="21"/>
    </w:rPr>
  </w:style>
  <w:style w:type="paragraph" w:customStyle="1" w:styleId="67">
    <w:name w:val="TOC Heading"/>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68">
    <w:name w:val="fontheight2"/>
    <w:uiPriority w:val="0"/>
    <w:rPr>
      <w:sz w:val="20"/>
      <w:szCs w:val="20"/>
      <w:u w:val="none"/>
    </w:rPr>
  </w:style>
  <w:style w:type="character" w:customStyle="1" w:styleId="69">
    <w:name w:val="页眉 Char"/>
    <w:link w:val="28"/>
    <w:uiPriority w:val="0"/>
    <w:rPr>
      <w:rFonts w:ascii="Times New Roman" w:hAnsi="Times New Roman"/>
      <w:sz w:val="18"/>
      <w:szCs w:val="18"/>
    </w:rPr>
  </w:style>
  <w:style w:type="character" w:customStyle="1" w:styleId="70">
    <w:name w:val="WW8Num1z3"/>
    <w:uiPriority w:val="0"/>
    <w:rPr>
      <w:rFonts w:ascii="Arial" w:hAnsi="Arial"/>
      <w:color w:val="auto"/>
      <w:position w:val="0"/>
      <w:sz w:val="21"/>
      <w:vertAlign w:val="baseline"/>
    </w:rPr>
  </w:style>
  <w:style w:type="character" w:customStyle="1" w:styleId="71">
    <w:name w:val="WW8Num1z2"/>
    <w:uiPriority w:val="0"/>
    <w:rPr>
      <w:b/>
      <w:sz w:val="28"/>
    </w:rPr>
  </w:style>
  <w:style w:type="character" w:customStyle="1" w:styleId="72">
    <w:name w:val="H3 Char"/>
    <w:uiPriority w:val="0"/>
    <w:rPr>
      <w:rFonts w:eastAsia="宋体"/>
      <w:b/>
      <w:bCs/>
      <w:sz w:val="32"/>
      <w:szCs w:val="32"/>
      <w:lang w:val="en-US" w:eastAsia="zh-CN" w:bidi="ar-SA"/>
    </w:rPr>
  </w:style>
  <w:style w:type="character" w:customStyle="1" w:styleId="73">
    <w:name w:val="text91"/>
    <w:uiPriority w:val="0"/>
    <w:rPr>
      <w:sz w:val="18"/>
      <w:u w:val="none"/>
    </w:rPr>
  </w:style>
  <w:style w:type="character" w:customStyle="1" w:styleId="74">
    <w:name w:val="ca-6"/>
    <w:basedOn w:val="44"/>
    <w:uiPriority w:val="0"/>
  </w:style>
  <w:style w:type="character" w:customStyle="1" w:styleId="75">
    <w:name w:val="Char Char10"/>
    <w:uiPriority w:val="0"/>
    <w:rPr>
      <w:rFonts w:hint="eastAsia" w:ascii="宋体" w:hAnsi="Courier New" w:eastAsia="宋体" w:cs="Times New Roman"/>
      <w:sz w:val="18"/>
      <w:szCs w:val="20"/>
    </w:rPr>
  </w:style>
  <w:style w:type="character" w:customStyle="1" w:styleId="76">
    <w:name w:val="faq"/>
    <w:basedOn w:val="44"/>
    <w:uiPriority w:val="0"/>
  </w:style>
  <w:style w:type="character" w:customStyle="1" w:styleId="77">
    <w:name w:val="WW8Num15z6"/>
    <w:uiPriority w:val="0"/>
    <w:rPr>
      <w:rFonts w:ascii="Times New Roman" w:hAnsi="Times New Roman"/>
    </w:rPr>
  </w:style>
  <w:style w:type="character" w:customStyle="1" w:styleId="78">
    <w:name w:val="Char Char"/>
    <w:uiPriority w:val="0"/>
    <w:rPr>
      <w:rFonts w:ascii="Times New Roman" w:hAnsi="Times New Roman"/>
      <w:sz w:val="21"/>
      <w:szCs w:val="24"/>
    </w:rPr>
  </w:style>
  <w:style w:type="character" w:customStyle="1" w:styleId="79">
    <w:name w:val="WW8Num1z0"/>
    <w:uiPriority w:val="0"/>
    <w:rPr>
      <w:rFonts w:ascii="Arial" w:hAnsi="Arial"/>
      <w:b/>
      <w:color w:val="000000"/>
      <w:position w:val="0"/>
      <w:sz w:val="36"/>
      <w:vertAlign w:val="baseline"/>
    </w:rPr>
  </w:style>
  <w:style w:type="character" w:customStyle="1" w:styleId="80">
    <w:name w:val="正文文本 Char"/>
    <w:link w:val="17"/>
    <w:uiPriority w:val="0"/>
    <w:rPr>
      <w:rFonts w:ascii="Times New Roman" w:hAnsi="Times New Roman"/>
      <w:szCs w:val="24"/>
    </w:rPr>
  </w:style>
  <w:style w:type="character" w:customStyle="1" w:styleId="81">
    <w:name w:val="首行缩进:  0.85 厘米 Char Char"/>
    <w:link w:val="82"/>
    <w:uiPriority w:val="0"/>
    <w:rPr>
      <w:rFonts w:eastAsia="昆仑黑体" w:cs="Arial Unicode MS"/>
      <w:sz w:val="28"/>
      <w:lang w:eastAsia="en-US" w:bidi="en-US"/>
    </w:rPr>
  </w:style>
  <w:style w:type="paragraph" w:customStyle="1" w:styleId="82">
    <w:name w:val="首行缩进:  0.85 厘米"/>
    <w:basedOn w:val="1"/>
    <w:link w:val="81"/>
    <w:uiPriority w:val="0"/>
    <w:pPr>
      <w:spacing w:line="360" w:lineRule="auto"/>
      <w:ind w:firstLine="482"/>
      <w:jc w:val="left"/>
    </w:pPr>
    <w:rPr>
      <w:rFonts w:ascii="Calibri" w:hAnsi="Calibri" w:eastAsia="昆仑黑体" w:cs="Arial Unicode MS"/>
      <w:kern w:val="0"/>
      <w:lang w:eastAsia="en-US" w:bidi="en-US"/>
    </w:rPr>
  </w:style>
  <w:style w:type="character" w:customStyle="1" w:styleId="83">
    <w:name w:val="0921 Char"/>
    <w:uiPriority w:val="0"/>
    <w:rPr>
      <w:rFonts w:ascii="宋体" w:hAnsi="Courier New" w:cs="宋体"/>
      <w:kern w:val="2"/>
      <w:sz w:val="21"/>
      <w:szCs w:val="21"/>
    </w:rPr>
  </w:style>
  <w:style w:type="character" w:customStyle="1" w:styleId="84">
    <w:name w:val="paramname2"/>
    <w:uiPriority w:val="0"/>
    <w:rPr>
      <w:color w:val="999999"/>
    </w:rPr>
  </w:style>
  <w:style w:type="character" w:customStyle="1" w:styleId="85">
    <w:name w:val="WW8Num2z3"/>
    <w:uiPriority w:val="0"/>
    <w:rPr>
      <w:rFonts w:ascii="Arial" w:hAnsi="Arial"/>
      <w:color w:val="auto"/>
      <w:position w:val="0"/>
      <w:sz w:val="21"/>
      <w:vertAlign w:val="baseline"/>
    </w:rPr>
  </w:style>
  <w:style w:type="character" w:customStyle="1" w:styleId="86">
    <w:name w:val="默认段落字体1"/>
    <w:uiPriority w:val="0"/>
  </w:style>
  <w:style w:type="character" w:customStyle="1" w:styleId="87">
    <w:name w:val="WW8Num17z0"/>
    <w:uiPriority w:val="0"/>
    <w:rPr>
      <w:rFonts w:ascii="Wingdings" w:hAnsi="Wingdings"/>
    </w:rPr>
  </w:style>
  <w:style w:type="character" w:customStyle="1" w:styleId="88">
    <w:name w:val="WW-Absatz-Standardschriftart"/>
    <w:uiPriority w:val="0"/>
  </w:style>
  <w:style w:type="character" w:customStyle="1" w:styleId="89">
    <w:name w:val="WW8Num22z1"/>
    <w:uiPriority w:val="0"/>
    <w:rPr>
      <w:rFonts w:ascii="Wingdings" w:hAnsi="Wingdings"/>
    </w:rPr>
  </w:style>
  <w:style w:type="character" w:customStyle="1" w:styleId="90">
    <w:name w:val="WW8Num2z2"/>
    <w:uiPriority w:val="0"/>
    <w:rPr>
      <w:rFonts w:ascii="Arial" w:hAnsi="Arial"/>
      <w:color w:val="000000"/>
      <w:position w:val="0"/>
      <w:sz w:val="24"/>
      <w:vertAlign w:val="baseline"/>
    </w:rPr>
  </w:style>
  <w:style w:type="character" w:customStyle="1" w:styleId="91">
    <w:name w:val="正文文本缩进 3 Char"/>
    <w:link w:val="34"/>
    <w:uiPriority w:val="0"/>
    <w:rPr>
      <w:rFonts w:ascii="Times New Roman" w:hAnsi="Times New Roman"/>
      <w:sz w:val="16"/>
      <w:szCs w:val="16"/>
    </w:rPr>
  </w:style>
  <w:style w:type="character" w:customStyle="1" w:styleId="92">
    <w:name w:val="正文要点 Char Char"/>
    <w:link w:val="93"/>
    <w:uiPriority w:val="0"/>
    <w:rPr>
      <w:kern w:val="2"/>
      <w:sz w:val="21"/>
      <w:szCs w:val="24"/>
    </w:rPr>
  </w:style>
  <w:style w:type="paragraph" w:customStyle="1" w:styleId="93">
    <w:name w:val="正文要点"/>
    <w:basedOn w:val="1"/>
    <w:next w:val="94"/>
    <w:link w:val="92"/>
    <w:uiPriority w:val="0"/>
    <w:pPr>
      <w:numPr>
        <w:ilvl w:val="0"/>
        <w:numId w:val="2"/>
      </w:numPr>
      <w:tabs>
        <w:tab w:val="left" w:pos="420"/>
        <w:tab w:val="clear" w:pos="840"/>
      </w:tabs>
      <w:spacing w:line="360" w:lineRule="auto"/>
    </w:pPr>
    <w:rPr>
      <w:rFonts w:ascii="Calibri" w:hAnsi="Calibri"/>
      <w:sz w:val="21"/>
      <w:szCs w:val="24"/>
    </w:rPr>
  </w:style>
  <w:style w:type="paragraph" w:customStyle="1" w:styleId="94">
    <w:name w:val="正文要点内容"/>
    <w:basedOn w:val="93"/>
    <w:link w:val="114"/>
    <w:uiPriority w:val="0"/>
    <w:pPr>
      <w:numPr>
        <w:numId w:val="0"/>
      </w:numPr>
      <w:ind w:left="400" w:leftChars="400" w:firstLine="200" w:firstLineChars="200"/>
    </w:pPr>
    <w:rPr>
      <w:rFonts w:ascii="Times New Roman" w:hAnsi="Times New Roman"/>
      <w:kern w:val="0"/>
      <w:sz w:val="20"/>
    </w:rPr>
  </w:style>
  <w:style w:type="character" w:customStyle="1" w:styleId="95">
    <w:name w:val="WW8Num19z0"/>
    <w:uiPriority w:val="0"/>
    <w:rPr>
      <w:rFonts w:ascii="Wingdings" w:hAnsi="Wingdings"/>
    </w:rPr>
  </w:style>
  <w:style w:type="character" w:customStyle="1" w:styleId="96">
    <w:name w:val="case31"/>
    <w:uiPriority w:val="0"/>
    <w:rPr>
      <w:rFonts w:hint="default"/>
      <w:spacing w:val="390"/>
      <w:sz w:val="21"/>
      <w:szCs w:val="21"/>
    </w:rPr>
  </w:style>
  <w:style w:type="character" w:customStyle="1" w:styleId="97">
    <w:name w:val="mark4"/>
    <w:uiPriority w:val="0"/>
  </w:style>
  <w:style w:type="character" w:customStyle="1" w:styleId="98">
    <w:name w:val="WW8Num9z0"/>
    <w:uiPriority w:val="0"/>
    <w:rPr>
      <w:b/>
    </w:rPr>
  </w:style>
  <w:style w:type="character" w:customStyle="1" w:styleId="99">
    <w:name w:val="apple-style-span"/>
    <w:basedOn w:val="44"/>
    <w:uiPriority w:val="0"/>
  </w:style>
  <w:style w:type="character" w:customStyle="1" w:styleId="100">
    <w:name w:val="WW8Num31z1"/>
    <w:uiPriority w:val="0"/>
    <w:rPr>
      <w:b/>
      <w:color w:val="000000"/>
    </w:rPr>
  </w:style>
  <w:style w:type="character" w:customStyle="1" w:styleId="101">
    <w:name w:val="Char Char4"/>
    <w:uiPriority w:val="0"/>
    <w:rPr>
      <w:rFonts w:eastAsia="宋体"/>
      <w:b/>
      <w:bCs/>
      <w:kern w:val="44"/>
      <w:sz w:val="44"/>
      <w:szCs w:val="44"/>
      <w:lang w:val="en-US" w:eastAsia="zh-CN" w:bidi="ar-SA"/>
    </w:rPr>
  </w:style>
  <w:style w:type="character" w:customStyle="1" w:styleId="102">
    <w:name w:val="WW8Num2z0"/>
    <w:uiPriority w:val="0"/>
    <w:rPr>
      <w:rFonts w:ascii="Arial" w:hAnsi="Arial"/>
      <w:b/>
      <w:color w:val="000000"/>
      <w:position w:val="0"/>
      <w:sz w:val="36"/>
      <w:vertAlign w:val="baseline"/>
    </w:rPr>
  </w:style>
  <w:style w:type="character" w:customStyle="1" w:styleId="103">
    <w:name w:val="WW8Num27z0"/>
    <w:uiPriority w:val="0"/>
    <w:rPr>
      <w:b/>
    </w:rPr>
  </w:style>
  <w:style w:type="character" w:customStyle="1" w:styleId="104">
    <w:name w:val="批注框文本 Char"/>
    <w:link w:val="26"/>
    <w:uiPriority w:val="0"/>
    <w:rPr>
      <w:rFonts w:ascii="Times New Roman" w:hAnsi="Times New Roman"/>
      <w:sz w:val="18"/>
      <w:szCs w:val="18"/>
    </w:rPr>
  </w:style>
  <w:style w:type="character" w:customStyle="1" w:styleId="105">
    <w:name w:val="WW-Absatz-Standardschriftart1"/>
    <w:uiPriority w:val="0"/>
  </w:style>
  <w:style w:type="character" w:customStyle="1" w:styleId="106">
    <w:name w:val="WW8Num8z0"/>
    <w:uiPriority w:val="0"/>
    <w:rPr>
      <w:b/>
    </w:rPr>
  </w:style>
  <w:style w:type="character" w:customStyle="1" w:styleId="107">
    <w:name w:val="jk"/>
    <w:uiPriority w:val="0"/>
  </w:style>
  <w:style w:type="character" w:customStyle="1" w:styleId="108">
    <w:name w:val="正文文本缩进 2 Char"/>
    <w:link w:val="25"/>
    <w:uiPriority w:val="0"/>
    <w:rPr>
      <w:rFonts w:ascii="Times New Roman" w:hAnsi="Times New Roman"/>
      <w:szCs w:val="24"/>
    </w:rPr>
  </w:style>
  <w:style w:type="character" w:customStyle="1" w:styleId="109">
    <w:name w:val="font131"/>
    <w:uiPriority w:val="0"/>
    <w:rPr>
      <w:sz w:val="20"/>
      <w:szCs w:val="20"/>
    </w:rPr>
  </w:style>
  <w:style w:type="character" w:customStyle="1" w:styleId="110">
    <w:name w:val="Absatz-Standardschriftart"/>
    <w:uiPriority w:val="0"/>
  </w:style>
  <w:style w:type="character" w:customStyle="1" w:styleId="111">
    <w:name w:val="WW8Num1z1"/>
    <w:uiPriority w:val="0"/>
    <w:rPr>
      <w:b/>
      <w:sz w:val="28"/>
    </w:rPr>
  </w:style>
  <w:style w:type="character" w:customStyle="1" w:styleId="112">
    <w:name w:val="ca-2"/>
    <w:basedOn w:val="44"/>
    <w:uiPriority w:val="0"/>
  </w:style>
  <w:style w:type="character" w:customStyle="1" w:styleId="113">
    <w:name w:val="正文文本缩进 Char"/>
    <w:link w:val="18"/>
    <w:uiPriority w:val="0"/>
    <w:rPr>
      <w:rFonts w:ascii="仿宋_GB2312" w:hAnsi="Times New Roman" w:eastAsia="仿宋_GB2312"/>
      <w:sz w:val="32"/>
    </w:rPr>
  </w:style>
  <w:style w:type="character" w:customStyle="1" w:styleId="114">
    <w:name w:val="正文要点内容 Char Char"/>
    <w:link w:val="94"/>
    <w:uiPriority w:val="0"/>
    <w:rPr>
      <w:rFonts w:ascii="Times New Roman" w:hAnsi="Times New Roman"/>
      <w:szCs w:val="24"/>
    </w:rPr>
  </w:style>
  <w:style w:type="character" w:customStyle="1" w:styleId="115">
    <w:name w:val="日期 Char"/>
    <w:link w:val="24"/>
    <w:uiPriority w:val="0"/>
    <w:rPr>
      <w:rFonts w:ascii="宋体" w:hAnsi="Courier New" w:cs="Courier New"/>
      <w:szCs w:val="21"/>
    </w:rPr>
  </w:style>
  <w:style w:type="character" w:customStyle="1" w:styleId="116">
    <w:name w:val="a14_red_bold1"/>
    <w:uiPriority w:val="0"/>
    <w:rPr>
      <w:rFonts w:ascii="Arial" w:hAnsi="Arial" w:cs="Arial"/>
      <w:b/>
      <w:bCs/>
      <w:color w:val="auto"/>
      <w:sz w:val="21"/>
      <w:szCs w:val="21"/>
      <w:u w:val="none"/>
    </w:rPr>
  </w:style>
  <w:style w:type="character" w:customStyle="1" w:styleId="117">
    <w:name w:val="样式 标题 2第一层条论文标题 1正文二级标题heading 2 + Indent: Left 0.25 inh2h...1 Char Char"/>
    <w:link w:val="118"/>
    <w:uiPriority w:val="0"/>
    <w:rPr>
      <w:rFonts w:ascii="新宋体" w:hAnsi="新宋体" w:eastAsia="新宋体" w:cs="宋体"/>
      <w:b/>
      <w:bCs/>
      <w:kern w:val="2"/>
      <w:sz w:val="28"/>
    </w:rPr>
  </w:style>
  <w:style w:type="paragraph" w:customStyle="1" w:styleId="118">
    <w:name w:val="样式 标题 2第一层条论文标题 1正文二级标题heading 2 + Indent: Left 0.25 inh2h...1"/>
    <w:basedOn w:val="3"/>
    <w:link w:val="117"/>
    <w:uiPriority w:val="0"/>
    <w:pPr>
      <w:keepNext w:val="0"/>
      <w:keepLines w:val="0"/>
      <w:spacing w:before="0" w:after="156" w:line="360" w:lineRule="auto"/>
    </w:pPr>
    <w:rPr>
      <w:rFonts w:ascii="新宋体" w:hAnsi="新宋体" w:eastAsia="新宋体" w:cs="宋体"/>
      <w:kern w:val="2"/>
      <w:sz w:val="28"/>
      <w:szCs w:val="20"/>
    </w:rPr>
  </w:style>
  <w:style w:type="character" w:customStyle="1" w:styleId="119">
    <w:name w:val="WW8Num2z1"/>
    <w:uiPriority w:val="0"/>
    <w:rPr>
      <w:rFonts w:ascii="Arial" w:hAnsi="Arial"/>
      <w:color w:val="000000"/>
      <w:position w:val="0"/>
      <w:sz w:val="30"/>
      <w:vertAlign w:val="baseline"/>
    </w:rPr>
  </w:style>
  <w:style w:type="character" w:customStyle="1" w:styleId="120">
    <w:name w:val="WW8Num13z0"/>
    <w:uiPriority w:val="0"/>
    <w:rPr>
      <w:rFonts w:ascii="Wingdings" w:hAnsi="Wingdings"/>
    </w:rPr>
  </w:style>
  <w:style w:type="character" w:customStyle="1" w:styleId="121">
    <w:name w:val="huei12b1"/>
    <w:uiPriority w:val="0"/>
    <w:rPr>
      <w:b/>
      <w:color w:val="333333"/>
      <w:sz w:val="18"/>
    </w:rPr>
  </w:style>
  <w:style w:type="character" w:customStyle="1" w:styleId="122">
    <w:name w:val="正文文本 3 Char"/>
    <w:link w:val="16"/>
    <w:uiPriority w:val="0"/>
    <w:rPr>
      <w:rFonts w:ascii="黑体" w:hAnsi="Arial" w:eastAsia="黑体"/>
      <w:b/>
      <w:sz w:val="28"/>
    </w:rPr>
  </w:style>
  <w:style w:type="character" w:customStyle="1" w:styleId="123">
    <w:name w:val="h4 Char"/>
    <w:uiPriority w:val="0"/>
    <w:rPr>
      <w:rFonts w:ascii="Arial" w:hAnsi="Arial" w:eastAsia="黑体" w:cs="Arial"/>
      <w:b/>
      <w:bCs/>
      <w:sz w:val="28"/>
      <w:szCs w:val="28"/>
      <w:lang w:val="en-US" w:eastAsia="zh-CN" w:bidi="ar-SA"/>
    </w:rPr>
  </w:style>
  <w:style w:type="character" w:customStyle="1" w:styleId="124">
    <w:name w:val="WW8Num12z6"/>
    <w:uiPriority w:val="0"/>
    <w:rPr>
      <w:rFonts w:ascii="Times New Roman" w:hAnsi="Times New Roman"/>
    </w:rPr>
  </w:style>
  <w:style w:type="character" w:customStyle="1" w:styleId="125">
    <w:name w:val="ca-3"/>
    <w:basedOn w:val="44"/>
    <w:uiPriority w:val="0"/>
  </w:style>
  <w:style w:type="character" w:customStyle="1" w:styleId="126">
    <w:name w:val="WW8Num18z0"/>
    <w:uiPriority w:val="0"/>
    <w:rPr>
      <w:b/>
    </w:rPr>
  </w:style>
  <w:style w:type="character" w:customStyle="1" w:styleId="127">
    <w:name w:val="页脚 Char"/>
    <w:link w:val="27"/>
    <w:uiPriority w:val="0"/>
    <w:rPr>
      <w:rFonts w:ascii="Times New Roman" w:hAnsi="Times New Roman"/>
      <w:sz w:val="18"/>
      <w:szCs w:val="18"/>
    </w:rPr>
  </w:style>
  <w:style w:type="character" w:customStyle="1" w:styleId="128">
    <w:name w:val="WW8Num31z2"/>
    <w:uiPriority w:val="0"/>
    <w:rPr>
      <w:b/>
    </w:rPr>
  </w:style>
  <w:style w:type="character" w:customStyle="1" w:styleId="129">
    <w:name w:val="WW8Num14z0"/>
    <w:uiPriority w:val="0"/>
    <w:rPr>
      <w:b/>
    </w:rPr>
  </w:style>
  <w:style w:type="character" w:customStyle="1" w:styleId="130">
    <w:name w:val="WW8Num16z0"/>
    <w:uiPriority w:val="0"/>
    <w:rPr>
      <w:b/>
    </w:rPr>
  </w:style>
  <w:style w:type="character" w:customStyle="1" w:styleId="131">
    <w:name w:val="WW8Num16z1"/>
    <w:uiPriority w:val="0"/>
    <w:rPr>
      <w:rFonts w:ascii="Wingdings" w:hAnsi="Wingdings"/>
    </w:rPr>
  </w:style>
  <w:style w:type="character" w:customStyle="1" w:styleId="132">
    <w:name w:val="WW8Num23z0"/>
    <w:uiPriority w:val="0"/>
    <w:rPr>
      <w:rFonts w:ascii="Wingdings" w:hAnsi="Wingdings"/>
    </w:rPr>
  </w:style>
  <w:style w:type="character" w:customStyle="1" w:styleId="133">
    <w:name w:val="正文段落 Char Char"/>
    <w:link w:val="134"/>
    <w:uiPriority w:val="0"/>
    <w:rPr>
      <w:rFonts w:ascii="宋体" w:hAnsi="宋体"/>
      <w:kern w:val="2"/>
      <w:sz w:val="28"/>
      <w:szCs w:val="22"/>
    </w:rPr>
  </w:style>
  <w:style w:type="paragraph" w:customStyle="1" w:styleId="134">
    <w:name w:val="正文段落"/>
    <w:basedOn w:val="1"/>
    <w:link w:val="133"/>
    <w:uiPriority w:val="0"/>
    <w:pPr>
      <w:ind w:firstLine="560" w:firstLineChars="200"/>
    </w:pPr>
    <w:rPr>
      <w:rFonts w:ascii="宋体" w:hAnsi="宋体"/>
      <w:szCs w:val="22"/>
    </w:rPr>
  </w:style>
  <w:style w:type="paragraph" w:customStyle="1" w:styleId="135">
    <w:name w:val="List1"/>
    <w:basedOn w:val="1"/>
    <w:uiPriority w:val="0"/>
    <w:pPr>
      <w:widowControl/>
      <w:tabs>
        <w:tab w:val="left" w:pos="1145"/>
      </w:tabs>
      <w:spacing w:after="120" w:line="360" w:lineRule="auto"/>
      <w:ind w:left="425"/>
    </w:pPr>
    <w:rPr>
      <w:rFonts w:hint="eastAsia" w:ascii="楷体_GB2312" w:eastAsia="楷体_GB2312"/>
      <w:kern w:val="0"/>
      <w:sz w:val="24"/>
      <w:szCs w:val="24"/>
    </w:rPr>
  </w:style>
  <w:style w:type="paragraph" w:customStyle="1" w:styleId="136">
    <w:name w:val="font7"/>
    <w:basedOn w:val="1"/>
    <w:uiPriority w:val="0"/>
    <w:pPr>
      <w:widowControl/>
      <w:spacing w:before="100" w:beforeAutospacing="1" w:after="100" w:afterAutospacing="1"/>
      <w:jc w:val="left"/>
    </w:pPr>
    <w:rPr>
      <w:rFonts w:ascii="楷体_GB2312" w:hAnsi="宋体" w:eastAsia="楷体_GB2312" w:cs="楷体_GB2312"/>
      <w:b/>
      <w:bCs/>
      <w:kern w:val="0"/>
      <w:sz w:val="22"/>
      <w:szCs w:val="22"/>
    </w:rPr>
  </w:style>
  <w:style w:type="paragraph" w:customStyle="1" w:styleId="137">
    <w:name w:val="标签"/>
    <w:basedOn w:val="1"/>
    <w:uiPriority w:val="0"/>
    <w:pPr>
      <w:suppressLineNumbers/>
      <w:suppressAutoHyphens/>
      <w:spacing w:before="120" w:after="120"/>
    </w:pPr>
    <w:rPr>
      <w:rFonts w:ascii="宋体" w:hAnsi="宋体"/>
      <w:i/>
      <w:kern w:val="1"/>
      <w:sz w:val="24"/>
      <w:lang w:eastAsia="ar-SA"/>
    </w:rPr>
  </w:style>
  <w:style w:type="paragraph" w:customStyle="1" w:styleId="138">
    <w:name w:val="xl26"/>
    <w:basedOn w:val="1"/>
    <w:uiPriority w:val="0"/>
    <w:pPr>
      <w:widowControl/>
      <w:spacing w:before="100" w:beforeAutospacing="1" w:after="100" w:afterAutospacing="1"/>
      <w:jc w:val="left"/>
    </w:pPr>
    <w:rPr>
      <w:rFonts w:ascii="楷体_GB2312" w:hAnsi="宋体" w:eastAsia="楷体_GB2312" w:cs="楷体_GB2312"/>
      <w:b/>
      <w:bCs/>
      <w:kern w:val="0"/>
      <w:sz w:val="24"/>
      <w:szCs w:val="24"/>
    </w:rPr>
  </w:style>
  <w:style w:type="paragraph" w:customStyle="1" w:styleId="139">
    <w:name w:val="table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40">
    <w:name w:val="xl65"/>
    <w:basedOn w:val="1"/>
    <w:uiPriority w:val="0"/>
    <w:pPr>
      <w:widowControl/>
      <w:spacing w:before="100" w:beforeAutospacing="1" w:after="100" w:afterAutospacing="1"/>
      <w:jc w:val="center"/>
    </w:pPr>
    <w:rPr>
      <w:rFonts w:ascii="宋体" w:hAnsi="宋体" w:cs="宋体"/>
      <w:color w:val="000000"/>
      <w:kern w:val="0"/>
      <w:sz w:val="20"/>
    </w:rPr>
  </w:style>
  <w:style w:type="paragraph" w:customStyle="1" w:styleId="141">
    <w:name w:val="内容目录 10"/>
    <w:basedOn w:val="12"/>
    <w:uiPriority w:val="0"/>
    <w:pPr>
      <w:tabs>
        <w:tab w:val="right" w:leader="dot" w:pos="9637"/>
      </w:tabs>
      <w:ind w:left="2547"/>
    </w:pPr>
  </w:style>
  <w:style w:type="paragraph" w:customStyle="1" w:styleId="142">
    <w:name w:val="font8"/>
    <w:basedOn w:val="1"/>
    <w:uiPriority w:val="0"/>
    <w:pPr>
      <w:widowControl/>
      <w:spacing w:before="100" w:beforeAutospacing="1" w:after="100" w:afterAutospacing="1"/>
      <w:jc w:val="left"/>
    </w:pPr>
    <w:rPr>
      <w:rFonts w:hint="eastAsia" w:ascii="黑体" w:hAnsi="Arial Unicode MS" w:eastAsia="黑体" w:cs="Arial Unicode MS"/>
      <w:kern w:val="0"/>
      <w:sz w:val="22"/>
      <w:szCs w:val="22"/>
    </w:rPr>
  </w:style>
  <w:style w:type="paragraph" w:customStyle="1" w:styleId="143">
    <w:name w:val="首行缩进"/>
    <w:basedOn w:val="1"/>
    <w:uiPriority w:val="0"/>
    <w:pPr>
      <w:autoSpaceDE w:val="0"/>
      <w:autoSpaceDN w:val="0"/>
      <w:adjustRightInd w:val="0"/>
      <w:spacing w:line="360" w:lineRule="auto"/>
      <w:ind w:firstLine="480" w:firstLineChars="200"/>
      <w:jc w:val="left"/>
    </w:pPr>
    <w:rPr>
      <w:sz w:val="24"/>
      <w:szCs w:val="21"/>
    </w:rPr>
  </w:style>
  <w:style w:type="paragraph" w:customStyle="1" w:styleId="144">
    <w:name w:val="框内容"/>
    <w:basedOn w:val="17"/>
    <w:uiPriority w:val="0"/>
    <w:pPr>
      <w:suppressAutoHyphens/>
    </w:pPr>
    <w:rPr>
      <w:rFonts w:hint="eastAsia" w:ascii="方正大黑简体" w:hAnsi="宋体" w:eastAsia="方正大黑简体"/>
      <w:kern w:val="44"/>
      <w:position w:val="6"/>
      <w:sz w:val="30"/>
      <w:szCs w:val="20"/>
    </w:rPr>
  </w:style>
  <w:style w:type="paragraph" w:customStyle="1" w:styleId="145">
    <w:name w:val="pa-2"/>
    <w:basedOn w:val="1"/>
    <w:uiPriority w:val="0"/>
    <w:pPr>
      <w:widowControl/>
      <w:spacing w:line="360" w:lineRule="atLeast"/>
      <w:ind w:firstLine="480"/>
    </w:pPr>
    <w:rPr>
      <w:rFonts w:ascii="宋体" w:hAnsi="宋体" w:cs="宋体"/>
      <w:kern w:val="0"/>
      <w:sz w:val="24"/>
      <w:szCs w:val="24"/>
    </w:rPr>
  </w:style>
  <w:style w:type="paragraph" w:customStyle="1" w:styleId="146">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47">
    <w:name w:val="前言、引言标题"/>
    <w:next w:val="1"/>
    <w:uiPriority w:val="0"/>
    <w:pPr>
      <w:shd w:val="clear" w:color="auto"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148">
    <w:name w:val="默认段落字体 Para Char"/>
    <w:basedOn w:val="1"/>
    <w:uiPriority w:val="0"/>
    <w:rPr>
      <w:szCs w:val="21"/>
    </w:rPr>
  </w:style>
  <w:style w:type="paragraph" w:customStyle="1" w:styleId="149">
    <w:name w:val="表格标题"/>
    <w:basedOn w:val="150"/>
    <w:uiPriority w:val="0"/>
    <w:pPr>
      <w:jc w:val="center"/>
    </w:pPr>
    <w:rPr>
      <w:b/>
    </w:rPr>
  </w:style>
  <w:style w:type="paragraph" w:customStyle="1" w:styleId="150">
    <w:name w:val="表格内容"/>
    <w:basedOn w:val="1"/>
    <w:uiPriority w:val="0"/>
    <w:pPr>
      <w:suppressLineNumbers/>
      <w:suppressAutoHyphens/>
    </w:pPr>
    <w:rPr>
      <w:rFonts w:ascii="宋体" w:hAnsi="宋体"/>
      <w:kern w:val="1"/>
      <w:lang w:eastAsia="ar-SA"/>
    </w:rPr>
  </w:style>
  <w:style w:type="paragraph" w:customStyle="1" w:styleId="151">
    <w:name w:val="批注框文本 Char Char"/>
    <w:basedOn w:val="1"/>
    <w:uiPriority w:val="0"/>
    <w:rPr>
      <w:sz w:val="18"/>
      <w:szCs w:val="18"/>
    </w:rPr>
  </w:style>
  <w:style w:type="paragraph" w:customStyle="1" w:styleId="152">
    <w:name w:val="Char Char Char"/>
    <w:basedOn w:val="1"/>
    <w:uiPriority w:val="0"/>
    <w:pPr>
      <w:widowControl/>
      <w:suppressAutoHyphens/>
      <w:spacing w:after="160" w:line="240" w:lineRule="exact"/>
      <w:jc w:val="left"/>
    </w:pPr>
    <w:rPr>
      <w:rFonts w:ascii="Verdana" w:hAnsi="Verdana"/>
      <w:kern w:val="1"/>
      <w:sz w:val="20"/>
      <w:lang w:eastAsia="ar-SA"/>
    </w:rPr>
  </w:style>
  <w:style w:type="paragraph" w:customStyle="1" w:styleId="153">
    <w:name w:val="CSS1级正文"/>
    <w:basedOn w:val="17"/>
    <w:uiPriority w:val="0"/>
    <w:pPr>
      <w:adjustRightInd w:val="0"/>
      <w:snapToGrid w:val="0"/>
      <w:spacing w:after="0" w:line="360" w:lineRule="auto"/>
      <w:ind w:firstLine="480" w:firstLineChars="200"/>
    </w:pPr>
    <w:rPr>
      <w:rFonts w:ascii="黑体" w:hAnsi="Courier New"/>
      <w:sz w:val="24"/>
      <w:szCs w:val="20"/>
      <w:shd w:val="pct10" w:color="auto" w:fill="FFFFFF"/>
    </w:rPr>
  </w:style>
  <w:style w:type="paragraph" w:customStyle="1" w:styleId="154">
    <w:name w:val="标题二样式"/>
    <w:basedOn w:val="3"/>
    <w:uiPriority w:val="0"/>
    <w:pPr>
      <w:suppressAutoHyphens/>
      <w:spacing w:before="0" w:after="0" w:line="240" w:lineRule="auto"/>
      <w:jc w:val="left"/>
    </w:pPr>
    <w:rPr>
      <w:bCs w:val="0"/>
      <w:kern w:val="1"/>
      <w:szCs w:val="20"/>
      <w:lang w:eastAsia="ar-SA"/>
    </w:rPr>
  </w:style>
  <w:style w:type="paragraph" w:customStyle="1" w:styleId="155">
    <w:name w:val="D&amp;L"/>
    <w:basedOn w:val="28"/>
    <w:uiPriority w:val="0"/>
    <w:pPr>
      <w:pBdr>
        <w:bottom w:val="thinThickSmallGap" w:color="auto" w:sz="18" w:space="1"/>
      </w:pBdr>
      <w:adjustRightInd w:val="0"/>
      <w:snapToGrid/>
      <w:spacing w:line="240" w:lineRule="atLeast"/>
      <w:textAlignment w:val="baseline"/>
    </w:pPr>
    <w:rPr>
      <w:sz w:val="24"/>
      <w:szCs w:val="20"/>
    </w:rPr>
  </w:style>
  <w:style w:type="paragraph" w:customStyle="1" w:styleId="156">
    <w:name w:val="论文标题1"/>
    <w:basedOn w:val="2"/>
    <w:uiPriority w:val="0"/>
    <w:pPr>
      <w:tabs>
        <w:tab w:val="left" w:pos="747"/>
      </w:tabs>
      <w:adjustRightInd w:val="0"/>
      <w:spacing w:line="240" w:lineRule="auto"/>
      <w:ind w:left="747" w:hanging="567"/>
      <w:textAlignment w:val="baseline"/>
    </w:pPr>
  </w:style>
  <w:style w:type="paragraph" w:customStyle="1" w:styleId="157">
    <w:name w:val="我的正文"/>
    <w:basedOn w:val="1"/>
    <w:uiPriority w:val="0"/>
    <w:pPr>
      <w:ind w:firstLine="200" w:firstLineChars="200"/>
    </w:pPr>
    <w:rPr>
      <w:rFonts w:ascii="宋体" w:hAnsi="宋体"/>
      <w:sz w:val="24"/>
    </w:rPr>
  </w:style>
  <w:style w:type="paragraph" w:customStyle="1" w:styleId="158">
    <w:name w:val="表格"/>
    <w:basedOn w:val="159"/>
    <w:uiPriority w:val="0"/>
    <w:pPr>
      <w:spacing w:line="240" w:lineRule="atLeast"/>
      <w:ind w:firstLine="0" w:firstLineChars="0"/>
      <w:jc w:val="center"/>
    </w:pPr>
    <w:rPr>
      <w:rFonts w:ascii="Arial" w:hAnsi="Arial" w:eastAsia="宋体"/>
      <w:sz w:val="21"/>
    </w:rPr>
  </w:style>
  <w:style w:type="paragraph" w:customStyle="1" w:styleId="159">
    <w:name w:val="正文部分"/>
    <w:basedOn w:val="1"/>
    <w:uiPriority w:val="0"/>
    <w:pPr>
      <w:spacing w:line="500" w:lineRule="exact"/>
      <w:ind w:firstLine="480" w:firstLineChars="200"/>
      <w:textAlignment w:val="center"/>
    </w:pPr>
    <w:rPr>
      <w:rFonts w:ascii="华文细黑" w:hAnsi="华文细黑" w:eastAsia="楷体_GB2312"/>
      <w:sz w:val="24"/>
    </w:rPr>
  </w:style>
  <w:style w:type="paragraph" w:customStyle="1" w:styleId="160">
    <w:name w:val="ÕýÎÄ"/>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161">
    <w:name w:val="af17cgridlangnp1033langf"/>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62">
    <w:name w:val="Char"/>
    <w:basedOn w:val="1"/>
    <w:uiPriority w:val="0"/>
    <w:rPr>
      <w:szCs w:val="24"/>
    </w:rPr>
  </w:style>
  <w:style w:type="paragraph" w:customStyle="1" w:styleId="163">
    <w:name w:val="正文内容"/>
    <w:basedOn w:val="1"/>
    <w:uiPriority w:val="0"/>
    <w:pPr>
      <w:suppressAutoHyphens/>
    </w:pPr>
    <w:rPr>
      <w:rFonts w:ascii="Arial" w:hAnsi="Arial"/>
      <w:spacing w:val="-12"/>
      <w:kern w:val="21"/>
      <w:lang w:eastAsia="ar-SA"/>
    </w:rPr>
  </w:style>
  <w:style w:type="paragraph" w:customStyle="1" w:styleId="164">
    <w:name w:val="Char1 Char Char Char Char Char Char"/>
    <w:basedOn w:val="1"/>
    <w:uiPriority w:val="0"/>
    <w:rPr>
      <w:rFonts w:ascii="Tahoma" w:hAnsi="Tahoma"/>
      <w:sz w:val="24"/>
    </w:rPr>
  </w:style>
  <w:style w:type="paragraph" w:customStyle="1" w:styleId="165">
    <w:name w:val="标准正文"/>
    <w:basedOn w:val="1"/>
    <w:uiPriority w:val="0"/>
    <w:pPr>
      <w:spacing w:line="360" w:lineRule="auto"/>
      <w:ind w:firstLine="420" w:firstLineChars="200"/>
    </w:pPr>
    <w:rPr>
      <w:rFonts w:ascii="Calibri" w:hAnsi="Calibri"/>
    </w:rPr>
  </w:style>
  <w:style w:type="paragraph" w:customStyle="1" w:styleId="166">
    <w:name w:val="xl33"/>
    <w:basedOn w:val="1"/>
    <w:uiPriority w:val="0"/>
    <w:pPr>
      <w:widowControl/>
      <w:spacing w:before="100" w:beforeAutospacing="1" w:after="100" w:afterAutospacing="1"/>
      <w:jc w:val="center"/>
      <w:textAlignment w:val="center"/>
    </w:pPr>
    <w:rPr>
      <w:rFonts w:hint="eastAsia" w:ascii="黑体" w:hAnsi="Arial Unicode MS" w:eastAsia="黑体" w:cs="Arial Unicode MS"/>
      <w:kern w:val="0"/>
      <w:sz w:val="22"/>
      <w:szCs w:val="22"/>
    </w:rPr>
  </w:style>
  <w:style w:type="paragraph" w:customStyle="1" w:styleId="167">
    <w:name w:val="Normal1"/>
    <w:basedOn w:val="1"/>
    <w:uiPriority w:val="0"/>
    <w:pPr>
      <w:suppressAutoHyphens/>
      <w:spacing w:line="360" w:lineRule="auto"/>
    </w:pPr>
    <w:rPr>
      <w:rFonts w:ascii="宋体" w:hAnsi="宋体"/>
      <w:kern w:val="1"/>
      <w:lang w:eastAsia="ar-SA"/>
    </w:rPr>
  </w:style>
  <w:style w:type="paragraph" w:customStyle="1" w:styleId="168">
    <w:name w:val="xl25"/>
    <w:basedOn w:val="1"/>
    <w:uiPriority w:val="0"/>
    <w:pPr>
      <w:widowControl/>
      <w:spacing w:before="100" w:beforeAutospacing="1" w:after="100" w:afterAutospacing="1"/>
      <w:jc w:val="center"/>
    </w:pPr>
    <w:rPr>
      <w:rFonts w:ascii="楷体_GB2312" w:hAnsi="宋体" w:eastAsia="楷体_GB2312" w:cs="楷体_GB2312"/>
      <w:kern w:val="0"/>
      <w:sz w:val="24"/>
      <w:szCs w:val="24"/>
    </w:rPr>
  </w:style>
  <w:style w:type="paragraph" w:customStyle="1" w:styleId="169">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paragraph" w:customStyle="1" w:styleId="170">
    <w:name w:val="默认段落字体 Para Char Char Char Char"/>
    <w:basedOn w:val="1"/>
    <w:uiPriority w:val="0"/>
    <w:rPr>
      <w:szCs w:val="24"/>
    </w:rPr>
  </w:style>
  <w:style w:type="paragraph" w:customStyle="1" w:styleId="171">
    <w:name w:val="样式 标题 3h3Level 3 HeadH3Heading 3 - oldlevel_3PIM 3BOD 0s..."/>
    <w:basedOn w:val="4"/>
    <w:uiPriority w:val="0"/>
    <w:pPr>
      <w:tabs>
        <w:tab w:val="left" w:pos="0"/>
      </w:tabs>
      <w:adjustRightInd w:val="0"/>
      <w:spacing w:before="0" w:after="0" w:line="500" w:lineRule="exact"/>
      <w:textAlignment w:val="baseline"/>
    </w:pPr>
    <w:rPr>
      <w:rFonts w:cs="宋体"/>
      <w:sz w:val="28"/>
      <w:szCs w:val="20"/>
    </w:rPr>
  </w:style>
  <w:style w:type="paragraph" w:customStyle="1" w:styleId="172">
    <w:name w:val="样式1"/>
    <w:basedOn w:val="1"/>
    <w:uiPriority w:val="0"/>
    <w:pPr>
      <w:tabs>
        <w:tab w:val="left" w:pos="1674"/>
      </w:tabs>
      <w:adjustRightInd w:val="0"/>
      <w:ind w:left="1674" w:hanging="1125"/>
      <w:textAlignment w:val="baseline"/>
    </w:pPr>
    <w:rPr>
      <w:rFonts w:ascii="宋体" w:hAnsi="宋体"/>
      <w:kern w:val="0"/>
      <w:szCs w:val="21"/>
    </w:rPr>
  </w:style>
  <w:style w:type="paragraph" w:customStyle="1" w:styleId="173">
    <w:name w:val="Table Description"/>
    <w:basedOn w:val="1"/>
    <w:uiPriority w:val="0"/>
    <w:pPr>
      <w:suppressAutoHyphens/>
    </w:pPr>
    <w:rPr>
      <w:rFonts w:ascii="宋体" w:hAnsi="宋体"/>
      <w:kern w:val="1"/>
      <w:lang w:eastAsia="ar-SA"/>
    </w:rPr>
  </w:style>
  <w:style w:type="paragraph" w:customStyle="1" w:styleId="174">
    <w:name w:val="tableheading"/>
    <w:basedOn w:val="1"/>
    <w:uiPriority w:val="0"/>
    <w:pPr>
      <w:widowControl/>
      <w:numPr>
        <w:ilvl w:val="0"/>
        <w:numId w:val="3"/>
      </w:numPr>
      <w:spacing w:before="100" w:beforeAutospacing="1" w:after="100" w:afterAutospacing="1" w:line="240" w:lineRule="atLeast"/>
      <w:ind w:left="0" w:firstLine="0"/>
      <w:jc w:val="left"/>
    </w:pPr>
    <w:rPr>
      <w:rFonts w:hint="eastAsia" w:ascii="宋体" w:hAnsi="宋体"/>
      <w:kern w:val="0"/>
      <w:sz w:val="18"/>
    </w:rPr>
  </w:style>
  <w:style w:type="paragraph" w:customStyle="1" w:styleId="175">
    <w:name w:val="Bullet"/>
    <w:basedOn w:val="1"/>
    <w:uiPriority w:val="0"/>
    <w:pPr>
      <w:widowControl/>
      <w:adjustRightInd w:val="0"/>
      <w:spacing w:before="60" w:after="60" w:line="500" w:lineRule="exact"/>
      <w:ind w:firstLine="551" w:firstLineChars="196"/>
    </w:pPr>
    <w:rPr>
      <w:rFonts w:ascii="宋体" w:hAnsi="宋体" w:cs="宋体"/>
      <w:b/>
      <w:color w:val="333333"/>
      <w:kern w:val="0"/>
      <w:szCs w:val="28"/>
    </w:rPr>
  </w:style>
  <w:style w:type="paragraph" w:customStyle="1" w:styleId="176">
    <w:name w:val="Char Char Char Char"/>
    <w:basedOn w:val="1"/>
    <w:uiPriority w:val="0"/>
    <w:pPr>
      <w:widowControl/>
      <w:spacing w:after="160" w:line="240" w:lineRule="exact"/>
      <w:jc w:val="left"/>
    </w:pPr>
    <w:rPr>
      <w:rFonts w:ascii="Verdana" w:hAnsi="Verdana" w:eastAsia="仿宋_GB2312"/>
      <w:kern w:val="0"/>
      <w:sz w:val="24"/>
      <w:lang w:eastAsia="en-US"/>
    </w:rPr>
  </w:style>
  <w:style w:type="paragraph" w:customStyle="1" w:styleId="177">
    <w:name w:val="WPS Plain"/>
    <w:uiPriority w:val="0"/>
    <w:rPr>
      <w:rFonts w:ascii="Times New Roman" w:hAnsi="Times New Roman" w:eastAsia="宋体" w:cs="Times New Roman"/>
      <w:lang w:val="en-US" w:eastAsia="zh-CN" w:bidi="ar-SA"/>
    </w:rPr>
  </w:style>
  <w:style w:type="paragraph" w:customStyle="1" w:styleId="178">
    <w:name w:val="Char1 Char Char Char"/>
    <w:basedOn w:val="1"/>
    <w:uiPriority w:val="0"/>
    <w:pPr>
      <w:suppressAutoHyphens/>
    </w:pPr>
    <w:rPr>
      <w:rFonts w:ascii="宋体" w:hAnsi="宋体"/>
      <w:kern w:val="1"/>
      <w:sz w:val="24"/>
      <w:lang w:eastAsia="ar-SA"/>
    </w:rPr>
  </w:style>
  <w:style w:type="paragraph" w:customStyle="1" w:styleId="179">
    <w:name w:val="Figure Description"/>
    <w:basedOn w:val="1"/>
    <w:uiPriority w:val="0"/>
    <w:pPr>
      <w:suppressAutoHyphens/>
    </w:pPr>
    <w:rPr>
      <w:rFonts w:ascii="宋体" w:hAnsi="宋体"/>
      <w:kern w:val="1"/>
      <w:lang w:eastAsia="ar-SA"/>
    </w:rPr>
  </w:style>
  <w:style w:type="paragraph" w:customStyle="1" w:styleId="180">
    <w:name w:val="文档正文"/>
    <w:basedOn w:val="1"/>
    <w:uiPriority w:val="0"/>
    <w:pPr>
      <w:adjustRightInd w:val="0"/>
      <w:spacing w:line="480" w:lineRule="atLeast"/>
      <w:ind w:firstLine="567"/>
      <w:textAlignment w:val="baseline"/>
    </w:pPr>
    <w:rPr>
      <w:rFonts w:ascii="长城仿宋"/>
      <w:kern w:val="0"/>
      <w:sz w:val="24"/>
    </w:rPr>
  </w:style>
  <w:style w:type="paragraph" w:customStyle="1" w:styleId="181">
    <w:name w:val="样式 标题 1 + 黑体 小二 居中 段前: 15.6 磅 段后: 15.6 磅 行距: 单倍行距"/>
    <w:basedOn w:val="2"/>
    <w:uiPriority w:val="0"/>
    <w:pPr>
      <w:spacing w:before="312" w:after="312" w:line="240" w:lineRule="auto"/>
    </w:pPr>
    <w:rPr>
      <w:rFonts w:ascii="黑体" w:eastAsia="黑体" w:cs="宋体"/>
      <w:szCs w:val="20"/>
    </w:rPr>
  </w:style>
  <w:style w:type="paragraph" w:customStyle="1" w:styleId="182">
    <w:name w:val="body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83">
    <w:name w:val="Char Char Char Char Char Char Char1 Char"/>
    <w:basedOn w:val="1"/>
    <w:uiPriority w:val="0"/>
    <w:rPr>
      <w:rFonts w:ascii="Tahoma" w:hAnsi="Tahoma"/>
      <w:sz w:val="24"/>
    </w:rPr>
  </w:style>
  <w:style w:type="paragraph" w:customStyle="1" w:styleId="184">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85">
    <w:name w:val="Char1"/>
    <w:basedOn w:val="1"/>
    <w:uiPriority w:val="0"/>
    <w:pPr>
      <w:suppressAutoHyphens/>
    </w:pPr>
    <w:rPr>
      <w:rFonts w:ascii="宋体" w:hAnsi="宋体"/>
      <w:kern w:val="1"/>
      <w:sz w:val="24"/>
      <w:lang w:eastAsia="ar-SA"/>
    </w:rPr>
  </w:style>
  <w:style w:type="paragraph" w:customStyle="1" w:styleId="186">
    <w:name w:val="三级条标题"/>
    <w:basedOn w:val="187"/>
    <w:next w:val="1"/>
    <w:uiPriority w:val="0"/>
    <w:pPr>
      <w:numPr>
        <w:ilvl w:val="4"/>
      </w:numPr>
      <w:tabs>
        <w:tab w:val="left" w:pos="360"/>
      </w:tabs>
      <w:outlineLvl w:val="4"/>
    </w:pPr>
  </w:style>
  <w:style w:type="paragraph" w:customStyle="1" w:styleId="187">
    <w:name w:val="二级条标题"/>
    <w:basedOn w:val="1"/>
    <w:next w:val="1"/>
    <w:uiPriority w:val="0"/>
    <w:pPr>
      <w:widowControl/>
      <w:numPr>
        <w:ilvl w:val="3"/>
        <w:numId w:val="4"/>
      </w:numPr>
      <w:jc w:val="left"/>
      <w:outlineLvl w:val="3"/>
    </w:pPr>
    <w:rPr>
      <w:rFonts w:eastAsia="黑体"/>
      <w:kern w:val="0"/>
    </w:rPr>
  </w:style>
  <w:style w:type="paragraph" w:customStyle="1" w:styleId="188">
    <w:name w:val="p0"/>
    <w:basedOn w:val="1"/>
    <w:uiPriority w:val="0"/>
    <w:pPr>
      <w:widowControl/>
    </w:pPr>
    <w:rPr>
      <w:kern w:val="0"/>
      <w:szCs w:val="21"/>
    </w:rPr>
  </w:style>
  <w:style w:type="character" w:customStyle="1" w:styleId="189">
    <w:name w:val="正文文本缩进 2 Char1"/>
    <w:basedOn w:val="44"/>
    <w:semiHidden/>
    <w:uiPriority w:val="99"/>
    <w:rPr>
      <w:rFonts w:ascii="Times New Roman" w:hAnsi="Times New Roman"/>
      <w:kern w:val="2"/>
      <w:sz w:val="28"/>
    </w:rPr>
  </w:style>
  <w:style w:type="character" w:customStyle="1" w:styleId="190">
    <w:name w:val="批注文字 Char"/>
    <w:basedOn w:val="44"/>
    <w:link w:val="15"/>
    <w:uiPriority w:val="0"/>
    <w:rPr>
      <w:rFonts w:ascii="Times New Roman" w:hAnsi="Times New Roman"/>
      <w:kern w:val="2"/>
      <w:sz w:val="28"/>
    </w:rPr>
  </w:style>
  <w:style w:type="character" w:customStyle="1" w:styleId="191">
    <w:name w:val="批注主题 Char"/>
    <w:basedOn w:val="190"/>
    <w:link w:val="40"/>
    <w:uiPriority w:val="0"/>
    <w:rPr>
      <w:rFonts w:ascii="宋体" w:hAnsi="宋体"/>
      <w:b/>
      <w:kern w:val="21"/>
      <w:sz w:val="28"/>
      <w:lang w:eastAsia="ar-SA"/>
    </w:rPr>
  </w:style>
  <w:style w:type="character" w:customStyle="1" w:styleId="192">
    <w:name w:val="HTML 预设格式 Char"/>
    <w:basedOn w:val="44"/>
    <w:link w:val="37"/>
    <w:uiPriority w:val="0"/>
    <w:rPr>
      <w:rFonts w:ascii="Arial" w:hAnsi="Arial" w:cs="Arial"/>
      <w:sz w:val="24"/>
    </w:rPr>
  </w:style>
  <w:style w:type="character" w:customStyle="1" w:styleId="193">
    <w:name w:val="批注框文本 Char1"/>
    <w:basedOn w:val="44"/>
    <w:semiHidden/>
    <w:uiPriority w:val="99"/>
    <w:rPr>
      <w:rFonts w:ascii="Times New Roman" w:hAnsi="Times New Roman"/>
      <w:kern w:val="2"/>
      <w:sz w:val="18"/>
      <w:szCs w:val="18"/>
    </w:rPr>
  </w:style>
  <w:style w:type="character" w:customStyle="1" w:styleId="194">
    <w:name w:val="正文文本 Char1"/>
    <w:basedOn w:val="44"/>
    <w:semiHidden/>
    <w:uiPriority w:val="99"/>
    <w:rPr>
      <w:rFonts w:ascii="Times New Roman" w:hAnsi="Times New Roman"/>
      <w:kern w:val="2"/>
      <w:sz w:val="28"/>
    </w:rPr>
  </w:style>
  <w:style w:type="character" w:customStyle="1" w:styleId="195">
    <w:name w:val="页脚 Char1"/>
    <w:basedOn w:val="44"/>
    <w:semiHidden/>
    <w:uiPriority w:val="99"/>
    <w:rPr>
      <w:rFonts w:ascii="Times New Roman" w:hAnsi="Times New Roman"/>
      <w:kern w:val="2"/>
      <w:sz w:val="18"/>
      <w:szCs w:val="18"/>
    </w:rPr>
  </w:style>
  <w:style w:type="character" w:customStyle="1" w:styleId="196">
    <w:name w:val="正文文本 3 Char1"/>
    <w:basedOn w:val="44"/>
    <w:semiHidden/>
    <w:uiPriority w:val="99"/>
    <w:rPr>
      <w:rFonts w:ascii="Times New Roman" w:hAnsi="Times New Roman"/>
      <w:kern w:val="2"/>
      <w:sz w:val="16"/>
      <w:szCs w:val="16"/>
    </w:rPr>
  </w:style>
  <w:style w:type="paragraph" w:customStyle="1" w:styleId="197">
    <w:name w:val="点序列"/>
    <w:basedOn w:val="1"/>
    <w:uiPriority w:val="0"/>
    <w:pPr>
      <w:widowControl/>
      <w:tabs>
        <w:tab w:val="left" w:pos="1145"/>
        <w:tab w:val="left" w:pos="1412"/>
      </w:tabs>
      <w:spacing w:line="400" w:lineRule="atLeast"/>
      <w:ind w:left="1412"/>
      <w:jc w:val="left"/>
    </w:pPr>
    <w:rPr>
      <w:kern w:val="0"/>
      <w:sz w:val="24"/>
      <w:szCs w:val="24"/>
    </w:rPr>
  </w:style>
  <w:style w:type="paragraph" w:customStyle="1" w:styleId="198">
    <w:name w:val="xl27"/>
    <w:basedOn w:val="1"/>
    <w:uiPriority w:val="0"/>
    <w:pPr>
      <w:widowControl/>
      <w:spacing w:before="100" w:beforeAutospacing="1" w:after="100" w:afterAutospacing="1"/>
      <w:jc w:val="center"/>
      <w:textAlignment w:val="center"/>
    </w:pPr>
    <w:rPr>
      <w:rFonts w:hint="eastAsia" w:ascii="华文细黑" w:hAnsi="华文细黑" w:eastAsia="华文细黑" w:cs="Arial Unicode MS"/>
      <w:b/>
      <w:bCs/>
      <w:kern w:val="0"/>
      <w:sz w:val="22"/>
      <w:szCs w:val="22"/>
    </w:rPr>
  </w:style>
  <w:style w:type="paragraph" w:customStyle="1" w:styleId="199">
    <w:name w:val="段"/>
    <w:link w:val="214"/>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0">
    <w:name w:val="Char Char1 Char Char Char Char Char Char Char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201">
    <w:name w:val="正文文本 Char Char"/>
    <w:basedOn w:val="1"/>
    <w:uiPriority w:val="0"/>
    <w:pPr>
      <w:jc w:val="center"/>
    </w:pPr>
    <w:rPr>
      <w:rFonts w:hint="eastAsia" w:ascii="方正大黑简体" w:hAnsi="宋体" w:eastAsia="方正大黑简体"/>
      <w:kern w:val="44"/>
      <w:position w:val="6"/>
      <w:sz w:val="30"/>
    </w:rPr>
  </w:style>
  <w:style w:type="character" w:customStyle="1" w:styleId="202">
    <w:name w:val="日期 Char1"/>
    <w:basedOn w:val="44"/>
    <w:semiHidden/>
    <w:uiPriority w:val="99"/>
    <w:rPr>
      <w:rFonts w:ascii="Times New Roman" w:hAnsi="Times New Roman"/>
      <w:kern w:val="2"/>
      <w:sz w:val="28"/>
    </w:rPr>
  </w:style>
  <w:style w:type="character" w:customStyle="1" w:styleId="203">
    <w:name w:val="文档结构图 Char"/>
    <w:basedOn w:val="44"/>
    <w:link w:val="14"/>
    <w:uiPriority w:val="0"/>
    <w:rPr>
      <w:rFonts w:ascii="宋体" w:hAnsi="宋体"/>
      <w:kern w:val="21"/>
      <w:sz w:val="28"/>
      <w:shd w:val="clear" w:color="auto" w:fill="000080"/>
      <w:lang w:eastAsia="ar-SA"/>
    </w:rPr>
  </w:style>
  <w:style w:type="character" w:customStyle="1" w:styleId="204">
    <w:name w:val="正文文本缩进 Char1"/>
    <w:basedOn w:val="44"/>
    <w:semiHidden/>
    <w:uiPriority w:val="99"/>
    <w:rPr>
      <w:rFonts w:ascii="Times New Roman" w:hAnsi="Times New Roman"/>
      <w:kern w:val="2"/>
      <w:sz w:val="28"/>
    </w:rPr>
  </w:style>
  <w:style w:type="character" w:customStyle="1" w:styleId="205">
    <w:name w:val="页眉 Char1"/>
    <w:basedOn w:val="44"/>
    <w:semiHidden/>
    <w:uiPriority w:val="99"/>
    <w:rPr>
      <w:rFonts w:ascii="Times New Roman" w:hAnsi="Times New Roman"/>
      <w:kern w:val="2"/>
      <w:sz w:val="18"/>
      <w:szCs w:val="18"/>
    </w:rPr>
  </w:style>
  <w:style w:type="character" w:customStyle="1" w:styleId="206">
    <w:name w:val="正文文本缩进 3 Char1"/>
    <w:basedOn w:val="44"/>
    <w:semiHidden/>
    <w:uiPriority w:val="99"/>
    <w:rPr>
      <w:rFonts w:ascii="Times New Roman" w:hAnsi="Times New Roman"/>
      <w:kern w:val="2"/>
      <w:sz w:val="16"/>
      <w:szCs w:val="16"/>
    </w:rPr>
  </w:style>
  <w:style w:type="paragraph" w:customStyle="1" w:styleId="207">
    <w:name w:val="样式 加粗 居中"/>
    <w:basedOn w:val="1"/>
    <w:uiPriority w:val="0"/>
    <w:pPr>
      <w:spacing w:beforeLines="50" w:line="360" w:lineRule="auto"/>
      <w:ind w:right="210" w:rightChars="100"/>
      <w:jc w:val="center"/>
    </w:pPr>
    <w:rPr>
      <w:rFonts w:ascii="宋体" w:hAnsi="宋体" w:cs="宋体"/>
      <w:b/>
      <w:bCs/>
      <w:kern w:val="0"/>
      <w:sz w:val="24"/>
      <w:szCs w:val="24"/>
    </w:rPr>
  </w:style>
  <w:style w:type="character" w:customStyle="1" w:styleId="208">
    <w:name w:val="apple-converted-space"/>
    <w:uiPriority w:val="0"/>
  </w:style>
  <w:style w:type="paragraph" w:customStyle="1" w:styleId="209">
    <w:name w:val="列出段落2"/>
    <w:basedOn w:val="1"/>
    <w:uiPriority w:val="0"/>
    <w:pPr>
      <w:ind w:firstLine="420" w:firstLineChars="200"/>
    </w:pPr>
  </w:style>
  <w:style w:type="paragraph" w:customStyle="1" w:styleId="210">
    <w:name w:val="style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11">
    <w:name w:val="Defaul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12">
    <w:name w:val="正文首行缩进 Char"/>
    <w:basedOn w:val="194"/>
    <w:link w:val="41"/>
    <w:uiPriority w:val="0"/>
    <w:rPr>
      <w:rFonts w:ascii="Times New Roman" w:hAnsi="Times New Roman"/>
      <w:kern w:val="2"/>
      <w:sz w:val="28"/>
      <w:szCs w:val="24"/>
    </w:rPr>
  </w:style>
  <w:style w:type="paragraph" w:customStyle="1" w:styleId="213">
    <w:name w:val="列出段落21"/>
    <w:basedOn w:val="1"/>
    <w:uiPriority w:val="99"/>
    <w:pPr>
      <w:ind w:firstLine="420" w:firstLineChars="200"/>
    </w:pPr>
    <w:rPr>
      <w:rFonts w:ascii="Calibri" w:hAnsi="Calibri"/>
      <w:sz w:val="21"/>
      <w:szCs w:val="22"/>
    </w:rPr>
  </w:style>
  <w:style w:type="character" w:customStyle="1" w:styleId="214">
    <w:name w:val="段 Char"/>
    <w:link w:val="199"/>
    <w:locked/>
    <w:uiPriority w:val="0"/>
    <w:rPr>
      <w:rFonts w:ascii="宋体" w:hAnsi="Times New Roman"/>
      <w:sz w:val="21"/>
    </w:rPr>
  </w:style>
  <w:style w:type="paragraph" w:customStyle="1" w:styleId="215">
    <w:name w:val="一级条标题"/>
    <w:next w:val="199"/>
    <w:uiPriority w:val="0"/>
    <w:pPr>
      <w:spacing w:beforeLines="50"/>
      <w:outlineLvl w:val="2"/>
    </w:pPr>
    <w:rPr>
      <w:rFonts w:ascii="黑体" w:hAnsi="Times New Roman" w:eastAsia="黑体" w:cs="Times New Roman"/>
      <w:sz w:val="21"/>
      <w:szCs w:val="21"/>
      <w:lang w:val="en-US" w:eastAsia="zh-CN" w:bidi="ar-SA"/>
    </w:rPr>
  </w:style>
  <w:style w:type="paragraph" w:customStyle="1" w:styleId="216">
    <w:name w:val="章标题"/>
    <w:next w:val="199"/>
    <w:uiPriority w:val="0"/>
    <w:pPr>
      <w:spacing w:beforeLines="100"/>
      <w:ind w:left="2310"/>
      <w:jc w:val="both"/>
      <w:outlineLvl w:val="1"/>
    </w:pPr>
    <w:rPr>
      <w:rFonts w:ascii="黑体" w:hAnsi="Times New Roman" w:eastAsia="黑体" w:cs="Times New Roman"/>
      <w:sz w:val="21"/>
      <w:lang w:val="en-US" w:eastAsia="zh-CN" w:bidi="ar-SA"/>
    </w:rPr>
  </w:style>
  <w:style w:type="paragraph" w:customStyle="1" w:styleId="217">
    <w:name w:val="四级条标题"/>
    <w:basedOn w:val="186"/>
    <w:next w:val="199"/>
    <w:uiPriority w:val="0"/>
    <w:pPr>
      <w:numPr>
        <w:ilvl w:val="0"/>
        <w:numId w:val="0"/>
      </w:numPr>
      <w:tabs>
        <w:tab w:val="clear" w:pos="360"/>
      </w:tabs>
      <w:spacing w:beforeLines="50" w:afterLines="50"/>
      <w:outlineLvl w:val="5"/>
    </w:pPr>
    <w:rPr>
      <w:rFonts w:ascii="黑体"/>
      <w:sz w:val="21"/>
      <w:szCs w:val="21"/>
    </w:rPr>
  </w:style>
  <w:style w:type="paragraph" w:customStyle="1" w:styleId="218">
    <w:name w:val="五级条标题"/>
    <w:basedOn w:val="217"/>
    <w:next w:val="199"/>
    <w:uiPriority w:val="0"/>
    <w:pPr>
      <w:outlineLvl w:val="6"/>
    </w:pPr>
  </w:style>
  <w:style w:type="paragraph" w:customStyle="1" w:styleId="219">
    <w:name w:val="二级无"/>
    <w:basedOn w:val="187"/>
    <w:uiPriority w:val="0"/>
    <w:pPr>
      <w:numPr>
        <w:ilvl w:val="2"/>
        <w:numId w:val="1"/>
      </w:numPr>
      <w:spacing w:before="50" w:after="50"/>
    </w:pPr>
    <w:rPr>
      <w:rFonts w:ascii="宋体" w:eastAsia="宋体"/>
      <w:sz w:val="21"/>
      <w:szCs w:val="21"/>
    </w:rPr>
  </w:style>
  <w:style w:type="paragraph" w:customStyle="1" w:styleId="220">
    <w:name w:val="附录表标号"/>
    <w:basedOn w:val="1"/>
    <w:next w:val="199"/>
    <w:uiPriority w:val="0"/>
    <w:pPr>
      <w:numPr>
        <w:ilvl w:val="0"/>
        <w:numId w:val="5"/>
      </w:numPr>
      <w:spacing w:line="14" w:lineRule="exact"/>
      <w:ind w:left="811" w:hanging="448"/>
      <w:jc w:val="center"/>
      <w:outlineLvl w:val="0"/>
    </w:pPr>
    <w:rPr>
      <w:color w:val="FFFFFF"/>
      <w:sz w:val="21"/>
      <w:szCs w:val="24"/>
    </w:rPr>
  </w:style>
  <w:style w:type="paragraph" w:customStyle="1" w:styleId="221">
    <w:name w:val="附录表标题"/>
    <w:basedOn w:val="1"/>
    <w:next w:val="199"/>
    <w:uiPriority w:val="0"/>
    <w:pPr>
      <w:numPr>
        <w:ilvl w:val="1"/>
        <w:numId w:val="5"/>
      </w:numPr>
      <w:spacing w:beforeLines="50"/>
      <w:ind w:left="7090"/>
      <w:jc w:val="center"/>
    </w:pPr>
    <w:rPr>
      <w:rFonts w:ascii="黑体" w:eastAsia="黑体"/>
      <w:sz w:val="21"/>
      <w:szCs w:val="21"/>
    </w:rPr>
  </w:style>
  <w:style w:type="paragraph" w:customStyle="1" w:styleId="222">
    <w:name w:val="三级无"/>
    <w:basedOn w:val="186"/>
    <w:uiPriority w:val="0"/>
    <w:pPr>
      <w:numPr>
        <w:ilvl w:val="3"/>
        <w:numId w:val="1"/>
      </w:numPr>
      <w:tabs>
        <w:tab w:val="clear" w:pos="360"/>
      </w:tabs>
      <w:spacing w:before="50" w:after="50"/>
    </w:pPr>
    <w:rPr>
      <w:rFonts w:ascii="宋体" w:eastAsia="宋体"/>
      <w:sz w:val="21"/>
      <w:szCs w:val="21"/>
    </w:rPr>
  </w:style>
  <w:style w:type="paragraph" w:customStyle="1" w:styleId="223">
    <w:name w:val="p15"/>
    <w:basedOn w:val="1"/>
    <w:uiPriority w:val="0"/>
    <w:pPr>
      <w:widowControl/>
    </w:pPr>
    <w:rPr>
      <w:rFonts w:ascii="Wingdings" w:hAnsi="Wingdings" w:cs="宋体"/>
      <w:kern w:val="0"/>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73BF2F-9331-49BA-A161-024C2899E33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43</Pages>
  <Words>2907</Words>
  <Characters>16573</Characters>
  <Lines>138</Lines>
  <Paragraphs>38</Paragraphs>
  <TotalTime>6</TotalTime>
  <ScaleCrop>false</ScaleCrop>
  <LinksUpToDate>false</LinksUpToDate>
  <CharactersWithSpaces>19442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2017-05-24T09:14:00Z</dcterms:created>
  <dc:creator>Administrator</dc:creator>
  <cp:lastModifiedBy>＆緈諨d顔色 </cp:lastModifiedBy>
  <dcterms:modified xsi:type="dcterms:W3CDTF">2019-03-28T07:24:22Z</dcterms:modified>
  <cp:revision>266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