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40291">
      <w:pPr>
        <w:autoSpaceDE/>
        <w:autoSpaceDN/>
        <w:spacing w:before="0" w:after="0" w:line="240" w:lineRule="auto"/>
        <w:ind w:left="0" w:right="0"/>
        <w:jc w:val="center"/>
        <w:rPr>
          <w:rFonts w:hint="eastAsia" w:ascii="Times New Roman" w:hAnsi="Times New Roman" w:eastAsia="方正小标宋简体" w:cs="Times New Roman"/>
          <w:b w:val="0"/>
          <w:bCs w:val="0"/>
          <w:kern w:val="2"/>
          <w:sz w:val="44"/>
          <w:szCs w:val="44"/>
          <w:highlight w:val="none"/>
          <w:lang w:val="en-US" w:eastAsia="zh-CN" w:bidi="ar-SA"/>
        </w:rPr>
      </w:pPr>
      <w:r>
        <w:rPr>
          <w:rFonts w:hint="eastAsia" w:ascii="Times New Roman" w:hAnsi="Times New Roman" w:eastAsia="方正小标宋简体" w:cs="Times New Roman"/>
          <w:b w:val="0"/>
          <w:bCs w:val="0"/>
          <w:kern w:val="2"/>
          <w:sz w:val="44"/>
          <w:szCs w:val="44"/>
          <w:highlight w:val="none"/>
          <w:lang w:val="en-US" w:eastAsia="zh-CN" w:bidi="ar-SA"/>
        </w:rPr>
        <w:t>政府采购合同</w:t>
      </w:r>
    </w:p>
    <w:p w14:paraId="79B7E021">
      <w:pPr>
        <w:keepNext w:val="0"/>
        <w:keepLines w:val="0"/>
        <w:widowControl/>
        <w:suppressLineNumbers w:val="0"/>
        <w:jc w:val="left"/>
        <w:rPr>
          <w:rFonts w:hint="eastAsia"/>
        </w:rPr>
      </w:pPr>
    </w:p>
    <w:p w14:paraId="37EE997C">
      <w:pPr>
        <w:keepNext w:val="0"/>
        <w:keepLines w:val="0"/>
        <w:pageBreakBefore w:val="0"/>
        <w:widowControl w:val="0"/>
        <w:wordWrap/>
        <w:overflowPunct/>
        <w:topLinePunct w:val="0"/>
        <w:autoSpaceDE w:val="0"/>
        <w:autoSpaceDN w:val="0"/>
        <w:bidi w:val="0"/>
        <w:spacing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甲方：</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u w:val="none"/>
          <w:lang w:eastAsia="zh-CN"/>
        </w:rPr>
        <w:t>鄂尔多斯职业学院</w:t>
      </w:r>
    </w:p>
    <w:p w14:paraId="7AE497FA">
      <w:pPr>
        <w:keepNext w:val="0"/>
        <w:keepLines w:val="0"/>
        <w:pageBreakBefore w:val="0"/>
        <w:widowControl w:val="0"/>
        <w:wordWrap/>
        <w:overflowPunct/>
        <w:topLinePunct w:val="0"/>
        <w:autoSpaceDE w:val="0"/>
        <w:autoSpaceDN w:val="0"/>
        <w:bidi w:val="0"/>
        <w:spacing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lang w:eastAsia="zh-CN"/>
        </w:rPr>
        <w:t>：</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i w:val="0"/>
          <w:iCs w:val="0"/>
          <w:caps w:val="0"/>
          <w:color w:val="000000"/>
          <w:spacing w:val="0"/>
          <w:sz w:val="32"/>
          <w:szCs w:val="32"/>
          <w:highlight w:val="none"/>
          <w:shd w:val="clear" w:fill="auto"/>
        </w:rPr>
        <w:t>鄂尔多斯市康巴什区赛罕街1号</w:t>
      </w:r>
    </w:p>
    <w:p w14:paraId="45562156">
      <w:pPr>
        <w:keepNext w:val="0"/>
        <w:keepLines w:val="0"/>
        <w:pageBreakBefore w:val="0"/>
        <w:widowControl w:val="0"/>
        <w:wordWrap/>
        <w:overflowPunct/>
        <w:topLinePunct w:val="0"/>
        <w:autoSpaceDE w:val="0"/>
        <w:autoSpaceDN w:val="0"/>
        <w:bidi w:val="0"/>
        <w:spacing w:line="600" w:lineRule="exact"/>
        <w:ind w:firstLine="640" w:firstLineChars="200"/>
        <w:rPr>
          <w:rFonts w:hint="eastAsia" w:ascii="仿宋" w:hAnsi="仿宋" w:eastAsia="仿宋" w:cs="仿宋"/>
          <w:color w:val="000000"/>
          <w:spacing w:val="0"/>
          <w:w w:val="100"/>
          <w:position w:val="0"/>
          <w:sz w:val="32"/>
          <w:szCs w:val="32"/>
          <w:highlight w:val="none"/>
          <w:lang w:val="en-US" w:eastAsia="zh-CN"/>
        </w:rPr>
      </w:pPr>
      <w:r>
        <w:rPr>
          <w:rFonts w:hint="eastAsia" w:ascii="仿宋" w:hAnsi="仿宋" w:eastAsia="仿宋" w:cs="仿宋"/>
          <w:sz w:val="32"/>
          <w:szCs w:val="32"/>
          <w:highlight w:val="none"/>
        </w:rPr>
        <w:t>乙方：</w:t>
      </w:r>
      <w:r>
        <w:rPr>
          <w:rFonts w:hint="eastAsia" w:ascii="仿宋" w:hAnsi="仿宋" w:eastAsia="仿宋" w:cs="仿宋"/>
          <w:sz w:val="32"/>
          <w:szCs w:val="32"/>
          <w:highlight w:val="none"/>
          <w:lang w:val="en-US" w:eastAsia="zh-CN"/>
        </w:rPr>
        <w:t xml:space="preserve"> </w:t>
      </w:r>
      <w:r>
        <w:rPr>
          <w:rFonts w:hint="eastAsia" w:ascii="仿宋" w:hAnsi="仿宋" w:eastAsia="仿宋" w:cs="仿宋"/>
          <w:color w:val="000000"/>
          <w:spacing w:val="0"/>
          <w:w w:val="100"/>
          <w:position w:val="0"/>
          <w:sz w:val="32"/>
          <w:szCs w:val="32"/>
          <w:highlight w:val="none"/>
          <w:lang w:val="en-US" w:eastAsia="zh-CN"/>
        </w:rPr>
        <w:t xml:space="preserve">鄂尔多斯市数字经济发展投资有限责任公司  </w:t>
      </w:r>
    </w:p>
    <w:p w14:paraId="32EBC23D">
      <w:pPr>
        <w:keepNext w:val="0"/>
        <w:keepLines w:val="0"/>
        <w:pageBreakBefore w:val="0"/>
        <w:widowControl w:val="0"/>
        <w:wordWrap/>
        <w:overflowPunct/>
        <w:topLinePunct w:val="0"/>
        <w:autoSpaceDE w:val="0"/>
        <w:autoSpaceDN w:val="0"/>
        <w:bidi w:val="0"/>
        <w:spacing w:line="600" w:lineRule="exact"/>
        <w:ind w:firstLine="640" w:firstLineChars="200"/>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w:t>
      </w:r>
      <w:r>
        <w:rPr>
          <w:rFonts w:hint="eastAsia" w:ascii="仿宋" w:hAnsi="仿宋" w:eastAsia="仿宋" w:cs="仿宋"/>
          <w:color w:val="auto"/>
          <w:spacing w:val="-1"/>
          <w:sz w:val="32"/>
          <w:szCs w:val="32"/>
          <w:highlight w:val="none"/>
          <w:lang w:val="en-US" w:eastAsia="zh-CN"/>
        </w:rPr>
        <w:t>鄂尔多斯市康巴什金财大厦314室</w:t>
      </w:r>
    </w:p>
    <w:p w14:paraId="14F7FCE7">
      <w:pPr>
        <w:keepNext w:val="0"/>
        <w:keepLines w:val="0"/>
        <w:widowControl/>
        <w:suppressLineNumbers w:val="0"/>
        <w:ind w:firstLine="380" w:firstLineChars="200"/>
        <w:jc w:val="left"/>
      </w:pPr>
      <w:r>
        <w:rPr>
          <w:rFonts w:hint="eastAsia" w:ascii="宋体" w:hAnsi="宋体" w:eastAsia="宋体" w:cs="宋体"/>
          <w:color w:val="000000"/>
          <w:kern w:val="0"/>
          <w:sz w:val="19"/>
          <w:szCs w:val="19"/>
          <w:lang w:val="en-US" w:eastAsia="zh-CN" w:bidi="ar"/>
        </w:rPr>
        <w:t xml:space="preserve"> </w:t>
      </w:r>
    </w:p>
    <w:p w14:paraId="180B3F71">
      <w:pPr>
        <w:spacing w:line="480" w:lineRule="auto"/>
        <w:jc w:val="center"/>
        <w:rPr>
          <w:rFonts w:hint="default" w:eastAsiaTheme="minorEastAsia"/>
          <w:sz w:val="32"/>
          <w:szCs w:val="32"/>
          <w:lang w:val="en-US" w:eastAsia="zh-CN"/>
        </w:rPr>
      </w:pPr>
      <w:r>
        <w:rPr>
          <w:rFonts w:hint="eastAsia" w:ascii="仿宋" w:hAnsi="仿宋" w:eastAsia="仿宋" w:cs="仿宋"/>
          <w:kern w:val="0"/>
          <w:sz w:val="32"/>
          <w:szCs w:val="32"/>
          <w:highlight w:val="none"/>
          <w:lang w:val="en-US" w:eastAsia="zh-CN" w:bidi="zh-CN"/>
        </w:rPr>
        <w:t>根据《中华人民共和国政府采购法》、《中华人民共和国政府采购法实施条例》、《中华人民共和国民法典》等相关法律法规、规范性文件以及</w:t>
      </w:r>
      <w:r>
        <w:rPr>
          <w:rFonts w:hint="eastAsia" w:ascii="仿宋" w:hAnsi="仿宋" w:eastAsia="仿宋" w:cs="仿宋"/>
          <w:kern w:val="0"/>
          <w:sz w:val="32"/>
          <w:szCs w:val="32"/>
          <w:highlight w:val="none"/>
          <w:u w:val="single"/>
          <w:lang w:val="en-US" w:eastAsia="zh-CN" w:bidi="zh-CN"/>
        </w:rPr>
        <w:t xml:space="preserve"> </w:t>
      </w:r>
      <w:r>
        <w:rPr>
          <w:rFonts w:hint="eastAsia" w:ascii="仿宋" w:hAnsi="仿宋" w:eastAsia="仿宋" w:cs="仿宋"/>
          <w:sz w:val="32"/>
          <w:szCs w:val="32"/>
          <w:highlight w:val="none"/>
          <w:u w:val="single"/>
        </w:rPr>
        <w:t>人工智能技术应用专业</w:t>
      </w:r>
      <w:r>
        <w:rPr>
          <w:rFonts w:hint="eastAsia" w:ascii="仿宋" w:hAnsi="仿宋" w:eastAsia="仿宋" w:cs="仿宋"/>
          <w:sz w:val="32"/>
          <w:szCs w:val="32"/>
          <w:highlight w:val="none"/>
          <w:u w:val="single"/>
          <w:lang w:eastAsia="zh-CN"/>
        </w:rPr>
        <w:t>（</w:t>
      </w:r>
      <w:r>
        <w:rPr>
          <w:rFonts w:hint="eastAsia" w:ascii="仿宋" w:hAnsi="仿宋" w:eastAsia="仿宋" w:cs="仿宋"/>
          <w:sz w:val="32"/>
          <w:szCs w:val="32"/>
          <w:highlight w:val="none"/>
          <w:u w:val="single"/>
          <w:lang w:val="en-US" w:eastAsia="zh-CN"/>
        </w:rPr>
        <w:t>三次</w:t>
      </w:r>
      <w:r>
        <w:rPr>
          <w:rFonts w:hint="eastAsia" w:ascii="仿宋" w:hAnsi="仿宋" w:eastAsia="仿宋" w:cs="仿宋"/>
          <w:sz w:val="32"/>
          <w:szCs w:val="32"/>
          <w:highlight w:val="none"/>
          <w:u w:val="single"/>
          <w:lang w:eastAsia="zh-CN"/>
        </w:rPr>
        <w:t>）</w:t>
      </w:r>
    </w:p>
    <w:p w14:paraId="4963E50C">
      <w:pPr>
        <w:keepNext w:val="0"/>
        <w:keepLines w:val="0"/>
        <w:pageBreakBefore w:val="0"/>
        <w:widowControl w:val="0"/>
        <w:wordWrap/>
        <w:overflowPunct/>
        <w:topLinePunct w:val="0"/>
        <w:autoSpaceDE w:val="0"/>
        <w:autoSpaceDN w:val="0"/>
        <w:bidi w:val="0"/>
        <w:spacing w:before="0" w:after="0" w:line="600" w:lineRule="exact"/>
        <w:ind w:left="0" w:right="0" w:firstLine="0" w:firstLineChars="0"/>
        <w:jc w:val="left"/>
        <w:rPr>
          <w:rFonts w:hint="eastAsia" w:ascii="仿宋" w:hAnsi="仿宋" w:eastAsia="仿宋" w:cs="仿宋"/>
          <w:kern w:val="0"/>
          <w:sz w:val="32"/>
          <w:szCs w:val="32"/>
          <w:highlight w:val="none"/>
          <w:lang w:val="zh-CN" w:bidi="zh-CN"/>
        </w:rPr>
      </w:pPr>
      <w:r>
        <w:rPr>
          <w:rFonts w:hint="eastAsia" w:ascii="仿宋" w:hAnsi="仿宋" w:eastAsia="仿宋" w:cs="仿宋"/>
          <w:kern w:val="0"/>
          <w:sz w:val="32"/>
          <w:szCs w:val="32"/>
          <w:highlight w:val="none"/>
          <w:lang w:val="en-US" w:eastAsia="zh-CN" w:bidi="zh-CN"/>
        </w:rPr>
        <w:t>项目</w:t>
      </w:r>
      <w:r>
        <w:rPr>
          <w:rFonts w:hint="eastAsia" w:ascii="仿宋" w:hAnsi="仿宋" w:eastAsia="仿宋" w:cs="仿宋"/>
          <w:kern w:val="0"/>
          <w:sz w:val="32"/>
          <w:szCs w:val="32"/>
          <w:highlight w:val="none"/>
          <w:u w:val="single"/>
          <w:lang w:val="en-US" w:eastAsia="zh-CN" w:bidi="zh-CN"/>
        </w:rPr>
        <w:t xml:space="preserve"> </w:t>
      </w:r>
      <w:r>
        <w:rPr>
          <w:rFonts w:hint="eastAsia"/>
          <w:sz w:val="32"/>
          <w:szCs w:val="32"/>
          <w:u w:val="single"/>
          <w:lang w:val="en-US" w:eastAsia="zh-CN"/>
        </w:rPr>
        <w:t>ESZCS-J-H-250252.1B2</w:t>
      </w:r>
      <w:r>
        <w:rPr>
          <w:rFonts w:hint="eastAsia" w:ascii="仿宋" w:hAnsi="仿宋" w:eastAsia="仿宋" w:cs="仿宋"/>
          <w:kern w:val="0"/>
          <w:sz w:val="32"/>
          <w:szCs w:val="32"/>
          <w:highlight w:val="none"/>
          <w:lang w:val="en-US" w:eastAsia="zh-CN" w:bidi="zh-CN"/>
        </w:rPr>
        <w:t xml:space="preserve">的中标（成交）结果、招标（磋商、谈判）文件、投标（响应）文件等文件的相关内容，经平等自愿协商一致，就如下合同条款达成一致意见。 </w:t>
      </w:r>
    </w:p>
    <w:p w14:paraId="38E96915">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黑体" w:hAnsi="黑体" w:eastAsia="黑体" w:cs="黑体"/>
          <w:b w:val="0"/>
          <w:bCs w:val="0"/>
          <w:kern w:val="0"/>
          <w:sz w:val="32"/>
          <w:szCs w:val="32"/>
          <w:highlight w:val="none"/>
          <w:lang w:val="zh-CN" w:bidi="zh-CN"/>
        </w:rPr>
      </w:pPr>
      <w:r>
        <w:rPr>
          <w:rFonts w:hint="eastAsia" w:ascii="黑体" w:hAnsi="黑体" w:eastAsia="黑体" w:cs="黑体"/>
          <w:b w:val="0"/>
          <w:bCs w:val="0"/>
          <w:kern w:val="0"/>
          <w:sz w:val="32"/>
          <w:szCs w:val="32"/>
          <w:highlight w:val="none"/>
          <w:lang w:val="en-US" w:eastAsia="zh-CN" w:bidi="zh-CN"/>
        </w:rPr>
        <w:t xml:space="preserve">一、乙方向甲方提供的服务内容  </w:t>
      </w:r>
    </w:p>
    <w:p w14:paraId="4381D713">
      <w:pPr>
        <w:keepNext w:val="0"/>
        <w:keepLines w:val="0"/>
        <w:widowControl/>
        <w:suppressLineNumbers w:val="0"/>
        <w:jc w:val="left"/>
        <w:rPr>
          <w:rFonts w:hint="default" w:ascii="仿宋" w:hAnsi="仿宋" w:eastAsia="仿宋" w:cs="仿宋"/>
          <w:kern w:val="0"/>
          <w:sz w:val="32"/>
          <w:szCs w:val="32"/>
          <w:highlight w:val="none"/>
          <w:lang w:val="en-US" w:bidi="zh-CN"/>
        </w:rPr>
      </w:pPr>
      <w:r>
        <w:rPr>
          <w:rFonts w:hint="eastAsia" w:ascii="仿宋" w:hAnsi="仿宋" w:eastAsia="仿宋" w:cs="仿宋"/>
          <w:kern w:val="0"/>
          <w:sz w:val="32"/>
          <w:szCs w:val="32"/>
          <w:highlight w:val="none"/>
          <w:lang w:val="en-US" w:eastAsia="zh-CN" w:bidi="zh-CN"/>
        </w:rPr>
        <w:t>（一）根据招标（磋商、谈判）文件及中标（成交）结果公告，乙方向甲方提供的服务、货物（如有）内容如下：提供</w:t>
      </w:r>
      <w:r>
        <w:rPr>
          <w:rFonts w:hint="eastAsia" w:ascii="仿宋" w:hAnsi="仿宋" w:eastAsia="仿宋" w:cs="仿宋"/>
          <w:spacing w:val="0"/>
          <w:kern w:val="0"/>
          <w:sz w:val="32"/>
          <w:szCs w:val="32"/>
          <w:highlight w:val="none"/>
          <w:u w:val="single"/>
          <w:lang w:val="en-US" w:eastAsia="zh-CN" w:bidi="zh-CN"/>
        </w:rPr>
        <w:t>人工智能教学实训平台</w:t>
      </w:r>
      <w:r>
        <w:rPr>
          <w:rFonts w:hint="eastAsia" w:ascii="仿宋" w:hAnsi="仿宋" w:eastAsia="仿宋" w:cs="仿宋"/>
          <w:i w:val="0"/>
          <w:iCs w:val="0"/>
          <w:caps w:val="0"/>
          <w:color w:val="auto"/>
          <w:spacing w:val="0"/>
          <w:kern w:val="0"/>
          <w:sz w:val="32"/>
          <w:szCs w:val="32"/>
          <w:highlight w:val="none"/>
          <w:u w:val="single"/>
          <w:shd w:val="clear" w:fill="auto"/>
          <w:lang w:bidi="zh-CN"/>
        </w:rPr>
        <w:t>1(套)</w:t>
      </w:r>
      <w:r>
        <w:rPr>
          <w:rFonts w:hint="eastAsia" w:ascii="仿宋" w:hAnsi="仿宋" w:eastAsia="仿宋" w:cs="仿宋"/>
          <w:kern w:val="0"/>
          <w:sz w:val="32"/>
          <w:szCs w:val="32"/>
          <w:highlight w:val="none"/>
          <w:u w:val="single"/>
          <w:lang w:val="en-US" w:eastAsia="zh-CN" w:bidi="zh-CN"/>
        </w:rPr>
        <w:t>、</w:t>
      </w:r>
      <w:r>
        <w:rPr>
          <w:rFonts w:hint="eastAsia" w:ascii="仿宋" w:hAnsi="仿宋" w:eastAsia="仿宋" w:cs="仿宋"/>
          <w:i w:val="0"/>
          <w:iCs w:val="0"/>
          <w:caps w:val="0"/>
          <w:color w:val="auto"/>
          <w:spacing w:val="0"/>
          <w:kern w:val="0"/>
          <w:sz w:val="32"/>
          <w:szCs w:val="32"/>
          <w:highlight w:val="none"/>
          <w:u w:val="single"/>
          <w:shd w:val="clear" w:fill="auto"/>
          <w:lang w:bidi="zh-CN"/>
        </w:rPr>
        <w:t>人工智能科研开发平台1(套)</w:t>
      </w:r>
      <w:r>
        <w:rPr>
          <w:rFonts w:hint="eastAsia" w:ascii="仿宋" w:hAnsi="仿宋" w:eastAsia="仿宋" w:cs="仿宋"/>
          <w:kern w:val="0"/>
          <w:sz w:val="32"/>
          <w:szCs w:val="32"/>
          <w:highlight w:val="none"/>
          <w:u w:val="single"/>
          <w:lang w:val="en-US" w:eastAsia="zh-CN" w:bidi="zh-CN"/>
        </w:rPr>
        <w:t>、</w:t>
      </w:r>
      <w:r>
        <w:rPr>
          <w:rFonts w:hint="eastAsia" w:ascii="仿宋" w:hAnsi="仿宋" w:eastAsia="仿宋" w:cs="仿宋"/>
          <w:i w:val="0"/>
          <w:iCs w:val="0"/>
          <w:caps w:val="0"/>
          <w:color w:val="auto"/>
          <w:spacing w:val="0"/>
          <w:kern w:val="0"/>
          <w:sz w:val="32"/>
          <w:szCs w:val="32"/>
          <w:highlight w:val="none"/>
          <w:u w:val="single"/>
          <w:shd w:val="clear" w:fill="auto"/>
          <w:lang w:bidi="zh-CN"/>
        </w:rPr>
        <w:t>人工智能实验实训箱21(套)</w:t>
      </w:r>
      <w:r>
        <w:rPr>
          <w:rFonts w:hint="eastAsia" w:ascii="仿宋" w:hAnsi="仿宋" w:eastAsia="仿宋" w:cs="仿宋"/>
          <w:kern w:val="0"/>
          <w:sz w:val="32"/>
          <w:szCs w:val="32"/>
          <w:highlight w:val="none"/>
          <w:u w:val="single"/>
          <w:lang w:val="en-US" w:eastAsia="zh-CN" w:bidi="zh-CN"/>
        </w:rPr>
        <w:t>、</w:t>
      </w:r>
      <w:r>
        <w:rPr>
          <w:rFonts w:hint="eastAsia" w:ascii="仿宋" w:hAnsi="仿宋" w:eastAsia="仿宋" w:cs="仿宋"/>
          <w:i w:val="0"/>
          <w:iCs w:val="0"/>
          <w:caps w:val="0"/>
          <w:color w:val="auto"/>
          <w:spacing w:val="0"/>
          <w:kern w:val="0"/>
          <w:sz w:val="32"/>
          <w:szCs w:val="32"/>
          <w:highlight w:val="none"/>
          <w:u w:val="single"/>
          <w:shd w:val="clear" w:fill="auto"/>
          <w:lang w:bidi="zh-CN"/>
        </w:rPr>
        <w:t>鸿蒙北向开发套件42(套)</w:t>
      </w:r>
      <w:r>
        <w:rPr>
          <w:rFonts w:hint="eastAsia" w:ascii="仿宋" w:hAnsi="仿宋" w:eastAsia="仿宋" w:cs="仿宋"/>
          <w:kern w:val="0"/>
          <w:sz w:val="32"/>
          <w:szCs w:val="32"/>
          <w:highlight w:val="none"/>
          <w:u w:val="single"/>
          <w:lang w:val="en-US" w:eastAsia="zh-CN" w:bidi="zh-CN"/>
        </w:rPr>
        <w:t>、</w:t>
      </w:r>
      <w:r>
        <w:rPr>
          <w:rFonts w:hint="eastAsia" w:ascii="仿宋" w:hAnsi="仿宋" w:eastAsia="仿宋" w:cs="仿宋"/>
          <w:i w:val="0"/>
          <w:iCs w:val="0"/>
          <w:caps w:val="0"/>
          <w:color w:val="auto"/>
          <w:spacing w:val="0"/>
          <w:kern w:val="0"/>
          <w:sz w:val="32"/>
          <w:szCs w:val="32"/>
          <w:highlight w:val="none"/>
          <w:u w:val="single"/>
          <w:shd w:val="clear" w:fill="auto"/>
          <w:lang w:bidi="zh-CN"/>
        </w:rPr>
        <w:t>学生实训工作站86(套)</w:t>
      </w:r>
      <w:r>
        <w:rPr>
          <w:rFonts w:hint="eastAsia" w:ascii="仿宋" w:hAnsi="仿宋" w:eastAsia="仿宋" w:cs="仿宋"/>
          <w:kern w:val="0"/>
          <w:sz w:val="32"/>
          <w:szCs w:val="32"/>
          <w:highlight w:val="none"/>
          <w:u w:val="single"/>
          <w:lang w:val="en-US" w:eastAsia="zh-CN" w:bidi="zh-CN"/>
        </w:rPr>
        <w:t>、</w:t>
      </w:r>
      <w:r>
        <w:rPr>
          <w:rFonts w:hint="eastAsia" w:ascii="仿宋" w:hAnsi="仿宋" w:eastAsia="仿宋" w:cs="仿宋"/>
          <w:i w:val="0"/>
          <w:iCs w:val="0"/>
          <w:caps w:val="0"/>
          <w:color w:val="auto"/>
          <w:spacing w:val="0"/>
          <w:kern w:val="0"/>
          <w:sz w:val="32"/>
          <w:szCs w:val="32"/>
          <w:highlight w:val="none"/>
          <w:u w:val="single"/>
          <w:shd w:val="clear" w:fill="auto"/>
          <w:lang w:bidi="zh-CN"/>
        </w:rPr>
        <w:t>资源管理工作站1(套)</w:t>
      </w:r>
      <w:r>
        <w:rPr>
          <w:rFonts w:hint="eastAsia" w:ascii="仿宋" w:hAnsi="仿宋" w:eastAsia="仿宋" w:cs="仿宋"/>
          <w:kern w:val="0"/>
          <w:sz w:val="32"/>
          <w:szCs w:val="32"/>
          <w:highlight w:val="none"/>
          <w:u w:val="single"/>
          <w:lang w:val="en-US" w:eastAsia="zh-CN" w:bidi="zh-CN"/>
        </w:rPr>
        <w:t>、</w:t>
      </w:r>
      <w:r>
        <w:rPr>
          <w:rFonts w:hint="eastAsia" w:ascii="仿宋" w:hAnsi="仿宋" w:eastAsia="仿宋" w:cs="仿宋"/>
          <w:i w:val="0"/>
          <w:iCs w:val="0"/>
          <w:caps w:val="0"/>
          <w:color w:val="auto"/>
          <w:spacing w:val="0"/>
          <w:kern w:val="0"/>
          <w:sz w:val="32"/>
          <w:szCs w:val="32"/>
          <w:highlight w:val="none"/>
          <w:u w:val="single"/>
          <w:shd w:val="clear" w:fill="auto"/>
          <w:lang w:bidi="zh-CN"/>
        </w:rPr>
        <w:t>高性能图形工作站2(套)</w:t>
      </w:r>
      <w:r>
        <w:rPr>
          <w:rFonts w:hint="eastAsia" w:ascii="仿宋" w:hAnsi="仿宋" w:eastAsia="仿宋" w:cs="仿宋"/>
          <w:kern w:val="0"/>
          <w:sz w:val="32"/>
          <w:szCs w:val="32"/>
          <w:highlight w:val="none"/>
          <w:u w:val="single"/>
          <w:lang w:val="en-US" w:eastAsia="zh-CN" w:bidi="zh-CN"/>
        </w:rPr>
        <w:t>、</w:t>
      </w:r>
      <w:r>
        <w:rPr>
          <w:rFonts w:hint="eastAsia" w:ascii="仿宋" w:hAnsi="仿宋" w:eastAsia="仿宋" w:cs="仿宋"/>
          <w:i w:val="0"/>
          <w:iCs w:val="0"/>
          <w:caps w:val="0"/>
          <w:color w:val="auto"/>
          <w:spacing w:val="0"/>
          <w:kern w:val="0"/>
          <w:sz w:val="32"/>
          <w:szCs w:val="32"/>
          <w:highlight w:val="none"/>
          <w:u w:val="single"/>
          <w:shd w:val="clear" w:fill="auto"/>
          <w:lang w:bidi="zh-CN"/>
        </w:rPr>
        <w:t>机房环境改造1(套)</w:t>
      </w:r>
      <w:r>
        <w:rPr>
          <w:rFonts w:hint="eastAsia" w:ascii="仿宋" w:hAnsi="仿宋" w:eastAsia="仿宋" w:cs="仿宋"/>
          <w:kern w:val="0"/>
          <w:sz w:val="32"/>
          <w:szCs w:val="32"/>
          <w:highlight w:val="none"/>
          <w:u w:val="single"/>
          <w:lang w:val="en-US" w:eastAsia="zh-CN" w:bidi="zh-CN"/>
        </w:rPr>
        <w:t>。</w:t>
      </w:r>
    </w:p>
    <w:p w14:paraId="620DEEAC">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仿宋" w:hAnsi="仿宋" w:eastAsia="仿宋" w:cs="仿宋"/>
          <w:kern w:val="0"/>
          <w:sz w:val="32"/>
          <w:szCs w:val="32"/>
          <w:highlight w:val="none"/>
          <w:lang w:val="zh-CN" w:bidi="zh-CN"/>
        </w:rPr>
      </w:pPr>
      <w:r>
        <w:rPr>
          <w:rFonts w:hint="eastAsia" w:ascii="仿宋" w:hAnsi="仿宋" w:eastAsia="仿宋" w:cs="仿宋"/>
          <w:kern w:val="0"/>
          <w:sz w:val="32"/>
          <w:szCs w:val="32"/>
          <w:highlight w:val="none"/>
          <w:lang w:val="en-US" w:eastAsia="zh-CN" w:bidi="zh-CN"/>
        </w:rPr>
        <w:t xml:space="preserve">（二）服务项目名称、服务具体内容、服务方式、服务要求、服务成果及与之相关的货物等详细内容，见合同附件。 </w:t>
      </w:r>
    </w:p>
    <w:p w14:paraId="492118DC">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黑体" w:hAnsi="黑体" w:eastAsia="黑体" w:cs="黑体"/>
          <w:b w:val="0"/>
          <w:bCs w:val="0"/>
          <w:kern w:val="0"/>
          <w:sz w:val="32"/>
          <w:szCs w:val="32"/>
          <w:highlight w:val="none"/>
          <w:lang w:val="en-US" w:eastAsia="zh-CN" w:bidi="zh-CN"/>
        </w:rPr>
      </w:pPr>
      <w:r>
        <w:rPr>
          <w:rFonts w:hint="eastAsia" w:ascii="黑体" w:hAnsi="黑体" w:eastAsia="黑体" w:cs="黑体"/>
          <w:b w:val="0"/>
          <w:bCs w:val="0"/>
          <w:kern w:val="0"/>
          <w:sz w:val="32"/>
          <w:szCs w:val="32"/>
          <w:highlight w:val="none"/>
          <w:lang w:val="en-US" w:eastAsia="zh-CN" w:bidi="zh-CN"/>
        </w:rPr>
        <w:t xml:space="preserve">二、乙方服务成果的交付时间、地点 </w:t>
      </w:r>
    </w:p>
    <w:p w14:paraId="21BBD3BC">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（一）服务期限：</w:t>
      </w:r>
      <w:r>
        <w:rPr>
          <w:rFonts w:hint="eastAsia" w:ascii="仿宋" w:hAnsi="仿宋" w:eastAsia="仿宋" w:cs="仿宋"/>
          <w:kern w:val="0"/>
          <w:sz w:val="32"/>
          <w:szCs w:val="32"/>
          <w:highlight w:val="none"/>
          <w:u w:val="single"/>
          <w:lang w:val="en-US" w:eastAsia="zh-CN" w:bidi="zh-CN"/>
        </w:rPr>
        <w:t>三年</w:t>
      </w:r>
      <w:r>
        <w:rPr>
          <w:rFonts w:hint="eastAsia" w:ascii="仿宋" w:hAnsi="仿宋" w:eastAsia="仿宋" w:cs="仿宋"/>
          <w:sz w:val="32"/>
          <w:szCs w:val="32"/>
          <w:highlight w:val="none"/>
          <w:u w:val="single"/>
          <w:lang w:val="en-US" w:eastAsia="zh-CN"/>
        </w:rPr>
        <w:t>。</w:t>
      </w:r>
    </w:p>
    <w:p w14:paraId="32607787">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（二）服务成果的交付时间和交付要求：</w:t>
      </w:r>
      <w:r>
        <w:rPr>
          <w:rFonts w:hint="eastAsia" w:ascii="仿宋" w:hAnsi="仿宋" w:eastAsia="仿宋" w:cs="仿宋"/>
          <w:b w:val="0"/>
          <w:bCs w:val="0"/>
          <w:color w:val="auto"/>
          <w:sz w:val="32"/>
          <w:szCs w:val="32"/>
          <w:highlight w:val="none"/>
          <w:u w:val="single"/>
        </w:rPr>
        <w:t>签订合同后15日内</w:t>
      </w:r>
      <w:r>
        <w:rPr>
          <w:rFonts w:hint="eastAsia" w:ascii="仿宋" w:hAnsi="仿宋" w:eastAsia="仿宋" w:cs="仿宋"/>
          <w:sz w:val="32"/>
          <w:szCs w:val="32"/>
          <w:highlight w:val="none"/>
          <w:u w:val="single"/>
          <w:lang w:val="en-US" w:eastAsia="zh-CN"/>
        </w:rPr>
        <w:t>。</w:t>
      </w:r>
      <w:r>
        <w:rPr>
          <w:rFonts w:hint="default" w:ascii="仿宋" w:hAnsi="仿宋" w:eastAsia="仿宋" w:cs="仿宋"/>
          <w:kern w:val="0"/>
          <w:sz w:val="32"/>
          <w:szCs w:val="32"/>
          <w:highlight w:val="none"/>
          <w:lang w:val="en-US" w:eastAsia="zh-CN" w:bidi="zh-CN"/>
        </w:rPr>
        <w:t xml:space="preserve"> </w:t>
      </w:r>
    </w:p>
    <w:p w14:paraId="66B3274B">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（三）服务地点：</w:t>
      </w:r>
      <w:r>
        <w:rPr>
          <w:rFonts w:hint="eastAsia" w:ascii="仿宋" w:hAnsi="仿宋" w:eastAsia="仿宋" w:cs="仿宋"/>
          <w:kern w:val="0"/>
          <w:sz w:val="32"/>
          <w:szCs w:val="32"/>
          <w:highlight w:val="none"/>
          <w:u w:val="single"/>
          <w:lang w:val="en-US" w:eastAsia="zh-CN" w:bidi="zh-CN"/>
        </w:rPr>
        <w:t xml:space="preserve"> </w:t>
      </w:r>
      <w:r>
        <w:rPr>
          <w:rFonts w:hint="eastAsia" w:ascii="仿宋" w:hAnsi="仿宋" w:eastAsia="仿宋" w:cs="仿宋"/>
          <w:sz w:val="32"/>
          <w:szCs w:val="32"/>
          <w:highlight w:val="none"/>
          <w:u w:val="single"/>
        </w:rPr>
        <w:t>采购人指定地点</w:t>
      </w:r>
      <w:r>
        <w:rPr>
          <w:rFonts w:hint="default" w:ascii="仿宋" w:hAnsi="仿宋" w:eastAsia="仿宋" w:cs="仿宋"/>
          <w:kern w:val="0"/>
          <w:sz w:val="32"/>
          <w:szCs w:val="32"/>
          <w:highlight w:val="none"/>
          <w:lang w:val="en-US" w:eastAsia="zh-CN" w:bidi="zh-CN"/>
        </w:rPr>
        <w:t>_</w:t>
      </w:r>
      <w:r>
        <w:rPr>
          <w:rFonts w:hint="eastAsia" w:ascii="仿宋" w:hAnsi="仿宋" w:eastAsia="仿宋" w:cs="仿宋"/>
          <w:kern w:val="0"/>
          <w:sz w:val="32"/>
          <w:szCs w:val="32"/>
          <w:highlight w:val="none"/>
          <w:lang w:val="en-US" w:eastAsia="zh-CN" w:bidi="zh-CN"/>
        </w:rPr>
        <w:t xml:space="preserve"> </w:t>
      </w:r>
    </w:p>
    <w:p w14:paraId="14A9ED8E">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（四）乙方代表及联系电话：</w:t>
      </w:r>
      <w:r>
        <w:rPr>
          <w:rFonts w:hint="eastAsia" w:ascii="仿宋" w:hAnsi="仿宋" w:eastAsia="仿宋" w:cs="仿宋"/>
          <w:kern w:val="0"/>
          <w:sz w:val="32"/>
          <w:szCs w:val="32"/>
          <w:highlight w:val="none"/>
          <w:u w:val="single"/>
          <w:lang w:val="en-US" w:eastAsia="zh-CN" w:bidi="zh-CN"/>
        </w:rPr>
        <w:t xml:space="preserve"> 朱淑滨13310342344                </w:t>
      </w:r>
      <w:r>
        <w:rPr>
          <w:rFonts w:hint="eastAsia" w:ascii="仿宋" w:hAnsi="仿宋" w:eastAsia="仿宋" w:cs="仿宋"/>
          <w:kern w:val="0"/>
          <w:sz w:val="32"/>
          <w:szCs w:val="32"/>
          <w:highlight w:val="none"/>
          <w:lang w:val="en-US" w:eastAsia="zh-CN" w:bidi="zh-CN"/>
        </w:rPr>
        <w:t xml:space="preserve"> </w:t>
      </w:r>
    </w:p>
    <w:p w14:paraId="31BE358E">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default" w:ascii="仿宋" w:hAnsi="仿宋" w:eastAsia="仿宋" w:cs="仿宋"/>
          <w:kern w:val="0"/>
          <w:sz w:val="32"/>
          <w:szCs w:val="32"/>
          <w:highlight w:val="none"/>
          <w:u w:val="single"/>
          <w:lang w:val="en-US" w:eastAsia="zh-CN" w:bidi="zh-CN"/>
        </w:rPr>
      </w:pPr>
      <w:r>
        <w:rPr>
          <w:rFonts w:hint="eastAsia" w:ascii="仿宋" w:hAnsi="仿宋" w:eastAsia="仿宋" w:cs="仿宋"/>
          <w:kern w:val="0"/>
          <w:sz w:val="32"/>
          <w:szCs w:val="32"/>
          <w:highlight w:val="none"/>
          <w:lang w:val="en-US" w:eastAsia="zh-CN" w:bidi="zh-CN"/>
        </w:rPr>
        <w:t>（五）甲方代表及联系电话：</w:t>
      </w:r>
      <w:r>
        <w:rPr>
          <w:rFonts w:hint="eastAsia" w:ascii="仿宋" w:hAnsi="仿宋" w:eastAsia="仿宋" w:cs="仿宋"/>
          <w:kern w:val="0"/>
          <w:sz w:val="32"/>
          <w:szCs w:val="32"/>
          <w:highlight w:val="none"/>
          <w:u w:val="single"/>
          <w:lang w:val="en-US" w:eastAsia="zh-CN" w:bidi="zh-CN"/>
        </w:rPr>
        <w:t xml:space="preserve"> 杨振宇</w:t>
      </w:r>
      <w:r>
        <w:rPr>
          <w:rFonts w:hint="default" w:ascii="仿宋" w:hAnsi="仿宋" w:eastAsia="仿宋" w:cs="仿宋"/>
          <w:i w:val="0"/>
          <w:iCs w:val="0"/>
          <w:caps w:val="0"/>
          <w:color w:val="auto"/>
          <w:spacing w:val="0"/>
          <w:kern w:val="0"/>
          <w:sz w:val="32"/>
          <w:szCs w:val="32"/>
          <w:highlight w:val="none"/>
          <w:u w:val="single"/>
          <w:shd w:val="clear" w:fill="auto"/>
          <w:lang w:bidi="zh-CN"/>
        </w:rPr>
        <w:t>18648011617</w:t>
      </w:r>
      <w:r>
        <w:rPr>
          <w:rFonts w:hint="eastAsia" w:ascii="仿宋" w:hAnsi="仿宋" w:eastAsia="仿宋" w:cs="仿宋"/>
          <w:kern w:val="0"/>
          <w:sz w:val="32"/>
          <w:szCs w:val="32"/>
          <w:highlight w:val="none"/>
          <w:u w:val="single"/>
          <w:lang w:val="en-US" w:eastAsia="zh-CN" w:bidi="zh-CN"/>
        </w:rPr>
        <w:t xml:space="preserve">             </w:t>
      </w:r>
    </w:p>
    <w:p w14:paraId="061F01F2">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 xml:space="preserve">注：服务成果分阶段交付的，应分别列明各阶段的交付时间、交付内容。 </w:t>
      </w:r>
    </w:p>
    <w:p w14:paraId="1842DC6C">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黑体" w:hAnsi="黑体" w:eastAsia="黑体" w:cs="黑体"/>
          <w:b w:val="0"/>
          <w:bCs w:val="0"/>
          <w:kern w:val="0"/>
          <w:sz w:val="32"/>
          <w:szCs w:val="32"/>
          <w:highlight w:val="none"/>
          <w:lang w:val="en-US" w:eastAsia="zh-CN" w:bidi="zh-CN"/>
        </w:rPr>
      </w:pPr>
      <w:r>
        <w:rPr>
          <w:rFonts w:hint="eastAsia" w:ascii="黑体" w:hAnsi="黑体" w:eastAsia="黑体" w:cs="黑体"/>
          <w:b w:val="0"/>
          <w:bCs w:val="0"/>
          <w:kern w:val="0"/>
          <w:sz w:val="32"/>
          <w:szCs w:val="32"/>
          <w:highlight w:val="none"/>
          <w:lang w:val="en-US" w:eastAsia="zh-CN" w:bidi="zh-CN"/>
        </w:rPr>
        <w:t xml:space="preserve">三、乙方提供服务成果的质量 </w:t>
      </w:r>
    </w:p>
    <w:p w14:paraId="61EE7CD4">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（一）乙方提供的服务应同时满足：</w:t>
      </w:r>
      <w:r>
        <w:rPr>
          <w:rFonts w:hint="default" w:ascii="仿宋" w:hAnsi="仿宋" w:eastAsia="仿宋" w:cs="仿宋"/>
          <w:kern w:val="0"/>
          <w:sz w:val="32"/>
          <w:szCs w:val="32"/>
          <w:highlight w:val="none"/>
          <w:lang w:val="en-US" w:eastAsia="zh-CN" w:bidi="zh-CN"/>
        </w:rPr>
        <w:t>1.</w:t>
      </w:r>
      <w:r>
        <w:rPr>
          <w:rFonts w:hint="eastAsia" w:ascii="仿宋" w:hAnsi="仿宋" w:eastAsia="仿宋" w:cs="仿宋"/>
          <w:kern w:val="0"/>
          <w:sz w:val="32"/>
          <w:szCs w:val="32"/>
          <w:highlight w:val="none"/>
          <w:lang w:val="en-US" w:eastAsia="zh-CN" w:bidi="zh-CN"/>
        </w:rPr>
        <w:t>符合国家法律法规和规范性文件对服务质量的要求；</w:t>
      </w:r>
      <w:r>
        <w:rPr>
          <w:rFonts w:hint="default" w:ascii="仿宋" w:hAnsi="仿宋" w:eastAsia="仿宋" w:cs="仿宋"/>
          <w:kern w:val="0"/>
          <w:sz w:val="32"/>
          <w:szCs w:val="32"/>
          <w:highlight w:val="none"/>
          <w:lang w:val="en-US" w:eastAsia="zh-CN" w:bidi="zh-CN"/>
        </w:rPr>
        <w:t>2.</w:t>
      </w:r>
      <w:r>
        <w:rPr>
          <w:rFonts w:hint="eastAsia" w:ascii="仿宋" w:hAnsi="仿宋" w:eastAsia="仿宋" w:cs="仿宋"/>
          <w:kern w:val="0"/>
          <w:sz w:val="32"/>
          <w:szCs w:val="32"/>
          <w:highlight w:val="none"/>
          <w:lang w:val="en-US" w:eastAsia="zh-CN" w:bidi="zh-CN"/>
        </w:rPr>
        <w:t>符合甲方招标（磋商、谈判）文件对服务的质量要求；</w:t>
      </w:r>
      <w:r>
        <w:rPr>
          <w:rFonts w:hint="default" w:ascii="仿宋" w:hAnsi="仿宋" w:eastAsia="仿宋" w:cs="仿宋"/>
          <w:kern w:val="0"/>
          <w:sz w:val="32"/>
          <w:szCs w:val="32"/>
          <w:highlight w:val="none"/>
          <w:lang w:val="en-US" w:eastAsia="zh-CN" w:bidi="zh-CN"/>
        </w:rPr>
        <w:t>3.</w:t>
      </w:r>
      <w:r>
        <w:rPr>
          <w:rFonts w:hint="eastAsia" w:ascii="仿宋" w:hAnsi="仿宋" w:eastAsia="仿宋" w:cs="仿宋"/>
          <w:kern w:val="0"/>
          <w:sz w:val="32"/>
          <w:szCs w:val="32"/>
          <w:highlight w:val="none"/>
          <w:lang w:val="en-US" w:eastAsia="zh-CN" w:bidi="zh-CN"/>
        </w:rPr>
        <w:t xml:space="preserve">符合乙方在投标（响应）文件中或磋商、谈判过程中对服务质量作出的书面承诺、声明或保证。上述质量要求作为甲方对乙方服务质量的验收依据。 </w:t>
      </w:r>
    </w:p>
    <w:p w14:paraId="60ED0631">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 xml:space="preserve">（二）乙方应根据国家法律法规和规范性文件的规定、招标（磋商、谈判）文件的相关要求、投标（响应）文件及乙方承诺、声明或保证，向甲方提供相应的服务质量证明文件。 </w:t>
      </w:r>
    </w:p>
    <w:p w14:paraId="3F962A2F">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黑体" w:hAnsi="黑体" w:eastAsia="黑体" w:cs="黑体"/>
          <w:b w:val="0"/>
          <w:bCs w:val="0"/>
          <w:kern w:val="0"/>
          <w:sz w:val="32"/>
          <w:szCs w:val="32"/>
          <w:highlight w:val="none"/>
          <w:lang w:val="en-US" w:eastAsia="zh-CN" w:bidi="zh-CN"/>
        </w:rPr>
      </w:pPr>
      <w:r>
        <w:rPr>
          <w:rFonts w:hint="eastAsia" w:ascii="黑体" w:hAnsi="黑体" w:eastAsia="黑体" w:cs="黑体"/>
          <w:b w:val="0"/>
          <w:bCs w:val="0"/>
          <w:kern w:val="0"/>
          <w:sz w:val="32"/>
          <w:szCs w:val="32"/>
          <w:highlight w:val="none"/>
          <w:lang w:val="en-US" w:eastAsia="zh-CN" w:bidi="zh-CN"/>
        </w:rPr>
        <w:t xml:space="preserve">四、乙方服务成果的交付方式及载体 </w:t>
      </w:r>
    </w:p>
    <w:p w14:paraId="25431540">
      <w:pPr>
        <w:keepNext w:val="0"/>
        <w:keepLines w:val="0"/>
        <w:widowControl/>
        <w:suppressLineNumbers w:val="0"/>
        <w:ind w:firstLine="640" w:firstLineChars="200"/>
        <w:jc w:val="left"/>
      </w:pPr>
      <w:r>
        <w:rPr>
          <w:rFonts w:hint="eastAsia" w:ascii="仿宋" w:hAnsi="仿宋" w:eastAsia="仿宋" w:cs="仿宋"/>
          <w:kern w:val="0"/>
          <w:sz w:val="32"/>
          <w:szCs w:val="32"/>
          <w:highlight w:val="none"/>
          <w:lang w:val="en-US" w:eastAsia="zh-CN" w:bidi="zh-CN"/>
        </w:rPr>
        <w:t xml:space="preserve">乙方交付服务成果方式及载体应符合国家法律法规和规范性文件的要求，并符合甲方招标（磋商、谈判）文件的要求、乙方在投标（响应）文件中对服务成果交付方式及载体作出的承诺。 </w:t>
      </w:r>
    </w:p>
    <w:p w14:paraId="17029F2C">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黑体" w:hAnsi="黑体" w:eastAsia="黑体" w:cs="黑体"/>
          <w:b w:val="0"/>
          <w:bCs w:val="0"/>
          <w:kern w:val="0"/>
          <w:sz w:val="32"/>
          <w:szCs w:val="32"/>
          <w:highlight w:val="none"/>
          <w:lang w:val="en-US" w:eastAsia="zh-CN" w:bidi="zh-CN"/>
        </w:rPr>
      </w:pPr>
      <w:r>
        <w:rPr>
          <w:rFonts w:hint="eastAsia" w:ascii="黑体" w:hAnsi="黑体" w:eastAsia="黑体" w:cs="黑体"/>
          <w:b w:val="0"/>
          <w:bCs w:val="0"/>
          <w:kern w:val="0"/>
          <w:sz w:val="32"/>
          <w:szCs w:val="32"/>
          <w:highlight w:val="none"/>
          <w:lang w:val="en-US" w:eastAsia="zh-CN" w:bidi="zh-CN"/>
        </w:rPr>
        <w:t xml:space="preserve">五、甲方对乙方服务的监督 </w:t>
      </w:r>
    </w:p>
    <w:p w14:paraId="7BC52A45">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 xml:space="preserve">甲方对乙方提供的服务有权进行监督，当乙方服务质量、服务内容不符合约定时，甲方有权要求乙方及时进行整改，对乙方拒不改正或整改不到位的，甲方有权随时单方解除合同，并根据具体情况扣除部分或全部服务费用。 </w:t>
      </w:r>
    </w:p>
    <w:p w14:paraId="5112CA97">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黑体" w:hAnsi="黑体" w:eastAsia="黑体" w:cs="黑体"/>
          <w:b w:val="0"/>
          <w:bCs w:val="0"/>
          <w:kern w:val="0"/>
          <w:sz w:val="32"/>
          <w:szCs w:val="32"/>
          <w:highlight w:val="none"/>
          <w:lang w:val="en-US" w:eastAsia="zh-CN" w:bidi="zh-CN"/>
        </w:rPr>
      </w:pPr>
      <w:r>
        <w:rPr>
          <w:rFonts w:hint="eastAsia" w:ascii="黑体" w:hAnsi="黑体" w:eastAsia="黑体" w:cs="黑体"/>
          <w:b w:val="0"/>
          <w:bCs w:val="0"/>
          <w:kern w:val="0"/>
          <w:sz w:val="32"/>
          <w:szCs w:val="32"/>
          <w:highlight w:val="none"/>
          <w:lang w:val="en-US" w:eastAsia="zh-CN" w:bidi="zh-CN"/>
        </w:rPr>
        <w:t xml:space="preserve">六、合同金额 </w:t>
      </w:r>
    </w:p>
    <w:p w14:paraId="1776AAB9">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在乙方提供完全符合合同要求的服务的前提下，本合同总金额为（含税）人民币</w:t>
      </w:r>
      <w:r>
        <w:rPr>
          <w:rFonts w:hint="eastAsia" w:ascii="仿宋" w:hAnsi="仿宋" w:eastAsia="仿宋" w:cs="仿宋"/>
          <w:color w:val="auto"/>
          <w:kern w:val="0"/>
          <w:sz w:val="32"/>
          <w:szCs w:val="32"/>
          <w:highlight w:val="none"/>
          <w:u w:val="single"/>
          <w:lang w:val="en-US" w:eastAsia="zh-CN" w:bidi="zh-CN"/>
        </w:rPr>
        <w:t xml:space="preserve"> 2</w:t>
      </w:r>
      <w:r>
        <w:rPr>
          <w:rFonts w:hint="eastAsia" w:ascii="仿宋" w:hAnsi="仿宋" w:eastAsia="仿宋" w:cs="仿宋"/>
          <w:color w:val="auto"/>
          <w:sz w:val="32"/>
          <w:szCs w:val="32"/>
          <w:highlight w:val="none"/>
          <w:u w:val="single"/>
          <w:lang w:val="en-US" w:eastAsia="zh-CN"/>
        </w:rPr>
        <w:t>,668,000.00</w:t>
      </w:r>
      <w:r>
        <w:rPr>
          <w:rFonts w:hint="eastAsia" w:ascii="仿宋" w:hAnsi="仿宋" w:eastAsia="仿宋" w:cs="仿宋"/>
          <w:kern w:val="0"/>
          <w:sz w:val="32"/>
          <w:szCs w:val="32"/>
          <w:highlight w:val="none"/>
          <w:lang w:val="en-US" w:eastAsia="zh-CN" w:bidi="zh-CN"/>
        </w:rPr>
        <w:t>元，</w:t>
      </w:r>
      <w:r>
        <w:rPr>
          <w:rFonts w:hint="eastAsia" w:ascii="仿宋" w:hAnsi="仿宋" w:eastAsia="仿宋" w:cs="仿宋"/>
          <w:kern w:val="0"/>
          <w:sz w:val="32"/>
          <w:szCs w:val="32"/>
          <w:highlight w:val="none"/>
          <w:u w:val="single"/>
          <w:lang w:val="en-US" w:eastAsia="zh-CN" w:bidi="zh-CN"/>
        </w:rPr>
        <w:t>贰</w:t>
      </w:r>
      <w:r>
        <w:rPr>
          <w:rFonts w:hint="eastAsia" w:ascii="仿宋" w:hAnsi="仿宋" w:eastAsia="仿宋" w:cs="仿宋"/>
          <w:sz w:val="32"/>
          <w:szCs w:val="32"/>
          <w:highlight w:val="none"/>
          <w:u w:val="single"/>
          <w:lang w:val="en-US" w:eastAsia="zh-CN"/>
        </w:rPr>
        <w:t>佰陆拾陆万捌仟元整 ，</w:t>
      </w:r>
      <w:r>
        <w:rPr>
          <w:rFonts w:hint="eastAsia" w:ascii="仿宋" w:hAnsi="仿宋" w:eastAsia="仿宋" w:cs="仿宋"/>
          <w:kern w:val="0"/>
          <w:sz w:val="32"/>
          <w:szCs w:val="32"/>
          <w:highlight w:val="none"/>
          <w:lang w:val="en-US" w:eastAsia="zh-CN" w:bidi="zh-CN"/>
        </w:rPr>
        <w:t xml:space="preserve">该金额包括但不限于乙方为履行本合 同项下全部义务所应取得和应支出的全部费用。 </w:t>
      </w:r>
    </w:p>
    <w:p w14:paraId="0CF2DE81">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黑体" w:hAnsi="黑体" w:eastAsia="黑体" w:cs="黑体"/>
          <w:b w:val="0"/>
          <w:bCs w:val="0"/>
          <w:kern w:val="0"/>
          <w:sz w:val="32"/>
          <w:szCs w:val="32"/>
          <w:highlight w:val="none"/>
          <w:lang w:val="en-US" w:eastAsia="zh-CN" w:bidi="zh-CN"/>
        </w:rPr>
      </w:pPr>
      <w:r>
        <w:rPr>
          <w:rFonts w:hint="eastAsia" w:ascii="黑体" w:hAnsi="黑体" w:eastAsia="黑体" w:cs="黑体"/>
          <w:b w:val="0"/>
          <w:bCs w:val="0"/>
          <w:kern w:val="0"/>
          <w:sz w:val="32"/>
          <w:szCs w:val="32"/>
          <w:highlight w:val="none"/>
          <w:lang w:val="en-US" w:eastAsia="zh-CN" w:bidi="zh-CN"/>
        </w:rPr>
        <w:t xml:space="preserve">七、付款时间及条件 </w:t>
      </w:r>
    </w:p>
    <w:p w14:paraId="56E7B77A">
      <w:pPr>
        <w:keepNext w:val="0"/>
        <w:keepLines w:val="0"/>
        <w:widowControl/>
        <w:suppressLineNumbers w:val="0"/>
        <w:ind w:firstLine="640" w:firstLineChars="200"/>
        <w:jc w:val="left"/>
        <w:rPr>
          <w:rFonts w:hint="eastAsia" w:ascii="仿宋" w:hAnsi="仿宋" w:eastAsia="仿宋" w:cs="仿宋"/>
          <w:kern w:val="0"/>
          <w:sz w:val="32"/>
          <w:szCs w:val="32"/>
          <w:highlight w:val="none"/>
          <w:u w:val="single"/>
          <w:lang w:val="en-US" w:eastAsia="zh-CN" w:bidi="zh-CN"/>
        </w:rPr>
      </w:pPr>
      <w:r>
        <w:rPr>
          <w:rFonts w:hint="eastAsia" w:ascii="仿宋" w:hAnsi="仿宋" w:eastAsia="仿宋" w:cs="仿宋"/>
          <w:kern w:val="0"/>
          <w:sz w:val="32"/>
          <w:szCs w:val="32"/>
          <w:highlight w:val="none"/>
          <w:lang w:val="en-US" w:eastAsia="zh-CN" w:bidi="zh-CN"/>
        </w:rPr>
        <w:t>（一）付款时间及付款金额：</w:t>
      </w:r>
    </w:p>
    <w:p w14:paraId="2AB3200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kern w:val="0"/>
          <w:sz w:val="32"/>
          <w:szCs w:val="32"/>
          <w:highlight w:val="none"/>
          <w:u w:val="single"/>
          <w:lang w:val="en-US" w:eastAsia="zh-CN" w:bidi="zh-CN"/>
        </w:rPr>
      </w:pPr>
      <w:r>
        <w:rPr>
          <w:rFonts w:hint="eastAsia" w:ascii="仿宋" w:hAnsi="仿宋" w:eastAsia="仿宋" w:cs="仿宋"/>
          <w:sz w:val="32"/>
          <w:szCs w:val="32"/>
          <w:highlight w:val="none"/>
          <w:u w:val="single"/>
          <w:lang w:val="en-US" w:eastAsia="zh-CN"/>
        </w:rPr>
        <w:t>1期：</w:t>
      </w:r>
      <w:r>
        <w:rPr>
          <w:rFonts w:hint="eastAsia" w:ascii="仿宋" w:hAnsi="仿宋" w:eastAsia="仿宋" w:cs="仿宋"/>
          <w:b w:val="0"/>
          <w:bCs w:val="0"/>
          <w:color w:val="auto"/>
          <w:kern w:val="0"/>
          <w:sz w:val="32"/>
          <w:szCs w:val="32"/>
          <w:highlight w:val="none"/>
          <w:u w:val="single"/>
          <w:lang w:bidi="zh-CN"/>
        </w:rPr>
        <w:t>安装调试完成经甲方验收合格后一次性付清全款，达到付款条件起30日， 支付合同总金额的100.00%</w:t>
      </w:r>
      <w:r>
        <w:rPr>
          <w:rFonts w:hint="default" w:ascii="仿宋" w:hAnsi="仿宋" w:eastAsia="仿宋" w:cs="仿宋"/>
          <w:kern w:val="0"/>
          <w:sz w:val="32"/>
          <w:szCs w:val="32"/>
          <w:highlight w:val="none"/>
          <w:u w:val="single"/>
          <w:lang w:val="en-US" w:eastAsia="zh-CN" w:bidi="zh-CN"/>
        </w:rPr>
        <w:t xml:space="preserve"> </w:t>
      </w:r>
    </w:p>
    <w:p w14:paraId="26AB3C3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kern w:val="0"/>
          <w:sz w:val="32"/>
          <w:szCs w:val="32"/>
          <w:highlight w:val="none"/>
          <w:u w:val="single"/>
          <w:lang w:val="en-US" w:eastAsia="zh-CN" w:bidi="zh-CN"/>
        </w:rPr>
      </w:pPr>
      <w:r>
        <w:rPr>
          <w:rFonts w:hint="eastAsia" w:ascii="仿宋" w:hAnsi="仿宋" w:eastAsia="仿宋" w:cs="仿宋"/>
          <w:kern w:val="0"/>
          <w:sz w:val="32"/>
          <w:szCs w:val="32"/>
          <w:highlight w:val="none"/>
          <w:lang w:val="en-US" w:eastAsia="zh-CN" w:bidi="zh-CN"/>
        </w:rPr>
        <w:t>付款条件：</w:t>
      </w:r>
      <w:r>
        <w:rPr>
          <w:rFonts w:hint="eastAsia" w:ascii="仿宋" w:hAnsi="仿宋" w:eastAsia="仿宋" w:cs="仿宋"/>
          <w:sz w:val="32"/>
          <w:szCs w:val="32"/>
          <w:highlight w:val="none"/>
          <w:u w:val="single"/>
          <w:lang w:val="en-US" w:eastAsia="zh-CN"/>
        </w:rPr>
        <w:t>1期：</w:t>
      </w:r>
      <w:r>
        <w:rPr>
          <w:rFonts w:hint="eastAsia" w:ascii="仿宋" w:hAnsi="仿宋" w:eastAsia="仿宋" w:cs="仿宋"/>
          <w:b w:val="0"/>
          <w:bCs w:val="0"/>
          <w:kern w:val="0"/>
          <w:sz w:val="32"/>
          <w:szCs w:val="32"/>
          <w:highlight w:val="none"/>
          <w:u w:val="single"/>
          <w:lang w:bidi="zh-CN"/>
        </w:rPr>
        <w:t>安装调试完成经甲方验收合格后，</w:t>
      </w:r>
      <w:r>
        <w:rPr>
          <w:rFonts w:hint="eastAsia" w:ascii="仿宋" w:hAnsi="仿宋" w:eastAsia="仿宋" w:cs="仿宋"/>
          <w:b w:val="0"/>
          <w:bCs w:val="0"/>
          <w:kern w:val="0"/>
          <w:sz w:val="32"/>
          <w:szCs w:val="32"/>
          <w:highlight w:val="none"/>
          <w:u w:val="single"/>
          <w:lang w:val="en-US" w:bidi="zh-CN"/>
        </w:rPr>
        <w:t>由乙方开具合同金额的增值税普通发票。</w:t>
      </w:r>
      <w:r>
        <w:rPr>
          <w:rFonts w:hint="eastAsia" w:ascii="仿宋" w:hAnsi="仿宋" w:eastAsia="仿宋" w:cs="仿宋"/>
          <w:b w:val="0"/>
          <w:bCs w:val="0"/>
          <w:kern w:val="0"/>
          <w:sz w:val="32"/>
          <w:szCs w:val="32"/>
          <w:highlight w:val="none"/>
          <w:u w:val="single"/>
          <w:lang w:bidi="zh-CN"/>
        </w:rPr>
        <w:t>一次性付清全款，达到付款条件起30日，支付合同总金额的100.00%。</w:t>
      </w:r>
      <w:r>
        <w:rPr>
          <w:rFonts w:hint="default" w:ascii="仿宋" w:hAnsi="仿宋" w:eastAsia="仿宋" w:cs="仿宋"/>
          <w:kern w:val="0"/>
          <w:sz w:val="32"/>
          <w:szCs w:val="32"/>
          <w:highlight w:val="none"/>
          <w:u w:val="single"/>
          <w:lang w:val="en-US" w:eastAsia="zh-CN" w:bidi="zh-CN"/>
        </w:rPr>
        <w:t xml:space="preserve"> </w:t>
      </w:r>
    </w:p>
    <w:p w14:paraId="59317DFB">
      <w:pPr>
        <w:keepNext w:val="0"/>
        <w:keepLines w:val="0"/>
        <w:widowControl/>
        <w:numPr>
          <w:ilvl w:val="0"/>
          <w:numId w:val="0"/>
        </w:numPr>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（三）</w:t>
      </w:r>
      <w:r>
        <w:rPr>
          <w:rFonts w:ascii="仿宋" w:hAnsi="仿宋" w:eastAsia="仿宋" w:cs="仿宋"/>
          <w:b w:val="0"/>
          <w:bCs w:val="0"/>
          <w:color w:val="000000"/>
          <w:sz w:val="31"/>
          <w:szCs w:val="31"/>
        </w:rPr>
        <w:t>乙</w:t>
      </w:r>
      <w:r>
        <w:rPr>
          <w:rFonts w:hint="eastAsia" w:ascii="仿宋" w:hAnsi="仿宋" w:eastAsia="仿宋" w:cs="仿宋"/>
          <w:kern w:val="0"/>
          <w:sz w:val="32"/>
          <w:szCs w:val="32"/>
          <w:highlight w:val="none"/>
          <w:lang w:val="en-US" w:eastAsia="zh-CN" w:bidi="zh-CN"/>
        </w:rPr>
        <w:t xml:space="preserve">方指定收款的银行账户信息如下： </w:t>
      </w:r>
    </w:p>
    <w:p w14:paraId="50A69AF3">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乙方名称：</w:t>
      </w:r>
      <w:r>
        <w:rPr>
          <w:rFonts w:hint="eastAsia" w:ascii="仿宋" w:hAnsi="仿宋" w:eastAsia="仿宋" w:cs="仿宋"/>
          <w:kern w:val="0"/>
          <w:sz w:val="32"/>
          <w:szCs w:val="32"/>
          <w:highlight w:val="none"/>
          <w:u w:val="single"/>
          <w:lang w:val="en-US" w:eastAsia="zh-CN" w:bidi="zh-CN"/>
        </w:rPr>
        <w:t xml:space="preserve"> </w:t>
      </w:r>
      <w:r>
        <w:rPr>
          <w:rFonts w:hint="eastAsia" w:ascii="仿宋" w:hAnsi="仿宋" w:eastAsia="仿宋" w:cs="仿宋"/>
          <w:sz w:val="32"/>
          <w:szCs w:val="32"/>
          <w:highlight w:val="none"/>
          <w:u w:val="single"/>
          <w:lang w:val="en-US" w:eastAsia="zh-CN"/>
        </w:rPr>
        <w:t>鄂尔多斯市数字经济发展投资有限责任公司</w:t>
      </w:r>
      <w:r>
        <w:rPr>
          <w:rFonts w:hint="eastAsia" w:ascii="仿宋" w:hAnsi="仿宋" w:eastAsia="仿宋" w:cs="仿宋"/>
          <w:kern w:val="0"/>
          <w:sz w:val="32"/>
          <w:szCs w:val="32"/>
          <w:highlight w:val="none"/>
          <w:lang w:val="en-US" w:eastAsia="zh-CN" w:bidi="zh-CN"/>
        </w:rPr>
        <w:t xml:space="preserve">_ </w:t>
      </w:r>
    </w:p>
    <w:p w14:paraId="2625F4D0">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开户银行：</w:t>
      </w:r>
      <w:r>
        <w:rPr>
          <w:rFonts w:hint="eastAsia" w:ascii="仿宋" w:hAnsi="仿宋" w:eastAsia="仿宋" w:cs="仿宋"/>
          <w:kern w:val="0"/>
          <w:sz w:val="32"/>
          <w:szCs w:val="32"/>
          <w:highlight w:val="none"/>
          <w:u w:val="single"/>
          <w:lang w:val="en-US" w:eastAsia="zh-CN" w:bidi="zh-CN"/>
        </w:rPr>
        <w:t xml:space="preserve"> </w:t>
      </w:r>
      <w:r>
        <w:rPr>
          <w:rFonts w:hint="eastAsia" w:ascii="仿宋" w:hAnsi="仿宋" w:eastAsia="仿宋" w:cs="仿宋"/>
          <w:sz w:val="32"/>
          <w:szCs w:val="32"/>
          <w:highlight w:val="none"/>
          <w:u w:val="single"/>
          <w:lang w:val="en-US" w:eastAsia="zh-CN"/>
        </w:rPr>
        <w:t>鄂尔多斯农村商业银行股份有限公司长青支行</w:t>
      </w:r>
      <w:r>
        <w:rPr>
          <w:rFonts w:hint="default" w:ascii="仿宋" w:hAnsi="仿宋" w:eastAsia="仿宋" w:cs="仿宋"/>
          <w:kern w:val="0"/>
          <w:sz w:val="32"/>
          <w:szCs w:val="32"/>
          <w:highlight w:val="none"/>
          <w:u w:val="single"/>
          <w:lang w:val="en-US" w:eastAsia="zh-CN" w:bidi="zh-CN"/>
        </w:rPr>
        <w:t xml:space="preserve"> </w:t>
      </w:r>
    </w:p>
    <w:p w14:paraId="6763D48A">
      <w:pPr>
        <w:keepNext w:val="0"/>
        <w:keepLines w:val="0"/>
        <w:widowControl/>
        <w:suppressLineNumbers w:val="0"/>
        <w:ind w:firstLine="640" w:firstLineChars="200"/>
        <w:jc w:val="left"/>
        <w:rPr>
          <w:rFonts w:hint="default" w:ascii="仿宋" w:hAnsi="仿宋" w:eastAsia="仿宋" w:cs="仿宋"/>
          <w:kern w:val="0"/>
          <w:sz w:val="32"/>
          <w:szCs w:val="32"/>
          <w:highlight w:val="none"/>
          <w:u w:val="single"/>
          <w:lang w:val="en-US" w:eastAsia="zh-CN" w:bidi="zh-CN"/>
        </w:rPr>
      </w:pPr>
      <w:r>
        <w:rPr>
          <w:rFonts w:hint="eastAsia" w:ascii="仿宋" w:hAnsi="仿宋" w:eastAsia="仿宋" w:cs="仿宋"/>
          <w:kern w:val="0"/>
          <w:sz w:val="32"/>
          <w:szCs w:val="32"/>
          <w:highlight w:val="none"/>
          <w:lang w:val="en-US" w:eastAsia="zh-CN" w:bidi="zh-CN"/>
        </w:rPr>
        <w:t>银行账号：</w:t>
      </w:r>
      <w:r>
        <w:rPr>
          <w:rFonts w:hint="eastAsia" w:ascii="仿宋" w:hAnsi="仿宋" w:eastAsia="仿宋" w:cs="仿宋"/>
          <w:kern w:val="0"/>
          <w:sz w:val="32"/>
          <w:szCs w:val="32"/>
          <w:highlight w:val="none"/>
          <w:u w:val="single"/>
          <w:lang w:val="en-US" w:eastAsia="zh-CN" w:bidi="zh-CN"/>
        </w:rPr>
        <w:t xml:space="preserve"> </w:t>
      </w:r>
      <w:r>
        <w:rPr>
          <w:rFonts w:hint="eastAsia" w:ascii="仿宋" w:hAnsi="仿宋" w:eastAsia="仿宋" w:cs="仿宋"/>
          <w:sz w:val="32"/>
          <w:szCs w:val="32"/>
          <w:highlight w:val="none"/>
          <w:u w:val="single"/>
          <w:lang w:val="en-US" w:eastAsia="zh-CN"/>
        </w:rPr>
        <w:t>7501501220000000025208</w:t>
      </w:r>
      <w:r>
        <w:rPr>
          <w:rFonts w:hint="default" w:ascii="仿宋" w:hAnsi="仿宋" w:eastAsia="仿宋" w:cs="仿宋"/>
          <w:kern w:val="0"/>
          <w:sz w:val="32"/>
          <w:szCs w:val="32"/>
          <w:highlight w:val="none"/>
          <w:u w:val="single"/>
          <w:lang w:val="en-US" w:eastAsia="zh-CN" w:bidi="zh-CN"/>
        </w:rPr>
        <w:t xml:space="preserve"> </w:t>
      </w:r>
    </w:p>
    <w:p w14:paraId="40B6E899">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default" w:ascii="仿宋" w:hAnsi="仿宋" w:eastAsia="仿宋" w:cs="仿宋"/>
          <w:kern w:val="0"/>
          <w:sz w:val="32"/>
          <w:szCs w:val="32"/>
          <w:highlight w:val="none"/>
          <w:lang w:val="en-US" w:eastAsia="en-US" w:bidi="zh-CN"/>
        </w:rPr>
        <w:t>前述账户信息已经乙方核实确认，如若变更前述账户信息乙方须在变更后3日内书面通知甲方，未通知或未及时通知导致甲方按照前述账户信息付款的，甲方不承担任何责任。</w:t>
      </w:r>
    </w:p>
    <w:p w14:paraId="2F9BC693">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黑体" w:hAnsi="黑体" w:eastAsia="黑体" w:cs="黑体"/>
          <w:b w:val="0"/>
          <w:bCs w:val="0"/>
          <w:kern w:val="0"/>
          <w:sz w:val="32"/>
          <w:szCs w:val="32"/>
          <w:highlight w:val="none"/>
          <w:lang w:val="en-US" w:eastAsia="zh-CN" w:bidi="zh-CN"/>
        </w:rPr>
      </w:pPr>
      <w:r>
        <w:rPr>
          <w:rFonts w:hint="eastAsia" w:ascii="黑体" w:hAnsi="黑体" w:eastAsia="黑体" w:cs="黑体"/>
          <w:b w:val="0"/>
          <w:bCs w:val="0"/>
          <w:kern w:val="0"/>
          <w:sz w:val="32"/>
          <w:szCs w:val="32"/>
          <w:highlight w:val="none"/>
          <w:lang w:val="en-US" w:eastAsia="zh-CN" w:bidi="zh-CN"/>
        </w:rPr>
        <w:t xml:space="preserve">八、知识产权 </w:t>
      </w:r>
    </w:p>
    <w:p w14:paraId="3273B7C3">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 xml:space="preserve">乙方应保证其提供的服务及服务成果的全部及部分，均不存在侵犯第三方知识产权的情形，其服务成果的所有权由甲方享有。否则，乙方应向甲方支付合同总金额20%的违约金，违约金不足以弥补甲方损失的，乙方仍需对损失部分承担赔偿责任（包括但不限于赔偿金、补偿金、律师费、保全费、公告费、诉讼费、交通费等相关费用）。 </w:t>
      </w:r>
    </w:p>
    <w:p w14:paraId="3B0139ED">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黑体" w:hAnsi="黑体" w:eastAsia="黑体" w:cs="黑体"/>
          <w:b w:val="0"/>
          <w:bCs w:val="0"/>
          <w:kern w:val="0"/>
          <w:sz w:val="32"/>
          <w:szCs w:val="32"/>
          <w:highlight w:val="none"/>
          <w:lang w:val="en-US" w:eastAsia="zh-CN" w:bidi="zh-CN"/>
        </w:rPr>
      </w:pPr>
      <w:r>
        <w:rPr>
          <w:rFonts w:hint="eastAsia" w:ascii="黑体" w:hAnsi="黑体" w:eastAsia="黑体" w:cs="黑体"/>
          <w:b w:val="0"/>
          <w:bCs w:val="0"/>
          <w:kern w:val="0"/>
          <w:sz w:val="32"/>
          <w:szCs w:val="32"/>
          <w:highlight w:val="none"/>
          <w:lang w:val="en-US" w:eastAsia="zh-CN" w:bidi="zh-CN"/>
        </w:rPr>
        <w:t xml:space="preserve">九、违约条款 </w:t>
      </w:r>
    </w:p>
    <w:p w14:paraId="53545520">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（一）甲方没有正当理由逾期支付合同款项的，每延期一日，甲方应按照逾期支付金额的</w:t>
      </w:r>
      <w:r>
        <w:rPr>
          <w:rFonts w:hint="eastAsia" w:ascii="仿宋" w:hAnsi="仿宋" w:eastAsia="仿宋" w:cs="仿宋"/>
          <w:kern w:val="0"/>
          <w:sz w:val="32"/>
          <w:szCs w:val="32"/>
          <w:highlight w:val="none"/>
          <w:u w:val="single"/>
          <w:lang w:val="en-US" w:eastAsia="zh-CN" w:bidi="zh-CN"/>
        </w:rPr>
        <w:t xml:space="preserve"> 0.0001%</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kern w:val="0"/>
          <w:sz w:val="32"/>
          <w:szCs w:val="32"/>
          <w:highlight w:val="none"/>
          <w:lang w:val="en-US" w:eastAsia="zh-CN" w:bidi="zh-CN"/>
        </w:rPr>
        <w:t>承担违约责任</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本条款支付违约金金额不超过合同总额1%的违约金</w:t>
      </w:r>
      <w:r>
        <w:rPr>
          <w:rFonts w:hint="eastAsia" w:ascii="仿宋" w:hAnsi="仿宋" w:eastAsia="仿宋" w:cs="仿宋"/>
          <w:kern w:val="0"/>
          <w:sz w:val="32"/>
          <w:szCs w:val="32"/>
          <w:highlight w:val="none"/>
          <w:lang w:val="en-US" w:eastAsia="zh-CN" w:bidi="zh-CN"/>
        </w:rPr>
        <w:t>。延期达到</w:t>
      </w:r>
      <w:r>
        <w:rPr>
          <w:rFonts w:hint="eastAsia" w:ascii="仿宋" w:hAnsi="仿宋" w:eastAsia="仿宋" w:cs="仿宋"/>
          <w:kern w:val="0"/>
          <w:sz w:val="32"/>
          <w:szCs w:val="32"/>
          <w:highlight w:val="none"/>
          <w:u w:val="single"/>
          <w:lang w:val="en-US" w:eastAsia="zh-CN" w:bidi="zh-CN"/>
        </w:rPr>
        <w:t xml:space="preserve"> 120 </w:t>
      </w:r>
      <w:r>
        <w:rPr>
          <w:rFonts w:hint="eastAsia" w:ascii="仿宋" w:hAnsi="仿宋" w:eastAsia="仿宋" w:cs="仿宋"/>
          <w:kern w:val="0"/>
          <w:sz w:val="32"/>
          <w:szCs w:val="32"/>
          <w:highlight w:val="none"/>
          <w:lang w:val="en-US" w:eastAsia="zh-CN" w:bidi="zh-CN"/>
        </w:rPr>
        <w:t xml:space="preserve">日，乙方有权解除合同，并要求甲方赔偿由此造成的经济损失。 </w:t>
      </w:r>
    </w:p>
    <w:p w14:paraId="72F11275">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（二）乙方逾期提供服务成果的，每延期一日，乙方应按照合同总金额的</w:t>
      </w:r>
      <w:r>
        <w:rPr>
          <w:rFonts w:hint="eastAsia" w:ascii="仿宋" w:hAnsi="仿宋" w:eastAsia="仿宋" w:cs="仿宋"/>
          <w:kern w:val="0"/>
          <w:sz w:val="32"/>
          <w:szCs w:val="32"/>
          <w:highlight w:val="none"/>
          <w:u w:val="single"/>
          <w:lang w:val="en-US" w:eastAsia="zh-CN" w:bidi="zh-CN"/>
        </w:rPr>
        <w:t xml:space="preserve"> 0.0001%</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kern w:val="0"/>
          <w:sz w:val="32"/>
          <w:szCs w:val="32"/>
          <w:highlight w:val="none"/>
          <w:lang w:val="en-US" w:eastAsia="zh-CN" w:bidi="zh-CN"/>
        </w:rPr>
        <w:t>承担违约责任</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本条款支付违约金金额不超过合同总额1%的违约金</w:t>
      </w:r>
      <w:r>
        <w:rPr>
          <w:rFonts w:hint="eastAsia" w:ascii="仿宋" w:hAnsi="仿宋" w:eastAsia="仿宋" w:cs="仿宋"/>
          <w:kern w:val="0"/>
          <w:sz w:val="32"/>
          <w:szCs w:val="32"/>
          <w:highlight w:val="none"/>
          <w:lang w:val="en-US" w:eastAsia="zh-CN" w:bidi="zh-CN"/>
        </w:rPr>
        <w:t>。延期达到</w:t>
      </w:r>
      <w:r>
        <w:rPr>
          <w:rFonts w:hint="eastAsia" w:ascii="仿宋" w:hAnsi="仿宋" w:eastAsia="仿宋" w:cs="仿宋"/>
          <w:kern w:val="0"/>
          <w:sz w:val="32"/>
          <w:szCs w:val="32"/>
          <w:highlight w:val="none"/>
          <w:u w:val="single"/>
          <w:lang w:val="en-US" w:eastAsia="zh-CN" w:bidi="zh-CN"/>
        </w:rPr>
        <w:t xml:space="preserve"> 120 </w:t>
      </w:r>
      <w:r>
        <w:rPr>
          <w:rFonts w:hint="eastAsia" w:ascii="仿宋" w:hAnsi="仿宋" w:eastAsia="仿宋" w:cs="仿宋"/>
          <w:kern w:val="0"/>
          <w:sz w:val="32"/>
          <w:szCs w:val="32"/>
          <w:highlight w:val="none"/>
          <w:lang w:val="en-US" w:eastAsia="zh-CN" w:bidi="zh-CN"/>
        </w:rPr>
        <w:t xml:space="preserve">日，甲方有权单方解除合同，拒付延期部分的相应服务款项，并要求乙方赔偿甲方的经济损失。 </w:t>
      </w:r>
    </w:p>
    <w:p w14:paraId="31F2F4F0">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（三）乙方交付的服务不符合质量要求，或其服务成果存在侵权行为的，甲方有权单方解除合同，并要求乙方支付合同总金额</w:t>
      </w:r>
      <w:r>
        <w:rPr>
          <w:rFonts w:hint="eastAsia" w:ascii="仿宋" w:hAnsi="仿宋" w:eastAsia="仿宋" w:cs="仿宋"/>
          <w:kern w:val="0"/>
          <w:sz w:val="32"/>
          <w:szCs w:val="32"/>
          <w:highlight w:val="none"/>
          <w:u w:val="single"/>
          <w:lang w:val="en-US" w:eastAsia="zh-CN" w:bidi="zh-CN"/>
        </w:rPr>
        <w:t xml:space="preserve"> 20 </w:t>
      </w:r>
      <w:r>
        <w:rPr>
          <w:rFonts w:hint="default" w:ascii="仿宋" w:hAnsi="仿宋" w:eastAsia="仿宋" w:cs="仿宋"/>
          <w:kern w:val="0"/>
          <w:sz w:val="32"/>
          <w:szCs w:val="32"/>
          <w:highlight w:val="none"/>
          <w:lang w:val="en-US" w:eastAsia="zh-CN" w:bidi="zh-CN"/>
        </w:rPr>
        <w:t>%</w:t>
      </w:r>
      <w:r>
        <w:rPr>
          <w:rFonts w:hint="eastAsia" w:ascii="仿宋" w:hAnsi="仿宋" w:eastAsia="仿宋" w:cs="仿宋"/>
          <w:kern w:val="0"/>
          <w:sz w:val="32"/>
          <w:szCs w:val="32"/>
          <w:highlight w:val="none"/>
          <w:lang w:val="en-US" w:eastAsia="zh-CN" w:bidi="zh-CN"/>
        </w:rPr>
        <w:t xml:space="preserve">的违约金，违约金不足以赔偿甲方损失的，甲方有权要求乙方赔偿经济损失。 </w:t>
      </w:r>
    </w:p>
    <w:p w14:paraId="3FF00DCD">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（四）乙方在参与本项目采购活动过程中，如存在提供虚假承诺、证明、串通投标等违法违规行为，除承担相应的行政责任外，甲方有权单方解除合同，并要求乙方承担合同总金额</w:t>
      </w:r>
      <w:r>
        <w:rPr>
          <w:rFonts w:hint="eastAsia" w:ascii="仿宋" w:hAnsi="仿宋" w:eastAsia="仿宋" w:cs="仿宋"/>
          <w:kern w:val="0"/>
          <w:sz w:val="32"/>
          <w:szCs w:val="32"/>
          <w:highlight w:val="none"/>
          <w:u w:val="single"/>
          <w:lang w:val="en-US" w:eastAsia="zh-CN" w:bidi="zh-CN"/>
        </w:rPr>
        <w:t xml:space="preserve"> 3 </w:t>
      </w:r>
      <w:r>
        <w:rPr>
          <w:rFonts w:hint="default" w:ascii="仿宋" w:hAnsi="仿宋" w:eastAsia="仿宋" w:cs="仿宋"/>
          <w:kern w:val="0"/>
          <w:sz w:val="32"/>
          <w:szCs w:val="32"/>
          <w:highlight w:val="none"/>
          <w:lang w:val="en-US" w:eastAsia="zh-CN" w:bidi="zh-CN"/>
        </w:rPr>
        <w:t>%</w:t>
      </w:r>
      <w:r>
        <w:rPr>
          <w:rFonts w:hint="eastAsia" w:ascii="仿宋" w:hAnsi="仿宋" w:eastAsia="仿宋" w:cs="仿宋"/>
          <w:kern w:val="0"/>
          <w:sz w:val="32"/>
          <w:szCs w:val="32"/>
          <w:highlight w:val="none"/>
          <w:lang w:val="en-US" w:eastAsia="zh-CN" w:bidi="zh-CN"/>
        </w:rPr>
        <w:t xml:space="preserve">的违约金，违约金不足以赔偿甲方损失的，甲方有权要求乙方赔偿经济损失。 </w:t>
      </w:r>
    </w:p>
    <w:p w14:paraId="71C694C9">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 xml:space="preserve">（五）乙方存在其他违反本合同的行为，应承担合同总价款20%的违约金；违约金不足以赔偿甲方损失的，甲方有权要求乙方赔偿经济损失。 </w:t>
      </w:r>
    </w:p>
    <w:p w14:paraId="113A427F">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（六）合同生效后，乙方要求终止或解除合同的，应免 收全部费用，并按本合同总价款的 20%向甲方支付违约金。</w:t>
      </w:r>
    </w:p>
    <w:p w14:paraId="23966B24">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（七）乙方按本合同约定应支付给甲方的违约金、损失 及上述各项费用，甲方均有权直接在未付费用中予以扣除。</w:t>
      </w:r>
    </w:p>
    <w:p w14:paraId="094644E6">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（八）乙方向甲方承担责任时，乙方须承担包括但不限于赔偿金、补偿金、律师费、保全费、公告费、诉讼费、交通费等相关费用。</w:t>
      </w:r>
    </w:p>
    <w:p w14:paraId="135F6BD5">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黑体" w:hAnsi="黑体" w:eastAsia="黑体" w:cs="黑体"/>
          <w:b w:val="0"/>
          <w:bCs w:val="0"/>
          <w:kern w:val="0"/>
          <w:sz w:val="32"/>
          <w:szCs w:val="32"/>
          <w:highlight w:val="none"/>
          <w:lang w:val="en-US" w:eastAsia="zh-CN" w:bidi="zh-CN"/>
        </w:rPr>
      </w:pPr>
      <w:r>
        <w:rPr>
          <w:rFonts w:hint="eastAsia" w:ascii="黑体" w:hAnsi="黑体" w:eastAsia="黑体" w:cs="黑体"/>
          <w:b w:val="0"/>
          <w:bCs w:val="0"/>
          <w:kern w:val="0"/>
          <w:sz w:val="32"/>
          <w:szCs w:val="32"/>
          <w:highlight w:val="none"/>
          <w:lang w:val="en-US" w:eastAsia="zh-CN" w:bidi="zh-CN"/>
        </w:rPr>
        <w:t xml:space="preserve">十、不可抗力 </w:t>
      </w:r>
    </w:p>
    <w:p w14:paraId="0C945B89">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因不可抗力致使一方不能及时或完全履行合同的，应及时通知另一方，双方互不承担责任，并在不可抗力结束后</w:t>
      </w:r>
      <w:r>
        <w:rPr>
          <w:rFonts w:hint="eastAsia" w:ascii="仿宋" w:hAnsi="仿宋" w:eastAsia="仿宋" w:cs="仿宋"/>
          <w:kern w:val="0"/>
          <w:sz w:val="32"/>
          <w:szCs w:val="32"/>
          <w:highlight w:val="none"/>
          <w:u w:val="single"/>
          <w:lang w:val="en-US" w:eastAsia="zh-CN" w:bidi="zh-CN"/>
        </w:rPr>
        <w:t xml:space="preserve"> 30 </w:t>
      </w:r>
      <w:r>
        <w:rPr>
          <w:rFonts w:hint="eastAsia" w:ascii="仿宋" w:hAnsi="仿宋" w:eastAsia="仿宋" w:cs="仿宋"/>
          <w:kern w:val="0"/>
          <w:sz w:val="32"/>
          <w:szCs w:val="32"/>
          <w:highlight w:val="none"/>
          <w:lang w:val="en-US" w:eastAsia="zh-CN" w:bidi="zh-CN"/>
        </w:rPr>
        <w:t xml:space="preserve">天内提供有关不可抗力的相关证明。合同未履行部分是否继续履行、如何履行等问题，由双方协商解决。 </w:t>
      </w:r>
    </w:p>
    <w:p w14:paraId="356D0CFD">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黑体" w:hAnsi="黑体" w:eastAsia="黑体" w:cs="黑体"/>
          <w:b w:val="0"/>
          <w:bCs w:val="0"/>
          <w:kern w:val="0"/>
          <w:sz w:val="32"/>
          <w:szCs w:val="32"/>
          <w:highlight w:val="none"/>
          <w:lang w:val="en-US" w:eastAsia="zh-CN" w:bidi="zh-CN"/>
        </w:rPr>
      </w:pPr>
      <w:r>
        <w:rPr>
          <w:rFonts w:hint="eastAsia" w:ascii="黑体" w:hAnsi="黑体" w:eastAsia="黑体" w:cs="黑体"/>
          <w:b w:val="0"/>
          <w:bCs w:val="0"/>
          <w:kern w:val="0"/>
          <w:sz w:val="32"/>
          <w:szCs w:val="32"/>
          <w:highlight w:val="none"/>
          <w:lang w:val="en-US" w:eastAsia="zh-CN" w:bidi="zh-CN"/>
        </w:rPr>
        <w:t xml:space="preserve">十一、争议的解决方式 </w:t>
      </w:r>
    </w:p>
    <w:p w14:paraId="4286D7BE">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 xml:space="preserve">合同发生纠纷时，双方应协商解决，协商不成，可以向 康巴什人民法院起诉解决。 </w:t>
      </w:r>
    </w:p>
    <w:p w14:paraId="6C5737AD">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黑体" w:hAnsi="黑体" w:eastAsia="黑体" w:cs="黑体"/>
          <w:b w:val="0"/>
          <w:bCs w:val="0"/>
          <w:kern w:val="0"/>
          <w:sz w:val="32"/>
          <w:szCs w:val="32"/>
          <w:highlight w:val="none"/>
          <w:lang w:val="en-US" w:eastAsia="zh-CN" w:bidi="zh-CN"/>
        </w:rPr>
      </w:pPr>
      <w:r>
        <w:rPr>
          <w:rFonts w:hint="eastAsia" w:ascii="黑体" w:hAnsi="黑体" w:eastAsia="黑体" w:cs="黑体"/>
          <w:b w:val="0"/>
          <w:bCs w:val="0"/>
          <w:kern w:val="0"/>
          <w:sz w:val="32"/>
          <w:szCs w:val="32"/>
          <w:highlight w:val="none"/>
          <w:lang w:val="en-US" w:eastAsia="zh-CN" w:bidi="zh-CN"/>
        </w:rPr>
        <w:t xml:space="preserve">十二、合同保存 </w:t>
      </w:r>
    </w:p>
    <w:p w14:paraId="6213961C">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合同文本一式</w:t>
      </w:r>
      <w:r>
        <w:rPr>
          <w:rFonts w:hint="eastAsia" w:ascii="仿宋" w:hAnsi="仿宋" w:eastAsia="仿宋"/>
          <w:color w:val="auto"/>
          <w:sz w:val="32"/>
          <w:szCs w:val="32"/>
          <w:lang w:val="en-US" w:bidi="zh-TW"/>
        </w:rPr>
        <w:t>（</w:t>
      </w:r>
      <w:r>
        <w:rPr>
          <w:rFonts w:hint="eastAsia" w:ascii="仿宋" w:hAnsi="仿宋" w:eastAsia="仿宋"/>
          <w:b/>
          <w:color w:val="auto"/>
          <w:sz w:val="32"/>
          <w:szCs w:val="32"/>
          <w:lang w:val="en-US" w:eastAsia="zh-CN" w:bidi="zh-TW"/>
        </w:rPr>
        <w:t>陆</w:t>
      </w:r>
      <w:r>
        <w:rPr>
          <w:rFonts w:hint="eastAsia" w:ascii="仿宋" w:hAnsi="仿宋" w:eastAsia="仿宋"/>
          <w:color w:val="auto"/>
          <w:sz w:val="32"/>
          <w:szCs w:val="32"/>
          <w:lang w:val="en-US" w:bidi="zh-TW"/>
        </w:rPr>
        <w:t>）</w:t>
      </w:r>
      <w:r>
        <w:rPr>
          <w:rFonts w:hint="eastAsia" w:ascii="仿宋" w:hAnsi="仿宋" w:eastAsia="仿宋" w:cs="仿宋"/>
          <w:kern w:val="0"/>
          <w:sz w:val="32"/>
          <w:szCs w:val="32"/>
          <w:highlight w:val="none"/>
          <w:lang w:val="en-US" w:eastAsia="zh-CN" w:bidi="zh-CN"/>
        </w:rPr>
        <w:t>份，采购单位、中标（成交）投标人、采购代理机构各执</w:t>
      </w:r>
      <w:r>
        <w:rPr>
          <w:rFonts w:hint="eastAsia" w:ascii="仿宋" w:hAnsi="仿宋" w:eastAsia="仿宋"/>
          <w:color w:val="auto"/>
          <w:sz w:val="32"/>
          <w:szCs w:val="32"/>
          <w:lang w:val="en-US" w:bidi="zh-TW"/>
        </w:rPr>
        <w:t>贰</w:t>
      </w:r>
      <w:r>
        <w:rPr>
          <w:rFonts w:hint="eastAsia" w:ascii="仿宋" w:hAnsi="仿宋" w:eastAsia="仿宋" w:cs="仿宋"/>
          <w:kern w:val="0"/>
          <w:sz w:val="32"/>
          <w:szCs w:val="32"/>
          <w:highlight w:val="none"/>
          <w:lang w:val="en-US" w:eastAsia="zh-CN" w:bidi="zh-CN"/>
        </w:rPr>
        <w:t xml:space="preserve">份。合同文本保存期限为从采购结束之日起至少保存十五年。 </w:t>
      </w:r>
    </w:p>
    <w:p w14:paraId="0B757F3C">
      <w:pPr>
        <w:keepNext w:val="0"/>
        <w:keepLines w:val="0"/>
        <w:pageBreakBefore w:val="0"/>
        <w:widowControl w:val="0"/>
        <w:wordWrap/>
        <w:overflowPunct/>
        <w:topLinePunct w:val="0"/>
        <w:autoSpaceDE w:val="0"/>
        <w:autoSpaceDN w:val="0"/>
        <w:bidi w:val="0"/>
        <w:spacing w:before="0" w:after="0" w:line="600" w:lineRule="exact"/>
        <w:ind w:left="0" w:right="0" w:firstLine="640" w:firstLineChars="200"/>
        <w:jc w:val="left"/>
        <w:rPr>
          <w:rFonts w:hint="eastAsia" w:ascii="黑体" w:hAnsi="黑体" w:eastAsia="黑体" w:cs="黑体"/>
          <w:b w:val="0"/>
          <w:bCs w:val="0"/>
          <w:kern w:val="0"/>
          <w:sz w:val="32"/>
          <w:szCs w:val="32"/>
          <w:highlight w:val="none"/>
          <w:lang w:val="en-US" w:eastAsia="zh-CN" w:bidi="zh-CN"/>
        </w:rPr>
      </w:pPr>
      <w:r>
        <w:rPr>
          <w:rFonts w:hint="eastAsia" w:ascii="黑体" w:hAnsi="黑体" w:eastAsia="黑体" w:cs="黑体"/>
          <w:b w:val="0"/>
          <w:bCs w:val="0"/>
          <w:kern w:val="0"/>
          <w:sz w:val="32"/>
          <w:szCs w:val="32"/>
          <w:highlight w:val="none"/>
          <w:lang w:val="en-US" w:eastAsia="zh-CN" w:bidi="zh-CN"/>
        </w:rPr>
        <w:t xml:space="preserve">十三、合同附件 </w:t>
      </w:r>
    </w:p>
    <w:p w14:paraId="4D5D8813">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eastAsia" w:ascii="仿宋" w:hAnsi="仿宋" w:eastAsia="仿宋" w:cs="仿宋"/>
          <w:kern w:val="0"/>
          <w:sz w:val="32"/>
          <w:szCs w:val="32"/>
          <w:highlight w:val="none"/>
          <w:lang w:val="en-US" w:eastAsia="zh-CN" w:bidi="zh-CN"/>
        </w:rPr>
        <w:t xml:space="preserve">本合同所附下列文件是构成本合同不可分割的部分，与本合同具有同等法律效力： </w:t>
      </w:r>
    </w:p>
    <w:p w14:paraId="57CE65FA">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default" w:ascii="仿宋" w:hAnsi="仿宋" w:eastAsia="仿宋" w:cs="仿宋"/>
          <w:kern w:val="0"/>
          <w:sz w:val="32"/>
          <w:szCs w:val="32"/>
          <w:highlight w:val="none"/>
          <w:lang w:val="en-US" w:eastAsia="zh-CN" w:bidi="zh-CN"/>
        </w:rPr>
        <w:t>1</w:t>
      </w:r>
      <w:r>
        <w:rPr>
          <w:rFonts w:hint="eastAsia" w:ascii="仿宋" w:hAnsi="仿宋" w:eastAsia="仿宋" w:cs="仿宋"/>
          <w:kern w:val="0"/>
          <w:sz w:val="32"/>
          <w:szCs w:val="32"/>
          <w:highlight w:val="none"/>
          <w:lang w:val="en-US" w:eastAsia="zh-CN" w:bidi="zh-CN"/>
        </w:rPr>
        <w:t xml:space="preserve">、服务清单（双方应盖章确认） </w:t>
      </w:r>
    </w:p>
    <w:p w14:paraId="4BCB936D">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default" w:ascii="仿宋" w:hAnsi="仿宋" w:eastAsia="仿宋" w:cs="仿宋"/>
          <w:kern w:val="0"/>
          <w:sz w:val="32"/>
          <w:szCs w:val="32"/>
          <w:highlight w:val="none"/>
          <w:lang w:val="en-US" w:eastAsia="zh-CN" w:bidi="zh-CN"/>
        </w:rPr>
        <w:t>2</w:t>
      </w:r>
      <w:r>
        <w:rPr>
          <w:rFonts w:hint="eastAsia" w:ascii="仿宋" w:hAnsi="仿宋" w:eastAsia="仿宋" w:cs="仿宋"/>
          <w:kern w:val="0"/>
          <w:sz w:val="32"/>
          <w:szCs w:val="32"/>
          <w:highlight w:val="none"/>
          <w:lang w:val="en-US" w:eastAsia="zh-CN" w:bidi="zh-CN"/>
        </w:rPr>
        <w:t xml:space="preserve">、乙方出具的报价单（函） </w:t>
      </w:r>
    </w:p>
    <w:p w14:paraId="2E30C2ED">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default" w:ascii="仿宋" w:hAnsi="仿宋" w:eastAsia="仿宋" w:cs="仿宋"/>
          <w:kern w:val="0"/>
          <w:sz w:val="32"/>
          <w:szCs w:val="32"/>
          <w:highlight w:val="none"/>
          <w:lang w:val="en-US" w:eastAsia="zh-CN" w:bidi="zh-CN"/>
        </w:rPr>
        <w:t>3</w:t>
      </w:r>
      <w:r>
        <w:rPr>
          <w:rFonts w:hint="eastAsia" w:ascii="仿宋" w:hAnsi="仿宋" w:eastAsia="仿宋" w:cs="仿宋"/>
          <w:kern w:val="0"/>
          <w:sz w:val="32"/>
          <w:szCs w:val="32"/>
          <w:highlight w:val="none"/>
          <w:lang w:val="en-US" w:eastAsia="zh-CN" w:bidi="zh-CN"/>
        </w:rPr>
        <w:t xml:space="preserve">、中标（成交）结果公告及中标（成交）通知书 </w:t>
      </w:r>
    </w:p>
    <w:p w14:paraId="0C4B41EE">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default" w:ascii="仿宋" w:hAnsi="仿宋" w:eastAsia="仿宋" w:cs="仿宋"/>
          <w:kern w:val="0"/>
          <w:sz w:val="32"/>
          <w:szCs w:val="32"/>
          <w:highlight w:val="none"/>
          <w:lang w:val="en-US" w:eastAsia="zh-CN" w:bidi="zh-CN"/>
        </w:rPr>
        <w:t>4</w:t>
      </w:r>
      <w:r>
        <w:rPr>
          <w:rFonts w:hint="eastAsia" w:ascii="仿宋" w:hAnsi="仿宋" w:eastAsia="仿宋" w:cs="仿宋"/>
          <w:kern w:val="0"/>
          <w:sz w:val="32"/>
          <w:szCs w:val="32"/>
          <w:highlight w:val="none"/>
          <w:lang w:val="en-US" w:eastAsia="zh-CN" w:bidi="zh-CN"/>
        </w:rPr>
        <w:t xml:space="preserve">、甲方招标（磋商、谈判）文件 </w:t>
      </w:r>
    </w:p>
    <w:p w14:paraId="32F9BDED">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default" w:ascii="仿宋" w:hAnsi="仿宋" w:eastAsia="仿宋" w:cs="仿宋"/>
          <w:kern w:val="0"/>
          <w:sz w:val="32"/>
          <w:szCs w:val="32"/>
          <w:highlight w:val="none"/>
          <w:lang w:val="en-US" w:eastAsia="zh-CN" w:bidi="zh-CN"/>
        </w:rPr>
        <w:t>5</w:t>
      </w:r>
      <w:r>
        <w:rPr>
          <w:rFonts w:hint="eastAsia" w:ascii="仿宋" w:hAnsi="仿宋" w:eastAsia="仿宋" w:cs="仿宋"/>
          <w:kern w:val="0"/>
          <w:sz w:val="32"/>
          <w:szCs w:val="32"/>
          <w:highlight w:val="none"/>
          <w:lang w:val="en-US" w:eastAsia="zh-CN" w:bidi="zh-CN"/>
        </w:rPr>
        <w:t xml:space="preserve">、乙方投标（响应）文件 </w:t>
      </w:r>
    </w:p>
    <w:p w14:paraId="55860A69">
      <w:pPr>
        <w:keepNext w:val="0"/>
        <w:keepLines w:val="0"/>
        <w:widowControl/>
        <w:suppressLineNumbers w:val="0"/>
        <w:ind w:firstLine="640" w:firstLineChars="200"/>
        <w:jc w:val="left"/>
        <w:rPr>
          <w:rFonts w:hint="eastAsia" w:ascii="仿宋" w:hAnsi="仿宋" w:eastAsia="仿宋" w:cs="仿宋"/>
          <w:kern w:val="0"/>
          <w:sz w:val="32"/>
          <w:szCs w:val="32"/>
          <w:highlight w:val="none"/>
          <w:lang w:val="en-US" w:eastAsia="zh-CN" w:bidi="zh-CN"/>
        </w:rPr>
      </w:pPr>
      <w:r>
        <w:rPr>
          <w:rFonts w:hint="default" w:ascii="仿宋" w:hAnsi="仿宋" w:eastAsia="仿宋" w:cs="仿宋"/>
          <w:kern w:val="0"/>
          <w:sz w:val="32"/>
          <w:szCs w:val="32"/>
          <w:highlight w:val="none"/>
          <w:lang w:val="en-US" w:eastAsia="zh-CN" w:bidi="zh-CN"/>
        </w:rPr>
        <w:t>6</w:t>
      </w:r>
      <w:r>
        <w:rPr>
          <w:rFonts w:hint="eastAsia" w:ascii="仿宋" w:hAnsi="仿宋" w:eastAsia="仿宋" w:cs="仿宋"/>
          <w:kern w:val="0"/>
          <w:sz w:val="32"/>
          <w:szCs w:val="32"/>
          <w:highlight w:val="none"/>
          <w:lang w:val="en-US" w:eastAsia="zh-CN" w:bidi="zh-CN"/>
        </w:rPr>
        <w:t xml:space="preserve">、甲乙双方商定的其他文件  </w:t>
      </w:r>
    </w:p>
    <w:p w14:paraId="291E6491">
      <w:pPr>
        <w:keepNext w:val="0"/>
        <w:keepLines w:val="0"/>
        <w:widowControl/>
        <w:suppressLineNumbers w:val="0"/>
        <w:ind w:firstLine="640" w:firstLineChars="200"/>
        <w:jc w:val="left"/>
      </w:pPr>
      <w:r>
        <w:rPr>
          <w:rFonts w:hint="eastAsia" w:ascii="黑体" w:hAnsi="黑体" w:eastAsia="黑体" w:cs="黑体"/>
          <w:b w:val="0"/>
          <w:bCs w:val="0"/>
          <w:kern w:val="0"/>
          <w:sz w:val="32"/>
          <w:szCs w:val="32"/>
          <w:highlight w:val="none"/>
          <w:lang w:val="en-US" w:eastAsia="zh-CN" w:bidi="zh-CN"/>
        </w:rPr>
        <w:t>十四、合同未尽事宜，双方另行签订补充协议，补充协议是合同的组成部分。</w:t>
      </w:r>
      <w:r>
        <w:rPr>
          <w:rFonts w:hint="eastAsia" w:ascii="宋体" w:hAnsi="宋体" w:eastAsia="宋体" w:cs="宋体"/>
          <w:color w:val="000000"/>
          <w:kern w:val="0"/>
          <w:sz w:val="19"/>
          <w:szCs w:val="19"/>
          <w:lang w:val="en-US" w:eastAsia="zh-CN" w:bidi="ar"/>
        </w:rPr>
        <w:t xml:space="preserve"> </w:t>
      </w:r>
    </w:p>
    <w:p w14:paraId="287B480C">
      <w:pPr>
        <w:keepNext w:val="0"/>
        <w:keepLines w:val="0"/>
        <w:widowControl/>
        <w:suppressLineNumbers w:val="0"/>
        <w:ind w:firstLine="640" w:firstLineChars="200"/>
        <w:jc w:val="left"/>
        <w:rPr>
          <w:rFonts w:hint="eastAsia" w:ascii="黑体" w:hAnsi="黑体" w:eastAsia="黑体" w:cs="黑体"/>
          <w:b w:val="0"/>
          <w:bCs w:val="0"/>
          <w:kern w:val="0"/>
          <w:sz w:val="32"/>
          <w:szCs w:val="32"/>
          <w:highlight w:val="none"/>
          <w:lang w:val="en-US" w:eastAsia="zh-CN" w:bidi="zh-CN"/>
        </w:rPr>
      </w:pPr>
      <w:r>
        <w:rPr>
          <w:rFonts w:hint="eastAsia" w:ascii="黑体" w:hAnsi="黑体" w:eastAsia="黑体" w:cs="黑体"/>
          <w:b w:val="0"/>
          <w:bCs w:val="0"/>
          <w:kern w:val="0"/>
          <w:sz w:val="32"/>
          <w:szCs w:val="32"/>
          <w:highlight w:val="none"/>
          <w:lang w:val="en-US" w:eastAsia="zh-CN" w:bidi="zh-CN"/>
        </w:rPr>
        <w:t>十五、本合同由甲乙双方签字并盖章后生效。</w:t>
      </w:r>
    </w:p>
    <w:p w14:paraId="69197F52">
      <w:pPr>
        <w:ind w:firstLine="644" w:firstLineChars="200"/>
        <w:rPr>
          <w:rFonts w:hint="eastAsia" w:ascii="仿宋" w:hAnsi="仿宋" w:eastAsia="仿宋" w:cs="仿宋"/>
          <w:spacing w:val="1"/>
          <w:sz w:val="32"/>
          <w:szCs w:val="32"/>
          <w:highlight w:val="none"/>
          <w:lang w:eastAsia="zh-CN"/>
        </w:rPr>
      </w:pPr>
      <w:r>
        <w:rPr>
          <w:rFonts w:hint="eastAsia" w:ascii="仿宋" w:hAnsi="仿宋" w:eastAsia="仿宋" w:cs="仿宋"/>
          <w:spacing w:val="1"/>
          <w:sz w:val="32"/>
          <w:szCs w:val="32"/>
          <w:highlight w:val="none"/>
          <w:lang w:eastAsia="zh-CN"/>
        </w:rPr>
        <w:t>（</w:t>
      </w:r>
      <w:r>
        <w:rPr>
          <w:rFonts w:hint="eastAsia" w:ascii="仿宋" w:hAnsi="仿宋" w:eastAsia="仿宋" w:cs="仿宋"/>
          <w:spacing w:val="1"/>
          <w:sz w:val="32"/>
          <w:szCs w:val="32"/>
          <w:highlight w:val="none"/>
          <w:lang w:val="en-US" w:eastAsia="zh-CN"/>
        </w:rPr>
        <w:t>以下无正文</w:t>
      </w:r>
      <w:r>
        <w:rPr>
          <w:rFonts w:hint="eastAsia" w:ascii="仿宋" w:hAnsi="仿宋" w:eastAsia="仿宋" w:cs="仿宋"/>
          <w:spacing w:val="1"/>
          <w:sz w:val="32"/>
          <w:szCs w:val="32"/>
          <w:highlight w:val="none"/>
          <w:lang w:eastAsia="zh-CN"/>
        </w:rPr>
        <w:t>）</w:t>
      </w:r>
    </w:p>
    <w:p w14:paraId="24B4179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pacing w:val="1"/>
          <w:sz w:val="32"/>
          <w:szCs w:val="32"/>
          <w:highlight w:val="none"/>
        </w:rPr>
      </w:pPr>
    </w:p>
    <w:p w14:paraId="479AAAC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rPr>
        <w:t>甲方</w:t>
      </w:r>
      <w:r>
        <w:rPr>
          <w:rFonts w:hint="eastAsia" w:ascii="仿宋" w:hAnsi="仿宋" w:eastAsia="仿宋" w:cs="仿宋"/>
          <w:spacing w:val="1"/>
          <w:sz w:val="32"/>
          <w:szCs w:val="32"/>
          <w:highlight w:val="none"/>
          <w:lang w:val="en-US" w:eastAsia="zh-CN"/>
        </w:rPr>
        <w:t xml:space="preserve">名称:（章）              </w:t>
      </w:r>
      <w:r>
        <w:rPr>
          <w:rFonts w:hint="eastAsia" w:ascii="仿宋" w:hAnsi="仿宋" w:eastAsia="仿宋" w:cs="仿宋"/>
          <w:spacing w:val="1"/>
          <w:sz w:val="32"/>
          <w:szCs w:val="32"/>
          <w:highlight w:val="none"/>
        </w:rPr>
        <w:t>乙方</w:t>
      </w:r>
      <w:r>
        <w:rPr>
          <w:rFonts w:hint="eastAsia" w:ascii="仿宋" w:hAnsi="仿宋" w:eastAsia="仿宋" w:cs="仿宋"/>
          <w:spacing w:val="1"/>
          <w:sz w:val="32"/>
          <w:szCs w:val="32"/>
          <w:highlight w:val="none"/>
          <w:lang w:val="en-US" w:eastAsia="zh-CN"/>
        </w:rPr>
        <w:t>名称:（章）</w:t>
      </w:r>
    </w:p>
    <w:p w14:paraId="4C3E0C2E">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pacing w:val="1"/>
          <w:sz w:val="32"/>
          <w:szCs w:val="32"/>
          <w:highlight w:val="none"/>
          <w:lang w:val="en-US" w:eastAsia="zh-CN"/>
        </w:rPr>
      </w:pPr>
    </w:p>
    <w:p w14:paraId="4AA10416">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pacing w:val="1"/>
          <w:sz w:val="32"/>
          <w:szCs w:val="32"/>
          <w:highlight w:val="none"/>
        </w:rPr>
      </w:pPr>
      <w:r>
        <w:rPr>
          <w:rFonts w:hint="eastAsia" w:ascii="仿宋" w:hAnsi="仿宋" w:eastAsia="仿宋" w:cs="仿宋"/>
          <w:spacing w:val="1"/>
          <w:sz w:val="32"/>
          <w:szCs w:val="32"/>
          <w:highlight w:val="none"/>
          <w:lang w:val="en-US" w:eastAsia="zh-CN"/>
        </w:rPr>
        <w:t>甲</w:t>
      </w:r>
      <w:r>
        <w:rPr>
          <w:rFonts w:hint="eastAsia" w:ascii="仿宋" w:hAnsi="仿宋" w:eastAsia="仿宋" w:cs="仿宋"/>
          <w:spacing w:val="1"/>
          <w:sz w:val="32"/>
          <w:szCs w:val="32"/>
          <w:highlight w:val="none"/>
        </w:rPr>
        <w:t>方法人代表</w:t>
      </w:r>
      <w:r>
        <w:rPr>
          <w:rFonts w:hint="eastAsia" w:ascii="仿宋" w:hAnsi="仿宋" w:eastAsia="仿宋" w:cs="仿宋"/>
          <w:spacing w:val="1"/>
          <w:sz w:val="32"/>
          <w:szCs w:val="32"/>
          <w:highlight w:val="none"/>
          <w:lang w:val="en-US" w:eastAsia="zh-CN"/>
        </w:rPr>
        <w:t xml:space="preserve">                 乙方</w:t>
      </w:r>
      <w:r>
        <w:rPr>
          <w:rFonts w:hint="eastAsia" w:ascii="仿宋" w:hAnsi="仿宋" w:eastAsia="仿宋" w:cs="仿宋"/>
          <w:spacing w:val="1"/>
          <w:sz w:val="32"/>
          <w:szCs w:val="32"/>
          <w:highlight w:val="none"/>
        </w:rPr>
        <w:t>法人代表</w:t>
      </w:r>
    </w:p>
    <w:p w14:paraId="0903B9E9">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pacing w:val="1"/>
          <w:sz w:val="32"/>
          <w:szCs w:val="32"/>
          <w:highlight w:val="none"/>
        </w:rPr>
      </w:pPr>
      <w:r>
        <w:rPr>
          <w:rFonts w:hint="eastAsia" w:ascii="仿宋" w:hAnsi="仿宋" w:eastAsia="仿宋" w:cs="仿宋"/>
          <w:spacing w:val="1"/>
          <w:sz w:val="32"/>
          <w:szCs w:val="32"/>
          <w:highlight w:val="none"/>
          <w:lang w:val="en-US" w:eastAsia="zh-CN"/>
        </w:rPr>
        <w:t>或负责人</w:t>
      </w:r>
      <w:r>
        <w:rPr>
          <w:rFonts w:hint="eastAsia" w:ascii="仿宋" w:hAnsi="仿宋" w:eastAsia="仿宋" w:cs="仿宋"/>
          <w:spacing w:val="1"/>
          <w:sz w:val="32"/>
          <w:szCs w:val="32"/>
          <w:highlight w:val="none"/>
        </w:rPr>
        <w:t>：</w:t>
      </w:r>
      <w:r>
        <w:rPr>
          <w:rFonts w:hint="eastAsia" w:ascii="仿宋" w:hAnsi="仿宋" w:eastAsia="仿宋" w:cs="仿宋"/>
          <w:spacing w:val="1"/>
          <w:sz w:val="32"/>
          <w:szCs w:val="32"/>
          <w:highlight w:val="none"/>
          <w:lang w:val="en-US" w:eastAsia="zh-CN"/>
        </w:rPr>
        <w:t xml:space="preserve">                   或负责人</w:t>
      </w:r>
      <w:r>
        <w:rPr>
          <w:rFonts w:hint="eastAsia" w:ascii="仿宋" w:hAnsi="仿宋" w:eastAsia="仿宋" w:cs="仿宋"/>
          <w:spacing w:val="1"/>
          <w:sz w:val="32"/>
          <w:szCs w:val="32"/>
          <w:highlight w:val="none"/>
        </w:rPr>
        <w:t>：</w:t>
      </w:r>
    </w:p>
    <w:p w14:paraId="2D35A5D3">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pacing w:val="1"/>
          <w:sz w:val="32"/>
          <w:szCs w:val="32"/>
          <w:highlight w:val="none"/>
          <w:lang w:val="en-US" w:eastAsia="zh-CN"/>
        </w:rPr>
      </w:pPr>
    </w:p>
    <w:p w14:paraId="3BAA8752">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default" w:ascii="仿宋" w:hAnsi="仿宋" w:eastAsia="仿宋" w:cs="仿宋"/>
          <w:spacing w:val="1"/>
          <w:sz w:val="32"/>
          <w:szCs w:val="32"/>
          <w:highlight w:val="none"/>
          <w:lang w:val="en-US" w:eastAsia="zh-CN"/>
        </w:rPr>
      </w:pPr>
      <w:bookmarkStart w:id="0" w:name="_GoBack"/>
      <w:bookmarkEnd w:id="0"/>
      <w:r>
        <w:rPr>
          <w:rFonts w:hint="eastAsia" w:ascii="仿宋" w:hAnsi="仿宋" w:eastAsia="仿宋" w:cs="仿宋"/>
          <w:spacing w:val="1"/>
          <w:sz w:val="32"/>
          <w:szCs w:val="32"/>
          <w:highlight w:val="none"/>
          <w:lang w:val="en-US" w:eastAsia="zh-CN"/>
        </w:rPr>
        <w:t>承办部门负责人：</w:t>
      </w:r>
    </w:p>
    <w:p w14:paraId="4C6978F6">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pacing w:val="1"/>
          <w:sz w:val="32"/>
          <w:szCs w:val="32"/>
          <w:highlight w:val="none"/>
          <w:lang w:val="en-US" w:eastAsia="zh-CN"/>
        </w:rPr>
      </w:pPr>
    </w:p>
    <w:p w14:paraId="0ABBE55C">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0" w:firstLineChars="0"/>
        <w:textAlignment w:val="baseline"/>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 xml:space="preserve">年   月   日                  年   月   日 </w:t>
      </w:r>
    </w:p>
    <w:p w14:paraId="690B18FA">
      <w:r>
        <w:br w:type="page"/>
      </w:r>
    </w:p>
    <w:p w14:paraId="6E64B77F">
      <w:pPr>
        <w:rPr>
          <w:rFonts w:hint="eastAsia" w:ascii="方正小标宋简体" w:hAnsi="方正小标宋简体" w:eastAsia="方正小标宋简体" w:cs="方正小标宋简体"/>
          <w:sz w:val="44"/>
          <w:szCs w:val="44"/>
          <w:highlight w:val="none"/>
          <w:lang w:val="en-US" w:eastAsia="zh-CN" w:bidi="zh-CN"/>
        </w:rPr>
      </w:pPr>
      <w:r>
        <w:rPr>
          <w:rFonts w:hint="eastAsia" w:ascii="黑体" w:hAnsi="黑体" w:eastAsia="黑体" w:cs="宋体"/>
          <w:bCs/>
          <w:color w:val="000000"/>
          <w:kern w:val="44"/>
          <w:sz w:val="32"/>
          <w:szCs w:val="32"/>
          <w:lang w:val="en-US" w:eastAsia="zh-CN" w:bidi="ar-SA"/>
        </w:rPr>
        <w:t>附件1：分项报价表</w:t>
      </w:r>
    </w:p>
    <w:tbl>
      <w:tblPr>
        <w:tblStyle w:val="13"/>
        <w:tblpPr w:leftFromText="180" w:rightFromText="180" w:vertAnchor="text" w:horzAnchor="page" w:tblpXSpec="center" w:tblpY="432"/>
        <w:tblOverlap w:val="never"/>
        <w:tblW w:w="10174"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639"/>
        <w:gridCol w:w="449"/>
        <w:gridCol w:w="1412"/>
        <w:gridCol w:w="2128"/>
        <w:gridCol w:w="528"/>
        <w:gridCol w:w="639"/>
        <w:gridCol w:w="2218"/>
        <w:gridCol w:w="875"/>
        <w:gridCol w:w="404"/>
        <w:gridCol w:w="882"/>
      </w:tblGrid>
      <w:tr w14:paraId="7E86298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83" w:hRule="atLeast"/>
          <w:jc w:val="center"/>
        </w:trPr>
        <w:tc>
          <w:tcPr>
            <w:tcW w:w="639" w:type="dxa"/>
            <w:tcBorders>
              <w:top w:val="single" w:color="2C2C2C" w:sz="4" w:space="0"/>
              <w:left w:val="single" w:color="2C2C2C" w:sz="4" w:space="0"/>
              <w:bottom w:val="single" w:color="2C2C2C" w:sz="8" w:space="0"/>
              <w:right w:val="single" w:color="2C2C2C" w:sz="8" w:space="0"/>
            </w:tcBorders>
            <w:vAlign w:val="top"/>
          </w:tcPr>
          <w:p w14:paraId="1516E94F">
            <w:pPr>
              <w:spacing w:before="195" w:line="198" w:lineRule="auto"/>
              <w:ind w:left="256"/>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449" w:type="dxa"/>
            <w:tcBorders>
              <w:top w:val="single" w:color="2C2C2C" w:sz="4" w:space="0"/>
              <w:left w:val="single" w:color="2C2C2C" w:sz="8" w:space="0"/>
              <w:bottom w:val="single" w:color="2C2C2C" w:sz="8" w:space="0"/>
              <w:right w:val="single" w:color="2C2C2C" w:sz="8" w:space="0"/>
            </w:tcBorders>
            <w:vAlign w:val="top"/>
          </w:tcPr>
          <w:p w14:paraId="30A7D1F1">
            <w:pPr>
              <w:spacing w:before="196" w:line="197" w:lineRule="auto"/>
              <w:ind w:left="149"/>
              <w:jc w:val="center"/>
              <w:rPr>
                <w:rFonts w:hint="eastAsia" w:ascii="仿宋" w:hAnsi="仿宋" w:eastAsia="仿宋" w:cs="仿宋"/>
                <w:sz w:val="24"/>
                <w:szCs w:val="24"/>
              </w:rPr>
            </w:pPr>
            <w:r>
              <w:rPr>
                <w:rFonts w:hint="eastAsia" w:ascii="仿宋" w:hAnsi="仿宋" w:eastAsia="仿宋" w:cs="仿宋"/>
                <w:spacing w:val="4"/>
                <w:sz w:val="24"/>
                <w:szCs w:val="24"/>
              </w:rPr>
              <w:t>序号</w:t>
            </w:r>
          </w:p>
        </w:tc>
        <w:tc>
          <w:tcPr>
            <w:tcW w:w="1412" w:type="dxa"/>
            <w:tcBorders>
              <w:top w:val="single" w:color="2C2C2C" w:sz="4" w:space="0"/>
              <w:left w:val="single" w:color="2C2C2C" w:sz="8" w:space="0"/>
              <w:bottom w:val="single" w:color="2C2C2C" w:sz="8" w:space="0"/>
              <w:right w:val="single" w:color="2C2C2C" w:sz="8" w:space="0"/>
            </w:tcBorders>
            <w:vAlign w:val="top"/>
          </w:tcPr>
          <w:p w14:paraId="6C25D18C">
            <w:pPr>
              <w:spacing w:before="195" w:line="197" w:lineRule="auto"/>
              <w:ind w:left="319"/>
              <w:jc w:val="center"/>
              <w:rPr>
                <w:rFonts w:hint="eastAsia" w:ascii="仿宋" w:hAnsi="仿宋" w:eastAsia="仿宋" w:cs="仿宋"/>
                <w:sz w:val="24"/>
                <w:szCs w:val="24"/>
              </w:rPr>
            </w:pPr>
            <w:r>
              <w:rPr>
                <w:rFonts w:hint="eastAsia" w:ascii="仿宋" w:hAnsi="仿宋" w:eastAsia="仿宋" w:cs="仿宋"/>
                <w:spacing w:val="5"/>
                <w:sz w:val="24"/>
                <w:szCs w:val="24"/>
              </w:rPr>
              <w:t>货物名称</w:t>
            </w:r>
          </w:p>
        </w:tc>
        <w:tc>
          <w:tcPr>
            <w:tcW w:w="2128" w:type="dxa"/>
            <w:tcBorders>
              <w:top w:val="single" w:color="808080" w:sz="8" w:space="0"/>
            </w:tcBorders>
            <w:vAlign w:val="top"/>
          </w:tcPr>
          <w:p w14:paraId="7A9DC51C">
            <w:pPr>
              <w:spacing w:before="196" w:line="197" w:lineRule="auto"/>
              <w:ind w:left="316"/>
              <w:jc w:val="center"/>
              <w:rPr>
                <w:rFonts w:hint="eastAsia" w:ascii="仿宋" w:hAnsi="仿宋" w:eastAsia="仿宋" w:cs="仿宋"/>
                <w:sz w:val="24"/>
                <w:szCs w:val="24"/>
              </w:rPr>
            </w:pPr>
            <w:r>
              <w:rPr>
                <w:rFonts w:hint="eastAsia" w:ascii="仿宋" w:hAnsi="仿宋" w:eastAsia="仿宋" w:cs="仿宋"/>
                <w:spacing w:val="5"/>
                <w:sz w:val="24"/>
                <w:szCs w:val="24"/>
              </w:rPr>
              <w:t>规格型号</w:t>
            </w:r>
          </w:p>
        </w:tc>
        <w:tc>
          <w:tcPr>
            <w:tcW w:w="528" w:type="dxa"/>
            <w:tcBorders>
              <w:top w:val="single" w:color="808080" w:sz="8" w:space="0"/>
            </w:tcBorders>
            <w:vAlign w:val="top"/>
          </w:tcPr>
          <w:p w14:paraId="1C5FA059">
            <w:pPr>
              <w:spacing w:before="195" w:line="197" w:lineRule="auto"/>
              <w:ind w:left="172"/>
              <w:jc w:val="center"/>
              <w:rPr>
                <w:rFonts w:hint="eastAsia" w:ascii="仿宋" w:hAnsi="仿宋" w:eastAsia="仿宋" w:cs="仿宋"/>
                <w:sz w:val="24"/>
                <w:szCs w:val="24"/>
              </w:rPr>
            </w:pPr>
            <w:r>
              <w:rPr>
                <w:rFonts w:hint="eastAsia" w:ascii="仿宋" w:hAnsi="仿宋" w:eastAsia="仿宋" w:cs="仿宋"/>
                <w:spacing w:val="-3"/>
                <w:sz w:val="24"/>
                <w:szCs w:val="24"/>
              </w:rPr>
              <w:t>品牌</w:t>
            </w:r>
          </w:p>
        </w:tc>
        <w:tc>
          <w:tcPr>
            <w:tcW w:w="639" w:type="dxa"/>
            <w:tcBorders>
              <w:top w:val="single" w:color="808080" w:sz="8" w:space="0"/>
            </w:tcBorders>
            <w:vAlign w:val="top"/>
          </w:tcPr>
          <w:p w14:paraId="76BF19F4">
            <w:pPr>
              <w:spacing w:before="195" w:line="198" w:lineRule="auto"/>
              <w:ind w:left="161"/>
              <w:jc w:val="center"/>
              <w:rPr>
                <w:rFonts w:hint="eastAsia" w:ascii="仿宋" w:hAnsi="仿宋" w:eastAsia="仿宋" w:cs="仿宋"/>
                <w:sz w:val="24"/>
                <w:szCs w:val="24"/>
              </w:rPr>
            </w:pPr>
            <w:r>
              <w:rPr>
                <w:rFonts w:hint="eastAsia" w:ascii="仿宋" w:hAnsi="仿宋" w:eastAsia="仿宋" w:cs="仿宋"/>
                <w:spacing w:val="4"/>
                <w:sz w:val="24"/>
                <w:szCs w:val="24"/>
              </w:rPr>
              <w:t>产地</w:t>
            </w:r>
          </w:p>
        </w:tc>
        <w:tc>
          <w:tcPr>
            <w:tcW w:w="2218" w:type="dxa"/>
            <w:tcBorders>
              <w:top w:val="single" w:color="808080" w:sz="8" w:space="0"/>
            </w:tcBorders>
            <w:vAlign w:val="top"/>
          </w:tcPr>
          <w:p w14:paraId="72A1341C">
            <w:pPr>
              <w:spacing w:before="195" w:line="197" w:lineRule="auto"/>
              <w:ind w:left="411"/>
              <w:jc w:val="center"/>
              <w:rPr>
                <w:rFonts w:hint="eastAsia" w:ascii="仿宋" w:hAnsi="仿宋" w:eastAsia="仿宋" w:cs="仿宋"/>
                <w:sz w:val="24"/>
                <w:szCs w:val="24"/>
              </w:rPr>
            </w:pPr>
            <w:r>
              <w:rPr>
                <w:rFonts w:hint="eastAsia" w:ascii="仿宋" w:hAnsi="仿宋" w:eastAsia="仿宋" w:cs="仿宋"/>
                <w:spacing w:val="6"/>
                <w:sz w:val="24"/>
                <w:szCs w:val="24"/>
              </w:rPr>
              <w:t>制造商名称</w:t>
            </w:r>
          </w:p>
        </w:tc>
        <w:tc>
          <w:tcPr>
            <w:tcW w:w="875" w:type="dxa"/>
            <w:tcBorders>
              <w:top w:val="single" w:color="808080" w:sz="8" w:space="0"/>
            </w:tcBorders>
            <w:vAlign w:val="top"/>
          </w:tcPr>
          <w:p w14:paraId="51B1D769">
            <w:pPr>
              <w:spacing w:before="196" w:line="197" w:lineRule="auto"/>
              <w:ind w:left="171"/>
              <w:jc w:val="center"/>
              <w:rPr>
                <w:rFonts w:hint="eastAsia" w:ascii="仿宋" w:hAnsi="仿宋" w:eastAsia="仿宋" w:cs="仿宋"/>
                <w:sz w:val="24"/>
                <w:szCs w:val="24"/>
              </w:rPr>
            </w:pPr>
            <w:r>
              <w:rPr>
                <w:rFonts w:hint="eastAsia" w:ascii="仿宋" w:hAnsi="仿宋" w:eastAsia="仿宋" w:cs="仿宋"/>
                <w:spacing w:val="3"/>
                <w:sz w:val="24"/>
                <w:szCs w:val="24"/>
              </w:rPr>
              <w:t>单价</w:t>
            </w:r>
          </w:p>
        </w:tc>
        <w:tc>
          <w:tcPr>
            <w:tcW w:w="404" w:type="dxa"/>
            <w:tcBorders>
              <w:top w:val="single" w:color="808080" w:sz="8" w:space="0"/>
            </w:tcBorders>
            <w:vAlign w:val="top"/>
          </w:tcPr>
          <w:p w14:paraId="1830E017">
            <w:pPr>
              <w:spacing w:before="195" w:line="198" w:lineRule="auto"/>
              <w:ind w:left="175"/>
              <w:jc w:val="center"/>
              <w:rPr>
                <w:rFonts w:hint="eastAsia" w:ascii="仿宋" w:hAnsi="仿宋" w:eastAsia="仿宋" w:cs="仿宋"/>
                <w:sz w:val="24"/>
                <w:szCs w:val="24"/>
              </w:rPr>
            </w:pPr>
            <w:r>
              <w:rPr>
                <w:rFonts w:hint="eastAsia" w:ascii="仿宋" w:hAnsi="仿宋" w:eastAsia="仿宋" w:cs="仿宋"/>
                <w:spacing w:val="3"/>
                <w:sz w:val="24"/>
                <w:szCs w:val="24"/>
              </w:rPr>
              <w:t>数量</w:t>
            </w:r>
          </w:p>
        </w:tc>
        <w:tc>
          <w:tcPr>
            <w:tcW w:w="882" w:type="dxa"/>
            <w:tcBorders>
              <w:top w:val="single" w:color="808080" w:sz="8" w:space="0"/>
              <w:right w:val="single" w:color="808080" w:sz="8" w:space="0"/>
            </w:tcBorders>
            <w:vAlign w:val="top"/>
          </w:tcPr>
          <w:p w14:paraId="785B48FA">
            <w:pPr>
              <w:spacing w:before="196" w:line="197" w:lineRule="auto"/>
              <w:ind w:left="181"/>
              <w:jc w:val="center"/>
              <w:rPr>
                <w:rFonts w:hint="eastAsia" w:ascii="仿宋" w:hAnsi="仿宋" w:eastAsia="仿宋" w:cs="仿宋"/>
                <w:sz w:val="24"/>
                <w:szCs w:val="24"/>
              </w:rPr>
            </w:pPr>
            <w:r>
              <w:rPr>
                <w:rFonts w:hint="eastAsia" w:ascii="仿宋" w:hAnsi="仿宋" w:eastAsia="仿宋" w:cs="仿宋"/>
                <w:spacing w:val="1"/>
                <w:sz w:val="24"/>
                <w:szCs w:val="24"/>
              </w:rPr>
              <w:t>总价</w:t>
            </w:r>
          </w:p>
        </w:tc>
      </w:tr>
      <w:tr w14:paraId="1407645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986" w:hRule="atLeast"/>
          <w:jc w:val="center"/>
        </w:trPr>
        <w:tc>
          <w:tcPr>
            <w:tcW w:w="639" w:type="dxa"/>
            <w:vMerge w:val="restart"/>
            <w:tcBorders>
              <w:top w:val="single" w:color="2C2C2C" w:sz="8" w:space="0"/>
              <w:left w:val="single" w:color="2C2C2C" w:sz="4" w:space="0"/>
              <w:right w:val="single" w:color="2C2C2C" w:sz="8" w:space="0"/>
            </w:tcBorders>
            <w:vAlign w:val="top"/>
          </w:tcPr>
          <w:p w14:paraId="3215B262">
            <w:pPr>
              <w:jc w:val="center"/>
              <w:rPr>
                <w:rFonts w:hint="eastAsia" w:ascii="仿宋" w:hAnsi="仿宋" w:eastAsia="仿宋" w:cs="仿宋"/>
                <w:sz w:val="24"/>
                <w:lang w:val="en-US" w:eastAsia="zh-CN"/>
              </w:rPr>
            </w:pPr>
            <w:r>
              <w:rPr>
                <w:rFonts w:hint="eastAsia" w:ascii="仿宋" w:hAnsi="仿宋" w:eastAsia="仿宋" w:cs="仿宋"/>
                <w:sz w:val="24"/>
                <w:lang w:val="en-US" w:eastAsia="zh-CN"/>
              </w:rPr>
              <w:t>/</w:t>
            </w:r>
          </w:p>
        </w:tc>
        <w:tc>
          <w:tcPr>
            <w:tcW w:w="449" w:type="dxa"/>
            <w:tcBorders>
              <w:top w:val="single" w:color="2C2C2C" w:sz="8" w:space="0"/>
              <w:left w:val="single" w:color="2C2C2C" w:sz="8" w:space="0"/>
              <w:bottom w:val="single" w:color="2C2C2C" w:sz="8" w:space="0"/>
              <w:right w:val="single" w:color="2C2C2C" w:sz="8" w:space="0"/>
            </w:tcBorders>
            <w:vAlign w:val="top"/>
          </w:tcPr>
          <w:p w14:paraId="2AE697DA">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412" w:type="dxa"/>
            <w:tcBorders>
              <w:top w:val="single" w:color="2C2C2C" w:sz="8" w:space="0"/>
              <w:left w:val="single" w:color="2C2C2C" w:sz="8" w:space="0"/>
              <w:bottom w:val="single" w:color="2C2C2C" w:sz="8" w:space="0"/>
              <w:right w:val="single" w:color="2C2C2C" w:sz="8" w:space="0"/>
            </w:tcBorders>
            <w:vAlign w:val="top"/>
          </w:tcPr>
          <w:p w14:paraId="31D454D3">
            <w:pPr>
              <w:jc w:val="center"/>
              <w:rPr>
                <w:rFonts w:hint="eastAsia" w:ascii="仿宋" w:hAnsi="仿宋" w:eastAsia="仿宋" w:cs="仿宋"/>
                <w:sz w:val="24"/>
              </w:rPr>
            </w:pPr>
            <w:r>
              <w:rPr>
                <w:rFonts w:hint="eastAsia" w:ascii="仿宋" w:hAnsi="仿宋" w:eastAsia="仿宋" w:cs="仿宋"/>
                <w:sz w:val="24"/>
              </w:rPr>
              <w:t>人工智能教学实训平台</w:t>
            </w:r>
          </w:p>
        </w:tc>
        <w:tc>
          <w:tcPr>
            <w:tcW w:w="2128" w:type="dxa"/>
            <w:vAlign w:val="top"/>
          </w:tcPr>
          <w:p w14:paraId="3F57588A">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型号：v1.0</w:t>
            </w:r>
          </w:p>
          <w:p w14:paraId="5C8D0F9B">
            <w:pPr>
              <w:jc w:val="center"/>
              <w:rPr>
                <w:rFonts w:hint="eastAsia" w:ascii="仿宋" w:hAnsi="仿宋" w:eastAsia="仿宋" w:cs="仿宋"/>
                <w:sz w:val="24"/>
                <w:lang w:val="en-US"/>
              </w:rPr>
            </w:pPr>
            <w:r>
              <w:rPr>
                <w:rFonts w:hint="eastAsia" w:ascii="仿宋" w:hAnsi="仿宋" w:eastAsia="仿宋" w:cs="仿宋"/>
                <w:sz w:val="24"/>
                <w:lang w:val="en-US" w:eastAsia="zh-CN"/>
              </w:rPr>
              <w:t>规格：详见技术偏离表</w:t>
            </w:r>
          </w:p>
        </w:tc>
        <w:tc>
          <w:tcPr>
            <w:tcW w:w="528" w:type="dxa"/>
            <w:vAlign w:val="top"/>
          </w:tcPr>
          <w:p w14:paraId="5233B1CF">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普开</w:t>
            </w:r>
          </w:p>
        </w:tc>
        <w:tc>
          <w:tcPr>
            <w:tcW w:w="639" w:type="dxa"/>
            <w:vAlign w:val="top"/>
          </w:tcPr>
          <w:p w14:paraId="369AF3F3">
            <w:pPr>
              <w:jc w:val="center"/>
              <w:rPr>
                <w:rFonts w:hint="eastAsia" w:ascii="仿宋" w:hAnsi="仿宋" w:eastAsia="仿宋" w:cs="仿宋"/>
                <w:sz w:val="24"/>
              </w:rPr>
            </w:pPr>
            <w:r>
              <w:rPr>
                <w:rFonts w:hint="eastAsia" w:ascii="仿宋" w:hAnsi="仿宋" w:eastAsia="仿宋" w:cs="仿宋"/>
                <w:sz w:val="24"/>
                <w:lang w:val="en-US" w:eastAsia="zh-CN"/>
              </w:rPr>
              <w:t>北京</w:t>
            </w:r>
          </w:p>
        </w:tc>
        <w:tc>
          <w:tcPr>
            <w:tcW w:w="2218" w:type="dxa"/>
            <w:vAlign w:val="top"/>
          </w:tcPr>
          <w:p w14:paraId="6B92762C">
            <w:pPr>
              <w:jc w:val="center"/>
              <w:rPr>
                <w:rFonts w:hint="eastAsia" w:ascii="仿宋" w:hAnsi="仿宋" w:eastAsia="仿宋" w:cs="仿宋"/>
                <w:sz w:val="24"/>
              </w:rPr>
            </w:pPr>
            <w:r>
              <w:rPr>
                <w:rFonts w:hint="eastAsia" w:ascii="仿宋" w:hAnsi="仿宋" w:eastAsia="仿宋" w:cs="仿宋"/>
                <w:sz w:val="24"/>
              </w:rPr>
              <w:t>北京普开数据技术有限公司</w:t>
            </w:r>
          </w:p>
        </w:tc>
        <w:tc>
          <w:tcPr>
            <w:tcW w:w="875" w:type="dxa"/>
            <w:vAlign w:val="top"/>
          </w:tcPr>
          <w:p w14:paraId="2A85F6AF">
            <w:pPr>
              <w:jc w:val="center"/>
              <w:rPr>
                <w:rFonts w:hint="eastAsia" w:ascii="仿宋" w:hAnsi="仿宋" w:eastAsia="仿宋" w:cs="仿宋"/>
                <w:sz w:val="24"/>
              </w:rPr>
            </w:pPr>
            <w:r>
              <w:rPr>
                <w:rFonts w:hint="eastAsia" w:ascii="仿宋" w:hAnsi="仿宋" w:eastAsia="仿宋" w:cs="仿宋"/>
                <w:sz w:val="24"/>
              </w:rPr>
              <w:t>549900</w:t>
            </w:r>
          </w:p>
        </w:tc>
        <w:tc>
          <w:tcPr>
            <w:tcW w:w="404" w:type="dxa"/>
            <w:vAlign w:val="top"/>
          </w:tcPr>
          <w:p w14:paraId="37CAE42B">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882" w:type="dxa"/>
            <w:tcBorders>
              <w:right w:val="single" w:color="808080" w:sz="8" w:space="0"/>
            </w:tcBorders>
            <w:vAlign w:val="top"/>
          </w:tcPr>
          <w:p w14:paraId="25B8D404">
            <w:pPr>
              <w:jc w:val="center"/>
              <w:rPr>
                <w:rFonts w:hint="eastAsia" w:ascii="仿宋" w:hAnsi="仿宋" w:eastAsia="仿宋" w:cs="仿宋"/>
                <w:sz w:val="24"/>
              </w:rPr>
            </w:pPr>
            <w:r>
              <w:rPr>
                <w:rFonts w:hint="eastAsia" w:ascii="仿宋" w:hAnsi="仿宋" w:eastAsia="仿宋" w:cs="仿宋"/>
                <w:sz w:val="24"/>
              </w:rPr>
              <w:t>549900</w:t>
            </w:r>
          </w:p>
        </w:tc>
      </w:tr>
      <w:tr w14:paraId="030FC19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986" w:hRule="atLeast"/>
          <w:jc w:val="center"/>
        </w:trPr>
        <w:tc>
          <w:tcPr>
            <w:tcW w:w="639" w:type="dxa"/>
            <w:vMerge w:val="continue"/>
            <w:tcBorders>
              <w:left w:val="single" w:color="2C2C2C" w:sz="4" w:space="0"/>
              <w:right w:val="single" w:color="2C2C2C" w:sz="8" w:space="0"/>
            </w:tcBorders>
            <w:vAlign w:val="top"/>
          </w:tcPr>
          <w:p w14:paraId="7DE76535">
            <w:pPr>
              <w:jc w:val="center"/>
              <w:rPr>
                <w:rFonts w:hint="eastAsia" w:ascii="仿宋" w:hAnsi="仿宋" w:eastAsia="仿宋" w:cs="仿宋"/>
                <w:sz w:val="24"/>
              </w:rPr>
            </w:pPr>
          </w:p>
        </w:tc>
        <w:tc>
          <w:tcPr>
            <w:tcW w:w="449" w:type="dxa"/>
            <w:tcBorders>
              <w:top w:val="single" w:color="2C2C2C" w:sz="8" w:space="0"/>
              <w:left w:val="single" w:color="2C2C2C" w:sz="8" w:space="0"/>
              <w:bottom w:val="single" w:color="2C2C2C" w:sz="8" w:space="0"/>
              <w:right w:val="single" w:color="2C2C2C" w:sz="8" w:space="0"/>
            </w:tcBorders>
            <w:vAlign w:val="top"/>
          </w:tcPr>
          <w:p w14:paraId="4B27D3FA">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412" w:type="dxa"/>
            <w:tcBorders>
              <w:top w:val="single" w:color="2C2C2C" w:sz="8" w:space="0"/>
              <w:left w:val="single" w:color="2C2C2C" w:sz="8" w:space="0"/>
              <w:bottom w:val="single" w:color="2C2C2C" w:sz="8" w:space="0"/>
              <w:right w:val="single" w:color="2C2C2C" w:sz="8" w:space="0"/>
            </w:tcBorders>
            <w:vAlign w:val="top"/>
          </w:tcPr>
          <w:p w14:paraId="10A59A83">
            <w:pPr>
              <w:jc w:val="center"/>
              <w:rPr>
                <w:rFonts w:hint="eastAsia" w:ascii="仿宋" w:hAnsi="仿宋" w:eastAsia="仿宋" w:cs="仿宋"/>
                <w:sz w:val="24"/>
              </w:rPr>
            </w:pPr>
            <w:r>
              <w:rPr>
                <w:rFonts w:hint="eastAsia" w:ascii="仿宋" w:hAnsi="仿宋" w:eastAsia="仿宋" w:cs="仿宋"/>
                <w:sz w:val="24"/>
              </w:rPr>
              <w:t>人工智能科研开发平台</w:t>
            </w:r>
          </w:p>
        </w:tc>
        <w:tc>
          <w:tcPr>
            <w:tcW w:w="2128" w:type="dxa"/>
            <w:vAlign w:val="top"/>
          </w:tcPr>
          <w:p w14:paraId="1C60AEF6">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型号：v1.0</w:t>
            </w:r>
          </w:p>
          <w:p w14:paraId="245025C4">
            <w:pPr>
              <w:jc w:val="center"/>
              <w:rPr>
                <w:rFonts w:hint="eastAsia" w:ascii="仿宋" w:hAnsi="仿宋" w:eastAsia="仿宋" w:cs="仿宋"/>
                <w:sz w:val="24"/>
              </w:rPr>
            </w:pPr>
            <w:r>
              <w:rPr>
                <w:rFonts w:hint="eastAsia" w:ascii="仿宋" w:hAnsi="仿宋" w:eastAsia="仿宋" w:cs="仿宋"/>
                <w:sz w:val="24"/>
                <w:lang w:val="en-US" w:eastAsia="zh-CN"/>
              </w:rPr>
              <w:t>规格：详见技术偏离表</w:t>
            </w:r>
          </w:p>
        </w:tc>
        <w:tc>
          <w:tcPr>
            <w:tcW w:w="528" w:type="dxa"/>
            <w:vAlign w:val="top"/>
          </w:tcPr>
          <w:p w14:paraId="0BA1377F">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数投</w:t>
            </w:r>
          </w:p>
        </w:tc>
        <w:tc>
          <w:tcPr>
            <w:tcW w:w="639" w:type="dxa"/>
            <w:vAlign w:val="top"/>
          </w:tcPr>
          <w:p w14:paraId="72DA2F83">
            <w:pPr>
              <w:jc w:val="center"/>
              <w:rPr>
                <w:rFonts w:hint="eastAsia" w:ascii="仿宋" w:hAnsi="仿宋" w:eastAsia="仿宋" w:cs="仿宋"/>
                <w:sz w:val="24"/>
                <w:lang w:val="en-US" w:eastAsia="zh-CN"/>
              </w:rPr>
            </w:pPr>
            <w:r>
              <w:rPr>
                <w:rFonts w:hint="eastAsia" w:ascii="仿宋" w:hAnsi="仿宋" w:eastAsia="仿宋" w:cs="仿宋"/>
                <w:sz w:val="24"/>
                <w:lang w:val="en-US" w:eastAsia="zh-CN"/>
              </w:rPr>
              <w:t>鄂尔多斯</w:t>
            </w:r>
          </w:p>
        </w:tc>
        <w:tc>
          <w:tcPr>
            <w:tcW w:w="2218" w:type="dxa"/>
            <w:vAlign w:val="top"/>
          </w:tcPr>
          <w:p w14:paraId="66918926">
            <w:pPr>
              <w:jc w:val="center"/>
              <w:rPr>
                <w:rFonts w:hint="eastAsia" w:ascii="仿宋" w:hAnsi="仿宋" w:eastAsia="仿宋" w:cs="仿宋"/>
                <w:sz w:val="24"/>
                <w:lang w:val="en-US" w:eastAsia="zh-CN"/>
              </w:rPr>
            </w:pPr>
            <w:r>
              <w:rPr>
                <w:rFonts w:hint="eastAsia" w:ascii="仿宋" w:hAnsi="仿宋" w:eastAsia="仿宋" w:cs="仿宋"/>
                <w:spacing w:val="-10"/>
                <w:sz w:val="24"/>
              </w:rPr>
              <w:t>鄂尔多斯市数字经济发展投资有限责任公司</w:t>
            </w:r>
          </w:p>
        </w:tc>
        <w:tc>
          <w:tcPr>
            <w:tcW w:w="875" w:type="dxa"/>
            <w:vAlign w:val="top"/>
          </w:tcPr>
          <w:p w14:paraId="084AA2DE">
            <w:pPr>
              <w:jc w:val="center"/>
              <w:rPr>
                <w:rFonts w:hint="eastAsia" w:ascii="仿宋" w:hAnsi="仿宋" w:eastAsia="仿宋" w:cs="仿宋"/>
                <w:sz w:val="24"/>
                <w:lang w:val="en-US" w:eastAsia="zh-CN"/>
              </w:rPr>
            </w:pPr>
            <w:r>
              <w:rPr>
                <w:rFonts w:hint="eastAsia" w:ascii="仿宋" w:hAnsi="仿宋" w:eastAsia="仿宋" w:cs="仿宋"/>
                <w:sz w:val="24"/>
              </w:rPr>
              <w:t>10</w:t>
            </w:r>
            <w:r>
              <w:rPr>
                <w:rFonts w:hint="eastAsia" w:ascii="仿宋" w:hAnsi="仿宋" w:eastAsia="仿宋" w:cs="仿宋"/>
                <w:sz w:val="24"/>
                <w:lang w:val="en-US" w:eastAsia="zh-CN"/>
              </w:rPr>
              <w:t>6570</w:t>
            </w:r>
          </w:p>
        </w:tc>
        <w:tc>
          <w:tcPr>
            <w:tcW w:w="404" w:type="dxa"/>
            <w:vAlign w:val="top"/>
          </w:tcPr>
          <w:p w14:paraId="4CED92E5">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882" w:type="dxa"/>
            <w:tcBorders>
              <w:right w:val="single" w:color="808080" w:sz="8" w:space="0"/>
            </w:tcBorders>
            <w:vAlign w:val="top"/>
          </w:tcPr>
          <w:p w14:paraId="24E03630">
            <w:pPr>
              <w:jc w:val="center"/>
              <w:rPr>
                <w:rFonts w:hint="eastAsia" w:ascii="仿宋" w:hAnsi="仿宋" w:eastAsia="仿宋" w:cs="仿宋"/>
                <w:sz w:val="24"/>
                <w:lang w:val="en-US" w:eastAsia="zh-CN"/>
              </w:rPr>
            </w:pPr>
            <w:r>
              <w:rPr>
                <w:rFonts w:hint="eastAsia" w:ascii="仿宋" w:hAnsi="仿宋" w:eastAsia="仿宋" w:cs="仿宋"/>
                <w:sz w:val="24"/>
              </w:rPr>
              <w:t>10</w:t>
            </w:r>
            <w:r>
              <w:rPr>
                <w:rFonts w:hint="eastAsia" w:ascii="仿宋" w:hAnsi="仿宋" w:eastAsia="仿宋" w:cs="仿宋"/>
                <w:sz w:val="24"/>
                <w:lang w:val="en-US" w:eastAsia="zh-CN"/>
              </w:rPr>
              <w:t>6570</w:t>
            </w:r>
          </w:p>
        </w:tc>
      </w:tr>
      <w:tr w14:paraId="0714E20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986" w:hRule="atLeast"/>
          <w:jc w:val="center"/>
        </w:trPr>
        <w:tc>
          <w:tcPr>
            <w:tcW w:w="639" w:type="dxa"/>
            <w:vMerge w:val="continue"/>
            <w:tcBorders>
              <w:left w:val="single" w:color="2C2C2C" w:sz="4" w:space="0"/>
              <w:right w:val="single" w:color="2C2C2C" w:sz="8" w:space="0"/>
            </w:tcBorders>
            <w:vAlign w:val="top"/>
          </w:tcPr>
          <w:p w14:paraId="03A4F910">
            <w:pPr>
              <w:jc w:val="center"/>
              <w:rPr>
                <w:rFonts w:hint="eastAsia" w:ascii="仿宋" w:hAnsi="仿宋" w:eastAsia="仿宋" w:cs="仿宋"/>
                <w:sz w:val="24"/>
              </w:rPr>
            </w:pPr>
          </w:p>
        </w:tc>
        <w:tc>
          <w:tcPr>
            <w:tcW w:w="449" w:type="dxa"/>
            <w:tcBorders>
              <w:top w:val="single" w:color="2C2C2C" w:sz="8" w:space="0"/>
              <w:left w:val="single" w:color="2C2C2C" w:sz="8" w:space="0"/>
              <w:bottom w:val="single" w:color="2C2C2C" w:sz="8" w:space="0"/>
              <w:right w:val="single" w:color="2C2C2C" w:sz="8" w:space="0"/>
            </w:tcBorders>
            <w:vAlign w:val="top"/>
          </w:tcPr>
          <w:p w14:paraId="3EA8E36F">
            <w:pPr>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412" w:type="dxa"/>
            <w:tcBorders>
              <w:top w:val="single" w:color="2C2C2C" w:sz="8" w:space="0"/>
              <w:left w:val="single" w:color="2C2C2C" w:sz="8" w:space="0"/>
              <w:bottom w:val="single" w:color="2C2C2C" w:sz="8" w:space="0"/>
              <w:right w:val="single" w:color="2C2C2C" w:sz="8" w:space="0"/>
            </w:tcBorders>
            <w:vAlign w:val="top"/>
          </w:tcPr>
          <w:p w14:paraId="7B694793">
            <w:pPr>
              <w:jc w:val="center"/>
              <w:rPr>
                <w:rFonts w:hint="eastAsia" w:ascii="仿宋" w:hAnsi="仿宋" w:eastAsia="仿宋" w:cs="仿宋"/>
                <w:sz w:val="24"/>
              </w:rPr>
            </w:pPr>
            <w:r>
              <w:rPr>
                <w:rFonts w:hint="eastAsia" w:ascii="仿宋" w:hAnsi="仿宋" w:eastAsia="仿宋" w:cs="仿宋"/>
                <w:sz w:val="24"/>
              </w:rPr>
              <w:t>人工智能实验实训箱</w:t>
            </w:r>
          </w:p>
        </w:tc>
        <w:tc>
          <w:tcPr>
            <w:tcW w:w="2128" w:type="dxa"/>
            <w:vAlign w:val="top"/>
          </w:tcPr>
          <w:p w14:paraId="531CE66D">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型号：HH-TERE-L31</w:t>
            </w:r>
          </w:p>
          <w:p w14:paraId="69C022BB">
            <w:pPr>
              <w:jc w:val="center"/>
              <w:rPr>
                <w:rFonts w:hint="eastAsia" w:ascii="仿宋" w:hAnsi="仿宋" w:eastAsia="仿宋" w:cs="仿宋"/>
                <w:sz w:val="24"/>
              </w:rPr>
            </w:pPr>
            <w:r>
              <w:rPr>
                <w:rFonts w:hint="eastAsia" w:ascii="仿宋" w:hAnsi="仿宋" w:eastAsia="仿宋" w:cs="仿宋"/>
                <w:sz w:val="24"/>
                <w:lang w:val="en-US" w:eastAsia="zh-CN"/>
              </w:rPr>
              <w:t>规格：详见技术偏离表</w:t>
            </w:r>
          </w:p>
        </w:tc>
        <w:tc>
          <w:tcPr>
            <w:tcW w:w="528" w:type="dxa"/>
            <w:vAlign w:val="top"/>
          </w:tcPr>
          <w:p w14:paraId="3A126A62">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润开鸿</w:t>
            </w:r>
          </w:p>
        </w:tc>
        <w:tc>
          <w:tcPr>
            <w:tcW w:w="639" w:type="dxa"/>
            <w:vAlign w:val="top"/>
          </w:tcPr>
          <w:p w14:paraId="628FE0FF">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南京</w:t>
            </w:r>
          </w:p>
        </w:tc>
        <w:tc>
          <w:tcPr>
            <w:tcW w:w="2218" w:type="dxa"/>
            <w:vAlign w:val="top"/>
          </w:tcPr>
          <w:p w14:paraId="0FC61B43">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江苏润开鸿数字科技有限公司</w:t>
            </w:r>
          </w:p>
        </w:tc>
        <w:tc>
          <w:tcPr>
            <w:tcW w:w="875" w:type="dxa"/>
            <w:vAlign w:val="top"/>
          </w:tcPr>
          <w:p w14:paraId="261E2E81">
            <w:pPr>
              <w:jc w:val="center"/>
              <w:rPr>
                <w:rFonts w:hint="eastAsia" w:ascii="仿宋" w:hAnsi="仿宋" w:eastAsia="仿宋" w:cs="仿宋"/>
                <w:sz w:val="24"/>
              </w:rPr>
            </w:pPr>
            <w:r>
              <w:rPr>
                <w:rFonts w:hint="eastAsia" w:ascii="仿宋" w:hAnsi="仿宋" w:eastAsia="仿宋" w:cs="仿宋"/>
                <w:sz w:val="24"/>
              </w:rPr>
              <w:t>382</w:t>
            </w:r>
            <w:r>
              <w:rPr>
                <w:rFonts w:hint="eastAsia" w:ascii="仿宋" w:hAnsi="仿宋" w:eastAsia="仿宋" w:cs="仿宋"/>
                <w:sz w:val="24"/>
                <w:lang w:val="en-US" w:eastAsia="zh-CN"/>
              </w:rPr>
              <w:t>0</w:t>
            </w:r>
            <w:r>
              <w:rPr>
                <w:rFonts w:hint="eastAsia" w:ascii="仿宋" w:hAnsi="仿宋" w:eastAsia="仿宋" w:cs="仿宋"/>
                <w:sz w:val="24"/>
              </w:rPr>
              <w:t>0</w:t>
            </w:r>
          </w:p>
        </w:tc>
        <w:tc>
          <w:tcPr>
            <w:tcW w:w="404" w:type="dxa"/>
            <w:vAlign w:val="top"/>
          </w:tcPr>
          <w:p w14:paraId="7C86AE4A">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21</w:t>
            </w:r>
          </w:p>
        </w:tc>
        <w:tc>
          <w:tcPr>
            <w:tcW w:w="882" w:type="dxa"/>
            <w:tcBorders>
              <w:right w:val="single" w:color="808080" w:sz="8" w:space="0"/>
            </w:tcBorders>
            <w:vAlign w:val="top"/>
          </w:tcPr>
          <w:p w14:paraId="61D0CCD5">
            <w:pPr>
              <w:jc w:val="center"/>
              <w:rPr>
                <w:rFonts w:hint="eastAsia" w:ascii="仿宋" w:hAnsi="仿宋" w:eastAsia="仿宋" w:cs="仿宋"/>
                <w:sz w:val="24"/>
              </w:rPr>
            </w:pPr>
            <w:r>
              <w:rPr>
                <w:rFonts w:hint="eastAsia" w:ascii="仿宋" w:hAnsi="仿宋" w:eastAsia="仿宋" w:cs="仿宋"/>
                <w:sz w:val="24"/>
              </w:rPr>
              <w:t>80</w:t>
            </w:r>
            <w:r>
              <w:rPr>
                <w:rFonts w:hint="eastAsia" w:ascii="仿宋" w:hAnsi="仿宋" w:eastAsia="仿宋" w:cs="仿宋"/>
                <w:sz w:val="24"/>
                <w:lang w:val="en-US" w:eastAsia="zh-CN"/>
              </w:rPr>
              <w:t>2200</w:t>
            </w:r>
          </w:p>
        </w:tc>
      </w:tr>
      <w:tr w14:paraId="55C6A5E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00" w:hRule="atLeast"/>
          <w:jc w:val="center"/>
        </w:trPr>
        <w:tc>
          <w:tcPr>
            <w:tcW w:w="639" w:type="dxa"/>
            <w:vMerge w:val="continue"/>
            <w:tcBorders>
              <w:left w:val="single" w:color="2C2C2C" w:sz="4" w:space="0"/>
              <w:right w:val="single" w:color="2C2C2C" w:sz="8" w:space="0"/>
            </w:tcBorders>
            <w:vAlign w:val="top"/>
          </w:tcPr>
          <w:p w14:paraId="3E63EE23">
            <w:pPr>
              <w:jc w:val="center"/>
              <w:rPr>
                <w:rFonts w:hint="eastAsia" w:ascii="仿宋" w:hAnsi="仿宋" w:eastAsia="仿宋" w:cs="仿宋"/>
                <w:sz w:val="24"/>
              </w:rPr>
            </w:pPr>
          </w:p>
        </w:tc>
        <w:tc>
          <w:tcPr>
            <w:tcW w:w="449" w:type="dxa"/>
            <w:tcBorders>
              <w:top w:val="single" w:color="2C2C2C" w:sz="8" w:space="0"/>
              <w:left w:val="single" w:color="2C2C2C" w:sz="8" w:space="0"/>
              <w:bottom w:val="single" w:color="2C2C2C" w:sz="8" w:space="0"/>
              <w:right w:val="single" w:color="2C2C2C" w:sz="8" w:space="0"/>
            </w:tcBorders>
            <w:vAlign w:val="top"/>
          </w:tcPr>
          <w:p w14:paraId="7504C965">
            <w:pPr>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1412" w:type="dxa"/>
            <w:tcBorders>
              <w:top w:val="single" w:color="2C2C2C" w:sz="8" w:space="0"/>
              <w:left w:val="single" w:color="2C2C2C" w:sz="8" w:space="0"/>
              <w:bottom w:val="single" w:color="2C2C2C" w:sz="8" w:space="0"/>
              <w:right w:val="single" w:color="2C2C2C" w:sz="8" w:space="0"/>
            </w:tcBorders>
            <w:vAlign w:val="top"/>
          </w:tcPr>
          <w:p w14:paraId="5FB5D900">
            <w:pPr>
              <w:jc w:val="center"/>
              <w:rPr>
                <w:rFonts w:hint="eastAsia" w:ascii="仿宋" w:hAnsi="仿宋" w:eastAsia="仿宋" w:cs="仿宋"/>
                <w:sz w:val="24"/>
              </w:rPr>
            </w:pPr>
            <w:r>
              <w:rPr>
                <w:rFonts w:hint="eastAsia" w:ascii="仿宋" w:hAnsi="仿宋" w:eastAsia="仿宋" w:cs="仿宋"/>
                <w:sz w:val="24"/>
              </w:rPr>
              <w:t>鸿蒙北向开发套件</w:t>
            </w:r>
          </w:p>
        </w:tc>
        <w:tc>
          <w:tcPr>
            <w:tcW w:w="2128" w:type="dxa"/>
            <w:vAlign w:val="top"/>
          </w:tcPr>
          <w:p w14:paraId="11A45F87">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型号：HH-SCDAYU200</w:t>
            </w:r>
          </w:p>
          <w:p w14:paraId="7A1F5C45">
            <w:pPr>
              <w:jc w:val="center"/>
              <w:rPr>
                <w:rFonts w:hint="eastAsia" w:ascii="仿宋" w:hAnsi="仿宋" w:eastAsia="仿宋" w:cs="仿宋"/>
                <w:sz w:val="24"/>
              </w:rPr>
            </w:pPr>
            <w:r>
              <w:rPr>
                <w:rFonts w:hint="eastAsia" w:ascii="仿宋" w:hAnsi="仿宋" w:eastAsia="仿宋" w:cs="仿宋"/>
                <w:sz w:val="24"/>
                <w:lang w:val="en-US" w:eastAsia="zh-CN"/>
              </w:rPr>
              <w:t>规格：详见技术偏离表</w:t>
            </w:r>
          </w:p>
        </w:tc>
        <w:tc>
          <w:tcPr>
            <w:tcW w:w="528" w:type="dxa"/>
            <w:vAlign w:val="top"/>
          </w:tcPr>
          <w:p w14:paraId="310318D4">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润开鸿</w:t>
            </w:r>
          </w:p>
        </w:tc>
        <w:tc>
          <w:tcPr>
            <w:tcW w:w="639" w:type="dxa"/>
            <w:vAlign w:val="top"/>
          </w:tcPr>
          <w:p w14:paraId="1E36BF08">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南京</w:t>
            </w:r>
          </w:p>
        </w:tc>
        <w:tc>
          <w:tcPr>
            <w:tcW w:w="2218" w:type="dxa"/>
            <w:vAlign w:val="top"/>
          </w:tcPr>
          <w:p w14:paraId="102C98BB">
            <w:pPr>
              <w:jc w:val="center"/>
              <w:rPr>
                <w:rFonts w:hint="eastAsia" w:ascii="仿宋" w:hAnsi="仿宋" w:eastAsia="仿宋" w:cs="仿宋"/>
                <w:sz w:val="24"/>
              </w:rPr>
            </w:pPr>
            <w:r>
              <w:rPr>
                <w:rFonts w:hint="eastAsia" w:ascii="仿宋" w:hAnsi="仿宋" w:eastAsia="仿宋" w:cs="仿宋"/>
                <w:sz w:val="24"/>
                <w:lang w:val="en-US" w:eastAsia="zh-CN"/>
              </w:rPr>
              <w:t>江苏润开鸿数字科技有限公司</w:t>
            </w:r>
          </w:p>
        </w:tc>
        <w:tc>
          <w:tcPr>
            <w:tcW w:w="875" w:type="dxa"/>
            <w:vAlign w:val="top"/>
          </w:tcPr>
          <w:p w14:paraId="55CCC891">
            <w:pPr>
              <w:jc w:val="center"/>
              <w:rPr>
                <w:rFonts w:hint="eastAsia" w:ascii="仿宋" w:hAnsi="仿宋" w:eastAsia="仿宋" w:cs="仿宋"/>
                <w:sz w:val="24"/>
                <w:lang w:val="en-US" w:eastAsia="zh-CN"/>
              </w:rPr>
            </w:pPr>
            <w:r>
              <w:rPr>
                <w:rFonts w:hint="eastAsia" w:ascii="仿宋" w:hAnsi="仿宋" w:eastAsia="仿宋" w:cs="仿宋"/>
                <w:sz w:val="24"/>
              </w:rPr>
              <w:t>26</w:t>
            </w:r>
            <w:r>
              <w:rPr>
                <w:rFonts w:hint="eastAsia" w:ascii="仿宋" w:hAnsi="仿宋" w:eastAsia="仿宋" w:cs="仿宋"/>
                <w:sz w:val="24"/>
                <w:lang w:val="en-US" w:eastAsia="zh-CN"/>
              </w:rPr>
              <w:t>00</w:t>
            </w:r>
          </w:p>
        </w:tc>
        <w:tc>
          <w:tcPr>
            <w:tcW w:w="404" w:type="dxa"/>
            <w:vAlign w:val="top"/>
          </w:tcPr>
          <w:p w14:paraId="35E36204">
            <w:pPr>
              <w:jc w:val="center"/>
              <w:rPr>
                <w:rFonts w:hint="eastAsia" w:ascii="仿宋" w:hAnsi="仿宋" w:eastAsia="仿宋" w:cs="仿宋"/>
                <w:sz w:val="24"/>
                <w:lang w:val="en-US" w:eastAsia="zh-CN"/>
              </w:rPr>
            </w:pPr>
            <w:r>
              <w:rPr>
                <w:rFonts w:hint="eastAsia" w:ascii="仿宋" w:hAnsi="仿宋" w:eastAsia="仿宋" w:cs="仿宋"/>
                <w:sz w:val="24"/>
                <w:lang w:val="en-US" w:eastAsia="zh-CN"/>
              </w:rPr>
              <w:t>42</w:t>
            </w:r>
          </w:p>
        </w:tc>
        <w:tc>
          <w:tcPr>
            <w:tcW w:w="882" w:type="dxa"/>
            <w:tcBorders>
              <w:right w:val="single" w:color="808080" w:sz="8" w:space="0"/>
            </w:tcBorders>
            <w:vAlign w:val="top"/>
          </w:tcPr>
          <w:p w14:paraId="0875ECEA">
            <w:pPr>
              <w:jc w:val="center"/>
              <w:rPr>
                <w:rFonts w:hint="eastAsia" w:ascii="仿宋" w:hAnsi="仿宋" w:eastAsia="仿宋" w:cs="仿宋"/>
                <w:sz w:val="24"/>
              </w:rPr>
            </w:pPr>
            <w:r>
              <w:rPr>
                <w:rFonts w:hint="eastAsia" w:ascii="仿宋" w:hAnsi="仿宋" w:eastAsia="仿宋" w:cs="仿宋"/>
                <w:sz w:val="24"/>
                <w:lang w:val="en-US" w:eastAsia="zh-CN"/>
              </w:rPr>
              <w:t>109200</w:t>
            </w:r>
          </w:p>
        </w:tc>
      </w:tr>
      <w:tr w14:paraId="5A03B12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616" w:hRule="atLeast"/>
          <w:jc w:val="center"/>
        </w:trPr>
        <w:tc>
          <w:tcPr>
            <w:tcW w:w="639" w:type="dxa"/>
            <w:vMerge w:val="continue"/>
            <w:tcBorders>
              <w:left w:val="single" w:color="2C2C2C" w:sz="4" w:space="0"/>
              <w:right w:val="single" w:color="2C2C2C" w:sz="8" w:space="0"/>
            </w:tcBorders>
            <w:vAlign w:val="top"/>
          </w:tcPr>
          <w:p w14:paraId="5F6941E4">
            <w:pPr>
              <w:jc w:val="center"/>
              <w:rPr>
                <w:rFonts w:hint="eastAsia" w:ascii="仿宋" w:hAnsi="仿宋" w:eastAsia="仿宋" w:cs="仿宋"/>
                <w:sz w:val="24"/>
              </w:rPr>
            </w:pPr>
          </w:p>
        </w:tc>
        <w:tc>
          <w:tcPr>
            <w:tcW w:w="449" w:type="dxa"/>
            <w:tcBorders>
              <w:top w:val="single" w:color="2C2C2C" w:sz="8" w:space="0"/>
              <w:left w:val="single" w:color="2C2C2C" w:sz="8" w:space="0"/>
              <w:bottom w:val="single" w:color="2C2C2C" w:sz="8" w:space="0"/>
              <w:right w:val="single" w:color="2C2C2C" w:sz="8" w:space="0"/>
            </w:tcBorders>
            <w:vAlign w:val="top"/>
          </w:tcPr>
          <w:p w14:paraId="25477C5D">
            <w:pPr>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1412" w:type="dxa"/>
            <w:tcBorders>
              <w:top w:val="single" w:color="2C2C2C" w:sz="8" w:space="0"/>
              <w:left w:val="single" w:color="2C2C2C" w:sz="8" w:space="0"/>
              <w:bottom w:val="single" w:color="2C2C2C" w:sz="8" w:space="0"/>
              <w:right w:val="single" w:color="2C2C2C" w:sz="8" w:space="0"/>
            </w:tcBorders>
            <w:vAlign w:val="top"/>
          </w:tcPr>
          <w:p w14:paraId="53E2DF29">
            <w:pPr>
              <w:jc w:val="center"/>
              <w:rPr>
                <w:rFonts w:hint="eastAsia" w:ascii="仿宋" w:hAnsi="仿宋" w:eastAsia="仿宋" w:cs="仿宋"/>
                <w:sz w:val="24"/>
              </w:rPr>
            </w:pPr>
            <w:r>
              <w:rPr>
                <w:rFonts w:hint="eastAsia" w:ascii="仿宋" w:hAnsi="仿宋" w:eastAsia="仿宋" w:cs="仿宋"/>
                <w:sz w:val="24"/>
              </w:rPr>
              <w:t>学生实训工作站</w:t>
            </w:r>
          </w:p>
        </w:tc>
        <w:tc>
          <w:tcPr>
            <w:tcW w:w="2128" w:type="dxa"/>
            <w:vAlign w:val="top"/>
          </w:tcPr>
          <w:p w14:paraId="2136A764">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型号：ThinkStation+K-C2</w:t>
            </w:r>
          </w:p>
          <w:p w14:paraId="6350AD6C">
            <w:pPr>
              <w:jc w:val="center"/>
              <w:rPr>
                <w:rFonts w:hint="eastAsia" w:ascii="仿宋" w:hAnsi="仿宋" w:eastAsia="仿宋" w:cs="仿宋"/>
                <w:sz w:val="24"/>
              </w:rPr>
            </w:pPr>
            <w:r>
              <w:rPr>
                <w:rFonts w:hint="eastAsia" w:ascii="仿宋" w:hAnsi="仿宋" w:eastAsia="仿宋" w:cs="仿宋"/>
                <w:sz w:val="24"/>
                <w:lang w:val="en-US" w:eastAsia="zh-CN"/>
              </w:rPr>
              <w:t>规格：详见技术偏离表</w:t>
            </w:r>
          </w:p>
        </w:tc>
        <w:tc>
          <w:tcPr>
            <w:tcW w:w="528" w:type="dxa"/>
            <w:vAlign w:val="top"/>
          </w:tcPr>
          <w:p w14:paraId="6F22C453">
            <w:pPr>
              <w:jc w:val="center"/>
              <w:rPr>
                <w:rFonts w:hint="eastAsia" w:ascii="仿宋" w:hAnsi="仿宋" w:eastAsia="仿宋" w:cs="仿宋"/>
                <w:sz w:val="24"/>
                <w:lang w:val="en-US" w:eastAsia="zh-CN"/>
              </w:rPr>
            </w:pPr>
            <w:r>
              <w:rPr>
                <w:rFonts w:hint="eastAsia" w:ascii="仿宋" w:hAnsi="仿宋" w:eastAsia="仿宋" w:cs="仿宋"/>
                <w:sz w:val="24"/>
                <w:lang w:val="en-US" w:eastAsia="zh-CN"/>
              </w:rPr>
              <w:t>联想</w:t>
            </w:r>
          </w:p>
        </w:tc>
        <w:tc>
          <w:tcPr>
            <w:tcW w:w="639" w:type="dxa"/>
            <w:vAlign w:val="top"/>
          </w:tcPr>
          <w:p w14:paraId="5609BD83">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北京</w:t>
            </w:r>
          </w:p>
        </w:tc>
        <w:tc>
          <w:tcPr>
            <w:tcW w:w="2218" w:type="dxa"/>
            <w:vAlign w:val="top"/>
          </w:tcPr>
          <w:p w14:paraId="14DD8092">
            <w:pPr>
              <w:jc w:val="center"/>
              <w:rPr>
                <w:rFonts w:hint="eastAsia" w:ascii="仿宋" w:hAnsi="仿宋" w:eastAsia="仿宋" w:cs="仿宋"/>
                <w:sz w:val="24"/>
              </w:rPr>
            </w:pPr>
            <w:r>
              <w:rPr>
                <w:rFonts w:hint="eastAsia" w:ascii="仿宋" w:hAnsi="仿宋" w:eastAsia="仿宋" w:cs="仿宋"/>
                <w:sz w:val="24"/>
                <w:lang w:val="en-US" w:eastAsia="zh-CN"/>
              </w:rPr>
              <w:t>联想（北京）有限公司</w:t>
            </w:r>
          </w:p>
        </w:tc>
        <w:tc>
          <w:tcPr>
            <w:tcW w:w="875" w:type="dxa"/>
            <w:vAlign w:val="top"/>
          </w:tcPr>
          <w:p w14:paraId="7CCFDCB7">
            <w:pPr>
              <w:jc w:val="center"/>
              <w:rPr>
                <w:rFonts w:hint="eastAsia" w:ascii="仿宋" w:hAnsi="仿宋" w:eastAsia="仿宋" w:cs="仿宋"/>
                <w:sz w:val="24"/>
              </w:rPr>
            </w:pPr>
            <w:r>
              <w:rPr>
                <w:rFonts w:hint="eastAsia" w:ascii="仿宋" w:hAnsi="仿宋" w:eastAsia="仿宋" w:cs="仿宋"/>
                <w:sz w:val="24"/>
              </w:rPr>
              <w:t>7950</w:t>
            </w:r>
          </w:p>
        </w:tc>
        <w:tc>
          <w:tcPr>
            <w:tcW w:w="404" w:type="dxa"/>
            <w:vAlign w:val="top"/>
          </w:tcPr>
          <w:p w14:paraId="064AC087">
            <w:pPr>
              <w:jc w:val="center"/>
              <w:rPr>
                <w:rFonts w:hint="eastAsia" w:ascii="仿宋" w:hAnsi="仿宋" w:eastAsia="仿宋" w:cs="仿宋"/>
                <w:sz w:val="24"/>
                <w:lang w:val="en-US" w:eastAsia="zh-CN"/>
              </w:rPr>
            </w:pPr>
            <w:r>
              <w:rPr>
                <w:rFonts w:hint="eastAsia" w:ascii="仿宋" w:hAnsi="仿宋" w:eastAsia="仿宋" w:cs="仿宋"/>
                <w:sz w:val="24"/>
                <w:lang w:val="en-US" w:eastAsia="zh-CN"/>
              </w:rPr>
              <w:t>86</w:t>
            </w:r>
          </w:p>
        </w:tc>
        <w:tc>
          <w:tcPr>
            <w:tcW w:w="882" w:type="dxa"/>
            <w:tcBorders>
              <w:right w:val="single" w:color="808080" w:sz="8" w:space="0"/>
            </w:tcBorders>
            <w:vAlign w:val="top"/>
          </w:tcPr>
          <w:p w14:paraId="27F59017">
            <w:pPr>
              <w:jc w:val="center"/>
              <w:rPr>
                <w:rFonts w:hint="eastAsia" w:ascii="仿宋" w:hAnsi="仿宋" w:eastAsia="仿宋" w:cs="仿宋"/>
                <w:sz w:val="24"/>
              </w:rPr>
            </w:pPr>
            <w:r>
              <w:rPr>
                <w:rFonts w:hint="eastAsia" w:ascii="仿宋" w:hAnsi="仿宋" w:eastAsia="仿宋" w:cs="仿宋"/>
                <w:sz w:val="24"/>
              </w:rPr>
              <w:t>683700</w:t>
            </w:r>
          </w:p>
        </w:tc>
      </w:tr>
      <w:tr w14:paraId="32536CE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00" w:hRule="atLeast"/>
          <w:jc w:val="center"/>
        </w:trPr>
        <w:tc>
          <w:tcPr>
            <w:tcW w:w="639" w:type="dxa"/>
            <w:vMerge w:val="continue"/>
            <w:tcBorders>
              <w:left w:val="single" w:color="2C2C2C" w:sz="4" w:space="0"/>
              <w:right w:val="single" w:color="2C2C2C" w:sz="8" w:space="0"/>
            </w:tcBorders>
            <w:vAlign w:val="top"/>
          </w:tcPr>
          <w:p w14:paraId="4DD7B23D">
            <w:pPr>
              <w:jc w:val="center"/>
              <w:rPr>
                <w:rFonts w:hint="eastAsia" w:ascii="仿宋" w:hAnsi="仿宋" w:eastAsia="仿宋" w:cs="仿宋"/>
                <w:sz w:val="24"/>
              </w:rPr>
            </w:pPr>
          </w:p>
        </w:tc>
        <w:tc>
          <w:tcPr>
            <w:tcW w:w="449" w:type="dxa"/>
            <w:tcBorders>
              <w:top w:val="single" w:color="2C2C2C" w:sz="8" w:space="0"/>
              <w:left w:val="single" w:color="2C2C2C" w:sz="8" w:space="0"/>
              <w:bottom w:val="single" w:color="2C2C2C" w:sz="8" w:space="0"/>
              <w:right w:val="single" w:color="2C2C2C" w:sz="8" w:space="0"/>
            </w:tcBorders>
            <w:vAlign w:val="top"/>
          </w:tcPr>
          <w:p w14:paraId="4D8E9CC6">
            <w:pPr>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1412" w:type="dxa"/>
            <w:tcBorders>
              <w:top w:val="single" w:color="2C2C2C" w:sz="8" w:space="0"/>
              <w:left w:val="single" w:color="2C2C2C" w:sz="8" w:space="0"/>
              <w:bottom w:val="single" w:color="2C2C2C" w:sz="8" w:space="0"/>
              <w:right w:val="single" w:color="2C2C2C" w:sz="8" w:space="0"/>
            </w:tcBorders>
            <w:vAlign w:val="top"/>
          </w:tcPr>
          <w:p w14:paraId="3159760B">
            <w:pPr>
              <w:jc w:val="center"/>
              <w:rPr>
                <w:rFonts w:hint="eastAsia" w:ascii="仿宋" w:hAnsi="仿宋" w:eastAsia="仿宋" w:cs="仿宋"/>
                <w:sz w:val="24"/>
              </w:rPr>
            </w:pPr>
            <w:r>
              <w:rPr>
                <w:rFonts w:hint="eastAsia" w:ascii="仿宋" w:hAnsi="仿宋" w:eastAsia="仿宋" w:cs="仿宋"/>
                <w:sz w:val="24"/>
              </w:rPr>
              <w:t>资源管理工作站</w:t>
            </w:r>
          </w:p>
        </w:tc>
        <w:tc>
          <w:tcPr>
            <w:tcW w:w="2128" w:type="dxa"/>
            <w:vAlign w:val="top"/>
          </w:tcPr>
          <w:p w14:paraId="302E69D1">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型号：ThinkStation PX</w:t>
            </w:r>
          </w:p>
          <w:p w14:paraId="57C4D2E7">
            <w:pPr>
              <w:jc w:val="center"/>
              <w:rPr>
                <w:rFonts w:hint="eastAsia" w:ascii="仿宋" w:hAnsi="仿宋" w:eastAsia="仿宋" w:cs="仿宋"/>
                <w:sz w:val="24"/>
              </w:rPr>
            </w:pPr>
            <w:r>
              <w:rPr>
                <w:rFonts w:hint="eastAsia" w:ascii="仿宋" w:hAnsi="仿宋" w:eastAsia="仿宋" w:cs="仿宋"/>
                <w:sz w:val="24"/>
                <w:lang w:val="en-US" w:eastAsia="zh-CN"/>
              </w:rPr>
              <w:t>规格：详见技术偏离表</w:t>
            </w:r>
          </w:p>
        </w:tc>
        <w:tc>
          <w:tcPr>
            <w:tcW w:w="528" w:type="dxa"/>
            <w:vAlign w:val="top"/>
          </w:tcPr>
          <w:p w14:paraId="3EFB604A">
            <w:pPr>
              <w:jc w:val="center"/>
              <w:rPr>
                <w:rFonts w:hint="eastAsia" w:ascii="仿宋" w:hAnsi="仿宋" w:eastAsia="仿宋" w:cs="仿宋"/>
                <w:sz w:val="24"/>
                <w:lang w:val="en-US" w:eastAsia="zh-CN"/>
              </w:rPr>
            </w:pPr>
            <w:r>
              <w:rPr>
                <w:rFonts w:hint="eastAsia" w:ascii="仿宋" w:hAnsi="仿宋" w:eastAsia="仿宋" w:cs="仿宋"/>
                <w:sz w:val="24"/>
                <w:lang w:val="en-US" w:eastAsia="zh-CN"/>
              </w:rPr>
              <w:t>联想</w:t>
            </w:r>
          </w:p>
        </w:tc>
        <w:tc>
          <w:tcPr>
            <w:tcW w:w="639" w:type="dxa"/>
            <w:vAlign w:val="top"/>
          </w:tcPr>
          <w:p w14:paraId="7DA7A738">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北京</w:t>
            </w:r>
          </w:p>
        </w:tc>
        <w:tc>
          <w:tcPr>
            <w:tcW w:w="2218" w:type="dxa"/>
            <w:vAlign w:val="top"/>
          </w:tcPr>
          <w:p w14:paraId="6E7D1203">
            <w:pPr>
              <w:jc w:val="center"/>
              <w:rPr>
                <w:rFonts w:hint="eastAsia" w:ascii="仿宋" w:hAnsi="仿宋" w:eastAsia="仿宋" w:cs="仿宋"/>
                <w:sz w:val="24"/>
              </w:rPr>
            </w:pPr>
            <w:r>
              <w:rPr>
                <w:rFonts w:hint="eastAsia" w:ascii="仿宋" w:hAnsi="仿宋" w:eastAsia="仿宋" w:cs="仿宋"/>
                <w:sz w:val="24"/>
                <w:lang w:val="en-US" w:eastAsia="zh-CN"/>
              </w:rPr>
              <w:t>联想（北京）有限公司</w:t>
            </w:r>
          </w:p>
        </w:tc>
        <w:tc>
          <w:tcPr>
            <w:tcW w:w="875" w:type="dxa"/>
            <w:vAlign w:val="top"/>
          </w:tcPr>
          <w:p w14:paraId="2BF9995C">
            <w:pPr>
              <w:jc w:val="center"/>
              <w:rPr>
                <w:rFonts w:hint="eastAsia" w:ascii="仿宋" w:hAnsi="仿宋" w:eastAsia="仿宋" w:cs="仿宋"/>
                <w:sz w:val="24"/>
              </w:rPr>
            </w:pPr>
            <w:r>
              <w:rPr>
                <w:rFonts w:hint="eastAsia" w:ascii="仿宋" w:hAnsi="仿宋" w:eastAsia="仿宋" w:cs="仿宋"/>
                <w:sz w:val="24"/>
              </w:rPr>
              <w:t>41430</w:t>
            </w:r>
          </w:p>
        </w:tc>
        <w:tc>
          <w:tcPr>
            <w:tcW w:w="404" w:type="dxa"/>
            <w:vAlign w:val="top"/>
          </w:tcPr>
          <w:p w14:paraId="0B52E248">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882" w:type="dxa"/>
            <w:tcBorders>
              <w:right w:val="single" w:color="808080" w:sz="8" w:space="0"/>
            </w:tcBorders>
            <w:vAlign w:val="top"/>
          </w:tcPr>
          <w:p w14:paraId="2429F29F">
            <w:pPr>
              <w:jc w:val="center"/>
              <w:rPr>
                <w:rFonts w:hint="eastAsia" w:ascii="仿宋" w:hAnsi="仿宋" w:eastAsia="仿宋" w:cs="仿宋"/>
                <w:sz w:val="24"/>
              </w:rPr>
            </w:pPr>
            <w:r>
              <w:rPr>
                <w:rFonts w:hint="eastAsia" w:ascii="仿宋" w:hAnsi="仿宋" w:eastAsia="仿宋" w:cs="仿宋"/>
                <w:sz w:val="24"/>
              </w:rPr>
              <w:t>41430</w:t>
            </w:r>
          </w:p>
        </w:tc>
      </w:tr>
      <w:tr w14:paraId="0E7B3D4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00" w:hRule="atLeast"/>
          <w:jc w:val="center"/>
        </w:trPr>
        <w:tc>
          <w:tcPr>
            <w:tcW w:w="639" w:type="dxa"/>
            <w:vMerge w:val="continue"/>
            <w:tcBorders>
              <w:left w:val="single" w:color="2C2C2C" w:sz="4" w:space="0"/>
              <w:right w:val="single" w:color="2C2C2C" w:sz="8" w:space="0"/>
            </w:tcBorders>
            <w:vAlign w:val="top"/>
          </w:tcPr>
          <w:p w14:paraId="1E43C484">
            <w:pPr>
              <w:jc w:val="center"/>
              <w:rPr>
                <w:rFonts w:hint="eastAsia" w:ascii="仿宋" w:hAnsi="仿宋" w:eastAsia="仿宋" w:cs="仿宋"/>
                <w:sz w:val="24"/>
              </w:rPr>
            </w:pPr>
          </w:p>
        </w:tc>
        <w:tc>
          <w:tcPr>
            <w:tcW w:w="449" w:type="dxa"/>
            <w:tcBorders>
              <w:top w:val="single" w:color="2C2C2C" w:sz="8" w:space="0"/>
              <w:left w:val="single" w:color="2C2C2C" w:sz="8" w:space="0"/>
              <w:bottom w:val="single" w:color="2C2C2C" w:sz="8" w:space="0"/>
              <w:right w:val="single" w:color="2C2C2C" w:sz="8" w:space="0"/>
            </w:tcBorders>
            <w:vAlign w:val="top"/>
          </w:tcPr>
          <w:p w14:paraId="4476FF80">
            <w:pPr>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1412" w:type="dxa"/>
            <w:tcBorders>
              <w:top w:val="single" w:color="2C2C2C" w:sz="8" w:space="0"/>
              <w:left w:val="single" w:color="2C2C2C" w:sz="8" w:space="0"/>
              <w:bottom w:val="single" w:color="2C2C2C" w:sz="8" w:space="0"/>
              <w:right w:val="single" w:color="2C2C2C" w:sz="8" w:space="0"/>
            </w:tcBorders>
            <w:vAlign w:val="top"/>
          </w:tcPr>
          <w:p w14:paraId="662DBFBD">
            <w:pPr>
              <w:jc w:val="center"/>
              <w:rPr>
                <w:rFonts w:hint="eastAsia" w:ascii="仿宋" w:hAnsi="仿宋" w:eastAsia="仿宋" w:cs="仿宋"/>
                <w:sz w:val="24"/>
              </w:rPr>
            </w:pPr>
            <w:r>
              <w:rPr>
                <w:rFonts w:hint="eastAsia" w:ascii="仿宋" w:hAnsi="仿宋" w:eastAsia="仿宋" w:cs="仿宋"/>
                <w:sz w:val="24"/>
              </w:rPr>
              <w:t>高性能图形工作站</w:t>
            </w:r>
          </w:p>
        </w:tc>
        <w:tc>
          <w:tcPr>
            <w:tcW w:w="2128" w:type="dxa"/>
            <w:vAlign w:val="top"/>
          </w:tcPr>
          <w:p w14:paraId="65343B60">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型号：ThinkStation PX</w:t>
            </w:r>
          </w:p>
          <w:p w14:paraId="16A034D3">
            <w:pPr>
              <w:jc w:val="center"/>
              <w:rPr>
                <w:rFonts w:hint="eastAsia" w:ascii="仿宋" w:hAnsi="仿宋" w:eastAsia="仿宋" w:cs="仿宋"/>
                <w:sz w:val="24"/>
                <w:lang w:eastAsia="zh-CN"/>
              </w:rPr>
            </w:pPr>
            <w:r>
              <w:rPr>
                <w:rFonts w:hint="eastAsia" w:ascii="仿宋" w:hAnsi="仿宋" w:eastAsia="仿宋" w:cs="仿宋"/>
                <w:sz w:val="24"/>
                <w:lang w:val="en-US" w:eastAsia="zh-CN"/>
              </w:rPr>
              <w:t>规格：详见技术偏离表</w:t>
            </w:r>
          </w:p>
        </w:tc>
        <w:tc>
          <w:tcPr>
            <w:tcW w:w="528" w:type="dxa"/>
            <w:vAlign w:val="top"/>
          </w:tcPr>
          <w:p w14:paraId="34135DB6">
            <w:pPr>
              <w:jc w:val="center"/>
              <w:rPr>
                <w:rFonts w:hint="eastAsia" w:ascii="仿宋" w:hAnsi="仿宋" w:eastAsia="仿宋" w:cs="仿宋"/>
                <w:sz w:val="24"/>
                <w:lang w:val="en-US" w:eastAsia="zh-CN"/>
              </w:rPr>
            </w:pPr>
            <w:r>
              <w:rPr>
                <w:rFonts w:hint="eastAsia" w:ascii="仿宋" w:hAnsi="仿宋" w:eastAsia="仿宋" w:cs="仿宋"/>
                <w:sz w:val="24"/>
                <w:lang w:val="en-US" w:eastAsia="zh-CN"/>
              </w:rPr>
              <w:t>联想</w:t>
            </w:r>
          </w:p>
        </w:tc>
        <w:tc>
          <w:tcPr>
            <w:tcW w:w="639" w:type="dxa"/>
            <w:vAlign w:val="top"/>
          </w:tcPr>
          <w:p w14:paraId="538D57A8">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北京</w:t>
            </w:r>
          </w:p>
        </w:tc>
        <w:tc>
          <w:tcPr>
            <w:tcW w:w="2218" w:type="dxa"/>
            <w:vAlign w:val="top"/>
          </w:tcPr>
          <w:p w14:paraId="1B2EC6E3">
            <w:pPr>
              <w:jc w:val="center"/>
              <w:rPr>
                <w:rFonts w:hint="eastAsia" w:ascii="仿宋" w:hAnsi="仿宋" w:eastAsia="仿宋" w:cs="仿宋"/>
                <w:sz w:val="24"/>
              </w:rPr>
            </w:pPr>
            <w:r>
              <w:rPr>
                <w:rFonts w:hint="eastAsia" w:ascii="仿宋" w:hAnsi="仿宋" w:eastAsia="仿宋" w:cs="仿宋"/>
                <w:sz w:val="24"/>
                <w:lang w:val="en-US" w:eastAsia="zh-CN"/>
              </w:rPr>
              <w:t>联想（北京）有限公司</w:t>
            </w:r>
          </w:p>
        </w:tc>
        <w:tc>
          <w:tcPr>
            <w:tcW w:w="875" w:type="dxa"/>
            <w:vAlign w:val="top"/>
          </w:tcPr>
          <w:p w14:paraId="002DF46E">
            <w:pPr>
              <w:jc w:val="center"/>
              <w:rPr>
                <w:rFonts w:hint="eastAsia" w:ascii="仿宋" w:hAnsi="仿宋" w:eastAsia="仿宋" w:cs="仿宋"/>
                <w:sz w:val="24"/>
                <w:lang w:val="en-US" w:eastAsia="zh-CN"/>
              </w:rPr>
            </w:pPr>
            <w:r>
              <w:rPr>
                <w:rFonts w:hint="eastAsia" w:ascii="仿宋" w:hAnsi="仿宋" w:eastAsia="仿宋" w:cs="仿宋"/>
                <w:sz w:val="24"/>
              </w:rPr>
              <w:t>107</w:t>
            </w:r>
            <w:r>
              <w:rPr>
                <w:rFonts w:hint="eastAsia" w:ascii="仿宋" w:hAnsi="仿宋" w:eastAsia="仿宋" w:cs="仿宋"/>
                <w:sz w:val="24"/>
                <w:lang w:val="en-US" w:eastAsia="zh-CN"/>
              </w:rPr>
              <w:t>000</w:t>
            </w:r>
          </w:p>
        </w:tc>
        <w:tc>
          <w:tcPr>
            <w:tcW w:w="404" w:type="dxa"/>
            <w:vAlign w:val="top"/>
          </w:tcPr>
          <w:p w14:paraId="6DD24F7E">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882" w:type="dxa"/>
            <w:tcBorders>
              <w:right w:val="single" w:color="808080" w:sz="8" w:space="0"/>
            </w:tcBorders>
            <w:vAlign w:val="top"/>
          </w:tcPr>
          <w:p w14:paraId="720F5161">
            <w:pPr>
              <w:jc w:val="center"/>
              <w:rPr>
                <w:rFonts w:hint="eastAsia" w:ascii="仿宋" w:hAnsi="仿宋" w:eastAsia="仿宋" w:cs="仿宋"/>
                <w:sz w:val="24"/>
                <w:lang w:val="en-US" w:eastAsia="zh-CN"/>
              </w:rPr>
            </w:pPr>
            <w:r>
              <w:rPr>
                <w:rFonts w:hint="eastAsia" w:ascii="仿宋" w:hAnsi="仿宋" w:eastAsia="仿宋" w:cs="仿宋"/>
                <w:sz w:val="24"/>
              </w:rPr>
              <w:t>21</w:t>
            </w:r>
            <w:r>
              <w:rPr>
                <w:rFonts w:hint="eastAsia" w:ascii="仿宋" w:hAnsi="仿宋" w:eastAsia="仿宋" w:cs="仿宋"/>
                <w:sz w:val="24"/>
                <w:lang w:val="en-US" w:eastAsia="zh-CN"/>
              </w:rPr>
              <w:t>4000</w:t>
            </w:r>
          </w:p>
        </w:tc>
      </w:tr>
      <w:tr w14:paraId="53BF2E5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986" w:hRule="atLeast"/>
          <w:jc w:val="center"/>
        </w:trPr>
        <w:tc>
          <w:tcPr>
            <w:tcW w:w="639" w:type="dxa"/>
            <w:vMerge w:val="continue"/>
            <w:tcBorders>
              <w:left w:val="single" w:color="2C2C2C" w:sz="4" w:space="0"/>
              <w:right w:val="single" w:color="2C2C2C" w:sz="8" w:space="0"/>
            </w:tcBorders>
            <w:vAlign w:val="top"/>
          </w:tcPr>
          <w:p w14:paraId="3FE795CE">
            <w:pPr>
              <w:jc w:val="center"/>
              <w:rPr>
                <w:rFonts w:hint="eastAsia" w:ascii="仿宋" w:hAnsi="仿宋" w:eastAsia="仿宋" w:cs="仿宋"/>
                <w:sz w:val="24"/>
              </w:rPr>
            </w:pPr>
          </w:p>
        </w:tc>
        <w:tc>
          <w:tcPr>
            <w:tcW w:w="449" w:type="dxa"/>
            <w:tcBorders>
              <w:top w:val="single" w:color="2C2C2C" w:sz="8" w:space="0"/>
              <w:left w:val="single" w:color="2C2C2C" w:sz="8" w:space="0"/>
              <w:bottom w:val="single" w:color="2C2C2C" w:sz="8" w:space="0"/>
              <w:right w:val="single" w:color="2C2C2C" w:sz="8" w:space="0"/>
            </w:tcBorders>
            <w:vAlign w:val="top"/>
          </w:tcPr>
          <w:p w14:paraId="24934700">
            <w:pPr>
              <w:jc w:val="center"/>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1412" w:type="dxa"/>
            <w:tcBorders>
              <w:top w:val="single" w:color="2C2C2C" w:sz="8" w:space="0"/>
              <w:left w:val="single" w:color="2C2C2C" w:sz="8" w:space="0"/>
              <w:bottom w:val="single" w:color="2C2C2C" w:sz="8" w:space="0"/>
              <w:right w:val="single" w:color="2C2C2C" w:sz="8" w:space="0"/>
            </w:tcBorders>
            <w:vAlign w:val="top"/>
          </w:tcPr>
          <w:p w14:paraId="2852120E">
            <w:pPr>
              <w:jc w:val="center"/>
              <w:rPr>
                <w:rFonts w:hint="eastAsia" w:ascii="仿宋" w:hAnsi="仿宋" w:eastAsia="仿宋" w:cs="仿宋"/>
                <w:sz w:val="24"/>
              </w:rPr>
            </w:pPr>
            <w:r>
              <w:rPr>
                <w:rFonts w:hint="eastAsia" w:ascii="仿宋" w:hAnsi="仿宋" w:eastAsia="仿宋" w:cs="仿宋"/>
                <w:sz w:val="24"/>
              </w:rPr>
              <w:t>机房环境改造</w:t>
            </w:r>
          </w:p>
        </w:tc>
        <w:tc>
          <w:tcPr>
            <w:tcW w:w="2128" w:type="dxa"/>
            <w:vAlign w:val="top"/>
          </w:tcPr>
          <w:p w14:paraId="22B6FF6D">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型号：定制</w:t>
            </w:r>
          </w:p>
          <w:p w14:paraId="3B91260F">
            <w:pPr>
              <w:jc w:val="center"/>
              <w:rPr>
                <w:rFonts w:hint="eastAsia" w:ascii="仿宋" w:hAnsi="仿宋" w:eastAsia="仿宋" w:cs="仿宋"/>
                <w:sz w:val="24"/>
                <w:lang w:val="en-US" w:eastAsia="zh-CN"/>
              </w:rPr>
            </w:pPr>
            <w:r>
              <w:rPr>
                <w:rFonts w:hint="eastAsia" w:ascii="仿宋" w:hAnsi="仿宋" w:eastAsia="仿宋" w:cs="仿宋"/>
                <w:sz w:val="24"/>
                <w:lang w:val="en-US" w:eastAsia="zh-CN"/>
              </w:rPr>
              <w:t>规格：详见技术偏离表</w:t>
            </w:r>
          </w:p>
        </w:tc>
        <w:tc>
          <w:tcPr>
            <w:tcW w:w="528" w:type="dxa"/>
            <w:vAlign w:val="top"/>
          </w:tcPr>
          <w:p w14:paraId="6EB0E348">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数投</w:t>
            </w:r>
          </w:p>
        </w:tc>
        <w:tc>
          <w:tcPr>
            <w:tcW w:w="639" w:type="dxa"/>
            <w:vAlign w:val="top"/>
          </w:tcPr>
          <w:p w14:paraId="1B79FAE2">
            <w:pPr>
              <w:jc w:val="center"/>
              <w:rPr>
                <w:rFonts w:hint="eastAsia" w:ascii="仿宋" w:hAnsi="仿宋" w:eastAsia="仿宋" w:cs="仿宋"/>
                <w:sz w:val="24"/>
                <w:lang w:val="en-US" w:eastAsia="zh-CN"/>
              </w:rPr>
            </w:pPr>
            <w:r>
              <w:rPr>
                <w:rFonts w:hint="eastAsia" w:ascii="仿宋" w:hAnsi="仿宋" w:eastAsia="仿宋" w:cs="仿宋"/>
                <w:sz w:val="24"/>
                <w:lang w:val="en-US" w:eastAsia="zh-CN"/>
              </w:rPr>
              <w:t>鄂尔多斯</w:t>
            </w:r>
          </w:p>
        </w:tc>
        <w:tc>
          <w:tcPr>
            <w:tcW w:w="2218" w:type="dxa"/>
            <w:vAlign w:val="top"/>
          </w:tcPr>
          <w:p w14:paraId="535BBD7C">
            <w:pPr>
              <w:jc w:val="center"/>
              <w:rPr>
                <w:rFonts w:hint="eastAsia" w:ascii="仿宋" w:hAnsi="仿宋" w:eastAsia="仿宋" w:cs="仿宋"/>
                <w:sz w:val="24"/>
              </w:rPr>
            </w:pPr>
            <w:r>
              <w:rPr>
                <w:rFonts w:hint="eastAsia" w:ascii="仿宋" w:hAnsi="仿宋" w:eastAsia="仿宋" w:cs="仿宋"/>
                <w:spacing w:val="-10"/>
                <w:sz w:val="24"/>
              </w:rPr>
              <w:t>鄂尔多斯市数字经济发展投资有限责任公司</w:t>
            </w:r>
          </w:p>
        </w:tc>
        <w:tc>
          <w:tcPr>
            <w:tcW w:w="875" w:type="dxa"/>
            <w:vAlign w:val="top"/>
          </w:tcPr>
          <w:p w14:paraId="2B079CDC">
            <w:pPr>
              <w:jc w:val="center"/>
              <w:rPr>
                <w:rFonts w:hint="eastAsia" w:ascii="仿宋" w:hAnsi="仿宋" w:eastAsia="仿宋" w:cs="仿宋"/>
                <w:sz w:val="24"/>
              </w:rPr>
            </w:pPr>
            <w:r>
              <w:rPr>
                <w:rFonts w:hint="eastAsia" w:ascii="仿宋" w:hAnsi="仿宋" w:eastAsia="仿宋" w:cs="仿宋"/>
                <w:sz w:val="24"/>
              </w:rPr>
              <w:t>161</w:t>
            </w:r>
            <w:r>
              <w:rPr>
                <w:rFonts w:hint="eastAsia" w:ascii="仿宋" w:hAnsi="仿宋" w:eastAsia="仿宋" w:cs="仿宋"/>
                <w:sz w:val="24"/>
                <w:lang w:val="en-US" w:eastAsia="zh-CN"/>
              </w:rPr>
              <w:t>00</w:t>
            </w:r>
            <w:r>
              <w:rPr>
                <w:rFonts w:hint="eastAsia" w:ascii="仿宋" w:hAnsi="仿宋" w:eastAsia="仿宋" w:cs="仿宋"/>
                <w:sz w:val="24"/>
              </w:rPr>
              <w:t>0</w:t>
            </w:r>
          </w:p>
        </w:tc>
        <w:tc>
          <w:tcPr>
            <w:tcW w:w="404" w:type="dxa"/>
            <w:vAlign w:val="top"/>
          </w:tcPr>
          <w:p w14:paraId="54AC7234">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882" w:type="dxa"/>
            <w:tcBorders>
              <w:right w:val="single" w:color="808080" w:sz="8" w:space="0"/>
            </w:tcBorders>
            <w:vAlign w:val="top"/>
          </w:tcPr>
          <w:p w14:paraId="69450560">
            <w:pPr>
              <w:jc w:val="center"/>
              <w:rPr>
                <w:rFonts w:hint="eastAsia" w:ascii="仿宋" w:hAnsi="仿宋" w:eastAsia="仿宋" w:cs="仿宋"/>
                <w:sz w:val="24"/>
              </w:rPr>
            </w:pPr>
            <w:r>
              <w:rPr>
                <w:rFonts w:hint="eastAsia" w:ascii="仿宋" w:hAnsi="仿宋" w:eastAsia="仿宋" w:cs="仿宋"/>
                <w:sz w:val="24"/>
              </w:rPr>
              <w:t>161</w:t>
            </w:r>
            <w:r>
              <w:rPr>
                <w:rFonts w:hint="eastAsia" w:ascii="仿宋" w:hAnsi="仿宋" w:eastAsia="仿宋" w:cs="仿宋"/>
                <w:sz w:val="24"/>
                <w:lang w:val="en-US" w:eastAsia="zh-CN"/>
              </w:rPr>
              <w:t>00</w:t>
            </w:r>
            <w:r>
              <w:rPr>
                <w:rFonts w:hint="eastAsia" w:ascii="仿宋" w:hAnsi="仿宋" w:eastAsia="仿宋" w:cs="仿宋"/>
                <w:sz w:val="24"/>
              </w:rPr>
              <w:t>0</w:t>
            </w:r>
          </w:p>
        </w:tc>
      </w:tr>
      <w:tr w14:paraId="744552C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710" w:hRule="atLeast"/>
          <w:jc w:val="center"/>
        </w:trPr>
        <w:tc>
          <w:tcPr>
            <w:tcW w:w="639" w:type="dxa"/>
            <w:tcBorders>
              <w:left w:val="single" w:color="2C2C2C" w:sz="4" w:space="0"/>
              <w:bottom w:val="single" w:color="2C2C2C" w:sz="4" w:space="0"/>
              <w:right w:val="single" w:color="2C2C2C" w:sz="8" w:space="0"/>
            </w:tcBorders>
            <w:vAlign w:val="top"/>
          </w:tcPr>
          <w:p w14:paraId="3C11DBFA">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总计</w:t>
            </w:r>
          </w:p>
        </w:tc>
        <w:tc>
          <w:tcPr>
            <w:tcW w:w="8653" w:type="dxa"/>
            <w:gridSpan w:val="8"/>
            <w:tcBorders>
              <w:top w:val="single" w:color="2C2C2C" w:sz="8" w:space="0"/>
              <w:left w:val="single" w:color="2C2C2C" w:sz="8" w:space="0"/>
              <w:bottom w:val="single" w:color="2C2C2C" w:sz="4" w:space="0"/>
            </w:tcBorders>
            <w:vAlign w:val="top"/>
          </w:tcPr>
          <w:p w14:paraId="12014434">
            <w:pPr>
              <w:jc w:val="center"/>
              <w:rPr>
                <w:rFonts w:hint="eastAsia" w:ascii="仿宋" w:hAnsi="仿宋" w:eastAsia="仿宋" w:cs="仿宋"/>
                <w:sz w:val="24"/>
                <w:lang w:val="en-US" w:eastAsia="zh-CN"/>
              </w:rPr>
            </w:pPr>
          </w:p>
        </w:tc>
        <w:tc>
          <w:tcPr>
            <w:tcW w:w="882" w:type="dxa"/>
            <w:tcBorders>
              <w:bottom w:val="single" w:color="808080" w:sz="8" w:space="0"/>
              <w:right w:val="single" w:color="808080" w:sz="8" w:space="0"/>
            </w:tcBorders>
            <w:vAlign w:val="center"/>
          </w:tcPr>
          <w:p w14:paraId="72C2059D">
            <w:pPr>
              <w:keepNext w:val="0"/>
              <w:keepLines w:val="0"/>
              <w:widowControl/>
              <w:suppressLineNumbers w:val="0"/>
              <w:jc w:val="righ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2668000</w:t>
            </w:r>
          </w:p>
        </w:tc>
      </w:tr>
    </w:tbl>
    <w:p w14:paraId="3F8B31B3">
      <w:pPr>
        <w:pStyle w:val="9"/>
        <w:ind w:left="0" w:leftChars="0" w:firstLine="0" w:firstLineChars="0"/>
        <w:rPr>
          <w:rFonts w:hint="eastAsia" w:ascii="宋体" w:hAnsi="宋体" w:eastAsia="宋体" w:cs="宋体"/>
          <w:highlight w:val="none"/>
          <w:lang w:val="en-US" w:eastAsia="zh-CN"/>
        </w:rPr>
      </w:pPr>
    </w:p>
    <w:p w14:paraId="3E7DFDD5">
      <w:pPr>
        <w:pStyle w:val="10"/>
        <w:numPr>
          <w:ilvl w:val="0"/>
          <w:numId w:val="0"/>
        </w:numPr>
        <w:spacing w:line="600" w:lineRule="auto"/>
        <w:rPr>
          <w:rFonts w:hint="eastAsia" w:ascii="仿宋" w:hAnsi="仿宋" w:eastAsia="仿宋" w:cs="宋体"/>
          <w:b/>
          <w:bCs/>
          <w:kern w:val="44"/>
          <w:sz w:val="28"/>
          <w:szCs w:val="24"/>
        </w:rPr>
      </w:pPr>
      <w:r>
        <w:rPr>
          <w:rFonts w:hint="eastAsia" w:ascii="黑体" w:hAnsi="黑体" w:eastAsia="黑体" w:cs="宋体"/>
          <w:bCs/>
          <w:color w:val="000000"/>
          <w:kern w:val="44"/>
          <w:sz w:val="32"/>
          <w:szCs w:val="32"/>
        </w:rPr>
        <w:br w:type="page"/>
      </w:r>
      <w:r>
        <w:rPr>
          <w:rFonts w:hint="eastAsia" w:ascii="仿宋" w:hAnsi="仿宋" w:eastAsia="仿宋" w:cs="宋体"/>
          <w:b/>
          <w:bCs/>
          <w:kern w:val="44"/>
          <w:sz w:val="28"/>
          <w:szCs w:val="24"/>
        </w:rPr>
        <w:t>附表1：</w:t>
      </w:r>
    </w:p>
    <w:tbl>
      <w:tblPr>
        <w:tblStyle w:val="6"/>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571"/>
        <w:gridCol w:w="310"/>
        <w:gridCol w:w="3054"/>
        <w:gridCol w:w="3458"/>
        <w:gridCol w:w="739"/>
        <w:gridCol w:w="486"/>
      </w:tblGrid>
      <w:tr w14:paraId="2DBF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81" w:type="dxa"/>
          </w:tcPr>
          <w:p w14:paraId="4A2AA696">
            <w:pPr>
              <w:pStyle w:val="11"/>
              <w:spacing w:before="88" w:line="223" w:lineRule="auto"/>
              <w:jc w:val="both"/>
              <w:rPr>
                <w:rFonts w:hint="eastAsia" w:ascii="仿宋" w:hAnsi="仿宋" w:eastAsia="仿宋" w:cs="仿宋"/>
                <w:sz w:val="24"/>
                <w:szCs w:val="24"/>
                <w:lang w:eastAsia="zh-Hans"/>
              </w:rPr>
            </w:pPr>
            <w:r>
              <w:rPr>
                <w:rFonts w:hint="eastAsia" w:ascii="仿宋" w:hAnsi="仿宋" w:eastAsia="仿宋" w:cs="仿宋"/>
                <w:spacing w:val="3"/>
                <w:sz w:val="24"/>
                <w:szCs w:val="24"/>
              </w:rPr>
              <w:t>序号</w:t>
            </w:r>
          </w:p>
        </w:tc>
        <w:tc>
          <w:tcPr>
            <w:tcW w:w="571" w:type="dxa"/>
          </w:tcPr>
          <w:p w14:paraId="438D635E">
            <w:pPr>
              <w:pStyle w:val="11"/>
              <w:spacing w:before="89" w:line="222" w:lineRule="auto"/>
              <w:ind w:left="95"/>
              <w:jc w:val="both"/>
              <w:rPr>
                <w:rFonts w:hint="eastAsia" w:ascii="仿宋" w:hAnsi="仿宋" w:eastAsia="仿宋" w:cs="仿宋"/>
                <w:sz w:val="24"/>
                <w:szCs w:val="24"/>
                <w:lang w:eastAsia="zh-Hans"/>
              </w:rPr>
            </w:pPr>
            <w:r>
              <w:rPr>
                <w:rFonts w:hint="eastAsia" w:ascii="仿宋" w:hAnsi="仿宋" w:eastAsia="仿宋" w:cs="仿宋"/>
                <w:spacing w:val="8"/>
                <w:sz w:val="24"/>
                <w:szCs w:val="24"/>
              </w:rPr>
              <w:t>标的名称</w:t>
            </w:r>
          </w:p>
        </w:tc>
        <w:tc>
          <w:tcPr>
            <w:tcW w:w="3364" w:type="dxa"/>
            <w:gridSpan w:val="2"/>
          </w:tcPr>
          <w:p w14:paraId="32379D5F">
            <w:pPr>
              <w:pStyle w:val="11"/>
              <w:spacing w:before="89" w:line="221" w:lineRule="auto"/>
              <w:ind w:left="101"/>
              <w:jc w:val="center"/>
              <w:rPr>
                <w:rFonts w:hint="eastAsia" w:ascii="仿宋" w:hAnsi="仿宋" w:eastAsia="仿宋" w:cs="仿宋"/>
                <w:sz w:val="24"/>
                <w:szCs w:val="24"/>
                <w:lang w:eastAsia="zh-Hans"/>
              </w:rPr>
            </w:pPr>
            <w:r>
              <w:rPr>
                <w:rFonts w:hint="eastAsia" w:ascii="仿宋" w:hAnsi="仿宋" w:eastAsia="仿宋" w:cs="仿宋"/>
                <w:spacing w:val="10"/>
                <w:sz w:val="24"/>
                <w:szCs w:val="24"/>
              </w:rPr>
              <w:t>招标技术要求</w:t>
            </w:r>
          </w:p>
        </w:tc>
        <w:tc>
          <w:tcPr>
            <w:tcW w:w="3458" w:type="dxa"/>
          </w:tcPr>
          <w:p w14:paraId="26F1A090">
            <w:pPr>
              <w:pStyle w:val="11"/>
              <w:spacing w:before="89" w:line="221" w:lineRule="auto"/>
              <w:ind w:left="101"/>
              <w:jc w:val="center"/>
              <w:rPr>
                <w:rFonts w:hint="eastAsia" w:ascii="仿宋" w:hAnsi="仿宋" w:eastAsia="仿宋" w:cs="仿宋"/>
                <w:sz w:val="24"/>
                <w:szCs w:val="24"/>
                <w:lang w:eastAsia="zh-Hans"/>
              </w:rPr>
            </w:pPr>
            <w:r>
              <w:rPr>
                <w:rFonts w:hint="eastAsia" w:ascii="仿宋" w:hAnsi="仿宋" w:eastAsia="仿宋" w:cs="仿宋"/>
                <w:spacing w:val="10"/>
                <w:sz w:val="24"/>
                <w:szCs w:val="24"/>
              </w:rPr>
              <w:t>投标响应内容</w:t>
            </w:r>
          </w:p>
        </w:tc>
        <w:tc>
          <w:tcPr>
            <w:tcW w:w="739" w:type="dxa"/>
          </w:tcPr>
          <w:p w14:paraId="06DFD132">
            <w:pPr>
              <w:pStyle w:val="11"/>
              <w:spacing w:before="89" w:line="221" w:lineRule="auto"/>
              <w:jc w:val="both"/>
              <w:rPr>
                <w:rFonts w:hint="eastAsia" w:ascii="仿宋" w:hAnsi="仿宋" w:eastAsia="仿宋" w:cs="仿宋"/>
                <w:sz w:val="24"/>
                <w:szCs w:val="24"/>
                <w:lang w:eastAsia="zh-Hans"/>
              </w:rPr>
            </w:pPr>
            <w:r>
              <w:rPr>
                <w:rFonts w:hint="eastAsia" w:ascii="仿宋" w:hAnsi="仿宋" w:eastAsia="仿宋" w:cs="仿宋"/>
                <w:spacing w:val="8"/>
                <w:sz w:val="24"/>
                <w:szCs w:val="24"/>
              </w:rPr>
              <w:t>偏离程度</w:t>
            </w:r>
          </w:p>
        </w:tc>
        <w:tc>
          <w:tcPr>
            <w:tcW w:w="486" w:type="dxa"/>
          </w:tcPr>
          <w:p w14:paraId="6ABAB891">
            <w:pPr>
              <w:pStyle w:val="11"/>
              <w:spacing w:before="88" w:line="223" w:lineRule="auto"/>
              <w:jc w:val="both"/>
              <w:rPr>
                <w:rFonts w:hint="eastAsia" w:ascii="仿宋" w:hAnsi="仿宋" w:eastAsia="仿宋" w:cs="仿宋"/>
                <w:sz w:val="24"/>
                <w:szCs w:val="24"/>
                <w:lang w:eastAsia="zh-Hans"/>
              </w:rPr>
            </w:pPr>
            <w:r>
              <w:rPr>
                <w:rFonts w:hint="eastAsia" w:ascii="仿宋" w:hAnsi="仿宋" w:eastAsia="仿宋" w:cs="仿宋"/>
                <w:spacing w:val="2"/>
                <w:sz w:val="24"/>
                <w:szCs w:val="24"/>
              </w:rPr>
              <w:t>备注</w:t>
            </w:r>
          </w:p>
        </w:tc>
      </w:tr>
      <w:tr w14:paraId="199A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restart"/>
          </w:tcPr>
          <w:p w14:paraId="23218B56">
            <w:pPr>
              <w:pStyle w:val="12"/>
              <w:widowControl w:val="0"/>
              <w:jc w:val="both"/>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w:t>
            </w:r>
          </w:p>
          <w:p w14:paraId="21D387D2">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restart"/>
          </w:tcPr>
          <w:p w14:paraId="6C11460A">
            <w:pPr>
              <w:keepNext w:val="0"/>
              <w:keepLines w:val="0"/>
              <w:widowControl/>
              <w:suppressLineNumbers w:val="0"/>
              <w:jc w:val="left"/>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人工智能教学实训平台</w:t>
            </w:r>
          </w:p>
          <w:p w14:paraId="245DD5D5">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7868F0F">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48E574B5">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1.1具有用户在线制作实验环境功能，满足不同的教学场景需求。具有生成Docker容器功能，Linux环境下多种操作系统，并且具有单机和集群两种模式，可以自定义每一个虚机或容器的物理配置。</w:t>
            </w:r>
          </w:p>
        </w:tc>
        <w:tc>
          <w:tcPr>
            <w:tcW w:w="3458" w:type="dxa"/>
          </w:tcPr>
          <w:p w14:paraId="6E6C44F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98B758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具有用户在线制作实验环境功能，满足不同的教学场景需求。具有生成Docker容器功能，Linux环境下多种操作系统，并且具有单机和集群两种模式，可以自定义每一个虚机或容器的物理配置。</w:t>
            </w:r>
          </w:p>
        </w:tc>
        <w:tc>
          <w:tcPr>
            <w:tcW w:w="739" w:type="dxa"/>
          </w:tcPr>
          <w:p w14:paraId="2BEC2E63">
            <w:pPr>
              <w:pStyle w:val="12"/>
              <w:widowControl w:val="0"/>
              <w:jc w:val="both"/>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en-US" w:bidi="ar-SA"/>
              </w:rPr>
              <w:t>满足、响应</w:t>
            </w:r>
          </w:p>
        </w:tc>
        <w:tc>
          <w:tcPr>
            <w:tcW w:w="486" w:type="dxa"/>
          </w:tcPr>
          <w:p w14:paraId="10E712B8">
            <w:pPr>
              <w:pStyle w:val="12"/>
              <w:widowControl w:val="0"/>
              <w:jc w:val="both"/>
              <w:rPr>
                <w:rFonts w:hint="eastAsia" w:ascii="仿宋" w:hAnsi="仿宋" w:eastAsia="仿宋" w:cs="仿宋"/>
                <w:spacing w:val="10"/>
                <w:kern w:val="2"/>
                <w:sz w:val="24"/>
                <w:szCs w:val="24"/>
                <w:lang w:val="en-US" w:eastAsia="en-US" w:bidi="ar-SA"/>
              </w:rPr>
            </w:pPr>
          </w:p>
        </w:tc>
      </w:tr>
      <w:tr w14:paraId="735D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2C5D5EEB">
            <w:pPr>
              <w:pStyle w:val="12"/>
              <w:widowControl w:val="0"/>
              <w:jc w:val="both"/>
              <w:rPr>
                <w:rFonts w:hint="eastAsia" w:ascii="仿宋" w:hAnsi="仿宋" w:eastAsia="仿宋" w:cs="仿宋"/>
                <w:spacing w:val="10"/>
                <w:kern w:val="2"/>
                <w:sz w:val="24"/>
                <w:szCs w:val="24"/>
                <w:lang w:val="en-US" w:eastAsia="en-US" w:bidi="ar-SA"/>
              </w:rPr>
            </w:pPr>
          </w:p>
        </w:tc>
        <w:tc>
          <w:tcPr>
            <w:tcW w:w="571" w:type="dxa"/>
            <w:vMerge w:val="continue"/>
          </w:tcPr>
          <w:p w14:paraId="08AA8031">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13EA8F34">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6A3AED1F">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1.2具有镜像管理功能，系统内置镜像≥200个，具有对镜像自定义标签功能，具有查询和复用功能。</w:t>
            </w:r>
          </w:p>
        </w:tc>
        <w:tc>
          <w:tcPr>
            <w:tcW w:w="3458" w:type="dxa"/>
          </w:tcPr>
          <w:p w14:paraId="7C54103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6FA9974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具有镜像管理功能，系统内置镜像200个，具有对镜像自定义标签功能，具有查询和复用功能。</w:t>
            </w:r>
          </w:p>
        </w:tc>
        <w:tc>
          <w:tcPr>
            <w:tcW w:w="739" w:type="dxa"/>
          </w:tcPr>
          <w:p w14:paraId="195F281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1A78B01C">
            <w:pPr>
              <w:pStyle w:val="12"/>
              <w:widowControl w:val="0"/>
              <w:jc w:val="both"/>
              <w:rPr>
                <w:rFonts w:hint="eastAsia" w:ascii="仿宋" w:hAnsi="仿宋" w:eastAsia="仿宋" w:cs="仿宋"/>
                <w:spacing w:val="10"/>
                <w:kern w:val="2"/>
                <w:sz w:val="24"/>
                <w:szCs w:val="24"/>
                <w:lang w:val="en-US" w:eastAsia="en-US" w:bidi="ar-SA"/>
              </w:rPr>
            </w:pPr>
          </w:p>
        </w:tc>
      </w:tr>
      <w:tr w14:paraId="7A74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21674A33">
            <w:pPr>
              <w:pStyle w:val="12"/>
              <w:widowControl w:val="0"/>
              <w:jc w:val="both"/>
              <w:rPr>
                <w:rFonts w:hint="eastAsia" w:ascii="仿宋" w:hAnsi="仿宋" w:eastAsia="仿宋" w:cs="仿宋"/>
                <w:spacing w:val="10"/>
                <w:kern w:val="2"/>
                <w:sz w:val="24"/>
                <w:szCs w:val="24"/>
                <w:lang w:val="en-US" w:eastAsia="en-US" w:bidi="ar-SA"/>
              </w:rPr>
            </w:pPr>
          </w:p>
        </w:tc>
        <w:tc>
          <w:tcPr>
            <w:tcW w:w="571" w:type="dxa"/>
            <w:vMerge w:val="continue"/>
          </w:tcPr>
          <w:p w14:paraId="5811CB14">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49FFFB27">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53C6965E">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1.3具有内置录屏功能，提供容器、Jupyter录屏环境。具有对屏幕录像和文档素材进行管理功能，文档素材具有word、ppt和excel格式支持。</w:t>
            </w:r>
          </w:p>
        </w:tc>
        <w:tc>
          <w:tcPr>
            <w:tcW w:w="3458" w:type="dxa"/>
          </w:tcPr>
          <w:p w14:paraId="4B63C73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34ED822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具有内置录屏功能，提供容器、Jupyter录屏环境。具有对屏幕录像和文档素材进行管理功能，文档素材具有word、ppt和excel格式支持。</w:t>
            </w:r>
          </w:p>
        </w:tc>
        <w:tc>
          <w:tcPr>
            <w:tcW w:w="739" w:type="dxa"/>
          </w:tcPr>
          <w:p w14:paraId="241D013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0437A208">
            <w:pPr>
              <w:pStyle w:val="12"/>
              <w:widowControl w:val="0"/>
              <w:jc w:val="both"/>
              <w:rPr>
                <w:rFonts w:hint="eastAsia" w:ascii="仿宋" w:hAnsi="仿宋" w:eastAsia="仿宋" w:cs="仿宋"/>
                <w:spacing w:val="10"/>
                <w:kern w:val="2"/>
                <w:sz w:val="24"/>
                <w:szCs w:val="24"/>
                <w:lang w:val="en-US" w:eastAsia="en-US" w:bidi="ar-SA"/>
              </w:rPr>
            </w:pPr>
          </w:p>
        </w:tc>
      </w:tr>
      <w:tr w14:paraId="3BED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06A36908">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15D5F358">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64BEF0CE">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59C0A0AC">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1.4具有实验报告模板管理功能，内置文档编辑器，具有在线编辑模板功能。</w:t>
            </w:r>
          </w:p>
        </w:tc>
        <w:tc>
          <w:tcPr>
            <w:tcW w:w="3458" w:type="dxa"/>
          </w:tcPr>
          <w:p w14:paraId="7BCC79C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3604C88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具有实验报告模板管理功能，内置文档编辑器，具有在线编辑模板功能。</w:t>
            </w:r>
          </w:p>
        </w:tc>
        <w:tc>
          <w:tcPr>
            <w:tcW w:w="739" w:type="dxa"/>
          </w:tcPr>
          <w:p w14:paraId="5F6BE85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468537A">
            <w:pPr>
              <w:pStyle w:val="12"/>
              <w:widowControl w:val="0"/>
              <w:jc w:val="both"/>
              <w:rPr>
                <w:rFonts w:hint="eastAsia" w:ascii="仿宋" w:hAnsi="仿宋" w:eastAsia="仿宋" w:cs="仿宋"/>
                <w:spacing w:val="10"/>
                <w:kern w:val="2"/>
                <w:sz w:val="24"/>
                <w:szCs w:val="24"/>
                <w:lang w:val="en-US" w:eastAsia="en-US" w:bidi="ar-SA"/>
              </w:rPr>
            </w:pPr>
          </w:p>
        </w:tc>
      </w:tr>
      <w:tr w14:paraId="00CF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29690928">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49681B61">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F0227C3">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5980E28A">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1.5具有课程管理、编辑功能，包含系统内置课程和教师自建课程。具有按照课程标签快速筛选课程功能。具有对系统内置课程复用功能，方便快速创建课程，具有对章节内容的编辑功能，可以添加实验、视频、课件等课程内容。</w:t>
            </w:r>
          </w:p>
        </w:tc>
        <w:tc>
          <w:tcPr>
            <w:tcW w:w="3458" w:type="dxa"/>
          </w:tcPr>
          <w:p w14:paraId="3D3D008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7C31F36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有课程管理、编辑功能，包含系统内置课程和教师自建课程。具有按照课程标签快速筛选课程功能。具有对系统内置课程复用功能，方便快速创建课程，具有对章节内容的编辑功能，可以添加实验、视频、课件等课程内容。</w:t>
            </w:r>
          </w:p>
        </w:tc>
        <w:tc>
          <w:tcPr>
            <w:tcW w:w="739" w:type="dxa"/>
          </w:tcPr>
          <w:p w14:paraId="58510A4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44905179">
            <w:pPr>
              <w:pStyle w:val="12"/>
              <w:widowControl w:val="0"/>
              <w:jc w:val="both"/>
              <w:rPr>
                <w:rFonts w:hint="eastAsia" w:ascii="仿宋" w:hAnsi="仿宋" w:eastAsia="仿宋" w:cs="仿宋"/>
                <w:spacing w:val="10"/>
                <w:kern w:val="2"/>
                <w:sz w:val="24"/>
                <w:szCs w:val="24"/>
                <w:lang w:val="en-US" w:eastAsia="en-US" w:bidi="ar-SA"/>
              </w:rPr>
            </w:pPr>
          </w:p>
        </w:tc>
      </w:tr>
      <w:tr w14:paraId="314E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73BE8D31">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05E6FAF2">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57BD3DAE">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7ED5B551">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1.6具有对班级成员进行分组功能，具有手动和随机分组功能，具有组长设置功能。</w:t>
            </w:r>
          </w:p>
        </w:tc>
        <w:tc>
          <w:tcPr>
            <w:tcW w:w="3458" w:type="dxa"/>
          </w:tcPr>
          <w:p w14:paraId="624C266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01DF7F4C">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具有对班级成员进行分组功能，具有手动和随机分组功能，具有组长设置功能。</w:t>
            </w:r>
          </w:p>
        </w:tc>
        <w:tc>
          <w:tcPr>
            <w:tcW w:w="739" w:type="dxa"/>
          </w:tcPr>
          <w:p w14:paraId="62A36CF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4D34538">
            <w:pPr>
              <w:pStyle w:val="12"/>
              <w:widowControl w:val="0"/>
              <w:jc w:val="both"/>
              <w:rPr>
                <w:rFonts w:hint="eastAsia" w:ascii="仿宋" w:hAnsi="仿宋" w:eastAsia="仿宋" w:cs="仿宋"/>
                <w:spacing w:val="10"/>
                <w:kern w:val="2"/>
                <w:sz w:val="24"/>
                <w:szCs w:val="24"/>
                <w:lang w:val="en-US" w:eastAsia="en-US" w:bidi="ar-SA"/>
              </w:rPr>
            </w:pPr>
          </w:p>
        </w:tc>
      </w:tr>
      <w:tr w14:paraId="0EAF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1BC2DE8E">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2BCBD3FD">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1AE1BC59">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4297F7A9">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1.7具有学生在线实验功能，至少具有删除实验、保存实验、临时关闭、共享桌面、上传文件、下载文件、全屏操作、剪切板8项基本环境操作功能。学生实验时在未完成当前实验的情况下，不依赖于当前章节编辑顺序，可随意跳转并完成实验。具有一键重置实验功能。具有小窗口播放教学视频功能。</w:t>
            </w:r>
          </w:p>
        </w:tc>
        <w:tc>
          <w:tcPr>
            <w:tcW w:w="3458" w:type="dxa"/>
          </w:tcPr>
          <w:p w14:paraId="530066B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084081DC">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有学生在线实验功能，具有删除实验、保存实验、临时关闭、共享桌面、上传文件、下载文件、全屏操作、剪切板8项基本环境操作功能。学生实验时在未完成当前实验的情况下，不依赖于当前章节编辑顺序，可随意跳转并完成实验。具有一键重置实验功能。具有小窗口播放教学视频功能。</w:t>
            </w:r>
          </w:p>
        </w:tc>
        <w:tc>
          <w:tcPr>
            <w:tcW w:w="739" w:type="dxa"/>
          </w:tcPr>
          <w:p w14:paraId="4E1AD27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4B3B5368">
            <w:pPr>
              <w:pStyle w:val="12"/>
              <w:widowControl w:val="0"/>
              <w:jc w:val="both"/>
              <w:rPr>
                <w:rFonts w:hint="eastAsia" w:ascii="仿宋" w:hAnsi="仿宋" w:eastAsia="仿宋" w:cs="仿宋"/>
                <w:spacing w:val="10"/>
                <w:kern w:val="2"/>
                <w:sz w:val="24"/>
                <w:szCs w:val="24"/>
                <w:lang w:val="en-US" w:eastAsia="en-US" w:bidi="ar-SA"/>
              </w:rPr>
            </w:pPr>
          </w:p>
        </w:tc>
      </w:tr>
      <w:tr w14:paraId="5B6C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5EC84F6A">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757E95F0">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EFE19EA">
            <w:pPr>
              <w:keepNext w:val="0"/>
              <w:keepLines w:val="0"/>
              <w:widowControl/>
              <w:suppressLineNumbers w:val="0"/>
              <w:jc w:val="left"/>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w:t>
            </w:r>
          </w:p>
          <w:p w14:paraId="4ECF3091">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3308A546">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1.8具有在线课堂功能，提供在线互动电子白板，应具有多种批注工具（图形、文字、手写等），具有实时批注与多用户实时批注功能。具有在线录屏、签到、随机提问、实验监控、实验环境观看共享等功能。在课堂中，可进行在线讨论，可以设置主持和演示的权限，并且具备调整其他演示者及主持人权限的功能。（需提供软件功能截图证明材料复印件并加盖公章）</w:t>
            </w:r>
          </w:p>
        </w:tc>
        <w:tc>
          <w:tcPr>
            <w:tcW w:w="3458" w:type="dxa"/>
          </w:tcPr>
          <w:p w14:paraId="5E2A66D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E74DAC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有在线课堂功能，提供在线互动电子白板，具有多种批注工具（图形、文字、手写等），具有实时批注与多用户实时批注功能。具有在线录屏、签到、随机提问、实验监控、实验环境观看共享等功能。在课堂中，可进行在线讨论，可以设置主持和演示的权限，并且具备调整其他演示者及主持人权限的功能。（提供软件功能截图证明材料复印件并加盖公章）</w:t>
            </w:r>
          </w:p>
        </w:tc>
        <w:tc>
          <w:tcPr>
            <w:tcW w:w="739" w:type="dxa"/>
          </w:tcPr>
          <w:p w14:paraId="2BC5A7F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85A256D">
            <w:pPr>
              <w:pStyle w:val="12"/>
              <w:widowControl w:val="0"/>
              <w:jc w:val="both"/>
              <w:rPr>
                <w:rFonts w:hint="eastAsia" w:ascii="仿宋" w:hAnsi="仿宋" w:eastAsia="仿宋" w:cs="仿宋"/>
                <w:spacing w:val="10"/>
                <w:kern w:val="2"/>
                <w:sz w:val="24"/>
                <w:szCs w:val="24"/>
                <w:lang w:val="en-US" w:eastAsia="en-US" w:bidi="ar-SA"/>
              </w:rPr>
            </w:pPr>
          </w:p>
        </w:tc>
      </w:tr>
      <w:tr w14:paraId="34BD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146FF18A">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5D8E7681">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3C650A24">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719DF5C6">
            <w:pPr>
              <w:keepNext w:val="0"/>
              <w:keepLines w:val="0"/>
              <w:widowControl/>
              <w:suppressLineNumbers w:val="0"/>
              <w:jc w:val="left"/>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1.9具有教师在统一入口创建多种教学工具功能：至少具有容器、Jupyter、图像分类、目标检测、机器学习等演示环境。</w:t>
            </w:r>
          </w:p>
          <w:p w14:paraId="7C2B1922">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458" w:type="dxa"/>
          </w:tcPr>
          <w:p w14:paraId="760CACA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3706B11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具有教师在统一入口创建多种教学工具功能：具有容器、Jupyter、图像分类、目标检测、机器学习等演示环境。</w:t>
            </w:r>
          </w:p>
        </w:tc>
        <w:tc>
          <w:tcPr>
            <w:tcW w:w="739" w:type="dxa"/>
          </w:tcPr>
          <w:p w14:paraId="4869F66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75CB0E94">
            <w:pPr>
              <w:pStyle w:val="12"/>
              <w:widowControl w:val="0"/>
              <w:jc w:val="both"/>
              <w:rPr>
                <w:rFonts w:hint="eastAsia" w:ascii="仿宋" w:hAnsi="仿宋" w:eastAsia="仿宋" w:cs="仿宋"/>
                <w:spacing w:val="10"/>
                <w:kern w:val="2"/>
                <w:sz w:val="24"/>
                <w:szCs w:val="24"/>
                <w:lang w:val="en-US" w:eastAsia="en-US" w:bidi="ar-SA"/>
              </w:rPr>
            </w:pPr>
          </w:p>
        </w:tc>
      </w:tr>
      <w:tr w14:paraId="4F72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1216D09D">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3EDA6C54">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627892A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w:t>
            </w:r>
          </w:p>
        </w:tc>
        <w:tc>
          <w:tcPr>
            <w:tcW w:w="3054" w:type="dxa"/>
          </w:tcPr>
          <w:p w14:paraId="4963A710">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1.10需提供机器学习演示环境。需具有通过鼠标拖拽算法的方式快速生成机器学习训练模型的功能，具有查看关键算法代码和算法说明功能，具有手动调参优化模型功能。具有查看模型训练历史版本功能。具有用户查看模型训练样本的模型评估报告功能，具有查看当前版本的模型训练的基本属性、机器学习算法、算法属性功能。（需提供软件功能截图证明材料复印件并加盖公章）</w:t>
            </w:r>
          </w:p>
        </w:tc>
        <w:tc>
          <w:tcPr>
            <w:tcW w:w="3458" w:type="dxa"/>
          </w:tcPr>
          <w:p w14:paraId="4F286E3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7BB8594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提供机器学习演示环境。具有通过鼠标拖拽算法的方式快速生成机器学习训练模型的功能，具有查看关键算法代码和算法说明功能，具有手动调参优化模型功能。具有查看模型训练历史版本功能。具有用户查看模型训练样本的模型评估报告功能，具有查看当前版本的模型训练的基本属性、机器学习算法、算法属性功能。（提供软件功能截图证明材料复印件并加盖公章）</w:t>
            </w:r>
          </w:p>
        </w:tc>
        <w:tc>
          <w:tcPr>
            <w:tcW w:w="739" w:type="dxa"/>
          </w:tcPr>
          <w:p w14:paraId="09D93FF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AFABDF4">
            <w:pPr>
              <w:pStyle w:val="12"/>
              <w:widowControl w:val="0"/>
              <w:jc w:val="both"/>
              <w:rPr>
                <w:rFonts w:hint="eastAsia" w:ascii="仿宋" w:hAnsi="仿宋" w:eastAsia="仿宋" w:cs="仿宋"/>
                <w:spacing w:val="10"/>
                <w:kern w:val="2"/>
                <w:sz w:val="24"/>
                <w:szCs w:val="24"/>
                <w:lang w:val="en-US" w:eastAsia="en-US" w:bidi="ar-SA"/>
              </w:rPr>
            </w:pPr>
          </w:p>
        </w:tc>
      </w:tr>
      <w:tr w14:paraId="5BB7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27B8A33C">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6892437F">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14C4DE7">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112B449A">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1.11需提供深度学习目标检测演示环境。具有用户完成目标检测模型训练功能，具有选择不同的数据集进行循环多次训练功能，具有分配数据集训练、验证与测试的数据比例功能；具有设置模型训练参数功能，包含优化器、模型迭代次数、Batch-size及学习率；具有设置神经网络框架与算法以及计算资源环境等参数功能。具有对模型效果进行测试功能；具有展示模型应用效果功能。</w:t>
            </w:r>
          </w:p>
        </w:tc>
        <w:tc>
          <w:tcPr>
            <w:tcW w:w="3458" w:type="dxa"/>
            <w:shd w:val="clear" w:color="auto" w:fill="auto"/>
            <w:vAlign w:val="top"/>
          </w:tcPr>
          <w:p w14:paraId="02D9739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2A5E126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提供深度学习目标检测演示环境。具有用户完成目标检测模型训练功能，具有选择不同的数据集进行循环多次训练功能，具有分配数据集训练、验证与测试的数据比例功能；具有设置模型训练参数功能，包含优化器、模型迭代次数、Batch-size及学习率；具有设置神经网络框架与算法以及计算资源环境等参数功能。具有对模型效果进行测试功能；具有展示模型应用效果功能。</w:t>
            </w:r>
          </w:p>
        </w:tc>
        <w:tc>
          <w:tcPr>
            <w:tcW w:w="739" w:type="dxa"/>
          </w:tcPr>
          <w:p w14:paraId="199E4FC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67D6FAA2">
            <w:pPr>
              <w:pStyle w:val="12"/>
              <w:widowControl w:val="0"/>
              <w:jc w:val="both"/>
              <w:rPr>
                <w:rFonts w:hint="eastAsia" w:ascii="仿宋" w:hAnsi="仿宋" w:eastAsia="仿宋" w:cs="仿宋"/>
                <w:spacing w:val="10"/>
                <w:kern w:val="2"/>
                <w:sz w:val="24"/>
                <w:szCs w:val="24"/>
                <w:lang w:val="en-US" w:eastAsia="en-US" w:bidi="ar-SA"/>
              </w:rPr>
            </w:pPr>
          </w:p>
        </w:tc>
      </w:tr>
      <w:tr w14:paraId="47E8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5C0449E2">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72206855">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72A66BC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w:t>
            </w:r>
          </w:p>
        </w:tc>
        <w:tc>
          <w:tcPr>
            <w:tcW w:w="3054" w:type="dxa"/>
          </w:tcPr>
          <w:p w14:paraId="6A6C3F51">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1.12深度学习目标检测演示环境，需具有自动生成评估报告功能，评估报告至少包含mAP、mAP@.50IOU、mAP@.75IOU、mAP(small)、mAP(medium)、mAP(large)等mAP值的相关数据，具有以列表方式呈现模型训练效果功能。（需提供软件功能截图证明材料复印件并加盖公章）</w:t>
            </w:r>
          </w:p>
        </w:tc>
        <w:tc>
          <w:tcPr>
            <w:tcW w:w="3458" w:type="dxa"/>
            <w:shd w:val="clear" w:color="auto" w:fill="auto"/>
            <w:vAlign w:val="top"/>
          </w:tcPr>
          <w:p w14:paraId="580BCD0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49FA87D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深度学习目标检测演示环境，具有自动生成评估报告功能，评估报告至少包含mAP、mAP@.50IOU、mAP@.75IOU、mAP(small)、mAP(medium)、mAP(large)等mAP值的相关数据，具有以列表方式呈现模型训练效果功能。（提供软件功能截图证明材料复印件并加盖公章）</w:t>
            </w:r>
          </w:p>
        </w:tc>
        <w:tc>
          <w:tcPr>
            <w:tcW w:w="739" w:type="dxa"/>
          </w:tcPr>
          <w:p w14:paraId="013130F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3868D53D">
            <w:pPr>
              <w:pStyle w:val="12"/>
              <w:widowControl w:val="0"/>
              <w:jc w:val="both"/>
              <w:rPr>
                <w:rFonts w:hint="eastAsia" w:ascii="仿宋" w:hAnsi="仿宋" w:eastAsia="仿宋" w:cs="仿宋"/>
                <w:spacing w:val="10"/>
                <w:kern w:val="2"/>
                <w:sz w:val="24"/>
                <w:szCs w:val="24"/>
                <w:lang w:val="en-US" w:eastAsia="en-US" w:bidi="ar-SA"/>
              </w:rPr>
            </w:pPr>
          </w:p>
        </w:tc>
      </w:tr>
      <w:tr w14:paraId="2B08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2CA3A54D">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52D15BA7">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12AEF75D">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08CC38C8">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1.13需提供深度学习图像分类演示环境，具有配置单点计算模式或分布式计算模式功能；具有配置深度学习神经网络功能；具有配置底层计算框架功能，包含Keras，其中Keras 提供不少于11种预训练模型；具有CPU、GPU的单机或集群环境支持功能，具有单GPU卡或多GPU卡方式进行计算功能。</w:t>
            </w:r>
          </w:p>
        </w:tc>
        <w:tc>
          <w:tcPr>
            <w:tcW w:w="3458" w:type="dxa"/>
            <w:shd w:val="clear" w:color="auto" w:fill="auto"/>
            <w:vAlign w:val="top"/>
          </w:tcPr>
          <w:p w14:paraId="5396036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6F7F3F8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提供深度学习图像分类演示环境，具有配置单点计算模式或分布式计算模式功能；具有配置深度学习神经网络功能；具有配置底层计算框架功能，包含Keras，其中Keras 提供11种预训练模型；具有CPU、GPU的单机或集群环境支持功能，具有单GPU卡或多GPU卡方式进行计算功能。</w:t>
            </w:r>
          </w:p>
        </w:tc>
        <w:tc>
          <w:tcPr>
            <w:tcW w:w="739" w:type="dxa"/>
          </w:tcPr>
          <w:p w14:paraId="44450BE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287E1EA">
            <w:pPr>
              <w:pStyle w:val="12"/>
              <w:widowControl w:val="0"/>
              <w:jc w:val="both"/>
              <w:rPr>
                <w:rFonts w:hint="eastAsia" w:ascii="仿宋" w:hAnsi="仿宋" w:eastAsia="仿宋" w:cs="仿宋"/>
                <w:spacing w:val="10"/>
                <w:kern w:val="2"/>
                <w:sz w:val="24"/>
                <w:szCs w:val="24"/>
                <w:lang w:val="en-US" w:eastAsia="en-US" w:bidi="ar-SA"/>
              </w:rPr>
            </w:pPr>
          </w:p>
        </w:tc>
      </w:tr>
      <w:tr w14:paraId="064F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590C12D8">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4EEE3C20">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40381715">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0AAA7353">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1.14深度学习图像分类演示环境，需具有随时读取当前训练信息与训练任务进度信息功能，具有查看训练数据信息功能，具有以TensorBoard方式实时监控图像分类训练过程功能。具有对模型效果进行测试功能；具有展示模型应用效果功能。</w:t>
            </w:r>
          </w:p>
        </w:tc>
        <w:tc>
          <w:tcPr>
            <w:tcW w:w="3458" w:type="dxa"/>
            <w:shd w:val="clear" w:color="auto" w:fill="auto"/>
            <w:vAlign w:val="top"/>
          </w:tcPr>
          <w:p w14:paraId="3C4A479C">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3B2C484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深度学习图像分类演示环境，具有随时读取当前训练信息与训练任务进度信息功能，具有查看训练数据信息功能，具有以TensorBoard方式实时监控图像分类训练过程功能。具有对模型效果进行测试功能；具有展示模型应用效果功能。</w:t>
            </w:r>
          </w:p>
        </w:tc>
        <w:tc>
          <w:tcPr>
            <w:tcW w:w="739" w:type="dxa"/>
          </w:tcPr>
          <w:p w14:paraId="672D10F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36ACEA8">
            <w:pPr>
              <w:pStyle w:val="12"/>
              <w:widowControl w:val="0"/>
              <w:jc w:val="both"/>
              <w:rPr>
                <w:rFonts w:hint="eastAsia" w:ascii="仿宋" w:hAnsi="仿宋" w:eastAsia="仿宋" w:cs="仿宋"/>
                <w:spacing w:val="10"/>
                <w:kern w:val="2"/>
                <w:sz w:val="24"/>
                <w:szCs w:val="24"/>
                <w:lang w:val="en-US" w:eastAsia="en-US" w:bidi="ar-SA"/>
              </w:rPr>
            </w:pPr>
          </w:p>
        </w:tc>
      </w:tr>
      <w:tr w14:paraId="1BC8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6755EE30">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11C1015E">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6864BDB1">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442273C3">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1.15具有课堂管理功能。具有查看学生在线或离线情况、实验报告提交情况功能，具有通过远程协助进入学生正在试验的环境功能；具有快照管理功能，可查看和删除学生虚机快照。</w:t>
            </w:r>
          </w:p>
        </w:tc>
        <w:tc>
          <w:tcPr>
            <w:tcW w:w="3458" w:type="dxa"/>
            <w:shd w:val="clear" w:color="auto" w:fill="auto"/>
            <w:vAlign w:val="top"/>
          </w:tcPr>
          <w:p w14:paraId="5BC7644C">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320192D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具有课堂管理功能。具有查看学生在线或离线情况、实验报告提交情况功能，具有通过远程协助进入学生正在试验的环境功能；具有快照管理功能，可查看和删除学生虚机快照。</w:t>
            </w:r>
          </w:p>
        </w:tc>
        <w:tc>
          <w:tcPr>
            <w:tcW w:w="739" w:type="dxa"/>
          </w:tcPr>
          <w:p w14:paraId="28313AD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D933131">
            <w:pPr>
              <w:pStyle w:val="12"/>
              <w:widowControl w:val="0"/>
              <w:jc w:val="both"/>
              <w:rPr>
                <w:rFonts w:hint="eastAsia" w:ascii="仿宋" w:hAnsi="仿宋" w:eastAsia="仿宋" w:cs="仿宋"/>
                <w:spacing w:val="10"/>
                <w:kern w:val="2"/>
                <w:sz w:val="24"/>
                <w:szCs w:val="24"/>
                <w:lang w:val="en-US" w:eastAsia="en-US" w:bidi="ar-SA"/>
              </w:rPr>
            </w:pPr>
          </w:p>
        </w:tc>
      </w:tr>
      <w:tr w14:paraId="1D9C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48987AEA">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6A0AA096">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4437EC27">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22488AAC">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1.16具有虚机管理功能。可查看和关闭学生虚机。具有平台小助手模块，可随时管理虚机，具有设置平台小助手的透明度功能。</w:t>
            </w:r>
          </w:p>
        </w:tc>
        <w:tc>
          <w:tcPr>
            <w:tcW w:w="3458" w:type="dxa"/>
            <w:shd w:val="clear" w:color="auto" w:fill="auto"/>
            <w:vAlign w:val="top"/>
          </w:tcPr>
          <w:p w14:paraId="3BD333C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65439C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具有虚机管理功能。可查看和关闭学生虚机。具有平台小助手模块，可随时管理虚机，具有设置平台小助手的透明度功能。</w:t>
            </w:r>
          </w:p>
        </w:tc>
        <w:tc>
          <w:tcPr>
            <w:tcW w:w="739" w:type="dxa"/>
          </w:tcPr>
          <w:p w14:paraId="3DBB00D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602CE9DB">
            <w:pPr>
              <w:pStyle w:val="12"/>
              <w:widowControl w:val="0"/>
              <w:jc w:val="both"/>
              <w:rPr>
                <w:rFonts w:hint="eastAsia" w:ascii="仿宋" w:hAnsi="仿宋" w:eastAsia="仿宋" w:cs="仿宋"/>
                <w:spacing w:val="10"/>
                <w:kern w:val="2"/>
                <w:sz w:val="24"/>
                <w:szCs w:val="24"/>
                <w:lang w:val="en-US" w:eastAsia="en-US" w:bidi="ar-SA"/>
              </w:rPr>
            </w:pPr>
          </w:p>
        </w:tc>
      </w:tr>
      <w:tr w14:paraId="1E6E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3C4B7BD8">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6D9DB3A9">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3C665E68">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1B14F1CF">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1.17具有在线考试功能。可以自定义试题难度系数和权重。能够对试题来源、所属科目和试题题型等属性进行编辑，题型多元化，至少支持设置单选题、多选题、判断题、简答题、填空题及实验题等；考试题具有在线编辑添加和文件导入添加操作方式，系统内置word试题模板；具有通过图形显示不同题型分配比例和数量统计功能。</w:t>
            </w:r>
          </w:p>
          <w:p w14:paraId="6B8E7AAE">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458" w:type="dxa"/>
            <w:shd w:val="clear" w:color="auto" w:fill="auto"/>
            <w:vAlign w:val="top"/>
          </w:tcPr>
          <w:p w14:paraId="34B1773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411D656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有在线考试功能。可以自定义试题难度系数和权重。能够对试题来源、所属科目和试题题型等属性进行编辑，题型多元化，支持设置单选题、多选题、判断题、简答题、填空题及实验题等；考试题具有在线编辑添加和文件导入添加操作方式，系统内置word试题模板；具有通过图形显示不同题型分配比例和数量统计功能。</w:t>
            </w:r>
          </w:p>
        </w:tc>
        <w:tc>
          <w:tcPr>
            <w:tcW w:w="739" w:type="dxa"/>
          </w:tcPr>
          <w:p w14:paraId="20CD872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7A9A1416">
            <w:pPr>
              <w:pStyle w:val="12"/>
              <w:widowControl w:val="0"/>
              <w:jc w:val="both"/>
              <w:rPr>
                <w:rFonts w:hint="eastAsia" w:ascii="仿宋" w:hAnsi="仿宋" w:eastAsia="仿宋" w:cs="仿宋"/>
                <w:spacing w:val="10"/>
                <w:kern w:val="2"/>
                <w:sz w:val="24"/>
                <w:szCs w:val="24"/>
                <w:lang w:val="en-US" w:eastAsia="en-US" w:bidi="ar-SA"/>
              </w:rPr>
            </w:pPr>
          </w:p>
        </w:tc>
      </w:tr>
      <w:tr w14:paraId="14C1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0AD08B0B">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7528B66F">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39E8EF15">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1A9F8B0E">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1.18具备自定义学习路径功能。可对课程进行学科分类、内容定位及适用职业划分，支持新增学习路径分类、小类和岗位。同时，提供学习路径可视化分析，展示岗位能力达成图、技术能力分布图和学习路径课程分布图，并能通过课程、班级及姓名进行筛选查看。</w:t>
            </w:r>
          </w:p>
        </w:tc>
        <w:tc>
          <w:tcPr>
            <w:tcW w:w="3458" w:type="dxa"/>
            <w:shd w:val="clear" w:color="auto" w:fill="auto"/>
            <w:vAlign w:val="top"/>
          </w:tcPr>
          <w:p w14:paraId="7BF88C1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28F2F11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备自定义学习路径功能。可对课程进行学科分类、内容定位及适用职业划分，支持新增学习路径分类、小类和岗位。同时，提供学习路径可视化分析，展示岗位能力达成图、技术能力分布图和学习路径课程分布图，并能通过课程、班级及姓名进行筛选查看。</w:t>
            </w:r>
          </w:p>
        </w:tc>
        <w:tc>
          <w:tcPr>
            <w:tcW w:w="739" w:type="dxa"/>
          </w:tcPr>
          <w:p w14:paraId="2A9CB31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42B540AC">
            <w:pPr>
              <w:pStyle w:val="12"/>
              <w:widowControl w:val="0"/>
              <w:jc w:val="both"/>
              <w:rPr>
                <w:rFonts w:hint="eastAsia" w:ascii="仿宋" w:hAnsi="仿宋" w:eastAsia="仿宋" w:cs="仿宋"/>
                <w:spacing w:val="10"/>
                <w:kern w:val="2"/>
                <w:sz w:val="24"/>
                <w:szCs w:val="24"/>
                <w:lang w:val="en-US" w:eastAsia="en-US" w:bidi="ar-SA"/>
              </w:rPr>
            </w:pPr>
          </w:p>
        </w:tc>
      </w:tr>
      <w:tr w14:paraId="0CDD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7A5F9103">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1AA6CF3F">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FCB53C9">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2FBEE082">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1.19具备教师查看班级实验报告分析的功能。能展示满分、最高分、最低分、平均分、已提交人数等数据，并呈现班级成绩排名图和实验分析图；学生可查看个人实验报告分析，包括完成率、提交次数及报告成绩分析图。</w:t>
            </w:r>
          </w:p>
        </w:tc>
        <w:tc>
          <w:tcPr>
            <w:tcW w:w="3458" w:type="dxa"/>
            <w:shd w:val="clear" w:color="auto" w:fill="auto"/>
            <w:vAlign w:val="top"/>
          </w:tcPr>
          <w:p w14:paraId="06D253C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6510D30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备教师查看班级实验报告分析的功能。能展示满分、最高分、最低分、平均分、已提交人数等数据，并呈现班级成绩排名图和实验分析图；学生可查看个人实验报告分析，包括完成率、提交次数及报告成绩分析图。</w:t>
            </w:r>
          </w:p>
        </w:tc>
        <w:tc>
          <w:tcPr>
            <w:tcW w:w="739" w:type="dxa"/>
          </w:tcPr>
          <w:p w14:paraId="03B749B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3903D226">
            <w:pPr>
              <w:pStyle w:val="12"/>
              <w:widowControl w:val="0"/>
              <w:jc w:val="both"/>
              <w:rPr>
                <w:rFonts w:hint="eastAsia" w:ascii="仿宋" w:hAnsi="仿宋" w:eastAsia="仿宋" w:cs="仿宋"/>
                <w:spacing w:val="10"/>
                <w:kern w:val="2"/>
                <w:sz w:val="24"/>
                <w:szCs w:val="24"/>
                <w:lang w:val="en-US" w:eastAsia="en-US" w:bidi="ar-SA"/>
              </w:rPr>
            </w:pPr>
          </w:p>
        </w:tc>
      </w:tr>
      <w:tr w14:paraId="2A60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1488CAED">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6DD1C352">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114C1442">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0A427D1F">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1.20具有安全管理功能。具有对当前数据库进行备份功能，具有按时间段查询所有备份的数据库信息功能、具有备份的恢复与删除功能。</w:t>
            </w:r>
          </w:p>
        </w:tc>
        <w:tc>
          <w:tcPr>
            <w:tcW w:w="3458" w:type="dxa"/>
            <w:shd w:val="clear" w:color="auto" w:fill="auto"/>
            <w:vAlign w:val="top"/>
          </w:tcPr>
          <w:p w14:paraId="35D5EBC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67B9067C">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具有安全管理功能。具有对当前数据库进行备份功能，具有按时间段查询所有备份的数据库信息功能、具有备份的恢复与删除功能。</w:t>
            </w:r>
          </w:p>
        </w:tc>
        <w:tc>
          <w:tcPr>
            <w:tcW w:w="739" w:type="dxa"/>
          </w:tcPr>
          <w:p w14:paraId="6EF06C4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15578989">
            <w:pPr>
              <w:pStyle w:val="12"/>
              <w:widowControl w:val="0"/>
              <w:jc w:val="both"/>
              <w:rPr>
                <w:rFonts w:hint="eastAsia" w:ascii="仿宋" w:hAnsi="仿宋" w:eastAsia="仿宋" w:cs="仿宋"/>
                <w:spacing w:val="10"/>
                <w:kern w:val="2"/>
                <w:sz w:val="24"/>
                <w:szCs w:val="24"/>
                <w:lang w:val="en-US" w:eastAsia="en-US" w:bidi="ar-SA"/>
              </w:rPr>
            </w:pPr>
          </w:p>
        </w:tc>
      </w:tr>
      <w:tr w14:paraId="2512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5C4BBACB">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7990E358">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C819C17">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263B29FC">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1.21具有添加、导入及批量删除敏感词功能，具有对已有敏感词状态进行开启或关闭操作功能，具有对所选敏感词进行编辑及删除操作功能。</w:t>
            </w:r>
          </w:p>
        </w:tc>
        <w:tc>
          <w:tcPr>
            <w:tcW w:w="3458" w:type="dxa"/>
            <w:shd w:val="clear" w:color="auto" w:fill="auto"/>
            <w:vAlign w:val="top"/>
          </w:tcPr>
          <w:p w14:paraId="0F61383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06AD6BF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具有添加、导入及批量删除敏感词功能，具有对已有敏感词状态进行开启或关闭操作功能，具有对所选敏感词进行编辑及删除操作功能。</w:t>
            </w:r>
          </w:p>
        </w:tc>
        <w:tc>
          <w:tcPr>
            <w:tcW w:w="739" w:type="dxa"/>
          </w:tcPr>
          <w:p w14:paraId="7C8368C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41238DE9">
            <w:pPr>
              <w:pStyle w:val="12"/>
              <w:widowControl w:val="0"/>
              <w:jc w:val="both"/>
              <w:rPr>
                <w:rFonts w:hint="eastAsia" w:ascii="仿宋" w:hAnsi="仿宋" w:eastAsia="仿宋" w:cs="仿宋"/>
                <w:spacing w:val="10"/>
                <w:kern w:val="2"/>
                <w:sz w:val="24"/>
                <w:szCs w:val="24"/>
                <w:lang w:val="en-US" w:eastAsia="en-US" w:bidi="ar-SA"/>
              </w:rPr>
            </w:pPr>
          </w:p>
        </w:tc>
      </w:tr>
      <w:tr w14:paraId="126D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2B6DEA71">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713A0B47">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7641D458">
            <w:pPr>
              <w:keepNext w:val="0"/>
              <w:keepLines w:val="0"/>
              <w:widowControl/>
              <w:suppressLineNumbers w:val="0"/>
              <w:jc w:val="left"/>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w:t>
            </w:r>
          </w:p>
          <w:p w14:paraId="0D73A705">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6333E8FD">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1.22平台具备兼容各类边缘计算设备的功能，支持设置设备参数，包括设备名称、UI类型、SSH IP、SSH端口、用户名、密码和VNC端口，并提供通过NOVNC或SSH远程访问设备的功能。（需提供软件功能截图证明材料复印件并加盖公章）</w:t>
            </w:r>
          </w:p>
        </w:tc>
        <w:tc>
          <w:tcPr>
            <w:tcW w:w="3458" w:type="dxa"/>
            <w:shd w:val="clear" w:color="auto" w:fill="auto"/>
            <w:vAlign w:val="top"/>
          </w:tcPr>
          <w:p w14:paraId="42B7107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79F04DB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平台具备兼容各类边缘计算设备的功能，支持设置设备参数，包括设备名称、UI类型、SSH IP、SSH端口、用户名、密码和VNC端口，并提供通过NOVNC或SSH远程访问设备的功能。（提供软件功能截图证明材料复印件并加盖公章）</w:t>
            </w:r>
          </w:p>
        </w:tc>
        <w:tc>
          <w:tcPr>
            <w:tcW w:w="739" w:type="dxa"/>
          </w:tcPr>
          <w:p w14:paraId="3EE85F2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7AD90E2F">
            <w:pPr>
              <w:pStyle w:val="12"/>
              <w:widowControl w:val="0"/>
              <w:jc w:val="both"/>
              <w:rPr>
                <w:rFonts w:hint="eastAsia" w:ascii="仿宋" w:hAnsi="仿宋" w:eastAsia="仿宋" w:cs="仿宋"/>
                <w:spacing w:val="10"/>
                <w:kern w:val="2"/>
                <w:sz w:val="24"/>
                <w:szCs w:val="24"/>
                <w:lang w:val="en-US" w:eastAsia="en-US" w:bidi="ar-SA"/>
              </w:rPr>
            </w:pPr>
          </w:p>
        </w:tc>
      </w:tr>
      <w:tr w14:paraId="4BCA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61BA2556">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492820F1">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7DE5DA34">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142B65C0">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1.23平台需兼容的设备类型，需涵盖英伟达 Jetson 系列的视觉与图像类边缘计算设备（需至少支持 Jetson Nano、Jetson Xavier、Jetson NX 等型号），以及 RobOS 类型机器人、各类智能机械臂和无人驾驶车等。</w:t>
            </w:r>
          </w:p>
        </w:tc>
        <w:tc>
          <w:tcPr>
            <w:tcW w:w="3458" w:type="dxa"/>
            <w:shd w:val="clear" w:color="auto" w:fill="auto"/>
            <w:vAlign w:val="top"/>
          </w:tcPr>
          <w:p w14:paraId="0441731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56295E2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平台兼容的设备类型，涵盖英伟达 Jetson 系列的视觉与图像类边缘计算设备（支持 Jetson Nano、Jetson Xavier、Jetson NX 等型号），以及 RobOS 类型机器人、各类智能机械臂和无人驾驶车等。</w:t>
            </w:r>
          </w:p>
        </w:tc>
        <w:tc>
          <w:tcPr>
            <w:tcW w:w="739" w:type="dxa"/>
          </w:tcPr>
          <w:p w14:paraId="0D63429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4021C4D1">
            <w:pPr>
              <w:pStyle w:val="12"/>
              <w:widowControl w:val="0"/>
              <w:jc w:val="both"/>
              <w:rPr>
                <w:rFonts w:hint="eastAsia" w:ascii="仿宋" w:hAnsi="仿宋" w:eastAsia="仿宋" w:cs="仿宋"/>
                <w:spacing w:val="10"/>
                <w:kern w:val="2"/>
                <w:sz w:val="24"/>
                <w:szCs w:val="24"/>
                <w:lang w:val="en-US" w:eastAsia="en-US" w:bidi="ar-SA"/>
              </w:rPr>
            </w:pPr>
          </w:p>
        </w:tc>
      </w:tr>
      <w:tr w14:paraId="2682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5DFC221D">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5C960E84">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5B6B71C5">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2F70195E">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1.24平台需兼容各类常见操作系统功能，须至少支持redhat、Debian、kylin、UOS、openeuler、Centos等；兼容各类数据库功能，至少需支持MySql、MariaDB、MongoDB等数据库。</w:t>
            </w:r>
          </w:p>
        </w:tc>
        <w:tc>
          <w:tcPr>
            <w:tcW w:w="3458" w:type="dxa"/>
            <w:shd w:val="clear" w:color="auto" w:fill="auto"/>
            <w:vAlign w:val="top"/>
          </w:tcPr>
          <w:p w14:paraId="00DC18D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20771FB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平台兼容各类常见操作系统功能，支持redhat、Debian、kylin、UOS、openeuler、Centos等；兼容各类数据库功能，支持MySql、MariaDB、MongoDB等数据库。</w:t>
            </w:r>
          </w:p>
        </w:tc>
        <w:tc>
          <w:tcPr>
            <w:tcW w:w="739" w:type="dxa"/>
          </w:tcPr>
          <w:p w14:paraId="088C53C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C2904DB">
            <w:pPr>
              <w:pStyle w:val="12"/>
              <w:widowControl w:val="0"/>
              <w:jc w:val="both"/>
              <w:rPr>
                <w:rFonts w:hint="eastAsia" w:ascii="仿宋" w:hAnsi="仿宋" w:eastAsia="仿宋" w:cs="仿宋"/>
                <w:spacing w:val="10"/>
                <w:kern w:val="2"/>
                <w:sz w:val="24"/>
                <w:szCs w:val="24"/>
                <w:lang w:val="en-US" w:eastAsia="en-US" w:bidi="ar-SA"/>
              </w:rPr>
            </w:pPr>
          </w:p>
        </w:tc>
      </w:tr>
      <w:tr w14:paraId="6F63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29A55BC1">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7707A7CF">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56DCB8F2">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1FEFDF19">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1.25具有集中算力与周边设备、周边系统之间数据通信功能，具有一键上传或下载数据或模型功能，具有自定义用户名、登录密码、指定下载位置、配置下载文件、指定设备、配置目标位置等功能。</w:t>
            </w:r>
          </w:p>
        </w:tc>
        <w:tc>
          <w:tcPr>
            <w:tcW w:w="3458" w:type="dxa"/>
            <w:shd w:val="clear" w:color="auto" w:fill="auto"/>
            <w:vAlign w:val="top"/>
          </w:tcPr>
          <w:p w14:paraId="394A213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279CFD3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具有集中算力与周边设备、周边系统之间数据通信功能，具有一键上传或下载数据或模型功能，具有自定义用户名、登录密码、指定下载位置、配置下载文件、指定设备、配置目标位置等功能。</w:t>
            </w:r>
          </w:p>
        </w:tc>
        <w:tc>
          <w:tcPr>
            <w:tcW w:w="739" w:type="dxa"/>
          </w:tcPr>
          <w:p w14:paraId="1C27E64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3A4011A6">
            <w:pPr>
              <w:pStyle w:val="12"/>
              <w:widowControl w:val="0"/>
              <w:jc w:val="both"/>
              <w:rPr>
                <w:rFonts w:hint="eastAsia" w:ascii="仿宋" w:hAnsi="仿宋" w:eastAsia="仿宋" w:cs="仿宋"/>
                <w:spacing w:val="10"/>
                <w:kern w:val="2"/>
                <w:sz w:val="24"/>
                <w:szCs w:val="24"/>
                <w:lang w:val="en-US" w:eastAsia="en-US" w:bidi="ar-SA"/>
              </w:rPr>
            </w:pPr>
          </w:p>
        </w:tc>
      </w:tr>
      <w:tr w14:paraId="6E41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34197240">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1A3F51F2">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7DFA9CF3">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4356567D">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1.26相关功能模块具有自主载入神经网络模型功能，快速捕捉多目标检测，具有自动捕捉人脸功能，自动判断MASK类型等功能。</w:t>
            </w:r>
          </w:p>
        </w:tc>
        <w:tc>
          <w:tcPr>
            <w:tcW w:w="3458" w:type="dxa"/>
            <w:shd w:val="clear" w:color="auto" w:fill="auto"/>
            <w:vAlign w:val="top"/>
          </w:tcPr>
          <w:p w14:paraId="1E459FF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43BD2B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相关功能模块具有自主载入神经网络模型功能，快速捕捉多目标检测，具有自动捕捉人脸功能，自动判断MASK类型等功能。</w:t>
            </w:r>
          </w:p>
        </w:tc>
        <w:tc>
          <w:tcPr>
            <w:tcW w:w="739" w:type="dxa"/>
          </w:tcPr>
          <w:p w14:paraId="4B09924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0E33529D">
            <w:pPr>
              <w:pStyle w:val="12"/>
              <w:widowControl w:val="0"/>
              <w:jc w:val="both"/>
              <w:rPr>
                <w:rFonts w:hint="eastAsia" w:ascii="仿宋" w:hAnsi="仿宋" w:eastAsia="仿宋" w:cs="仿宋"/>
                <w:spacing w:val="10"/>
                <w:kern w:val="2"/>
                <w:sz w:val="24"/>
                <w:szCs w:val="24"/>
                <w:lang w:val="en-US" w:eastAsia="en-US" w:bidi="ar-SA"/>
              </w:rPr>
            </w:pPr>
          </w:p>
        </w:tc>
      </w:tr>
      <w:tr w14:paraId="0AA5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4382C5F8">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7D7BCCF5">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00C6A73C">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604817C5">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1.27二次开发要求：本模块具有部分定制化设备对接需求，包含软件定制化开发以及配套硬件整体集成，以满足未来可能新增设备的使用对接。由于软件功能建设需求存在不可完全预知的特点，所以投标人在满足当前功能要求的基础上必须承诺在功能实践过程中，对用户方新增或变更的需求进行无条件响应，不得以涉及变动技术架构或需求不属于产品定义范畴等理由拒绝修改。</w:t>
            </w:r>
          </w:p>
        </w:tc>
        <w:tc>
          <w:tcPr>
            <w:tcW w:w="3458" w:type="dxa"/>
            <w:shd w:val="clear" w:color="auto" w:fill="auto"/>
            <w:vAlign w:val="top"/>
          </w:tcPr>
          <w:p w14:paraId="220868A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22BDBA8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二次开发要求：本模块具有部分定制化设备对接需求，包含软件定制化开发以及配套硬件整体集成，以满足未来可能新增设备的使用对接。由于软件功能建设需求存在不可完全预知的特点，所以投标人在满足当前功能要求的基础上必须承诺在功能实践过程中，对用户方新增或变更的需求进行无条件响应，不得以涉及变动技术架构或需求不属于产品定义范畴等理由拒绝修改。</w:t>
            </w:r>
          </w:p>
        </w:tc>
        <w:tc>
          <w:tcPr>
            <w:tcW w:w="739" w:type="dxa"/>
          </w:tcPr>
          <w:p w14:paraId="33AD9D7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43C24538">
            <w:pPr>
              <w:pStyle w:val="12"/>
              <w:widowControl w:val="0"/>
              <w:jc w:val="both"/>
              <w:rPr>
                <w:rFonts w:hint="eastAsia" w:ascii="仿宋" w:hAnsi="仿宋" w:eastAsia="仿宋" w:cs="仿宋"/>
                <w:spacing w:val="10"/>
                <w:kern w:val="2"/>
                <w:sz w:val="24"/>
                <w:szCs w:val="24"/>
                <w:lang w:val="en-US" w:eastAsia="en-US" w:bidi="ar-SA"/>
              </w:rPr>
            </w:pPr>
          </w:p>
        </w:tc>
      </w:tr>
      <w:tr w14:paraId="24D5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12E07F95">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517E7A6C">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4660485A">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2E9130CF">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1.28具备系统架构与资源管理功能。具有Docker与OpenStack双底层虚拟化架构功能，实现对计算、存储、网络等资源的统一池化与管理。具备资源统一监控、GPU/CPU调度、Pod管理与容器编排能力。</w:t>
            </w:r>
          </w:p>
        </w:tc>
        <w:tc>
          <w:tcPr>
            <w:tcW w:w="3458" w:type="dxa"/>
            <w:shd w:val="clear" w:color="auto" w:fill="auto"/>
            <w:vAlign w:val="top"/>
          </w:tcPr>
          <w:p w14:paraId="6C9B140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778E73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具备系统架构与资源管理功能。具有Docker与OpenStack双底层虚拟化架构功能，实现对计算、存储、网络等资源的统一池化与管理。具备资源统一监控、GPU/CPU调度、Pod管理与容器编排能力。</w:t>
            </w:r>
          </w:p>
        </w:tc>
        <w:tc>
          <w:tcPr>
            <w:tcW w:w="739" w:type="dxa"/>
          </w:tcPr>
          <w:p w14:paraId="7C3EFF9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E43F535">
            <w:pPr>
              <w:pStyle w:val="12"/>
              <w:widowControl w:val="0"/>
              <w:jc w:val="both"/>
              <w:rPr>
                <w:rFonts w:hint="eastAsia" w:ascii="仿宋" w:hAnsi="仿宋" w:eastAsia="仿宋" w:cs="仿宋"/>
                <w:spacing w:val="10"/>
                <w:kern w:val="2"/>
                <w:sz w:val="24"/>
                <w:szCs w:val="24"/>
                <w:lang w:val="en-US" w:eastAsia="en-US" w:bidi="ar-SA"/>
              </w:rPr>
            </w:pPr>
          </w:p>
        </w:tc>
      </w:tr>
      <w:tr w14:paraId="23BD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620FD478">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5AFBC762">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1B819B54">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7BCA65A3">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1.29具备容器管理与调度功能。具有提供完整的Docker容器生命周期管理功能，支持启动、停止、重启、资源限制（CPU/内存/IO）等；具有私有镜像仓库（Docker Registry），具备应用部署、滚动升级、负载均衡与服务发现能力。</w:t>
            </w:r>
          </w:p>
        </w:tc>
        <w:tc>
          <w:tcPr>
            <w:tcW w:w="3458" w:type="dxa"/>
            <w:shd w:val="clear" w:color="auto" w:fill="auto"/>
            <w:vAlign w:val="top"/>
          </w:tcPr>
          <w:p w14:paraId="5FC048E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3CB1132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具备容器管理与调度功能。具有提供完整的Docker容器生命周期管理功能，支持启动、停止、重启、资源限制（CPU/内存/IO）；具有私有镜像仓库（Docker Registry），具备应用部署、滚动升级、负载均衡与服务发现能力。</w:t>
            </w:r>
          </w:p>
        </w:tc>
        <w:tc>
          <w:tcPr>
            <w:tcW w:w="739" w:type="dxa"/>
          </w:tcPr>
          <w:p w14:paraId="506F298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484112CF">
            <w:pPr>
              <w:pStyle w:val="12"/>
              <w:widowControl w:val="0"/>
              <w:jc w:val="both"/>
              <w:rPr>
                <w:rFonts w:hint="eastAsia" w:ascii="仿宋" w:hAnsi="仿宋" w:eastAsia="仿宋" w:cs="仿宋"/>
                <w:spacing w:val="10"/>
                <w:kern w:val="2"/>
                <w:sz w:val="24"/>
                <w:szCs w:val="24"/>
                <w:lang w:val="en-US" w:eastAsia="en-US" w:bidi="ar-SA"/>
              </w:rPr>
            </w:pPr>
          </w:p>
        </w:tc>
      </w:tr>
      <w:tr w14:paraId="7618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 w:type="dxa"/>
            <w:vMerge w:val="continue"/>
          </w:tcPr>
          <w:p w14:paraId="393EC0BE">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3E0BE00B">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35A0F6F5">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7FD7DC3B">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1.30具有云主机管理功能。可自定义云主机配置（CPU、内存、镜像等），具备快照创建与恢复、动态调整配置、热迁移、安全组策略加载等功能。需具备Web控制台访问、浮动IP分配、密钥对登录、操作日志记录与查询功能。</w:t>
            </w:r>
          </w:p>
        </w:tc>
        <w:tc>
          <w:tcPr>
            <w:tcW w:w="3458" w:type="dxa"/>
            <w:shd w:val="clear" w:color="auto" w:fill="auto"/>
            <w:vAlign w:val="top"/>
          </w:tcPr>
          <w:p w14:paraId="7B0D1FC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25D18A7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有云主机管理功能。可自定义云主机配置（CPU、内存、镜像等），具备快照创建与恢复、动态调整配置、热迁移、安全组策略加载等功能。具备Web控制台访问、浮动IP分配、密钥对登录、操作日志记录与查询功能。</w:t>
            </w:r>
          </w:p>
        </w:tc>
        <w:tc>
          <w:tcPr>
            <w:tcW w:w="739" w:type="dxa"/>
          </w:tcPr>
          <w:p w14:paraId="0919635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6F26D909">
            <w:pPr>
              <w:pStyle w:val="12"/>
              <w:widowControl w:val="0"/>
              <w:jc w:val="both"/>
              <w:rPr>
                <w:rFonts w:hint="eastAsia" w:ascii="仿宋" w:hAnsi="仿宋" w:eastAsia="仿宋" w:cs="仿宋"/>
                <w:spacing w:val="10"/>
                <w:kern w:val="2"/>
                <w:sz w:val="24"/>
                <w:szCs w:val="24"/>
                <w:lang w:val="en-US" w:eastAsia="en-US" w:bidi="ar-SA"/>
              </w:rPr>
            </w:pPr>
          </w:p>
        </w:tc>
      </w:tr>
      <w:tr w14:paraId="5443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2FBE5423">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13BC833F">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1E936732">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4B56D3F3">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1.31具备网络安全功能：具有用户自定义私有网络，包括虚拟交换机、路由器、防火墙等功能；提供灵活的网络安全策略，支持防火墙规则自定义、网络拓扑可视化和多种网络插件与结构。</w:t>
            </w:r>
          </w:p>
        </w:tc>
        <w:tc>
          <w:tcPr>
            <w:tcW w:w="3458" w:type="dxa"/>
            <w:shd w:val="clear" w:color="auto" w:fill="auto"/>
            <w:vAlign w:val="top"/>
          </w:tcPr>
          <w:p w14:paraId="3283C5E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5931678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具备网络安全功能：具有用户自定义私有网络，包括虚拟交换机、路由器、防火墙等功能；提供灵活的网络安全策略，支持防火墙规则自定义、网络拓扑可视化和多种网络插件与结构。</w:t>
            </w:r>
          </w:p>
        </w:tc>
        <w:tc>
          <w:tcPr>
            <w:tcW w:w="739" w:type="dxa"/>
          </w:tcPr>
          <w:p w14:paraId="09A37DA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BF89D1C">
            <w:pPr>
              <w:pStyle w:val="12"/>
              <w:widowControl w:val="0"/>
              <w:jc w:val="both"/>
              <w:rPr>
                <w:rFonts w:hint="eastAsia" w:ascii="仿宋" w:hAnsi="仿宋" w:eastAsia="仿宋" w:cs="仿宋"/>
                <w:spacing w:val="10"/>
                <w:kern w:val="2"/>
                <w:sz w:val="24"/>
                <w:szCs w:val="24"/>
                <w:lang w:val="en-US" w:eastAsia="en-US" w:bidi="ar-SA"/>
              </w:rPr>
            </w:pPr>
          </w:p>
        </w:tc>
      </w:tr>
      <w:tr w14:paraId="319C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030081DB">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4D3684A6">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45D802FD">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44DE72A7">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1.32具备集群资源使用情况监控（CPU、内存、存储），支持项目级资源使用统计与服务状态监控；具有计算节点虚拟机状态与数量监控功能，具备身份认证与访问控制机制。</w:t>
            </w:r>
          </w:p>
        </w:tc>
        <w:tc>
          <w:tcPr>
            <w:tcW w:w="3458" w:type="dxa"/>
            <w:shd w:val="clear" w:color="auto" w:fill="auto"/>
            <w:vAlign w:val="top"/>
          </w:tcPr>
          <w:p w14:paraId="194F85B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4246106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具备集群资源使用情况监控（CPU、内存、存储），支持项目级资源使用统计与服务状态监控；具有计算节点虚拟机状态与数量监控功能，具备身份认证与访问控制机制。</w:t>
            </w:r>
          </w:p>
        </w:tc>
        <w:tc>
          <w:tcPr>
            <w:tcW w:w="739" w:type="dxa"/>
          </w:tcPr>
          <w:p w14:paraId="1279711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79BA7831">
            <w:pPr>
              <w:pStyle w:val="12"/>
              <w:widowControl w:val="0"/>
              <w:jc w:val="both"/>
              <w:rPr>
                <w:rFonts w:hint="eastAsia" w:ascii="仿宋" w:hAnsi="仿宋" w:eastAsia="仿宋" w:cs="仿宋"/>
                <w:spacing w:val="10"/>
                <w:kern w:val="2"/>
                <w:sz w:val="24"/>
                <w:szCs w:val="24"/>
                <w:lang w:val="en-US" w:eastAsia="en-US" w:bidi="ar-SA"/>
              </w:rPr>
            </w:pPr>
          </w:p>
        </w:tc>
      </w:tr>
      <w:tr w14:paraId="5D15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29D89DB3">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0EFCC106">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1371CA85">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51633C41">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1.33具备GPU虚拟化功能。平台具备每张物理 GPU 切分的 vGPU 数量的能力，可根据业务的实际需求来进行划分；具备限制 vGPU 显存的功能；具备限制 vGPU 的计算单元的功能；GPU 虚拟化功能应能支持现有程序无需修改即可运行。对应的虚拟化层应能正确识别和调度 GPU 资源，使应用程序能够在虚拟环境中正常运行；具备虚拟显存功能，能使虚拟机在使用共享 GPU 资源时如同使用本地显存一样。</w:t>
            </w:r>
          </w:p>
        </w:tc>
        <w:tc>
          <w:tcPr>
            <w:tcW w:w="3458" w:type="dxa"/>
            <w:shd w:val="clear" w:color="auto" w:fill="auto"/>
            <w:vAlign w:val="top"/>
          </w:tcPr>
          <w:p w14:paraId="4251987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42065AC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具备GPU虚拟化功能。平台具备每张物理 GPU 切分的 vGPU 数量的能力，可根据业务的实际需求来进行划分；具备限制 vGPU 显存的功能；具备限制 vGPU 的计算单元的功能；GPU 虚拟化功能应能支持现有程序无需修改即可运行。对应的虚拟化层应能正确识别和调度 GPU 资源，使应用程序能够在虚拟环境中正常运行；具备虚拟显存功能，能使虚拟机在使用共享 GPU 资源时如同使用本地显存一样。</w:t>
            </w:r>
          </w:p>
        </w:tc>
        <w:tc>
          <w:tcPr>
            <w:tcW w:w="739" w:type="dxa"/>
          </w:tcPr>
          <w:p w14:paraId="57918DB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3C8223CB">
            <w:pPr>
              <w:pStyle w:val="12"/>
              <w:widowControl w:val="0"/>
              <w:jc w:val="both"/>
              <w:rPr>
                <w:rFonts w:hint="eastAsia" w:ascii="仿宋" w:hAnsi="仿宋" w:eastAsia="仿宋" w:cs="仿宋"/>
                <w:spacing w:val="10"/>
                <w:kern w:val="2"/>
                <w:sz w:val="24"/>
                <w:szCs w:val="24"/>
                <w:lang w:val="en-US" w:eastAsia="en-US" w:bidi="ar-SA"/>
              </w:rPr>
            </w:pPr>
          </w:p>
        </w:tc>
      </w:tr>
      <w:tr w14:paraId="5489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1437E31C">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2CC9C129">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62A70EAD">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5F8C1B23">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1.34配套课程资源至少包括以下内容： (1) 《数据分析与可视化》课程，至少涵盖Python数据分析与挖掘、数据可视化工具使用及Excel与Python结合的商业数据分析与可视化等；提供不少于30个实验；交付内容至少包括实验手册、配套实验环境、代码、数据集(2) 《数据采集处理与数据标注》课程，至少包括Python网络爬虫、多源数据清洗与处理、图像与目标检测数据标注（LabelImg/LabelMe等）及格式转换；提供不少于40个实验；交付内容至少包括实验手册、配套实验环境、代码、数据集 (3) 《深度学习技术应用》课程，至少涵盖深度学习基础算法、主流深度学习框架应用、典型实例与实战案例，包括图像识别、自然语言处理等；提供不少于40个实验手册，交付内容至少包括实验手册、配套实验环境、代码、数据集 (4) 《计算机视觉应用》课程，至少包括人脸识别、图像分割、目标检测、交通监控图像处理、车牌识别等典型计算机视觉任务。提供于14个实验；交付内容至少包括实验手册、实验环境、图像数据集、模型文件、应用案例 (5) 《智能设备部署与调试》课程，至少涵盖智能设备选型、环境搭建、主流工业通信协议配置及故障排查等实训，可通过模拟硬件方式开展；提供不少于13个实验；交付内容至少包括实验手册、配套实验环境、代码、数据集 (6) 《ROS系统应用及编程》课程，至少包括ROS基础环境搭建、通信机制、机器人仿真、传感器数据处理、自主导航与路径规划等；提供不少于不少于15个实验手册；交付内容至少包括实验手册、配套实验环境、代码、数据集 (7) 《Python矿井数据分析实训》课程，至少涵盖矿井生产与安全数据的采集、清洗、分析与可视化，涵盖回归预测、故障预警、风险评估等典型场景；提供不少于不少于12个实验手册；交付内容至少包括实验手册、配套实验环境、代码、数据集 (8) 《智能巡检机器人开发实训》课程，基于ROS与Python开发环境，实现巡检机器人仿真、路径规划、多传感器融合与协同巡检等综合应用；提供不少于不少于10个实验手册；交付内容至少包括实验手册、配套实验环境、代码、数据集 (9)《工矿环境计算机视觉识别实训》课程，至少包括工矿图像采集与标注、传统与深度学习图像分类、目标检测、图像分割与缺陷检测等；提供不少于不少于10个实验手册；交付内容至少包括实验手册、配套实验环境、代码、数据集 (10) 《自然语言与语音处理》课程，至少涵盖自然语言处理（文本分类、情感分析、聊天机器人等）与语音信号处理（采集、分析、降噪、合成等）两大模块；提供不少于不少于20个实验手册；交付内容至少包括实验手册、配套实验环境、代码、数据集 (11) 《人工智能综合项目开发》课程，基于Flask框架开发Web应用，集成数据可视化、预测模型、目标检测系统等，完成综合项目部署。；提供不少于不少于15个实验手册；交付内容至少包括实验手册、配套实验环境、代码、数据集 (12) 《人工智能系统部署与运维》课程，至少包括Docker容器技术、镜像构建、网络与存储管理、K8s集群部署、日志系统搭建等运维核心技能；提供不少于不少于20个实验手册；交付内容至少包括实验手册、配套实验环境、代码、数据集 (13) 《大模型系统部署与应用》课程，至少涵盖大模型本地部署（Ollama）、Web交互（OpenWebUI）、图像生成（ComfyUI）、智能体开发（Dify/Coze）及提示词工程等内容；提供不少于不少于45个实验手册；交付内容至少包括实验手册、配套实验环境、代码、数据集</w:t>
            </w:r>
          </w:p>
        </w:tc>
        <w:tc>
          <w:tcPr>
            <w:tcW w:w="3458" w:type="dxa"/>
            <w:shd w:val="clear" w:color="auto" w:fill="auto"/>
            <w:vAlign w:val="top"/>
          </w:tcPr>
          <w:p w14:paraId="6D064C0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3A5145C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配套课程资源包括以下内容： (1) 《数据分析与可视化》课程，涵盖Python数据分析与挖掘、数据可视化工具使用及Excel与Python结合的商业数据分析与可视化等；提供30个实验；交付内容包括实验手册、配套实验环境、代码、数据集(2) 《数据采集处理与数据标注》课程，包括Python网络爬虫、多源数据清洗与处理、图像与目标检测数据标注（LabelImg/LabelMe等）及格式转换；提供40个实验；交付内容包括实验手册、配套实验环境、代码、数据集 (3) 《深度学习技术应用》课程，涵盖深度学习基础算法、主流深度学习框架应用、典型实例与实战案例，包括图像识别、自然语言处理等；提供40个实验手册，交付内容至少包括实验手册、配套实验环境、代码、数据集 (4) 《计算机视觉应用》课程，包括人脸识别、图像分割、目标检测、交通监控图像处理、车牌识别等典型计算机视觉任务。提供于14个实验；交付内容包括实验手册、实验环境、图像数据集、模型文件、应用案例 (5) 《智能设备部署与调试》课程，涵盖智能设备选型、环境搭建、主流工业通信协议配置及故障排查等实训，可通过模拟硬件方式开展；提供13个实验；交付内容包括实验手册、配套实验环境、代码、数据集 (6) 《ROS系统应用及编程》课程，包括ROS基础环境搭建、通信机制、机器人仿真、传感器数据处理、自主导航与路径规划等；提供15个实验手册；交付内容包括实验手册、配套实验环境、代码、数据集 (7) 《Python矿井数据分析实训》课程，涵盖矿井生产与安全数据的采集、清洗、分析与可视化，涵盖回归预测、故障预警、风险评估等典型场景；提供12个实验手册；交付内容包括实验手册、配套实验环境、代码、数据集 (8) 《智能巡检机器人开发实训》课程，基于ROS与Python开发环境，实现巡检机器人仿真、路径规划、多传感器融合与协同巡检等综合应用；提供10个实验手册；交付内容包括实验手册、配套实验环境、代码、数据集 (9)《工矿环境计算机视觉识别实训》课程，包括工矿图像采集与标注、传统与深度学习图像分类、目标检测、图像分割与缺陷检测等；提供10个实验手册；交付内容包括实验手册、配套实验环境、代码、数据集 (10) 《自然语言与语音处理》课程，至少涵盖自然语言处理（文本分类、情感分析、聊天机器人等）与语音信号处理（采集、分析、降噪、合成等）两大模块；提供20个实验手册；交付内容包括实验手册、配套实验环境、代码、数据集 (11) 《人工智能综合项目开发》课程，基于Flask框架开发Web应用，集成数据可视化、预测模型、目标检测系统等，完成综合项目部署。；提供15个实验手册；交付内容包括实验手册、配套实验环境、代码、数据集 (12) 《人工智能系统部署与运维》课程，包括Docker容器技术、镜像构建、网络与存储管理、K8s集群部署、日志系统搭建等运维核心技能；提供20个实验手册；交付内容包括实验手册、配套实验环境、代码、数据集 (13) 《大模型系统部署与应用》课程，涵盖大模型本地部署（Ollama）、Web交互（OpenWebUI）、图像生成（ComfyUI）、智能体开发（Dify/Coze）及提示词工程等内容；提供45个实验手册；交付内容包括实验手册、配套实验环境、代码、数据集</w:t>
            </w:r>
          </w:p>
        </w:tc>
        <w:tc>
          <w:tcPr>
            <w:tcW w:w="739" w:type="dxa"/>
          </w:tcPr>
          <w:p w14:paraId="6F429B2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BED9081">
            <w:pPr>
              <w:pStyle w:val="12"/>
              <w:widowControl w:val="0"/>
              <w:jc w:val="both"/>
              <w:rPr>
                <w:rFonts w:hint="eastAsia" w:ascii="仿宋" w:hAnsi="仿宋" w:eastAsia="仿宋" w:cs="仿宋"/>
                <w:spacing w:val="10"/>
                <w:kern w:val="2"/>
                <w:sz w:val="24"/>
                <w:szCs w:val="24"/>
                <w:lang w:val="en-US" w:eastAsia="en-US" w:bidi="ar-SA"/>
              </w:rPr>
            </w:pPr>
          </w:p>
        </w:tc>
      </w:tr>
      <w:tr w14:paraId="7130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4891030A">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25B9D8F5">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13A78057">
            <w:pPr>
              <w:keepNext w:val="0"/>
              <w:keepLines w:val="0"/>
              <w:widowControl/>
              <w:suppressLineNumbers w:val="0"/>
              <w:jc w:val="left"/>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w:t>
            </w:r>
          </w:p>
        </w:tc>
        <w:tc>
          <w:tcPr>
            <w:tcW w:w="3054" w:type="dxa"/>
          </w:tcPr>
          <w:p w14:paraId="19F93135">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1.35课程配套周期：中标后，中标方需在本年度验收前提供至少6门课程资源，包括《数据分析与可视化》《深度学习技术应用》《计算机视觉应用》《自然语言与语音处理》《人工智能系统部署与运维》《大模型系统部署与应用》。若涉及其余课程的进一步开发，中标方须在中标之日起5个月内完成全部资源的开发与交付。此外，中标方还需提供不少于2门课程对应的实验手册电子资料，供采购方进行二次编写，并负责二次编写后的电子资料整理并正式出版。（需提供承诺函并加盖公章）</w:t>
            </w:r>
          </w:p>
        </w:tc>
        <w:tc>
          <w:tcPr>
            <w:tcW w:w="3458" w:type="dxa"/>
            <w:shd w:val="clear" w:color="auto" w:fill="auto"/>
            <w:vAlign w:val="top"/>
          </w:tcPr>
          <w:p w14:paraId="008085C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2A79F57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课程配套周期：中标后，</w:t>
            </w:r>
            <w:r>
              <w:rPr>
                <w:rFonts w:hint="eastAsia" w:ascii="仿宋" w:hAnsi="仿宋" w:eastAsia="仿宋" w:cs="仿宋"/>
                <w:spacing w:val="10"/>
                <w:kern w:val="2"/>
                <w:sz w:val="24"/>
                <w:szCs w:val="24"/>
                <w:lang w:val="en-US" w:eastAsia="zh-CN" w:bidi="ar-SA"/>
              </w:rPr>
              <w:t>我司</w:t>
            </w:r>
            <w:r>
              <w:rPr>
                <w:rFonts w:hint="eastAsia" w:ascii="仿宋" w:hAnsi="仿宋" w:eastAsia="仿宋" w:cs="仿宋"/>
                <w:spacing w:val="10"/>
                <w:kern w:val="2"/>
                <w:sz w:val="24"/>
                <w:szCs w:val="24"/>
                <w:lang w:val="en-US" w:eastAsia="en-US" w:bidi="ar-SA"/>
              </w:rPr>
              <w:t>在本年度验收前提供6门课程资源，包括《数据分析与可视化》《深度学习技术应用》《计算机视觉应用》《自然语言与语音处理》《人工智能系统部署与运维》《大模型系统部署与应用》。若涉及其余课程的进一步开发，</w:t>
            </w:r>
            <w:r>
              <w:rPr>
                <w:rFonts w:hint="eastAsia" w:ascii="仿宋" w:hAnsi="仿宋" w:eastAsia="仿宋" w:cs="仿宋"/>
                <w:spacing w:val="10"/>
                <w:kern w:val="2"/>
                <w:sz w:val="24"/>
                <w:szCs w:val="24"/>
                <w:lang w:val="en-US" w:eastAsia="zh-CN" w:bidi="ar-SA"/>
              </w:rPr>
              <w:t>我司</w:t>
            </w:r>
            <w:r>
              <w:rPr>
                <w:rFonts w:hint="eastAsia" w:ascii="仿宋" w:hAnsi="仿宋" w:eastAsia="仿宋" w:cs="仿宋"/>
                <w:spacing w:val="10"/>
                <w:kern w:val="2"/>
                <w:sz w:val="24"/>
                <w:szCs w:val="24"/>
                <w:lang w:val="en-US" w:eastAsia="en-US" w:bidi="ar-SA"/>
              </w:rPr>
              <w:t>在中标之日起5个月内完成全部资源的开发与交付。此外，</w:t>
            </w:r>
            <w:r>
              <w:rPr>
                <w:rFonts w:hint="eastAsia" w:ascii="仿宋" w:hAnsi="仿宋" w:eastAsia="仿宋" w:cs="仿宋"/>
                <w:spacing w:val="10"/>
                <w:kern w:val="2"/>
                <w:sz w:val="24"/>
                <w:szCs w:val="24"/>
                <w:lang w:val="en-US" w:eastAsia="zh-CN" w:bidi="ar-SA"/>
              </w:rPr>
              <w:t>我司还</w:t>
            </w:r>
            <w:r>
              <w:rPr>
                <w:rFonts w:hint="eastAsia" w:ascii="仿宋" w:hAnsi="仿宋" w:eastAsia="仿宋" w:cs="仿宋"/>
                <w:spacing w:val="10"/>
                <w:kern w:val="2"/>
                <w:sz w:val="24"/>
                <w:szCs w:val="24"/>
                <w:lang w:val="en-US" w:eastAsia="en-US" w:bidi="ar-SA"/>
              </w:rPr>
              <w:t>提供2门课程对应的实验手册电子资料，供采购方进行二次编写，并负责二次编写后的电子资料整理并正式出版。（提供承诺函并加盖公章）</w:t>
            </w:r>
          </w:p>
        </w:tc>
        <w:tc>
          <w:tcPr>
            <w:tcW w:w="739" w:type="dxa"/>
          </w:tcPr>
          <w:p w14:paraId="355A764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13609B05">
            <w:pPr>
              <w:pStyle w:val="12"/>
              <w:widowControl w:val="0"/>
              <w:jc w:val="both"/>
              <w:rPr>
                <w:rFonts w:hint="eastAsia" w:ascii="仿宋" w:hAnsi="仿宋" w:eastAsia="仿宋" w:cs="仿宋"/>
                <w:spacing w:val="10"/>
                <w:kern w:val="2"/>
                <w:sz w:val="24"/>
                <w:szCs w:val="24"/>
                <w:lang w:val="en-US" w:eastAsia="en-US" w:bidi="ar-SA"/>
              </w:rPr>
            </w:pPr>
          </w:p>
        </w:tc>
      </w:tr>
      <w:tr w14:paraId="62CD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56D99E33">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6F43CB3F">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76D7CD1">
            <w:pPr>
              <w:pStyle w:val="12"/>
              <w:widowControl w:val="0"/>
              <w:jc w:val="both"/>
              <w:rPr>
                <w:rFonts w:hint="eastAsia" w:ascii="仿宋" w:hAnsi="仿宋" w:eastAsia="仿宋" w:cs="仿宋"/>
                <w:spacing w:val="10"/>
                <w:kern w:val="2"/>
                <w:sz w:val="24"/>
                <w:szCs w:val="24"/>
                <w:lang w:val="en-US" w:eastAsia="en-US" w:bidi="ar-SA"/>
              </w:rPr>
            </w:pPr>
          </w:p>
        </w:tc>
        <w:tc>
          <w:tcPr>
            <w:tcW w:w="3054" w:type="dxa"/>
          </w:tcPr>
          <w:p w14:paraId="3C869F99">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1.36甲方对以上参数对应的平台系统及模块具有完全的使用权，均无使用期限限制；甲方对以上参数对应的配套课程资源具有完全的使用权，均无使用期限限制；在利用课程资源 进行出版、参赛或其他教育教学和科研活动时，均无版权限制要求（需提供承诺函并加盖公章）</w:t>
            </w:r>
          </w:p>
        </w:tc>
        <w:tc>
          <w:tcPr>
            <w:tcW w:w="3458" w:type="dxa"/>
            <w:shd w:val="clear" w:color="auto" w:fill="auto"/>
            <w:vAlign w:val="top"/>
          </w:tcPr>
          <w:p w14:paraId="3FA6F29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78B4F18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甲方对以上参数对应的平台系统及模块具有完全的使用权，均无使用期限限制；甲方对以上参数对应的配套课程资源具有完全的使用权，均无使用期限限制；在利用课程资源 进行出版、参赛或其他教育教学和科研活动时，均无版权限制要求（提供承诺函并加盖公章）</w:t>
            </w:r>
          </w:p>
        </w:tc>
        <w:tc>
          <w:tcPr>
            <w:tcW w:w="739" w:type="dxa"/>
          </w:tcPr>
          <w:p w14:paraId="37D587E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4E1F630F">
            <w:pPr>
              <w:pStyle w:val="12"/>
              <w:widowControl w:val="0"/>
              <w:jc w:val="both"/>
              <w:rPr>
                <w:rFonts w:hint="eastAsia" w:ascii="仿宋" w:hAnsi="仿宋" w:eastAsia="仿宋" w:cs="仿宋"/>
                <w:spacing w:val="10"/>
                <w:kern w:val="2"/>
                <w:sz w:val="24"/>
                <w:szCs w:val="24"/>
                <w:lang w:val="en-US" w:eastAsia="en-US" w:bidi="ar-SA"/>
              </w:rPr>
            </w:pPr>
          </w:p>
        </w:tc>
      </w:tr>
      <w:tr w14:paraId="73A8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restart"/>
          </w:tcPr>
          <w:p w14:paraId="700BEC24">
            <w:pPr>
              <w:pStyle w:val="12"/>
              <w:widowControl w:val="0"/>
              <w:jc w:val="both"/>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2</w:t>
            </w:r>
          </w:p>
        </w:tc>
        <w:tc>
          <w:tcPr>
            <w:tcW w:w="571" w:type="dxa"/>
            <w:vMerge w:val="restart"/>
          </w:tcPr>
          <w:p w14:paraId="508D8B29">
            <w:pPr>
              <w:keepNext w:val="0"/>
              <w:keepLines w:val="0"/>
              <w:widowControl/>
              <w:suppressLineNumbers w:val="0"/>
              <w:jc w:val="left"/>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人工智能科研开发平台</w:t>
            </w:r>
          </w:p>
          <w:p w14:paraId="540729E2">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64D337F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w:t>
            </w:r>
          </w:p>
        </w:tc>
        <w:tc>
          <w:tcPr>
            <w:tcW w:w="3054" w:type="dxa"/>
          </w:tcPr>
          <w:p w14:paraId="3E293C15">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2.1平台在服务期内，每年需提供至少5 pflops（千万亿次浮点运算，以FP16计算）的可用GPU算力供使用（需提供算力设备的型号、参数、数量和满足所需求算力的计算方法和过程，提供相关佐证材料并加盖公章）</w:t>
            </w:r>
          </w:p>
        </w:tc>
        <w:tc>
          <w:tcPr>
            <w:tcW w:w="3458" w:type="dxa"/>
            <w:shd w:val="clear" w:color="auto" w:fill="auto"/>
            <w:vAlign w:val="top"/>
          </w:tcPr>
          <w:p w14:paraId="072C2D2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327A45A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平台在服务期内，每年提供5 pflops（千万亿次浮点运算，以FP16计算）的可用GPU算力供使用（提供算力设备的型号、参数、数量和满足所需求算力的计算方法和过程，提供相关佐证材料并加盖公章）</w:t>
            </w:r>
          </w:p>
        </w:tc>
        <w:tc>
          <w:tcPr>
            <w:tcW w:w="739" w:type="dxa"/>
          </w:tcPr>
          <w:p w14:paraId="29144A5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640A4473">
            <w:pPr>
              <w:pStyle w:val="12"/>
              <w:widowControl w:val="0"/>
              <w:jc w:val="both"/>
              <w:rPr>
                <w:rFonts w:hint="eastAsia" w:ascii="仿宋" w:hAnsi="仿宋" w:eastAsia="仿宋" w:cs="仿宋"/>
                <w:spacing w:val="10"/>
                <w:kern w:val="2"/>
                <w:sz w:val="24"/>
                <w:szCs w:val="24"/>
                <w:lang w:val="en-US" w:eastAsia="en-US" w:bidi="ar-SA"/>
              </w:rPr>
            </w:pPr>
          </w:p>
        </w:tc>
      </w:tr>
      <w:tr w14:paraId="5905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5DC25D89">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30A29DFA">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1EE3D7F">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w:t>
            </w:r>
          </w:p>
        </w:tc>
        <w:tc>
          <w:tcPr>
            <w:tcW w:w="3054" w:type="dxa"/>
          </w:tcPr>
          <w:p w14:paraId="7298B31A">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2.2具备智能对话功能：任务执行过程中，关键节点具备弹窗获取人类反馈和确认的功能。能够输出可直接使用的结果文件，至少需包括报告、表格等格式。【需提供软件功能截图证明材料】</w:t>
            </w:r>
          </w:p>
        </w:tc>
        <w:tc>
          <w:tcPr>
            <w:tcW w:w="3458" w:type="dxa"/>
            <w:shd w:val="clear" w:color="auto" w:fill="auto"/>
            <w:vAlign w:val="top"/>
          </w:tcPr>
          <w:p w14:paraId="576E540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2CD146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具备智能对话功能：任务执行过程中，关键节点具备弹窗获取人类反馈和确认的功能。能够输出可直接使用的结果文件，包括报告、表格等格式。【提供软件功能截图证明材料】</w:t>
            </w:r>
          </w:p>
        </w:tc>
        <w:tc>
          <w:tcPr>
            <w:tcW w:w="739" w:type="dxa"/>
          </w:tcPr>
          <w:p w14:paraId="36D9FE3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4E097C29">
            <w:pPr>
              <w:pStyle w:val="12"/>
              <w:widowControl w:val="0"/>
              <w:jc w:val="both"/>
              <w:rPr>
                <w:rFonts w:hint="eastAsia" w:ascii="仿宋" w:hAnsi="仿宋" w:eastAsia="仿宋" w:cs="仿宋"/>
                <w:spacing w:val="10"/>
                <w:kern w:val="2"/>
                <w:sz w:val="24"/>
                <w:szCs w:val="24"/>
                <w:lang w:val="en-US" w:eastAsia="en-US" w:bidi="ar-SA"/>
              </w:rPr>
            </w:pPr>
          </w:p>
        </w:tc>
      </w:tr>
      <w:tr w14:paraId="0E8A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0B4E3049">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72A09EFE">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37730BBA">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w:t>
            </w:r>
          </w:p>
        </w:tc>
        <w:tc>
          <w:tcPr>
            <w:tcW w:w="3054" w:type="dxa"/>
          </w:tcPr>
          <w:p w14:paraId="7BD26E17">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2.3具备答案溯源功能：支持展示大模型的回复内容及标注大模型自动抽取的回复结果关键词，通过筛选回复结果中的关键词，溯源到最匹配的源文档。【需提供软件功能截图证明材料】</w:t>
            </w:r>
          </w:p>
        </w:tc>
        <w:tc>
          <w:tcPr>
            <w:tcW w:w="3458" w:type="dxa"/>
            <w:shd w:val="clear" w:color="auto" w:fill="auto"/>
            <w:vAlign w:val="top"/>
          </w:tcPr>
          <w:p w14:paraId="42519B9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3402DB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具备答案溯源功能：支持展示大模型的回复内容及标注大模型自动抽取的回复结果关键词，通过筛选回复结果中的关键词，溯源到最匹配的源文档。【提供软件功能截图证明材料】</w:t>
            </w:r>
          </w:p>
        </w:tc>
        <w:tc>
          <w:tcPr>
            <w:tcW w:w="739" w:type="dxa"/>
          </w:tcPr>
          <w:p w14:paraId="540A506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693D6159">
            <w:pPr>
              <w:pStyle w:val="12"/>
              <w:widowControl w:val="0"/>
              <w:jc w:val="both"/>
              <w:rPr>
                <w:rFonts w:hint="eastAsia" w:ascii="仿宋" w:hAnsi="仿宋" w:eastAsia="仿宋" w:cs="仿宋"/>
                <w:spacing w:val="10"/>
                <w:kern w:val="2"/>
                <w:sz w:val="24"/>
                <w:szCs w:val="24"/>
                <w:lang w:val="en-US" w:eastAsia="en-US" w:bidi="ar-SA"/>
              </w:rPr>
            </w:pPr>
          </w:p>
        </w:tc>
      </w:tr>
      <w:tr w14:paraId="3F4B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003345D6">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5D0C9C19">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59E0999B">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3B4CDAE2">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2.4具备安全管理功能，采用关键词匹配方法对会话内容进行实时监控与过滤。平台至少提供两种敏感词表设置方式：预置敏感词表及用户手动输入或上传敏感词表。安全审查功能支持开启与关闭，默认处于关闭状态。开启后，用户可在应用配置界面进行详细设置，并自定义安全审查命中的自动回复内容。</w:t>
            </w:r>
          </w:p>
        </w:tc>
        <w:tc>
          <w:tcPr>
            <w:tcW w:w="3458" w:type="dxa"/>
            <w:shd w:val="clear" w:color="auto" w:fill="auto"/>
            <w:vAlign w:val="top"/>
          </w:tcPr>
          <w:p w14:paraId="2CA3E73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00FC839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备安全管理功能，采用关键词匹配方法对会话内容进行实时监控与过滤。平台提供两种敏感词表设置方式：预置敏感词表及用户手动输入或上传敏感词表。安全审查功能支持开启与关闭，默认处于关闭状态。开启后，用户可在应用配置界面进行详细设置，并自定义安全审查命中的自动回复内容。</w:t>
            </w:r>
          </w:p>
        </w:tc>
        <w:tc>
          <w:tcPr>
            <w:tcW w:w="739" w:type="dxa"/>
          </w:tcPr>
          <w:p w14:paraId="2FDA8D3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680D5F3">
            <w:pPr>
              <w:pStyle w:val="12"/>
              <w:widowControl w:val="0"/>
              <w:jc w:val="both"/>
              <w:rPr>
                <w:rFonts w:hint="eastAsia" w:ascii="仿宋" w:hAnsi="仿宋" w:eastAsia="仿宋" w:cs="仿宋"/>
                <w:spacing w:val="10"/>
                <w:kern w:val="2"/>
                <w:sz w:val="24"/>
                <w:szCs w:val="24"/>
                <w:lang w:val="en-US" w:eastAsia="en-US" w:bidi="ar-SA"/>
              </w:rPr>
            </w:pPr>
          </w:p>
        </w:tc>
      </w:tr>
      <w:tr w14:paraId="2703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3651DE4A">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3CDD6579">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76B91026">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w:t>
            </w:r>
          </w:p>
        </w:tc>
        <w:tc>
          <w:tcPr>
            <w:tcW w:w="3054" w:type="dxa"/>
          </w:tcPr>
          <w:p w14:paraId="7F90A889">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2.5具备使用自然语言描述一句话创建大模型应用的功能：能根据描述自动生成提示词；能根据描述自动完成配置，至少包括模型配置、开场引导、知识库选择、工具/技能选择4种。【需提供软件功能截图证明材料】</w:t>
            </w:r>
          </w:p>
        </w:tc>
        <w:tc>
          <w:tcPr>
            <w:tcW w:w="3458" w:type="dxa"/>
            <w:shd w:val="clear" w:color="auto" w:fill="auto"/>
            <w:vAlign w:val="top"/>
          </w:tcPr>
          <w:p w14:paraId="2E2EE3E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0A7D120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具备使用自然语言描述一句话创建大模型应用的功能：能根据描述自动生成提示词；能根据描述自动完成配置，包括模型配置、开场引导、知识库选择、工具/技能选择4种。【提供软件功能截图证明材料】</w:t>
            </w:r>
          </w:p>
        </w:tc>
        <w:tc>
          <w:tcPr>
            <w:tcW w:w="739" w:type="dxa"/>
          </w:tcPr>
          <w:p w14:paraId="7963439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07ED32BE">
            <w:pPr>
              <w:pStyle w:val="12"/>
              <w:widowControl w:val="0"/>
              <w:jc w:val="both"/>
              <w:rPr>
                <w:rFonts w:hint="eastAsia" w:ascii="仿宋" w:hAnsi="仿宋" w:eastAsia="仿宋" w:cs="仿宋"/>
                <w:spacing w:val="10"/>
                <w:kern w:val="2"/>
                <w:sz w:val="24"/>
                <w:szCs w:val="24"/>
                <w:lang w:val="en-US" w:eastAsia="en-US" w:bidi="ar-SA"/>
              </w:rPr>
            </w:pPr>
          </w:p>
        </w:tc>
      </w:tr>
      <w:tr w14:paraId="08F1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635F3B7A">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13D98B18">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07740878">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77C488FF">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2.6具备多类型基础大模型选用及对应的参数配置的能力</w:t>
            </w:r>
          </w:p>
        </w:tc>
        <w:tc>
          <w:tcPr>
            <w:tcW w:w="3458" w:type="dxa"/>
            <w:shd w:val="clear" w:color="auto" w:fill="auto"/>
            <w:vAlign w:val="top"/>
          </w:tcPr>
          <w:p w14:paraId="4586B0B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00EAFEF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具备多类型基础大模型选用及对应的参数配置的能力</w:t>
            </w:r>
          </w:p>
        </w:tc>
        <w:tc>
          <w:tcPr>
            <w:tcW w:w="739" w:type="dxa"/>
          </w:tcPr>
          <w:p w14:paraId="7CDBB7A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4D53A2AA">
            <w:pPr>
              <w:pStyle w:val="12"/>
              <w:widowControl w:val="0"/>
              <w:jc w:val="both"/>
              <w:rPr>
                <w:rFonts w:hint="eastAsia" w:ascii="仿宋" w:hAnsi="仿宋" w:eastAsia="仿宋" w:cs="仿宋"/>
                <w:spacing w:val="10"/>
                <w:kern w:val="2"/>
                <w:sz w:val="24"/>
                <w:szCs w:val="24"/>
                <w:lang w:val="en-US" w:eastAsia="en-US" w:bidi="ar-SA"/>
              </w:rPr>
            </w:pPr>
          </w:p>
        </w:tc>
      </w:tr>
      <w:tr w14:paraId="2D01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01907EDF">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5C082875">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0A5B5B49">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29B8D6B0">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2.7具备应用开场白及引导问题配置的功能</w:t>
            </w:r>
          </w:p>
        </w:tc>
        <w:tc>
          <w:tcPr>
            <w:tcW w:w="3458" w:type="dxa"/>
            <w:shd w:val="clear" w:color="auto" w:fill="auto"/>
            <w:vAlign w:val="top"/>
          </w:tcPr>
          <w:p w14:paraId="5ACF2FD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7A2CB77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具备应用开场白及引导问题配置的功能</w:t>
            </w:r>
          </w:p>
        </w:tc>
        <w:tc>
          <w:tcPr>
            <w:tcW w:w="739" w:type="dxa"/>
          </w:tcPr>
          <w:p w14:paraId="4EE848F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6872CA0">
            <w:pPr>
              <w:pStyle w:val="12"/>
              <w:widowControl w:val="0"/>
              <w:jc w:val="both"/>
              <w:rPr>
                <w:rFonts w:hint="eastAsia" w:ascii="仿宋" w:hAnsi="仿宋" w:eastAsia="仿宋" w:cs="仿宋"/>
                <w:spacing w:val="10"/>
                <w:kern w:val="2"/>
                <w:sz w:val="24"/>
                <w:szCs w:val="24"/>
                <w:lang w:val="en-US" w:eastAsia="en-US" w:bidi="ar-SA"/>
              </w:rPr>
            </w:pPr>
          </w:p>
        </w:tc>
      </w:tr>
      <w:tr w14:paraId="573A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7A42F03E">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0667E4CC">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72F563AB">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2DC81F12">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2.8具备知识库、智能插件、高级智能体的选用和能力集成的功能</w:t>
            </w:r>
          </w:p>
        </w:tc>
        <w:tc>
          <w:tcPr>
            <w:tcW w:w="3458" w:type="dxa"/>
            <w:shd w:val="clear" w:color="auto" w:fill="auto"/>
            <w:vAlign w:val="top"/>
          </w:tcPr>
          <w:p w14:paraId="14E93EE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3715B55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具备知识库、智能插件、高级智能体的选用和能力集成的功能</w:t>
            </w:r>
          </w:p>
        </w:tc>
        <w:tc>
          <w:tcPr>
            <w:tcW w:w="739" w:type="dxa"/>
          </w:tcPr>
          <w:p w14:paraId="0223508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DAE0D5F">
            <w:pPr>
              <w:pStyle w:val="12"/>
              <w:widowControl w:val="0"/>
              <w:jc w:val="both"/>
              <w:rPr>
                <w:rFonts w:hint="eastAsia" w:ascii="仿宋" w:hAnsi="仿宋" w:eastAsia="仿宋" w:cs="仿宋"/>
                <w:spacing w:val="10"/>
                <w:kern w:val="2"/>
                <w:sz w:val="24"/>
                <w:szCs w:val="24"/>
                <w:lang w:val="en-US" w:eastAsia="en-US" w:bidi="ar-SA"/>
              </w:rPr>
            </w:pPr>
          </w:p>
        </w:tc>
      </w:tr>
      <w:tr w14:paraId="3A43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30963720">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77301058">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037F9DF">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5327DE77">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2.9具备用户利用镜像中心既有模型镜像“一键”加载模型运行所需要的配套软件环境的功能</w:t>
            </w:r>
          </w:p>
        </w:tc>
        <w:tc>
          <w:tcPr>
            <w:tcW w:w="3458" w:type="dxa"/>
            <w:shd w:val="clear" w:color="auto" w:fill="auto"/>
            <w:vAlign w:val="top"/>
          </w:tcPr>
          <w:p w14:paraId="7D12AF4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51079FC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具备用户利用镜像中心既有模型镜像“一键”加载模型运行所需要的配套软件环境的功能</w:t>
            </w:r>
          </w:p>
        </w:tc>
        <w:tc>
          <w:tcPr>
            <w:tcW w:w="739" w:type="dxa"/>
          </w:tcPr>
          <w:p w14:paraId="25B47AC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A0A968C">
            <w:pPr>
              <w:pStyle w:val="12"/>
              <w:widowControl w:val="0"/>
              <w:jc w:val="both"/>
              <w:rPr>
                <w:rFonts w:hint="eastAsia" w:ascii="仿宋" w:hAnsi="仿宋" w:eastAsia="仿宋" w:cs="仿宋"/>
                <w:spacing w:val="10"/>
                <w:kern w:val="2"/>
                <w:sz w:val="24"/>
                <w:szCs w:val="24"/>
                <w:lang w:val="en-US" w:eastAsia="en-US" w:bidi="ar-SA"/>
              </w:rPr>
            </w:pPr>
          </w:p>
        </w:tc>
      </w:tr>
      <w:tr w14:paraId="5BB1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0434FFD7">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6F69655C">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1FD7750C">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249B4A5A">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2.10具备容器服务异常告警功能，容器服务非正常停止时，通过邮件及平台内告警告知用户</w:t>
            </w:r>
          </w:p>
        </w:tc>
        <w:tc>
          <w:tcPr>
            <w:tcW w:w="3458" w:type="dxa"/>
            <w:shd w:val="clear" w:color="auto" w:fill="auto"/>
            <w:vAlign w:val="top"/>
          </w:tcPr>
          <w:p w14:paraId="11E8E67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001CF33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具备容器服务异常告警功能，容器服务非正常停止时，通过邮件及平台内告警告知用户</w:t>
            </w:r>
          </w:p>
        </w:tc>
        <w:tc>
          <w:tcPr>
            <w:tcW w:w="739" w:type="dxa"/>
          </w:tcPr>
          <w:p w14:paraId="4777132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41B57F24">
            <w:pPr>
              <w:pStyle w:val="12"/>
              <w:widowControl w:val="0"/>
              <w:jc w:val="both"/>
              <w:rPr>
                <w:rFonts w:hint="eastAsia" w:ascii="仿宋" w:hAnsi="仿宋" w:eastAsia="仿宋" w:cs="仿宋"/>
                <w:spacing w:val="10"/>
                <w:kern w:val="2"/>
                <w:sz w:val="24"/>
                <w:szCs w:val="24"/>
                <w:lang w:val="en-US" w:eastAsia="en-US" w:bidi="ar-SA"/>
              </w:rPr>
            </w:pPr>
          </w:p>
        </w:tc>
      </w:tr>
      <w:tr w14:paraId="2FF7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0F1E259A">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6C0C5EA3">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56C50630">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7DF2083D">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2.11具备用户查看非平台创建的裸金属服务器容器状况的功能</w:t>
            </w:r>
          </w:p>
        </w:tc>
        <w:tc>
          <w:tcPr>
            <w:tcW w:w="3458" w:type="dxa"/>
            <w:shd w:val="clear" w:color="auto" w:fill="auto"/>
            <w:vAlign w:val="top"/>
          </w:tcPr>
          <w:p w14:paraId="4200BE1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3042847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具备用户查看非平台创建的裸金属服务器容器状况的功能</w:t>
            </w:r>
          </w:p>
        </w:tc>
        <w:tc>
          <w:tcPr>
            <w:tcW w:w="739" w:type="dxa"/>
          </w:tcPr>
          <w:p w14:paraId="249978E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550DEA5">
            <w:pPr>
              <w:pStyle w:val="12"/>
              <w:widowControl w:val="0"/>
              <w:jc w:val="both"/>
              <w:rPr>
                <w:rFonts w:hint="eastAsia" w:ascii="仿宋" w:hAnsi="仿宋" w:eastAsia="仿宋" w:cs="仿宋"/>
                <w:spacing w:val="10"/>
                <w:kern w:val="2"/>
                <w:sz w:val="24"/>
                <w:szCs w:val="24"/>
                <w:lang w:val="en-US" w:eastAsia="en-US" w:bidi="ar-SA"/>
              </w:rPr>
            </w:pPr>
          </w:p>
        </w:tc>
      </w:tr>
      <w:tr w14:paraId="6E72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0994EE30">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28100C4B">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5BE0CD34">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32EC959C">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2.12平台使用和服务年限需≥3年</w:t>
            </w:r>
          </w:p>
        </w:tc>
        <w:tc>
          <w:tcPr>
            <w:tcW w:w="3458" w:type="dxa"/>
            <w:shd w:val="clear" w:color="auto" w:fill="auto"/>
            <w:vAlign w:val="top"/>
          </w:tcPr>
          <w:p w14:paraId="5FA2A87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7CAFD31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平台使用和服务年限3年</w:t>
            </w:r>
          </w:p>
        </w:tc>
        <w:tc>
          <w:tcPr>
            <w:tcW w:w="739" w:type="dxa"/>
          </w:tcPr>
          <w:p w14:paraId="6644D3A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39EFC0AC">
            <w:pPr>
              <w:pStyle w:val="12"/>
              <w:widowControl w:val="0"/>
              <w:jc w:val="both"/>
              <w:rPr>
                <w:rFonts w:hint="eastAsia" w:ascii="仿宋" w:hAnsi="仿宋" w:eastAsia="仿宋" w:cs="仿宋"/>
                <w:spacing w:val="10"/>
                <w:kern w:val="2"/>
                <w:sz w:val="24"/>
                <w:szCs w:val="24"/>
                <w:lang w:val="en-US" w:eastAsia="en-US" w:bidi="ar-SA"/>
              </w:rPr>
            </w:pPr>
          </w:p>
        </w:tc>
      </w:tr>
      <w:tr w14:paraId="683D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restart"/>
          </w:tcPr>
          <w:p w14:paraId="1DFC0C4C">
            <w:pPr>
              <w:pStyle w:val="12"/>
              <w:widowControl w:val="0"/>
              <w:jc w:val="both"/>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w:t>
            </w:r>
          </w:p>
        </w:tc>
        <w:tc>
          <w:tcPr>
            <w:tcW w:w="571" w:type="dxa"/>
            <w:vMerge w:val="restart"/>
          </w:tcPr>
          <w:p w14:paraId="790563F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人工智能实验实训箱</w:t>
            </w:r>
          </w:p>
        </w:tc>
        <w:tc>
          <w:tcPr>
            <w:tcW w:w="310" w:type="dxa"/>
          </w:tcPr>
          <w:p w14:paraId="433F188C">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0DE52593">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3.1处理器：国产处理器，≥4核，具有64位ARM处理器+AI处理器</w:t>
            </w:r>
          </w:p>
        </w:tc>
        <w:tc>
          <w:tcPr>
            <w:tcW w:w="3458" w:type="dxa"/>
            <w:shd w:val="clear" w:color="auto" w:fill="auto"/>
            <w:vAlign w:val="top"/>
          </w:tcPr>
          <w:p w14:paraId="4FDCB5F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4C2DCC6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处理器：国产处理器4核，具有64位ARM处理器+AI处理器</w:t>
            </w:r>
          </w:p>
        </w:tc>
        <w:tc>
          <w:tcPr>
            <w:tcW w:w="739" w:type="dxa"/>
          </w:tcPr>
          <w:p w14:paraId="33C1EC6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16411D38">
            <w:pPr>
              <w:pStyle w:val="12"/>
              <w:widowControl w:val="0"/>
              <w:jc w:val="both"/>
              <w:rPr>
                <w:rFonts w:hint="eastAsia" w:ascii="仿宋" w:hAnsi="仿宋" w:eastAsia="仿宋" w:cs="仿宋"/>
                <w:spacing w:val="10"/>
                <w:kern w:val="2"/>
                <w:sz w:val="24"/>
                <w:szCs w:val="24"/>
                <w:lang w:val="en-US" w:eastAsia="en-US" w:bidi="ar-SA"/>
              </w:rPr>
            </w:pPr>
          </w:p>
        </w:tc>
      </w:tr>
      <w:tr w14:paraId="23BA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29632E43">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1F05BA44">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45AC7113">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4516D39F">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3.2AI算力：整数精度（INT8）≥20 TOPS。</w:t>
            </w:r>
          </w:p>
        </w:tc>
        <w:tc>
          <w:tcPr>
            <w:tcW w:w="3458" w:type="dxa"/>
            <w:shd w:val="clear" w:color="auto" w:fill="auto"/>
            <w:vAlign w:val="top"/>
          </w:tcPr>
          <w:p w14:paraId="22C15BD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0065A23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AI算力：整数精度（INT8）20 TOPS。</w:t>
            </w:r>
          </w:p>
        </w:tc>
        <w:tc>
          <w:tcPr>
            <w:tcW w:w="739" w:type="dxa"/>
          </w:tcPr>
          <w:p w14:paraId="28957D3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751FE3CE">
            <w:pPr>
              <w:pStyle w:val="12"/>
              <w:widowControl w:val="0"/>
              <w:jc w:val="both"/>
              <w:rPr>
                <w:rFonts w:hint="eastAsia" w:ascii="仿宋" w:hAnsi="仿宋" w:eastAsia="仿宋" w:cs="仿宋"/>
                <w:spacing w:val="10"/>
                <w:kern w:val="2"/>
                <w:sz w:val="24"/>
                <w:szCs w:val="24"/>
                <w:lang w:val="en-US" w:eastAsia="en-US" w:bidi="ar-SA"/>
              </w:rPr>
            </w:pPr>
          </w:p>
        </w:tc>
      </w:tr>
      <w:tr w14:paraId="1CAD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4BC39766">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4D87745E">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5F101094">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0BB8920E">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3.3内存&amp;存储：内存类型LPDDR4X，容量≥24GB；存储≥64GB。</w:t>
            </w:r>
          </w:p>
        </w:tc>
        <w:tc>
          <w:tcPr>
            <w:tcW w:w="3458" w:type="dxa"/>
            <w:shd w:val="clear" w:color="auto" w:fill="auto"/>
            <w:vAlign w:val="top"/>
          </w:tcPr>
          <w:p w14:paraId="226EE0C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4034928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内存&amp;存储：内存类型LPDDR4X，容量24GB；存储64GB。</w:t>
            </w:r>
          </w:p>
        </w:tc>
        <w:tc>
          <w:tcPr>
            <w:tcW w:w="739" w:type="dxa"/>
          </w:tcPr>
          <w:p w14:paraId="7E096A3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51AC620">
            <w:pPr>
              <w:pStyle w:val="12"/>
              <w:widowControl w:val="0"/>
              <w:jc w:val="both"/>
              <w:rPr>
                <w:rFonts w:hint="eastAsia" w:ascii="仿宋" w:hAnsi="仿宋" w:eastAsia="仿宋" w:cs="仿宋"/>
                <w:spacing w:val="10"/>
                <w:kern w:val="2"/>
                <w:sz w:val="24"/>
                <w:szCs w:val="24"/>
                <w:lang w:val="en-US" w:eastAsia="en-US" w:bidi="ar-SA"/>
              </w:rPr>
            </w:pPr>
          </w:p>
        </w:tc>
      </w:tr>
      <w:tr w14:paraId="1CD2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7D199B9F">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77B3E88D">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6CB77568">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6CA42B55">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3.4接口: ≥2个2.5G网口；≥3个USB3.0 Host 接口,≥1个Type-C USB3.0 OTG 接口；≥2个HDMI 接口。</w:t>
            </w:r>
          </w:p>
        </w:tc>
        <w:tc>
          <w:tcPr>
            <w:tcW w:w="3458" w:type="dxa"/>
            <w:shd w:val="clear" w:color="auto" w:fill="auto"/>
            <w:vAlign w:val="top"/>
          </w:tcPr>
          <w:p w14:paraId="33AF431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2C67EC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接口: 2个2.5G网口；3个USB3.0 Host 接口,1个Type-C USB3.0 OTG 接口；2个HDMI 接口。</w:t>
            </w:r>
          </w:p>
        </w:tc>
        <w:tc>
          <w:tcPr>
            <w:tcW w:w="739" w:type="dxa"/>
          </w:tcPr>
          <w:p w14:paraId="121154B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087FC5F">
            <w:pPr>
              <w:pStyle w:val="12"/>
              <w:widowControl w:val="0"/>
              <w:jc w:val="both"/>
              <w:rPr>
                <w:rFonts w:hint="eastAsia" w:ascii="仿宋" w:hAnsi="仿宋" w:eastAsia="仿宋" w:cs="仿宋"/>
                <w:spacing w:val="10"/>
                <w:kern w:val="2"/>
                <w:sz w:val="24"/>
                <w:szCs w:val="24"/>
                <w:lang w:val="en-US" w:eastAsia="en-US" w:bidi="ar-SA"/>
              </w:rPr>
            </w:pPr>
          </w:p>
        </w:tc>
      </w:tr>
      <w:tr w14:paraId="3276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1B79995E">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5FBAA7DA">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128B15B1">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68C0EB5A">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3.5具有多轴机械臂：单总线舵机驱动，不少于5自由度，可完成大模型机械臂自动点餐实验。具备通过板载功能按键手动控制，支持上下左右四方向控制。</w:t>
            </w:r>
          </w:p>
        </w:tc>
        <w:tc>
          <w:tcPr>
            <w:tcW w:w="3458" w:type="dxa"/>
            <w:shd w:val="clear" w:color="auto" w:fill="auto"/>
            <w:vAlign w:val="top"/>
          </w:tcPr>
          <w:p w14:paraId="48B6A5A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49BE940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具有多轴机械臂：单总线舵机驱动，5自由度，可完成大模型机械臂自动点餐实验。具备通过板载功能按键手动控制，支持上下左右四方向控制。</w:t>
            </w:r>
          </w:p>
        </w:tc>
        <w:tc>
          <w:tcPr>
            <w:tcW w:w="739" w:type="dxa"/>
          </w:tcPr>
          <w:p w14:paraId="674491F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37A9341B">
            <w:pPr>
              <w:pStyle w:val="12"/>
              <w:widowControl w:val="0"/>
              <w:jc w:val="both"/>
              <w:rPr>
                <w:rFonts w:hint="eastAsia" w:ascii="仿宋" w:hAnsi="仿宋" w:eastAsia="仿宋" w:cs="仿宋"/>
                <w:spacing w:val="10"/>
                <w:kern w:val="2"/>
                <w:sz w:val="24"/>
                <w:szCs w:val="24"/>
                <w:lang w:val="en-US" w:eastAsia="en-US" w:bidi="ar-SA"/>
              </w:rPr>
            </w:pPr>
          </w:p>
        </w:tc>
      </w:tr>
      <w:tr w14:paraId="4F53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733C3AB3">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0EE91997">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49DE673D">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2281F510">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3.6具有下沉式微型输送机：≥12V直流电机。板载调速旋钮，支持无极调速。板载仪器面板，可显示输送机工作状态。支持python代码控制输送机启停。</w:t>
            </w:r>
          </w:p>
        </w:tc>
        <w:tc>
          <w:tcPr>
            <w:tcW w:w="3458" w:type="dxa"/>
            <w:shd w:val="clear" w:color="auto" w:fill="auto"/>
            <w:vAlign w:val="top"/>
          </w:tcPr>
          <w:p w14:paraId="5739862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5E0E57B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具有下沉式微型输送机：12V直流电机。板载调速旋钮，支持无极调速。板载仪器面板，可显示输送机工作状态。支持python代码控制输送机启停。</w:t>
            </w:r>
          </w:p>
        </w:tc>
        <w:tc>
          <w:tcPr>
            <w:tcW w:w="739" w:type="dxa"/>
          </w:tcPr>
          <w:p w14:paraId="64F68E8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004D7930">
            <w:pPr>
              <w:pStyle w:val="12"/>
              <w:widowControl w:val="0"/>
              <w:jc w:val="both"/>
              <w:rPr>
                <w:rFonts w:hint="eastAsia" w:ascii="仿宋" w:hAnsi="仿宋" w:eastAsia="仿宋" w:cs="仿宋"/>
                <w:spacing w:val="10"/>
                <w:kern w:val="2"/>
                <w:sz w:val="24"/>
                <w:szCs w:val="24"/>
                <w:lang w:val="en-US" w:eastAsia="en-US" w:bidi="ar-SA"/>
              </w:rPr>
            </w:pPr>
          </w:p>
        </w:tc>
      </w:tr>
      <w:tr w14:paraId="72BF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4C725075">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43109CA8">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648CE82F">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66F134E3">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3.7板载≥7寸80键标准键盘</w:t>
            </w:r>
          </w:p>
        </w:tc>
        <w:tc>
          <w:tcPr>
            <w:tcW w:w="3458" w:type="dxa"/>
            <w:shd w:val="clear" w:color="auto" w:fill="auto"/>
            <w:vAlign w:val="top"/>
          </w:tcPr>
          <w:p w14:paraId="45013A6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E82E0E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板载7寸80键标准键盘</w:t>
            </w:r>
          </w:p>
        </w:tc>
        <w:tc>
          <w:tcPr>
            <w:tcW w:w="739" w:type="dxa"/>
          </w:tcPr>
          <w:p w14:paraId="2F35FA1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AFA5D13">
            <w:pPr>
              <w:pStyle w:val="12"/>
              <w:widowControl w:val="0"/>
              <w:jc w:val="both"/>
              <w:rPr>
                <w:rFonts w:hint="eastAsia" w:ascii="仿宋" w:hAnsi="仿宋" w:eastAsia="仿宋" w:cs="仿宋"/>
                <w:spacing w:val="10"/>
                <w:kern w:val="2"/>
                <w:sz w:val="24"/>
                <w:szCs w:val="24"/>
                <w:lang w:val="en-US" w:eastAsia="en-US" w:bidi="ar-SA"/>
              </w:rPr>
            </w:pPr>
          </w:p>
        </w:tc>
      </w:tr>
      <w:tr w14:paraId="67CB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07E48974">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4FCF978F">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7F2BBA76">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3CB03E2E">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3.8具有工业相机：有效像素≥500万像素</w:t>
            </w:r>
          </w:p>
        </w:tc>
        <w:tc>
          <w:tcPr>
            <w:tcW w:w="3458" w:type="dxa"/>
            <w:shd w:val="clear" w:color="auto" w:fill="auto"/>
            <w:vAlign w:val="top"/>
          </w:tcPr>
          <w:p w14:paraId="7E145BB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4BFDADB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具有工业相机：有效像素500万像素</w:t>
            </w:r>
          </w:p>
        </w:tc>
        <w:tc>
          <w:tcPr>
            <w:tcW w:w="739" w:type="dxa"/>
          </w:tcPr>
          <w:p w14:paraId="5E37A82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87D469B">
            <w:pPr>
              <w:pStyle w:val="12"/>
              <w:widowControl w:val="0"/>
              <w:jc w:val="both"/>
              <w:rPr>
                <w:rFonts w:hint="eastAsia" w:ascii="仿宋" w:hAnsi="仿宋" w:eastAsia="仿宋" w:cs="仿宋"/>
                <w:spacing w:val="10"/>
                <w:kern w:val="2"/>
                <w:sz w:val="24"/>
                <w:szCs w:val="24"/>
                <w:lang w:val="en-US" w:eastAsia="en-US" w:bidi="ar-SA"/>
              </w:rPr>
            </w:pPr>
          </w:p>
        </w:tc>
      </w:tr>
      <w:tr w14:paraId="576B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45D95173">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0B74EA11">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7A56295A">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743A694E">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3.9具有液晶显示屏：上盖集成，不小于17寸，分辨率不低于1920*1080。（需提供该模块的产品及功能截图证明）</w:t>
            </w:r>
          </w:p>
        </w:tc>
        <w:tc>
          <w:tcPr>
            <w:tcW w:w="3458" w:type="dxa"/>
            <w:shd w:val="clear" w:color="auto" w:fill="auto"/>
            <w:vAlign w:val="top"/>
          </w:tcPr>
          <w:p w14:paraId="6054A9B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5E4A260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具有液晶显示屏：上盖集成，17寸，分辨率1920*1080。（提供该模块的产品及功能截图证明）</w:t>
            </w:r>
          </w:p>
        </w:tc>
        <w:tc>
          <w:tcPr>
            <w:tcW w:w="739" w:type="dxa"/>
          </w:tcPr>
          <w:p w14:paraId="5FBFBDE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8248345">
            <w:pPr>
              <w:pStyle w:val="12"/>
              <w:widowControl w:val="0"/>
              <w:jc w:val="both"/>
              <w:rPr>
                <w:rFonts w:hint="eastAsia" w:ascii="仿宋" w:hAnsi="仿宋" w:eastAsia="仿宋" w:cs="仿宋"/>
                <w:spacing w:val="10"/>
                <w:kern w:val="2"/>
                <w:sz w:val="24"/>
                <w:szCs w:val="24"/>
                <w:lang w:val="en-US" w:eastAsia="en-US" w:bidi="ar-SA"/>
              </w:rPr>
            </w:pPr>
          </w:p>
        </w:tc>
      </w:tr>
      <w:tr w14:paraId="316C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084E58AB">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3C47A1DC">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35FD74FB">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2DDCFE25">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3.10具有深度相机：测距原理采用双目结构光，深度范围最小支持0.25m。深度流输出分辨率≥1280×800@30fps；RGB传感器分辨率≥1920×1080@30fps；尺寸≤69*26*20mm，配合云台可以完成视觉颜色追踪、人脸追踪实验。</w:t>
            </w:r>
          </w:p>
        </w:tc>
        <w:tc>
          <w:tcPr>
            <w:tcW w:w="3458" w:type="dxa"/>
            <w:shd w:val="clear" w:color="auto" w:fill="auto"/>
            <w:vAlign w:val="top"/>
          </w:tcPr>
          <w:p w14:paraId="6D2D0E5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4F0F710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具有深度相机：测距原理采用双目结构光，深度范围支持0.25m。深度流输出分辨率1280×800@30fps；RGB传感器分辨率1920×1080@30fps；尺寸69*26*20mm，配合云台可以完成视觉颜色追踪、人脸追踪实验。</w:t>
            </w:r>
          </w:p>
        </w:tc>
        <w:tc>
          <w:tcPr>
            <w:tcW w:w="739" w:type="dxa"/>
          </w:tcPr>
          <w:p w14:paraId="27251B1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1DED93D2">
            <w:pPr>
              <w:pStyle w:val="12"/>
              <w:widowControl w:val="0"/>
              <w:jc w:val="both"/>
              <w:rPr>
                <w:rFonts w:hint="eastAsia" w:ascii="仿宋" w:hAnsi="仿宋" w:eastAsia="仿宋" w:cs="仿宋"/>
                <w:spacing w:val="10"/>
                <w:kern w:val="2"/>
                <w:sz w:val="24"/>
                <w:szCs w:val="24"/>
                <w:lang w:val="en-US" w:eastAsia="en-US" w:bidi="ar-SA"/>
              </w:rPr>
            </w:pPr>
          </w:p>
        </w:tc>
      </w:tr>
      <w:tr w14:paraId="389E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6092CDF0">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4D05FDE2">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30B9BB07">
            <w:pPr>
              <w:keepNext w:val="0"/>
              <w:keepLines w:val="0"/>
              <w:widowControl/>
              <w:suppressLineNumbers w:val="0"/>
              <w:jc w:val="left"/>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w:t>
            </w:r>
          </w:p>
          <w:p w14:paraId="674C3B6E">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2715808D">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3.11具有板载云台：自由度≥2;总线伺服舵机控制，配合AI高清相机具备视觉颜色追踪、人脸追踪等实验功能。板载功能按键，支持手动控制云台偏航角与俯仰角。板载扩展接口，支持连接PC端上位机软件，实现自动化控制。（提供该模块的产品及功能截图证明）</w:t>
            </w:r>
          </w:p>
        </w:tc>
        <w:tc>
          <w:tcPr>
            <w:tcW w:w="3458" w:type="dxa"/>
            <w:shd w:val="clear" w:color="auto" w:fill="auto"/>
            <w:vAlign w:val="top"/>
          </w:tcPr>
          <w:p w14:paraId="6A5736C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33AC5DA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有板载云台：自由度2;总线伺服舵机控制，配合AI高清相机具备视觉颜色追踪、人脸追踪等实验功能。板载功能按键，支持手动控制云台偏航角与俯仰角。板载扩展接口，支持连接PC端上位机软件，实现自动化控制。（提供该模块的产品及功能截图证明）</w:t>
            </w:r>
          </w:p>
        </w:tc>
        <w:tc>
          <w:tcPr>
            <w:tcW w:w="739" w:type="dxa"/>
          </w:tcPr>
          <w:p w14:paraId="39D57D1C">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6C45ECC">
            <w:pPr>
              <w:pStyle w:val="12"/>
              <w:widowControl w:val="0"/>
              <w:jc w:val="both"/>
              <w:rPr>
                <w:rFonts w:hint="eastAsia" w:ascii="仿宋" w:hAnsi="仿宋" w:eastAsia="仿宋" w:cs="仿宋"/>
                <w:spacing w:val="10"/>
                <w:kern w:val="2"/>
                <w:sz w:val="24"/>
                <w:szCs w:val="24"/>
                <w:lang w:val="en-US" w:eastAsia="en-US" w:bidi="ar-SA"/>
              </w:rPr>
            </w:pPr>
          </w:p>
        </w:tc>
      </w:tr>
      <w:tr w14:paraId="0C49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42261668">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7E7FEF0B">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472F28D">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214066FB">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3.12智能传感器单元的数量不少于5块，至少包括智能安防、智能交通、智能医疗、智能家居、智慧农业等场景板。传感器类型至少包括超声波测距传感器、声音检测传感器、三轴加速度传感器、心率血氧传感器、红外对管、蜂鸣器、OLED屏、摇杆按键、4位数码管、继电器、电位器、5个多彩LED、手势传感器、舵机、光敏传感器、控制按键、空气质量传感器、温湿度传感器、调光LED、颜色识别传感器。每个场景板需板载Type-C USB接口，可用于程序的下载及调试。</w:t>
            </w:r>
          </w:p>
        </w:tc>
        <w:tc>
          <w:tcPr>
            <w:tcW w:w="3458" w:type="dxa"/>
            <w:shd w:val="clear" w:color="auto" w:fill="auto"/>
            <w:vAlign w:val="top"/>
          </w:tcPr>
          <w:p w14:paraId="22FD8A7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D4B4E1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智能传感器单元的数量5块，包括智能安防、智能交通、智能医疗、智能家居、智慧农业等场景板。传感器类型包括超声波测距传感器、声音检测传感器、三轴加速度传感器、心率血氧传感器、红外对管、蜂鸣器、OLED屏、摇杆按键、4位数码管、继电器、电位器、5个多彩LED、手势传感器、舵机、光敏传感器、控制按键、空气质量传感器、温湿度传感器、调光LED、颜色识别传感器。每个场景板板载Type-C USB接口，可用于程序的下载及调试。</w:t>
            </w:r>
          </w:p>
        </w:tc>
        <w:tc>
          <w:tcPr>
            <w:tcW w:w="739" w:type="dxa"/>
          </w:tcPr>
          <w:p w14:paraId="44D2CD9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42AAC8A">
            <w:pPr>
              <w:pStyle w:val="12"/>
              <w:widowControl w:val="0"/>
              <w:jc w:val="both"/>
              <w:rPr>
                <w:rFonts w:hint="eastAsia" w:ascii="仿宋" w:hAnsi="仿宋" w:eastAsia="仿宋" w:cs="仿宋"/>
                <w:spacing w:val="10"/>
                <w:kern w:val="2"/>
                <w:sz w:val="24"/>
                <w:szCs w:val="24"/>
                <w:lang w:val="en-US" w:eastAsia="en-US" w:bidi="ar-SA"/>
              </w:rPr>
            </w:pPr>
          </w:p>
        </w:tc>
      </w:tr>
      <w:tr w14:paraId="5450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0F256730">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0C1C7E38">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5C134307">
            <w:pPr>
              <w:keepNext w:val="0"/>
              <w:keepLines w:val="0"/>
              <w:widowControl/>
              <w:suppressLineNumbers w:val="0"/>
              <w:jc w:val="left"/>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w:t>
            </w:r>
          </w:p>
          <w:p w14:paraId="4827096F">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52C7DCE6">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3.13智能传感器单元需具有磁吸式插槽，与实验箱磁吸吸合安装，支持快速编组实验。（需提供磁吸模块图片和磁吸底座图片证明）</w:t>
            </w:r>
          </w:p>
        </w:tc>
        <w:tc>
          <w:tcPr>
            <w:tcW w:w="3458" w:type="dxa"/>
            <w:shd w:val="clear" w:color="auto" w:fill="auto"/>
            <w:vAlign w:val="top"/>
          </w:tcPr>
          <w:p w14:paraId="16369A1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B51E04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智能传感器单元具有磁吸式插槽，与实验箱磁吸吸合安装，支持快速编组实验。（提供磁吸模块图片和磁吸底座图片证明）</w:t>
            </w:r>
          </w:p>
        </w:tc>
        <w:tc>
          <w:tcPr>
            <w:tcW w:w="739" w:type="dxa"/>
          </w:tcPr>
          <w:p w14:paraId="1383CC3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6163136F">
            <w:pPr>
              <w:pStyle w:val="12"/>
              <w:widowControl w:val="0"/>
              <w:jc w:val="both"/>
              <w:rPr>
                <w:rFonts w:hint="eastAsia" w:ascii="仿宋" w:hAnsi="仿宋" w:eastAsia="仿宋" w:cs="仿宋"/>
                <w:spacing w:val="10"/>
                <w:kern w:val="2"/>
                <w:sz w:val="24"/>
                <w:szCs w:val="24"/>
                <w:lang w:val="en-US" w:eastAsia="en-US" w:bidi="ar-SA"/>
              </w:rPr>
            </w:pPr>
          </w:p>
        </w:tc>
      </w:tr>
      <w:tr w14:paraId="2002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23AA758E">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3E002306">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7F1FE784">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177EE597">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3.14具有路麦克风阵列：至少7路麦克风阵列，需具备声源定位、语音增强、语音降噪、回声消除、声音拾取等功能。</w:t>
            </w:r>
          </w:p>
        </w:tc>
        <w:tc>
          <w:tcPr>
            <w:tcW w:w="3458" w:type="dxa"/>
            <w:shd w:val="clear" w:color="auto" w:fill="auto"/>
            <w:vAlign w:val="top"/>
          </w:tcPr>
          <w:p w14:paraId="227E706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68A6206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具有路麦克风阵列：7路麦克风阵列，具备声源定位、语音增强、语音降噪、回声消除、声音拾取等功能。</w:t>
            </w:r>
          </w:p>
        </w:tc>
        <w:tc>
          <w:tcPr>
            <w:tcW w:w="739" w:type="dxa"/>
          </w:tcPr>
          <w:p w14:paraId="0E78679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61AB9F33">
            <w:pPr>
              <w:pStyle w:val="12"/>
              <w:widowControl w:val="0"/>
              <w:jc w:val="both"/>
              <w:rPr>
                <w:rFonts w:hint="eastAsia" w:ascii="仿宋" w:hAnsi="仿宋" w:eastAsia="仿宋" w:cs="仿宋"/>
                <w:spacing w:val="10"/>
                <w:kern w:val="2"/>
                <w:sz w:val="24"/>
                <w:szCs w:val="24"/>
                <w:lang w:val="en-US" w:eastAsia="en-US" w:bidi="ar-SA"/>
              </w:rPr>
            </w:pPr>
          </w:p>
        </w:tc>
      </w:tr>
      <w:tr w14:paraId="264A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50D9FC98">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7A645195">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6BFD6DC1">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433AE22C">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3.15需板载“急停”按钮、“机械臂启动”按钮、“输送机启动”按钮、“云台和机械臂一键复位”按钮，并提供相应功能。</w:t>
            </w:r>
          </w:p>
        </w:tc>
        <w:tc>
          <w:tcPr>
            <w:tcW w:w="3458" w:type="dxa"/>
            <w:shd w:val="clear" w:color="auto" w:fill="auto"/>
            <w:vAlign w:val="top"/>
          </w:tcPr>
          <w:p w14:paraId="521FF57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08103A3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板载“急停”按钮、“机械臂启动”按钮、“输送机启动”按钮、“云台和机械臂一键复位”按钮，并提供相应功能。</w:t>
            </w:r>
          </w:p>
        </w:tc>
        <w:tc>
          <w:tcPr>
            <w:tcW w:w="739" w:type="dxa"/>
          </w:tcPr>
          <w:p w14:paraId="6B4B3F9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40DB466B">
            <w:pPr>
              <w:pStyle w:val="12"/>
              <w:widowControl w:val="0"/>
              <w:jc w:val="both"/>
              <w:rPr>
                <w:rFonts w:hint="eastAsia" w:ascii="仿宋" w:hAnsi="仿宋" w:eastAsia="仿宋" w:cs="仿宋"/>
                <w:spacing w:val="10"/>
                <w:kern w:val="2"/>
                <w:sz w:val="24"/>
                <w:szCs w:val="24"/>
                <w:lang w:val="en-US" w:eastAsia="en-US" w:bidi="ar-SA"/>
              </w:rPr>
            </w:pPr>
          </w:p>
        </w:tc>
      </w:tr>
      <w:tr w14:paraId="0A2A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35A8B3EE">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49594C47">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30853214">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53CBFDE2">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3.16实验箱箱体：实验平台应以单个实验箱形式交付，平台硬件应全部位于实验箱内部，开箱即用，无需重新接线，无需重新安装，无需占用其他额外空间。上盖集成液晶显示屏幕，下盖固定安装实验所需硬件和收纳放置配套电源适配器、线材、配件等设备。</w:t>
            </w:r>
          </w:p>
        </w:tc>
        <w:tc>
          <w:tcPr>
            <w:tcW w:w="3458" w:type="dxa"/>
            <w:shd w:val="clear" w:color="auto" w:fill="auto"/>
            <w:vAlign w:val="top"/>
          </w:tcPr>
          <w:p w14:paraId="5CBA708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63AC432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实验箱箱体：实验平台应以单个实验箱形式交付，平台硬件应全部位于实验箱内部，开箱即用，无需重新接线，无需重新安装，无需占用其他额外空间。上盖集成液晶显示屏幕，下盖固定安装实验所需硬件和收纳放置配套电源适配器、线材、配件等设备。</w:t>
            </w:r>
          </w:p>
        </w:tc>
        <w:tc>
          <w:tcPr>
            <w:tcW w:w="739" w:type="dxa"/>
          </w:tcPr>
          <w:p w14:paraId="5C5AE8B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12AEEE5E">
            <w:pPr>
              <w:pStyle w:val="12"/>
              <w:widowControl w:val="0"/>
              <w:jc w:val="both"/>
              <w:rPr>
                <w:rFonts w:hint="eastAsia" w:ascii="仿宋" w:hAnsi="仿宋" w:eastAsia="仿宋" w:cs="仿宋"/>
                <w:spacing w:val="10"/>
                <w:kern w:val="2"/>
                <w:sz w:val="24"/>
                <w:szCs w:val="24"/>
                <w:lang w:val="en-US" w:eastAsia="en-US" w:bidi="ar-SA"/>
              </w:rPr>
            </w:pPr>
          </w:p>
        </w:tc>
      </w:tr>
      <w:tr w14:paraId="06EC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44B1637A">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17D3E096">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3F46266E">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4610B8CE">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3.17需配套物联网应用基础云平台。支持本地化部署和云端部署两种方式，支持学生将感知层设备（如传感器、执行器等）接入物联网云服务平台；支持物联网规则编辑器，无需编写代码即可编辑复杂的自动化控制策略；提供可视化控件库，支持至少GIS地图、曲线图、柱状、饼图、按钮、仪表图等6个及以上的控件。</w:t>
            </w:r>
          </w:p>
        </w:tc>
        <w:tc>
          <w:tcPr>
            <w:tcW w:w="3458" w:type="dxa"/>
            <w:shd w:val="clear" w:color="auto" w:fill="auto"/>
            <w:vAlign w:val="top"/>
          </w:tcPr>
          <w:p w14:paraId="1BCBD73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6B63AD4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配套物联网应用基础云平台。支持本地化部署和云端部署两种方式，支持学生将感知层设备（如传感器、执行器等）接入物联网云服务平台；支持物联网规则编辑器，无需编写代码即可编辑复杂的自动化控制策略；提供可视化控件库，支持GIS地图、曲线图、柱状、饼图、按钮、仪表图等6个及以上的控件。</w:t>
            </w:r>
          </w:p>
        </w:tc>
        <w:tc>
          <w:tcPr>
            <w:tcW w:w="739" w:type="dxa"/>
          </w:tcPr>
          <w:p w14:paraId="0136A3E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192F2C1B">
            <w:pPr>
              <w:pStyle w:val="12"/>
              <w:widowControl w:val="0"/>
              <w:jc w:val="both"/>
              <w:rPr>
                <w:rFonts w:hint="eastAsia" w:ascii="仿宋" w:hAnsi="仿宋" w:eastAsia="仿宋" w:cs="仿宋"/>
                <w:spacing w:val="10"/>
                <w:kern w:val="2"/>
                <w:sz w:val="24"/>
                <w:szCs w:val="24"/>
                <w:lang w:val="en-US" w:eastAsia="en-US" w:bidi="ar-SA"/>
              </w:rPr>
            </w:pPr>
          </w:p>
        </w:tc>
      </w:tr>
      <w:tr w14:paraId="70B6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5B7C5BCA">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791EE1CA">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49B316D1">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4370A65B">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3.18需配套人工智能麦克风阵列语音前处理软件。需支持至少以下5类实验并提供所有源代码：声源定位、语音增强、语音降噪、回声消除、声音拾取实验。</w:t>
            </w:r>
          </w:p>
        </w:tc>
        <w:tc>
          <w:tcPr>
            <w:tcW w:w="3458" w:type="dxa"/>
            <w:shd w:val="clear" w:color="auto" w:fill="auto"/>
            <w:vAlign w:val="top"/>
          </w:tcPr>
          <w:p w14:paraId="74F4E67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3888DBA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配套人工智能麦克风阵列语音前处理软件。支持以下5类实验并提供所有源代码：声源定位、语音增强、语音降噪、回声消除、声音拾取实验。</w:t>
            </w:r>
          </w:p>
        </w:tc>
        <w:tc>
          <w:tcPr>
            <w:tcW w:w="739" w:type="dxa"/>
          </w:tcPr>
          <w:p w14:paraId="5A5D2A5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3E3E0CB">
            <w:pPr>
              <w:pStyle w:val="12"/>
              <w:widowControl w:val="0"/>
              <w:jc w:val="both"/>
              <w:rPr>
                <w:rFonts w:hint="eastAsia" w:ascii="仿宋" w:hAnsi="仿宋" w:eastAsia="仿宋" w:cs="仿宋"/>
                <w:spacing w:val="10"/>
                <w:kern w:val="2"/>
                <w:sz w:val="24"/>
                <w:szCs w:val="24"/>
                <w:lang w:val="en-US" w:eastAsia="en-US" w:bidi="ar-SA"/>
              </w:rPr>
            </w:pPr>
          </w:p>
        </w:tc>
      </w:tr>
      <w:tr w14:paraId="567E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1D3DE552">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492D2B45">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355ABB2F">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16826D7A">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3.19需配套提供成套的《智能机器人应用与开发》课程教学资源、《计算机视觉应用》和《自然语言与语音处理》课程的实训资源，用户可以按照学期长度和实际教学情况安排教学，须配备实验指导书，实验指导书可以提供10～18周、每周2～6节课的教学实验需要。包含但不限于以下知识实验课程： 1）支持AI综合实验，包括不限于智慧工厂、智能家居、智慧工地、智慧交通、智慧停车场等，实验数量不少于7个。 2）支持生成式模型及大模型实验，包括但不限于Pix2Pix实现图像转换、en0.5b聊天机器人、基于qwen的deepseek蒸馏模型等实验数量不少于10个。 3)支持人工智能视觉实验，包括但不限于图像基础操作、图像色彩空间转换、边缘检测、图像轮廓检测与绘制、二维码或条形码识别、汉字检测、传统机器学习、深度学习视觉、基于MindSpore的在线模型、YOLOV5、YOLOv8、测试训练模型并导出、模型转换、模型推理等实验数量不少于50个。 4）支持人工智能语音实验，包括但不限于语音处理、自然语言处理、云端语音语言应用等实验数量不少于26个。 5）支持人工智能综合实验，提供讲义、完整源码、AI数据集、模型文件、精剪课程视频，至少包括该课程须提供讲义、完整源码、AI数据集、模型文件、精剪课程视频，课程至少包括但不限于Android开发环境配置、基本控件、布局的知识讲解以及基本案例实现、 数据库基本知识的讲解以及基本案例实现、管理系统的功能模块实现、管理系统的功能模块实现、AI开发环境配置、模型训练场景以及目标检测算法的基本使用、目标检测到关键点检测以及关键点检测算法的数据标注、模型训练以及精度分析、关键点检测算法的导出和部署流程以及算法解析等内容。6）支持深度相机实验，实验数量不少于20个。 7）支持python传感器实验，实验数量不少于20个。 8）支持机械臂实验，实验数量不少于7个。</w:t>
            </w:r>
          </w:p>
        </w:tc>
        <w:tc>
          <w:tcPr>
            <w:tcW w:w="3458" w:type="dxa"/>
            <w:shd w:val="clear" w:color="auto" w:fill="auto"/>
            <w:vAlign w:val="top"/>
          </w:tcPr>
          <w:p w14:paraId="3800101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2836368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配套提供成套的《智能机器人应用与开发》课程教学资源、《计算机视觉应用》和《自然语言与语音处理》课程的实训资源，用户可以按照学期长度和实际教学情况安排教学，配备实验指导书，实验指导书可以提供10～18周、每周2～6节课的教学实验需要。包含以下知识实验课程： 1）支持AI综合实验，包括智慧工厂、智能家居、智慧工地、智慧交通、智慧停车场等，实验数量7个。 2）支持生成式模型及大模型实验，包括Pix2Pix实现图像转换、en0.5b聊天机器人、基于qwen的deepseek蒸馏模型等实验数量10个。 3)支持人工智能视觉实验，包括图像基础操作、图像色彩空间转换、边缘检测、图像轮廓检测与绘制、二维码或条形码识别、汉字检测、传统机器学习、深度学习视觉、基于MindSpore的在线模型、YOLOV5、YOLOv8、测试训练模型并导出、模型转换、模型推理等实验数量50个。 4）支持人工智能语音实验，包括语音处理、自然语言处理、云端语音语言应用等实验数量26个。 5）支持人工智能综合实验，提供讲义、完整源码、AI数据集、模型文件、精剪课程视频，包括该课程须提供讲义、完整源码、AI数据集、模型文件、精剪课程视频，课程包括Android开发环境配置、基本控件、布局的知识讲解以及基本案例实现、 数据库基本知识的讲解以及基本案例实现、管理系统的功能模块实现、管理系统的功能模块实现、AI开发环境配置、模型训练场景以及目标检测算法的基本使用、目标检测到关键点检测以及关键点检测算法的数据标注、模型训练以及精度分析、关键点检测算法的导出和部署流程以及算法解析等内容。6）支持深度相机实验，实验数量20个。 7）支持python传感器实验，实验数量20个。 8）支持机械臂实验，实验数量7个。</w:t>
            </w:r>
          </w:p>
        </w:tc>
        <w:tc>
          <w:tcPr>
            <w:tcW w:w="739" w:type="dxa"/>
          </w:tcPr>
          <w:p w14:paraId="4A07541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46058634">
            <w:pPr>
              <w:pStyle w:val="12"/>
              <w:widowControl w:val="0"/>
              <w:jc w:val="both"/>
              <w:rPr>
                <w:rFonts w:hint="eastAsia" w:ascii="仿宋" w:hAnsi="仿宋" w:eastAsia="仿宋" w:cs="仿宋"/>
                <w:spacing w:val="10"/>
                <w:kern w:val="2"/>
                <w:sz w:val="24"/>
                <w:szCs w:val="24"/>
                <w:lang w:val="en-US" w:eastAsia="en-US" w:bidi="ar-SA"/>
              </w:rPr>
            </w:pPr>
          </w:p>
        </w:tc>
      </w:tr>
      <w:tr w14:paraId="00F9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77E4ABDD">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2A481F15">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5B5F40D2">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7D536300">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3.20甲方对以上参数对应的软硬件系统具有完全的使用权，均无使用期限限制；甲方对以上参数对应的配套课程资源具有完全的使用权，均无使用期限限制；在利用课程资源进行出版、参赛或其他教育教学和科研活动时，均无版权限制要求（需提供承诺函并加盖公章）</w:t>
            </w:r>
          </w:p>
        </w:tc>
        <w:tc>
          <w:tcPr>
            <w:tcW w:w="3458" w:type="dxa"/>
            <w:shd w:val="clear" w:color="auto" w:fill="auto"/>
            <w:vAlign w:val="top"/>
          </w:tcPr>
          <w:p w14:paraId="5DE7C72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0E0452F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甲方对以上参数对应的软硬件系统具有完全的使用权，均无使用期限限制；甲方对以上参数对应的配套课程资源具有完全的使用权，均无使用期限限制；在利用课程资源进行出版、参赛或其他教育教学和科研活动时，均无版权限制要求（提供承诺函并加盖公章）</w:t>
            </w:r>
          </w:p>
        </w:tc>
        <w:tc>
          <w:tcPr>
            <w:tcW w:w="739" w:type="dxa"/>
          </w:tcPr>
          <w:p w14:paraId="6D9BBC0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4830A932">
            <w:pPr>
              <w:pStyle w:val="12"/>
              <w:widowControl w:val="0"/>
              <w:jc w:val="both"/>
              <w:rPr>
                <w:rFonts w:hint="eastAsia" w:ascii="仿宋" w:hAnsi="仿宋" w:eastAsia="仿宋" w:cs="仿宋"/>
                <w:spacing w:val="10"/>
                <w:kern w:val="2"/>
                <w:sz w:val="24"/>
                <w:szCs w:val="24"/>
                <w:lang w:val="en-US" w:eastAsia="en-US" w:bidi="ar-SA"/>
              </w:rPr>
            </w:pPr>
          </w:p>
        </w:tc>
      </w:tr>
      <w:tr w14:paraId="1AF7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restart"/>
          </w:tcPr>
          <w:p w14:paraId="1DB65D70">
            <w:pPr>
              <w:pStyle w:val="12"/>
              <w:widowControl w:val="0"/>
              <w:jc w:val="both"/>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4</w:t>
            </w:r>
          </w:p>
        </w:tc>
        <w:tc>
          <w:tcPr>
            <w:tcW w:w="571" w:type="dxa"/>
            <w:vMerge w:val="restart"/>
          </w:tcPr>
          <w:p w14:paraId="693F1D5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鸿蒙北向开发套件</w:t>
            </w:r>
          </w:p>
        </w:tc>
        <w:tc>
          <w:tcPr>
            <w:tcW w:w="310" w:type="dxa"/>
          </w:tcPr>
          <w:p w14:paraId="56EE8FF2">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7CE3833D">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4.1内置国产处理器，使用ARM架构；支持国产标准操作系统，支持多系统；</w:t>
            </w:r>
          </w:p>
        </w:tc>
        <w:tc>
          <w:tcPr>
            <w:tcW w:w="3458" w:type="dxa"/>
            <w:shd w:val="clear" w:color="auto" w:fill="auto"/>
            <w:vAlign w:val="top"/>
          </w:tcPr>
          <w:p w14:paraId="4283B90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45F537B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内置国产处理器，使用ARM架构；支持国产标准操作系统，支持多系统；</w:t>
            </w:r>
          </w:p>
        </w:tc>
        <w:tc>
          <w:tcPr>
            <w:tcW w:w="739" w:type="dxa"/>
          </w:tcPr>
          <w:p w14:paraId="11656CD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D817CAC">
            <w:pPr>
              <w:pStyle w:val="12"/>
              <w:widowControl w:val="0"/>
              <w:jc w:val="both"/>
              <w:rPr>
                <w:rFonts w:hint="eastAsia" w:ascii="仿宋" w:hAnsi="仿宋" w:eastAsia="仿宋" w:cs="仿宋"/>
                <w:spacing w:val="10"/>
                <w:kern w:val="2"/>
                <w:sz w:val="24"/>
                <w:szCs w:val="24"/>
                <w:lang w:val="en-US" w:eastAsia="en-US" w:bidi="ar-SA"/>
              </w:rPr>
            </w:pPr>
          </w:p>
        </w:tc>
      </w:tr>
      <w:tr w14:paraId="3A73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706B541A">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54F61E8A">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4DA6A5B">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1CCCF03F">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4.2核心芯片：核数≥4核、主频≥2.0GHz、内存≥2GB、存储空间≥32GB；算力：≥1Tops；</w:t>
            </w:r>
          </w:p>
        </w:tc>
        <w:tc>
          <w:tcPr>
            <w:tcW w:w="3458" w:type="dxa"/>
            <w:shd w:val="clear" w:color="auto" w:fill="auto"/>
            <w:vAlign w:val="top"/>
          </w:tcPr>
          <w:p w14:paraId="57A3094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59407C1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核心芯片：核数4核、主频2.0GHz、内存2GB、存储空间32GB；算力：1Tops；</w:t>
            </w:r>
          </w:p>
        </w:tc>
        <w:tc>
          <w:tcPr>
            <w:tcW w:w="739" w:type="dxa"/>
          </w:tcPr>
          <w:p w14:paraId="108042A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E39884F">
            <w:pPr>
              <w:pStyle w:val="12"/>
              <w:widowControl w:val="0"/>
              <w:jc w:val="both"/>
              <w:rPr>
                <w:rFonts w:hint="eastAsia" w:ascii="仿宋" w:hAnsi="仿宋" w:eastAsia="仿宋" w:cs="仿宋"/>
                <w:spacing w:val="10"/>
                <w:kern w:val="2"/>
                <w:sz w:val="24"/>
                <w:szCs w:val="24"/>
                <w:lang w:val="en-US" w:eastAsia="en-US" w:bidi="ar-SA"/>
              </w:rPr>
            </w:pPr>
          </w:p>
        </w:tc>
      </w:tr>
      <w:tr w14:paraId="421C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25CDE692">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0FA46473">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E40C660">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75CF920B">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4.3必须具备：USB2.0 Host；eDP；HDMI；以太网接口≥1个；支持WiFi和蓝牙； (需提供产品说明证明)</w:t>
            </w:r>
          </w:p>
        </w:tc>
        <w:tc>
          <w:tcPr>
            <w:tcW w:w="3458" w:type="dxa"/>
            <w:shd w:val="clear" w:color="auto" w:fill="auto"/>
            <w:vAlign w:val="top"/>
          </w:tcPr>
          <w:p w14:paraId="2F3C188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923E39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具备：USB2.0 Host；eDP；HDMI；以太网接口1个；支持WiFi和蓝牙； (提供产品说明证明)</w:t>
            </w:r>
          </w:p>
        </w:tc>
        <w:tc>
          <w:tcPr>
            <w:tcW w:w="739" w:type="dxa"/>
          </w:tcPr>
          <w:p w14:paraId="70E5F6D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0DF768F6">
            <w:pPr>
              <w:pStyle w:val="12"/>
              <w:widowControl w:val="0"/>
              <w:jc w:val="both"/>
              <w:rPr>
                <w:rFonts w:hint="eastAsia" w:ascii="仿宋" w:hAnsi="仿宋" w:eastAsia="仿宋" w:cs="仿宋"/>
                <w:spacing w:val="10"/>
                <w:kern w:val="2"/>
                <w:sz w:val="24"/>
                <w:szCs w:val="24"/>
                <w:lang w:val="en-US" w:eastAsia="en-US" w:bidi="ar-SA"/>
              </w:rPr>
            </w:pPr>
          </w:p>
        </w:tc>
      </w:tr>
      <w:tr w14:paraId="4C81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58BF970F">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75E9A469">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66AAC3DD">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07422ADA">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4.4开发套件与提供的操作系统应获得国产标准系统兼容性认证证书，需适用于《鸿蒙应用开发》课程教学</w:t>
            </w:r>
          </w:p>
        </w:tc>
        <w:tc>
          <w:tcPr>
            <w:tcW w:w="3458" w:type="dxa"/>
            <w:shd w:val="clear" w:color="auto" w:fill="auto"/>
            <w:vAlign w:val="top"/>
          </w:tcPr>
          <w:p w14:paraId="7430AF7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A314FA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开发套件与提供的操作系统获得国产标准系统兼容性认证证书，适用于《鸿蒙应用开发》课程教学</w:t>
            </w:r>
          </w:p>
        </w:tc>
        <w:tc>
          <w:tcPr>
            <w:tcW w:w="739" w:type="dxa"/>
          </w:tcPr>
          <w:p w14:paraId="5ADC6D9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1ABE43A4">
            <w:pPr>
              <w:pStyle w:val="12"/>
              <w:widowControl w:val="0"/>
              <w:jc w:val="both"/>
              <w:rPr>
                <w:rFonts w:hint="eastAsia" w:ascii="仿宋" w:hAnsi="仿宋" w:eastAsia="仿宋" w:cs="仿宋"/>
                <w:spacing w:val="10"/>
                <w:kern w:val="2"/>
                <w:sz w:val="24"/>
                <w:szCs w:val="24"/>
                <w:lang w:val="en-US" w:eastAsia="en-US" w:bidi="ar-SA"/>
              </w:rPr>
            </w:pPr>
          </w:p>
        </w:tc>
      </w:tr>
      <w:tr w14:paraId="619C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0F4DEADE">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091A3E3B">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F098193">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04D47277">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4.5提供产品配套《鸿蒙应用开发》课程教学资源：课程知识点内容包括ArkUI与Stage模型、ArkTS语法、常用布局与组件、日志、导航栏组件、弹窗、动画等核心内容，同时着重讲解基于MVVM模式的数据渲染和状态管理这块难点内容以及通过Canvas自定义更加丰富的图形组件、数据管理、文件管理、网络通信、后台任务、并发、音视频多媒体开发等核心技术栈；配置PPT不少于29个，实验手册以及配套代码不少于29个（提供课程大纲截图）</w:t>
            </w:r>
          </w:p>
        </w:tc>
        <w:tc>
          <w:tcPr>
            <w:tcW w:w="3458" w:type="dxa"/>
            <w:shd w:val="clear" w:color="auto" w:fill="auto"/>
            <w:vAlign w:val="top"/>
          </w:tcPr>
          <w:p w14:paraId="3B42E7DC">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0A5282E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提供产品配套《鸿蒙应用开发》课程教学资源：课程知识点内容包括ArkUI与Stage模型、ArkTS语法、常用布局与组件、日志、导航栏组件、弹窗、动画等核心内容，同时着重讲解基于MVVM模式的数据渲染和状态管理这块难点内容以及通过Canvas自定义更加丰富的图形组件、数据管理、文件管理、网络通信、后台任务、并发、音视频多媒体开发等核心技术栈；配置PPT29个，实验手册以及配套代码29个（提供课程大纲截图）</w:t>
            </w:r>
          </w:p>
        </w:tc>
        <w:tc>
          <w:tcPr>
            <w:tcW w:w="739" w:type="dxa"/>
          </w:tcPr>
          <w:p w14:paraId="74DF49EC">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6375C7A0">
            <w:pPr>
              <w:pStyle w:val="12"/>
              <w:widowControl w:val="0"/>
              <w:jc w:val="both"/>
              <w:rPr>
                <w:rFonts w:hint="eastAsia" w:ascii="仿宋" w:hAnsi="仿宋" w:eastAsia="仿宋" w:cs="仿宋"/>
                <w:spacing w:val="10"/>
                <w:kern w:val="2"/>
                <w:sz w:val="24"/>
                <w:szCs w:val="24"/>
                <w:lang w:val="en-US" w:eastAsia="en-US" w:bidi="ar-SA"/>
              </w:rPr>
            </w:pPr>
          </w:p>
        </w:tc>
      </w:tr>
      <w:tr w14:paraId="6523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3D41F799">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544B86B8">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3F7DEBCC">
            <w:pPr>
              <w:keepNext w:val="0"/>
              <w:keepLines w:val="0"/>
              <w:widowControl/>
              <w:suppressLineNumbers w:val="0"/>
              <w:jc w:val="left"/>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w:t>
            </w:r>
          </w:p>
          <w:p w14:paraId="1E3B8491">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4086CE3B">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4.6 5年内提供不少于5次线上或线下的技术培训或大赛指导服务，以及不少于200人次的开源鸿蒙人才认证服务（需提供承诺书并加盖公章）</w:t>
            </w:r>
          </w:p>
        </w:tc>
        <w:tc>
          <w:tcPr>
            <w:tcW w:w="3458" w:type="dxa"/>
            <w:shd w:val="clear" w:color="auto" w:fill="auto"/>
            <w:vAlign w:val="top"/>
          </w:tcPr>
          <w:p w14:paraId="7E668D8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60E2522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5年内提供5次线上或线下的技术培训或大赛指导服务，以及200人次的开源鸿蒙人才认证服务（提供承诺书并加盖公章）</w:t>
            </w:r>
          </w:p>
        </w:tc>
        <w:tc>
          <w:tcPr>
            <w:tcW w:w="739" w:type="dxa"/>
          </w:tcPr>
          <w:p w14:paraId="7DF069C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694688B7">
            <w:pPr>
              <w:pStyle w:val="12"/>
              <w:widowControl w:val="0"/>
              <w:jc w:val="both"/>
              <w:rPr>
                <w:rFonts w:hint="eastAsia" w:ascii="仿宋" w:hAnsi="仿宋" w:eastAsia="仿宋" w:cs="仿宋"/>
                <w:spacing w:val="10"/>
                <w:kern w:val="2"/>
                <w:sz w:val="24"/>
                <w:szCs w:val="24"/>
                <w:lang w:val="en-US" w:eastAsia="en-US" w:bidi="ar-SA"/>
              </w:rPr>
            </w:pPr>
          </w:p>
        </w:tc>
      </w:tr>
      <w:tr w14:paraId="5002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0FAD7557">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6047F1C4">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1A9667BE">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0FFF32B0">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4.7甲方对以上参数对应的软硬件系统具有完全的使用权，均无使用期限限制；甲方对以上参数对应的配套课程资源具有完全的使用权，均无使用期限限制；在利用课程资源进行出版、参赛或其他教育教学和科研活动时，均无版权限制要求（需提供承诺函并加盖公章）</w:t>
            </w:r>
          </w:p>
        </w:tc>
        <w:tc>
          <w:tcPr>
            <w:tcW w:w="3458" w:type="dxa"/>
            <w:shd w:val="clear" w:color="auto" w:fill="auto"/>
            <w:vAlign w:val="top"/>
          </w:tcPr>
          <w:p w14:paraId="07A7C32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41C5B1C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甲方对以上参数对应的软硬件系统具有完全的使用权，均无使用期限限制；甲方对以上参数对应的配套课程资源具有完全的使用权，均无使用期限限制；在利用课程资源进行出版、参赛或其他教育教学和科研活动时，均无版权限制要求（提供承诺函并加盖公章）</w:t>
            </w:r>
          </w:p>
        </w:tc>
        <w:tc>
          <w:tcPr>
            <w:tcW w:w="739" w:type="dxa"/>
          </w:tcPr>
          <w:p w14:paraId="0589954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F270958">
            <w:pPr>
              <w:pStyle w:val="12"/>
              <w:widowControl w:val="0"/>
              <w:jc w:val="both"/>
              <w:rPr>
                <w:rFonts w:hint="eastAsia" w:ascii="仿宋" w:hAnsi="仿宋" w:eastAsia="仿宋" w:cs="仿宋"/>
                <w:spacing w:val="10"/>
                <w:kern w:val="2"/>
                <w:sz w:val="24"/>
                <w:szCs w:val="24"/>
                <w:lang w:val="en-US" w:eastAsia="en-US" w:bidi="ar-SA"/>
              </w:rPr>
            </w:pPr>
          </w:p>
        </w:tc>
      </w:tr>
      <w:tr w14:paraId="1698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restart"/>
          </w:tcPr>
          <w:p w14:paraId="16408AE6">
            <w:pPr>
              <w:pStyle w:val="12"/>
              <w:widowControl w:val="0"/>
              <w:jc w:val="both"/>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5</w:t>
            </w:r>
          </w:p>
        </w:tc>
        <w:tc>
          <w:tcPr>
            <w:tcW w:w="571" w:type="dxa"/>
            <w:vMerge w:val="restart"/>
          </w:tcPr>
          <w:p w14:paraId="42B5976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学生实训工作站</w:t>
            </w:r>
          </w:p>
        </w:tc>
        <w:tc>
          <w:tcPr>
            <w:tcW w:w="310" w:type="dxa"/>
          </w:tcPr>
          <w:p w14:paraId="0F6C61DF">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5DA7FB7B">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5.1机型：工作站产品，在官网或产品认证中为工作站产品；提供彩页或截图或其他佐证材料</w:t>
            </w:r>
          </w:p>
        </w:tc>
        <w:tc>
          <w:tcPr>
            <w:tcW w:w="3458" w:type="dxa"/>
            <w:shd w:val="clear" w:color="auto" w:fill="auto"/>
            <w:vAlign w:val="top"/>
          </w:tcPr>
          <w:p w14:paraId="2D39E05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3CBDE51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机型：工作站产品，在官网或产品认证中为工作站产品；提供彩页或截图或其他佐证材料</w:t>
            </w:r>
          </w:p>
        </w:tc>
        <w:tc>
          <w:tcPr>
            <w:tcW w:w="739" w:type="dxa"/>
          </w:tcPr>
          <w:p w14:paraId="0E46A04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64381C9">
            <w:pPr>
              <w:pStyle w:val="12"/>
              <w:widowControl w:val="0"/>
              <w:jc w:val="both"/>
              <w:rPr>
                <w:rFonts w:hint="eastAsia" w:ascii="仿宋" w:hAnsi="仿宋" w:eastAsia="仿宋" w:cs="仿宋"/>
                <w:spacing w:val="10"/>
                <w:kern w:val="2"/>
                <w:sz w:val="24"/>
                <w:szCs w:val="24"/>
                <w:lang w:val="en-US" w:eastAsia="en-US" w:bidi="ar-SA"/>
              </w:rPr>
            </w:pPr>
          </w:p>
        </w:tc>
      </w:tr>
      <w:tr w14:paraId="7290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51C85D95">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36C7EE40">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7F98844">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198ACA30">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5.2CPU：核心数≥6；线程数≥12；基本频率≥2.50GHz；最高频率≥4.40GHz；提供彩页或截图或其他佐证材料</w:t>
            </w:r>
          </w:p>
        </w:tc>
        <w:tc>
          <w:tcPr>
            <w:tcW w:w="3458" w:type="dxa"/>
            <w:shd w:val="clear" w:color="auto" w:fill="auto"/>
            <w:vAlign w:val="top"/>
          </w:tcPr>
          <w:p w14:paraId="4530197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355006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CPU：核心数6；线程数12；基本频率2.50GHz；最高频率4.40GHz；提供彩页或截图或其他佐证材料</w:t>
            </w:r>
          </w:p>
        </w:tc>
        <w:tc>
          <w:tcPr>
            <w:tcW w:w="739" w:type="dxa"/>
          </w:tcPr>
          <w:p w14:paraId="2C1EC37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42F5117">
            <w:pPr>
              <w:pStyle w:val="12"/>
              <w:widowControl w:val="0"/>
              <w:jc w:val="both"/>
              <w:rPr>
                <w:rFonts w:hint="eastAsia" w:ascii="仿宋" w:hAnsi="仿宋" w:eastAsia="仿宋" w:cs="仿宋"/>
                <w:spacing w:val="10"/>
                <w:kern w:val="2"/>
                <w:sz w:val="24"/>
                <w:szCs w:val="24"/>
                <w:lang w:val="en-US" w:eastAsia="en-US" w:bidi="ar-SA"/>
              </w:rPr>
            </w:pPr>
          </w:p>
        </w:tc>
      </w:tr>
      <w:tr w14:paraId="6CF5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36BB8A7C">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03D23180">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44818FB2">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76DA42BA">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5.3内存：≥32G DDR4；单条内存容量≥16G；整机支持内存≥128G；提供彩页或截图或其他佐证材料</w:t>
            </w:r>
          </w:p>
        </w:tc>
        <w:tc>
          <w:tcPr>
            <w:tcW w:w="3458" w:type="dxa"/>
            <w:shd w:val="clear" w:color="auto" w:fill="auto"/>
            <w:vAlign w:val="top"/>
          </w:tcPr>
          <w:p w14:paraId="6F9930D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5D8B30E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内存：32G DDR4；单条内存容量16G；整机支持内存128G；提供彩页或截图或其他佐证材料</w:t>
            </w:r>
          </w:p>
        </w:tc>
        <w:tc>
          <w:tcPr>
            <w:tcW w:w="739" w:type="dxa"/>
          </w:tcPr>
          <w:p w14:paraId="2866C1F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1BA673C">
            <w:pPr>
              <w:pStyle w:val="12"/>
              <w:widowControl w:val="0"/>
              <w:jc w:val="both"/>
              <w:rPr>
                <w:rFonts w:hint="eastAsia" w:ascii="仿宋" w:hAnsi="仿宋" w:eastAsia="仿宋" w:cs="仿宋"/>
                <w:spacing w:val="10"/>
                <w:kern w:val="2"/>
                <w:sz w:val="24"/>
                <w:szCs w:val="24"/>
                <w:lang w:val="en-US" w:eastAsia="en-US" w:bidi="ar-SA"/>
              </w:rPr>
            </w:pPr>
          </w:p>
        </w:tc>
      </w:tr>
      <w:tr w14:paraId="5E5D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3B496154">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076E4FB5">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72ABBCB">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6D9B52EF">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5.4显卡：需为独立显卡，显存≥12G GDDR6，CUDA核心数≥3584，位宽≥192bit，需支持HDMI和DP接口的视频信号输出，提供彩页或截图或其他佐证材料</w:t>
            </w:r>
          </w:p>
        </w:tc>
        <w:tc>
          <w:tcPr>
            <w:tcW w:w="3458" w:type="dxa"/>
            <w:shd w:val="clear" w:color="auto" w:fill="auto"/>
            <w:vAlign w:val="top"/>
          </w:tcPr>
          <w:p w14:paraId="5880CD4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4BF8F4D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独立显卡，显存12G GDDR6，CUDA核心数3584，位宽192bit，支持HDMI和DP接口的视频信号输出，提供彩页或截图或其他佐证材料</w:t>
            </w:r>
          </w:p>
        </w:tc>
        <w:tc>
          <w:tcPr>
            <w:tcW w:w="739" w:type="dxa"/>
          </w:tcPr>
          <w:p w14:paraId="155A0EE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7651A853">
            <w:pPr>
              <w:pStyle w:val="12"/>
              <w:widowControl w:val="0"/>
              <w:jc w:val="both"/>
              <w:rPr>
                <w:rFonts w:hint="eastAsia" w:ascii="仿宋" w:hAnsi="仿宋" w:eastAsia="仿宋" w:cs="仿宋"/>
                <w:spacing w:val="10"/>
                <w:kern w:val="2"/>
                <w:sz w:val="24"/>
                <w:szCs w:val="24"/>
                <w:lang w:val="en-US" w:eastAsia="en-US" w:bidi="ar-SA"/>
              </w:rPr>
            </w:pPr>
          </w:p>
        </w:tc>
      </w:tr>
      <w:tr w14:paraId="0E80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7D867F3B">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4B08CB6D">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05E642EF">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543246DD">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5.5声卡：集成声卡，音频接口≥2个</w:t>
            </w:r>
          </w:p>
        </w:tc>
        <w:tc>
          <w:tcPr>
            <w:tcW w:w="3458" w:type="dxa"/>
            <w:shd w:val="clear" w:color="auto" w:fill="auto"/>
            <w:vAlign w:val="top"/>
          </w:tcPr>
          <w:p w14:paraId="16E2D4E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28FBABE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集成声卡，音频接口2个</w:t>
            </w:r>
          </w:p>
        </w:tc>
        <w:tc>
          <w:tcPr>
            <w:tcW w:w="739" w:type="dxa"/>
          </w:tcPr>
          <w:p w14:paraId="47F227E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6E714A5A">
            <w:pPr>
              <w:pStyle w:val="12"/>
              <w:widowControl w:val="0"/>
              <w:jc w:val="both"/>
              <w:rPr>
                <w:rFonts w:hint="eastAsia" w:ascii="仿宋" w:hAnsi="仿宋" w:eastAsia="仿宋" w:cs="仿宋"/>
                <w:spacing w:val="10"/>
                <w:kern w:val="2"/>
                <w:sz w:val="24"/>
                <w:szCs w:val="24"/>
                <w:lang w:val="en-US" w:eastAsia="en-US" w:bidi="ar-SA"/>
              </w:rPr>
            </w:pPr>
          </w:p>
        </w:tc>
      </w:tr>
      <w:tr w14:paraId="0C0F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74FFF663">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06830AF9">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0963DF66">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66FBBAF7">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5.6硬盘：固态硬盘数量≥1；机械硬盘数量≥1。单块固态硬盘容量≥500G； 单块机械硬盘容量≥1TB</w:t>
            </w:r>
          </w:p>
        </w:tc>
        <w:tc>
          <w:tcPr>
            <w:tcW w:w="3458" w:type="dxa"/>
            <w:shd w:val="clear" w:color="auto" w:fill="auto"/>
            <w:vAlign w:val="top"/>
          </w:tcPr>
          <w:p w14:paraId="21C93A5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5902950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硬盘：固态硬盘数量1；机械硬盘数量1。单块固态硬盘容量500G； 单块机械硬盘容量1TB</w:t>
            </w:r>
          </w:p>
        </w:tc>
        <w:tc>
          <w:tcPr>
            <w:tcW w:w="739" w:type="dxa"/>
          </w:tcPr>
          <w:p w14:paraId="63CA824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4B97462">
            <w:pPr>
              <w:pStyle w:val="12"/>
              <w:widowControl w:val="0"/>
              <w:jc w:val="both"/>
              <w:rPr>
                <w:rFonts w:hint="eastAsia" w:ascii="仿宋" w:hAnsi="仿宋" w:eastAsia="仿宋" w:cs="仿宋"/>
                <w:spacing w:val="10"/>
                <w:kern w:val="2"/>
                <w:sz w:val="24"/>
                <w:szCs w:val="24"/>
                <w:lang w:val="en-US" w:eastAsia="en-US" w:bidi="ar-SA"/>
              </w:rPr>
            </w:pPr>
          </w:p>
        </w:tc>
      </w:tr>
      <w:tr w14:paraId="04AD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3BB246E4">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6560796E">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69A125ED">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4B5F3D1D">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5.7网卡：集成10/100/1000M以太网卡；支持10Mbps、100Mbps、1000Mbps 速率自适应</w:t>
            </w:r>
          </w:p>
        </w:tc>
        <w:tc>
          <w:tcPr>
            <w:tcW w:w="3458" w:type="dxa"/>
            <w:shd w:val="clear" w:color="auto" w:fill="auto"/>
            <w:vAlign w:val="top"/>
          </w:tcPr>
          <w:p w14:paraId="0AE69FD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535455A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网卡：集成10/100/1000M以太网卡；支持10Mbps、100Mbps、1000Mbps 速率自适应</w:t>
            </w:r>
          </w:p>
        </w:tc>
        <w:tc>
          <w:tcPr>
            <w:tcW w:w="739" w:type="dxa"/>
          </w:tcPr>
          <w:p w14:paraId="0BE4ED3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01841127">
            <w:pPr>
              <w:pStyle w:val="12"/>
              <w:widowControl w:val="0"/>
              <w:jc w:val="both"/>
              <w:rPr>
                <w:rFonts w:hint="eastAsia" w:ascii="仿宋" w:hAnsi="仿宋" w:eastAsia="仿宋" w:cs="仿宋"/>
                <w:spacing w:val="10"/>
                <w:kern w:val="2"/>
                <w:sz w:val="24"/>
                <w:szCs w:val="24"/>
                <w:lang w:val="en-US" w:eastAsia="en-US" w:bidi="ar-SA"/>
              </w:rPr>
            </w:pPr>
          </w:p>
        </w:tc>
      </w:tr>
      <w:tr w14:paraId="2B57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6C56DB9E">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564DB3D9">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432E4B8F">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2DA65278">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5.8显示器：尺寸≥23寸；分辨率≥1920*1080，视频接口支持HDMI</w:t>
            </w:r>
          </w:p>
        </w:tc>
        <w:tc>
          <w:tcPr>
            <w:tcW w:w="3458" w:type="dxa"/>
            <w:shd w:val="clear" w:color="auto" w:fill="auto"/>
            <w:vAlign w:val="top"/>
          </w:tcPr>
          <w:p w14:paraId="7E547C7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09459E2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显示器：尺寸23.8寸；分辨率1920*1080，视频接口支持HDMI</w:t>
            </w:r>
          </w:p>
        </w:tc>
        <w:tc>
          <w:tcPr>
            <w:tcW w:w="739" w:type="dxa"/>
          </w:tcPr>
          <w:p w14:paraId="74D2342C">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F5024F0">
            <w:pPr>
              <w:pStyle w:val="12"/>
              <w:widowControl w:val="0"/>
              <w:jc w:val="both"/>
              <w:rPr>
                <w:rFonts w:hint="eastAsia" w:ascii="仿宋" w:hAnsi="仿宋" w:eastAsia="仿宋" w:cs="仿宋"/>
                <w:spacing w:val="10"/>
                <w:kern w:val="2"/>
                <w:sz w:val="24"/>
                <w:szCs w:val="24"/>
                <w:lang w:val="en-US" w:eastAsia="en-US" w:bidi="ar-SA"/>
              </w:rPr>
            </w:pPr>
          </w:p>
        </w:tc>
      </w:tr>
      <w:tr w14:paraId="6306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16E93504">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1FB7A4DB">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5025DB93">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4CD3757A">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5.9扩展槽：主板PCIe x16插槽数量≥2、板载PCIe M.2接口≥2个；至少支持1个双槽位专业显卡安装</w:t>
            </w:r>
          </w:p>
        </w:tc>
        <w:tc>
          <w:tcPr>
            <w:tcW w:w="3458" w:type="dxa"/>
            <w:shd w:val="clear" w:color="auto" w:fill="auto"/>
            <w:vAlign w:val="top"/>
          </w:tcPr>
          <w:p w14:paraId="6D6C05F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6D03525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扩展槽：主板PCIe x16插槽数量2、板载PCIe M.2接口2个；支持1个双槽位专业显卡安装</w:t>
            </w:r>
          </w:p>
        </w:tc>
        <w:tc>
          <w:tcPr>
            <w:tcW w:w="739" w:type="dxa"/>
          </w:tcPr>
          <w:p w14:paraId="0B62CFC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DD9BBD1">
            <w:pPr>
              <w:pStyle w:val="12"/>
              <w:widowControl w:val="0"/>
              <w:jc w:val="both"/>
              <w:rPr>
                <w:rFonts w:hint="eastAsia" w:ascii="仿宋" w:hAnsi="仿宋" w:eastAsia="仿宋" w:cs="仿宋"/>
                <w:spacing w:val="10"/>
                <w:kern w:val="2"/>
                <w:sz w:val="24"/>
                <w:szCs w:val="24"/>
                <w:lang w:val="en-US" w:eastAsia="en-US" w:bidi="ar-SA"/>
              </w:rPr>
            </w:pPr>
          </w:p>
        </w:tc>
      </w:tr>
      <w:tr w14:paraId="76B6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2B9FEFCD">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34810664">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31E97B2F">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100A37EA">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5.10键盘、鼠标：原厂防水键盘、抗菌鼠标；连接方式为有线，连接线长≥1.5米</w:t>
            </w:r>
          </w:p>
        </w:tc>
        <w:tc>
          <w:tcPr>
            <w:tcW w:w="3458" w:type="dxa"/>
            <w:shd w:val="clear" w:color="auto" w:fill="auto"/>
            <w:vAlign w:val="top"/>
          </w:tcPr>
          <w:p w14:paraId="17483CD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6D9BA00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键盘、鼠标：原厂防水键盘、抗菌鼠标；连接方式为有线，连接线长1.5米</w:t>
            </w:r>
          </w:p>
        </w:tc>
        <w:tc>
          <w:tcPr>
            <w:tcW w:w="739" w:type="dxa"/>
          </w:tcPr>
          <w:p w14:paraId="2CDFE3C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38028D86">
            <w:pPr>
              <w:pStyle w:val="12"/>
              <w:widowControl w:val="0"/>
              <w:jc w:val="both"/>
              <w:rPr>
                <w:rFonts w:hint="eastAsia" w:ascii="仿宋" w:hAnsi="仿宋" w:eastAsia="仿宋" w:cs="仿宋"/>
                <w:spacing w:val="10"/>
                <w:kern w:val="2"/>
                <w:sz w:val="24"/>
                <w:szCs w:val="24"/>
                <w:lang w:val="en-US" w:eastAsia="en-US" w:bidi="ar-SA"/>
              </w:rPr>
            </w:pPr>
          </w:p>
        </w:tc>
      </w:tr>
      <w:tr w14:paraId="1853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14EC2D55">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08F1A83E">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4D4DB9F5">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7C431432">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5.11接口：≥9个USB 3.2接口(前置至少1个TYPE-C接口)，主板集成至少1个HDMI接口，1个DP接口</w:t>
            </w:r>
          </w:p>
        </w:tc>
        <w:tc>
          <w:tcPr>
            <w:tcW w:w="3458" w:type="dxa"/>
            <w:shd w:val="clear" w:color="auto" w:fill="auto"/>
            <w:vAlign w:val="top"/>
          </w:tcPr>
          <w:p w14:paraId="025D106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764F864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接口：9个USB 3.2接口(前置1个TYPE-C接口)，主板集成1个HDMI接口，1个DP接口</w:t>
            </w:r>
          </w:p>
        </w:tc>
        <w:tc>
          <w:tcPr>
            <w:tcW w:w="739" w:type="dxa"/>
          </w:tcPr>
          <w:p w14:paraId="6A6F4BF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3F811992">
            <w:pPr>
              <w:pStyle w:val="12"/>
              <w:widowControl w:val="0"/>
              <w:jc w:val="both"/>
              <w:rPr>
                <w:rFonts w:hint="eastAsia" w:ascii="仿宋" w:hAnsi="仿宋" w:eastAsia="仿宋" w:cs="仿宋"/>
                <w:spacing w:val="10"/>
                <w:kern w:val="2"/>
                <w:sz w:val="24"/>
                <w:szCs w:val="24"/>
                <w:lang w:val="en-US" w:eastAsia="en-US" w:bidi="ar-SA"/>
              </w:rPr>
            </w:pPr>
          </w:p>
        </w:tc>
      </w:tr>
      <w:tr w14:paraId="2C6B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265B52C2">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353BF6F1">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6679E4C2">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566254FD">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5.12电源：≥500W；电源转化效率≥85%，电源需满足工作站最高负载工作的功率要求；需符合国家节能、环保要求，投标文件提供所投产品有效的节能产品认证证书扫描件</w:t>
            </w:r>
          </w:p>
        </w:tc>
        <w:tc>
          <w:tcPr>
            <w:tcW w:w="3458" w:type="dxa"/>
            <w:shd w:val="clear" w:color="auto" w:fill="auto"/>
            <w:vAlign w:val="top"/>
          </w:tcPr>
          <w:p w14:paraId="03FCD65C">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252A8DE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电源：500W；电源转化效率85%，电源满足工作站最高负载工作的功率要求；符合国家节能、环保要求，投标文件提供所投产品有效的节能产品认证证书扫描件</w:t>
            </w:r>
          </w:p>
        </w:tc>
        <w:tc>
          <w:tcPr>
            <w:tcW w:w="739" w:type="dxa"/>
          </w:tcPr>
          <w:p w14:paraId="6E31E3F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444FBA18">
            <w:pPr>
              <w:pStyle w:val="12"/>
              <w:widowControl w:val="0"/>
              <w:jc w:val="both"/>
              <w:rPr>
                <w:rFonts w:hint="eastAsia" w:ascii="仿宋" w:hAnsi="仿宋" w:eastAsia="仿宋" w:cs="仿宋"/>
                <w:spacing w:val="10"/>
                <w:kern w:val="2"/>
                <w:sz w:val="24"/>
                <w:szCs w:val="24"/>
                <w:lang w:val="en-US" w:eastAsia="en-US" w:bidi="ar-SA"/>
              </w:rPr>
            </w:pPr>
          </w:p>
        </w:tc>
      </w:tr>
      <w:tr w14:paraId="4E33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785007B3">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656DBB9C">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3DE610B7">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5C169714">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5.13操作系统：需支持同时安装双系统并能在开机时选择要进入的系统；</w:t>
            </w:r>
          </w:p>
        </w:tc>
        <w:tc>
          <w:tcPr>
            <w:tcW w:w="3458" w:type="dxa"/>
            <w:shd w:val="clear" w:color="auto" w:fill="auto"/>
            <w:vAlign w:val="top"/>
          </w:tcPr>
          <w:p w14:paraId="07A9503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7549CD1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操作系统：支持同时安装双系统并能在开机时选择要进入的系统；</w:t>
            </w:r>
          </w:p>
        </w:tc>
        <w:tc>
          <w:tcPr>
            <w:tcW w:w="739" w:type="dxa"/>
          </w:tcPr>
          <w:p w14:paraId="7F760E9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36E5CF08">
            <w:pPr>
              <w:pStyle w:val="12"/>
              <w:widowControl w:val="0"/>
              <w:jc w:val="both"/>
              <w:rPr>
                <w:rFonts w:hint="eastAsia" w:ascii="仿宋" w:hAnsi="仿宋" w:eastAsia="仿宋" w:cs="仿宋"/>
                <w:spacing w:val="10"/>
                <w:kern w:val="2"/>
                <w:sz w:val="24"/>
                <w:szCs w:val="24"/>
                <w:lang w:val="en-US" w:eastAsia="en-US" w:bidi="ar-SA"/>
              </w:rPr>
            </w:pPr>
          </w:p>
        </w:tc>
      </w:tr>
      <w:tr w14:paraId="4896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5EBB4FBE">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64655E6E">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320D67C5">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0C7B8F64">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5.14可维护性：插入显卡的情况下，Bios需能在开机时进入、并能对系统引导顺序、网络启动等进行配置</w:t>
            </w:r>
          </w:p>
        </w:tc>
        <w:tc>
          <w:tcPr>
            <w:tcW w:w="3458" w:type="dxa"/>
            <w:shd w:val="clear" w:color="auto" w:fill="auto"/>
            <w:vAlign w:val="top"/>
          </w:tcPr>
          <w:p w14:paraId="3054DA5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5BF7AE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可维护性：插入显卡的情况下，Bios能在开机时进入、并能对系统引导顺序、网络启动等进行配置</w:t>
            </w:r>
          </w:p>
        </w:tc>
        <w:tc>
          <w:tcPr>
            <w:tcW w:w="739" w:type="dxa"/>
          </w:tcPr>
          <w:p w14:paraId="28B5937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6B1529B1">
            <w:pPr>
              <w:pStyle w:val="12"/>
              <w:widowControl w:val="0"/>
              <w:jc w:val="both"/>
              <w:rPr>
                <w:rFonts w:hint="eastAsia" w:ascii="仿宋" w:hAnsi="仿宋" w:eastAsia="仿宋" w:cs="仿宋"/>
                <w:spacing w:val="10"/>
                <w:kern w:val="2"/>
                <w:sz w:val="24"/>
                <w:szCs w:val="24"/>
                <w:lang w:val="en-US" w:eastAsia="en-US" w:bidi="ar-SA"/>
              </w:rPr>
            </w:pPr>
          </w:p>
        </w:tc>
      </w:tr>
      <w:tr w14:paraId="12D8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26A9823B">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18F01B24">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31D138A1">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6E58A163">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5.15机箱：塔式标准机箱，≤17L</w:t>
            </w:r>
          </w:p>
        </w:tc>
        <w:tc>
          <w:tcPr>
            <w:tcW w:w="3458" w:type="dxa"/>
            <w:shd w:val="clear" w:color="auto" w:fill="auto"/>
            <w:vAlign w:val="top"/>
          </w:tcPr>
          <w:p w14:paraId="0AC2245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7B647CB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机箱：塔式标准机箱，17L</w:t>
            </w:r>
          </w:p>
        </w:tc>
        <w:tc>
          <w:tcPr>
            <w:tcW w:w="739" w:type="dxa"/>
          </w:tcPr>
          <w:p w14:paraId="00D1DEC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312BCA8D">
            <w:pPr>
              <w:pStyle w:val="12"/>
              <w:widowControl w:val="0"/>
              <w:jc w:val="both"/>
              <w:rPr>
                <w:rFonts w:hint="eastAsia" w:ascii="仿宋" w:hAnsi="仿宋" w:eastAsia="仿宋" w:cs="仿宋"/>
                <w:spacing w:val="10"/>
                <w:kern w:val="2"/>
                <w:sz w:val="24"/>
                <w:szCs w:val="24"/>
                <w:lang w:val="en-US" w:eastAsia="en-US" w:bidi="ar-SA"/>
              </w:rPr>
            </w:pPr>
          </w:p>
        </w:tc>
      </w:tr>
      <w:tr w14:paraId="4375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24AAA167">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6BA2995A">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4C02488D">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1E1CA022">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5.16服务：原厂3年质保服务</w:t>
            </w:r>
          </w:p>
        </w:tc>
        <w:tc>
          <w:tcPr>
            <w:tcW w:w="3458" w:type="dxa"/>
            <w:shd w:val="clear" w:color="auto" w:fill="auto"/>
            <w:vAlign w:val="top"/>
          </w:tcPr>
          <w:p w14:paraId="0B1FB47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0AB7C61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服务：原厂3年质保服务</w:t>
            </w:r>
          </w:p>
        </w:tc>
        <w:tc>
          <w:tcPr>
            <w:tcW w:w="739" w:type="dxa"/>
          </w:tcPr>
          <w:p w14:paraId="76E6444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07F69440">
            <w:pPr>
              <w:pStyle w:val="12"/>
              <w:widowControl w:val="0"/>
              <w:jc w:val="both"/>
              <w:rPr>
                <w:rFonts w:hint="eastAsia" w:ascii="仿宋" w:hAnsi="仿宋" w:eastAsia="仿宋" w:cs="仿宋"/>
                <w:spacing w:val="10"/>
                <w:kern w:val="2"/>
                <w:sz w:val="24"/>
                <w:szCs w:val="24"/>
                <w:lang w:val="en-US" w:eastAsia="en-US" w:bidi="ar-SA"/>
              </w:rPr>
            </w:pPr>
          </w:p>
        </w:tc>
      </w:tr>
      <w:tr w14:paraId="01C3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restart"/>
          </w:tcPr>
          <w:p w14:paraId="645A1B5D">
            <w:pPr>
              <w:pStyle w:val="12"/>
              <w:widowControl w:val="0"/>
              <w:jc w:val="both"/>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6</w:t>
            </w:r>
          </w:p>
        </w:tc>
        <w:tc>
          <w:tcPr>
            <w:tcW w:w="571" w:type="dxa"/>
            <w:vMerge w:val="restart"/>
          </w:tcPr>
          <w:p w14:paraId="3CA320A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资源管理工作站</w:t>
            </w:r>
          </w:p>
        </w:tc>
        <w:tc>
          <w:tcPr>
            <w:tcW w:w="310" w:type="dxa"/>
          </w:tcPr>
          <w:p w14:paraId="0EAE49F7">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6857E1E9">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6.1机型：工作站产品，在官网或产品认证中为工作站产品；提供彩页或截图或其他佐证材料</w:t>
            </w:r>
          </w:p>
        </w:tc>
        <w:tc>
          <w:tcPr>
            <w:tcW w:w="3458" w:type="dxa"/>
            <w:shd w:val="clear" w:color="auto" w:fill="auto"/>
            <w:vAlign w:val="top"/>
          </w:tcPr>
          <w:p w14:paraId="58C7A68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67BCF6B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机型：工作站产品，在官网或产品认证中为工作站产品；提供彩页或截图或其他佐证材料</w:t>
            </w:r>
          </w:p>
        </w:tc>
        <w:tc>
          <w:tcPr>
            <w:tcW w:w="739" w:type="dxa"/>
          </w:tcPr>
          <w:p w14:paraId="2B16AF0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6E2FD954">
            <w:pPr>
              <w:pStyle w:val="12"/>
              <w:widowControl w:val="0"/>
              <w:jc w:val="both"/>
              <w:rPr>
                <w:rFonts w:hint="eastAsia" w:ascii="仿宋" w:hAnsi="仿宋" w:eastAsia="仿宋" w:cs="仿宋"/>
                <w:spacing w:val="10"/>
                <w:kern w:val="2"/>
                <w:sz w:val="24"/>
                <w:szCs w:val="24"/>
                <w:lang w:val="en-US" w:eastAsia="en-US" w:bidi="ar-SA"/>
              </w:rPr>
            </w:pPr>
          </w:p>
        </w:tc>
      </w:tr>
      <w:tr w14:paraId="2EB1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481" w:type="dxa"/>
            <w:vMerge w:val="continue"/>
          </w:tcPr>
          <w:p w14:paraId="5041CC5A">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5EB4E92E">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071DF86D">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0AD1C661">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6.2CPU：数量≥2；单CPU核心数≥8；单CPU线程数≥16；单CPU基本频率≥2.60GHz；单CPU最高频率≥4.10GHz；提供彩页或截图或其他佐证材料</w:t>
            </w:r>
          </w:p>
        </w:tc>
        <w:tc>
          <w:tcPr>
            <w:tcW w:w="3458" w:type="dxa"/>
            <w:shd w:val="clear" w:color="auto" w:fill="auto"/>
            <w:vAlign w:val="top"/>
          </w:tcPr>
          <w:p w14:paraId="41E7BE4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7007533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CPU：数量2；单CPU核心数8；单CPU线程数16；单CPU基本频率2.60GHz；单CPU最高频率4.10GHz；提供彩页或截图或其他佐证材料</w:t>
            </w:r>
          </w:p>
        </w:tc>
        <w:tc>
          <w:tcPr>
            <w:tcW w:w="739" w:type="dxa"/>
          </w:tcPr>
          <w:p w14:paraId="7874229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8857980">
            <w:pPr>
              <w:pStyle w:val="12"/>
              <w:widowControl w:val="0"/>
              <w:jc w:val="both"/>
              <w:rPr>
                <w:rFonts w:hint="eastAsia" w:ascii="仿宋" w:hAnsi="仿宋" w:eastAsia="仿宋" w:cs="仿宋"/>
                <w:spacing w:val="10"/>
                <w:kern w:val="2"/>
                <w:sz w:val="24"/>
                <w:szCs w:val="24"/>
                <w:lang w:val="en-US" w:eastAsia="en-US" w:bidi="ar-SA"/>
              </w:rPr>
            </w:pPr>
          </w:p>
        </w:tc>
      </w:tr>
      <w:tr w14:paraId="3422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37EEE3B4">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6AAA31F9">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0EABAE4A">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0225FF21">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6.3内存：≥64G DDR4；单条内存容量≥32G；整机支持内存≥1T；提供彩页或截图或其他佐证材料</w:t>
            </w:r>
          </w:p>
        </w:tc>
        <w:tc>
          <w:tcPr>
            <w:tcW w:w="3458" w:type="dxa"/>
            <w:shd w:val="clear" w:color="auto" w:fill="auto"/>
            <w:vAlign w:val="top"/>
          </w:tcPr>
          <w:p w14:paraId="7D560EC3">
            <w:pPr>
              <w:pStyle w:val="12"/>
              <w:widowControl w:val="0"/>
              <w:jc w:val="both"/>
              <w:rPr>
                <w:rFonts w:hint="eastAsia" w:ascii="仿宋" w:hAnsi="仿宋" w:eastAsia="仿宋" w:cs="仿宋"/>
                <w:spacing w:val="10"/>
                <w:kern w:val="2"/>
                <w:sz w:val="24"/>
                <w:szCs w:val="24"/>
                <w:highlight w:val="none"/>
                <w:lang w:val="en-US" w:eastAsia="en-US" w:bidi="ar-SA"/>
              </w:rPr>
            </w:pPr>
            <w:r>
              <w:rPr>
                <w:rFonts w:hint="eastAsia" w:ascii="仿宋" w:hAnsi="仿宋" w:eastAsia="仿宋" w:cs="仿宋"/>
                <w:spacing w:val="10"/>
                <w:kern w:val="2"/>
                <w:sz w:val="24"/>
                <w:szCs w:val="24"/>
                <w:highlight w:val="none"/>
                <w:lang w:val="en-US" w:eastAsia="en-US" w:bidi="ar-SA"/>
              </w:rPr>
              <w:t>我司提供的产品完全响应招标技术要求，具体如下：</w:t>
            </w:r>
          </w:p>
          <w:p w14:paraId="35FE5324">
            <w:pPr>
              <w:pStyle w:val="12"/>
              <w:widowControl w:val="0"/>
              <w:jc w:val="both"/>
              <w:rPr>
                <w:rFonts w:hint="eastAsia" w:ascii="仿宋" w:hAnsi="仿宋" w:eastAsia="仿宋" w:cs="仿宋"/>
                <w:spacing w:val="10"/>
                <w:kern w:val="2"/>
                <w:sz w:val="24"/>
                <w:szCs w:val="24"/>
                <w:highlight w:val="none"/>
                <w:lang w:val="en-US" w:eastAsia="en-US" w:bidi="ar-SA"/>
              </w:rPr>
            </w:pPr>
            <w:r>
              <w:rPr>
                <w:rFonts w:hint="eastAsia" w:ascii="仿宋" w:hAnsi="仿宋" w:eastAsia="仿宋" w:cs="仿宋"/>
                <w:spacing w:val="10"/>
                <w:kern w:val="2"/>
                <w:sz w:val="24"/>
                <w:szCs w:val="24"/>
                <w:highlight w:val="none"/>
                <w:lang w:val="en-US" w:eastAsia="zh-CN" w:bidi="ar-SA"/>
              </w:rPr>
              <w:t>内存：64G DDR5；单条内存容量32G；整机支持内存2T；提供彩页或截图或其他佐证材料</w:t>
            </w:r>
          </w:p>
        </w:tc>
        <w:tc>
          <w:tcPr>
            <w:tcW w:w="739" w:type="dxa"/>
          </w:tcPr>
          <w:p w14:paraId="339DCE6E">
            <w:pPr>
              <w:pStyle w:val="12"/>
              <w:widowControl w:val="0"/>
              <w:jc w:val="both"/>
              <w:rPr>
                <w:rFonts w:hint="eastAsia" w:ascii="仿宋" w:hAnsi="仿宋" w:eastAsia="仿宋" w:cs="仿宋"/>
                <w:spacing w:val="10"/>
                <w:kern w:val="2"/>
                <w:sz w:val="24"/>
                <w:szCs w:val="24"/>
                <w:highlight w:val="none"/>
                <w:lang w:val="en-US" w:eastAsia="zh-CN" w:bidi="ar-SA"/>
              </w:rPr>
            </w:pPr>
            <w:r>
              <w:rPr>
                <w:rFonts w:hint="eastAsia" w:ascii="仿宋" w:hAnsi="仿宋" w:eastAsia="仿宋" w:cs="仿宋"/>
                <w:spacing w:val="10"/>
                <w:kern w:val="2"/>
                <w:sz w:val="24"/>
                <w:szCs w:val="24"/>
                <w:highlight w:val="none"/>
                <w:lang w:val="en-US" w:eastAsia="zh-CN" w:bidi="ar-SA"/>
              </w:rPr>
              <w:t>正偏离</w:t>
            </w:r>
          </w:p>
        </w:tc>
        <w:tc>
          <w:tcPr>
            <w:tcW w:w="486" w:type="dxa"/>
          </w:tcPr>
          <w:p w14:paraId="70004DB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z w:val="24"/>
                <w:szCs w:val="24"/>
                <w:highlight w:val="none"/>
                <w:lang w:val="en-US" w:eastAsia="zh-CN"/>
              </w:rPr>
              <w:t>证明材料见其他材（六）-3</w:t>
            </w:r>
          </w:p>
        </w:tc>
      </w:tr>
      <w:tr w14:paraId="66F1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5971A91A">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36A6A7E0">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7A46D7AD">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1842C79A">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6.4显卡：需为独立显卡，显存≥4G，CUDA核心数≥384，位宽≥64bit，需支持HDMI信号输出</w:t>
            </w:r>
          </w:p>
        </w:tc>
        <w:tc>
          <w:tcPr>
            <w:tcW w:w="3458" w:type="dxa"/>
            <w:shd w:val="clear" w:color="auto" w:fill="auto"/>
            <w:vAlign w:val="top"/>
          </w:tcPr>
          <w:p w14:paraId="497EB82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82E8C4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显卡：为独立显卡，显存4G，CUDA核心数384，位宽64bit，支持HDMI信号输出</w:t>
            </w:r>
          </w:p>
        </w:tc>
        <w:tc>
          <w:tcPr>
            <w:tcW w:w="739" w:type="dxa"/>
          </w:tcPr>
          <w:p w14:paraId="4AC022F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6AD6E589">
            <w:pPr>
              <w:pStyle w:val="12"/>
              <w:widowControl w:val="0"/>
              <w:jc w:val="both"/>
              <w:rPr>
                <w:rFonts w:hint="eastAsia" w:ascii="仿宋" w:hAnsi="仿宋" w:eastAsia="仿宋" w:cs="仿宋"/>
                <w:spacing w:val="10"/>
                <w:kern w:val="2"/>
                <w:sz w:val="24"/>
                <w:szCs w:val="24"/>
                <w:lang w:val="en-US" w:eastAsia="en-US" w:bidi="ar-SA"/>
              </w:rPr>
            </w:pPr>
          </w:p>
        </w:tc>
      </w:tr>
      <w:tr w14:paraId="4A8E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81" w:type="dxa"/>
            <w:vMerge w:val="continue"/>
          </w:tcPr>
          <w:p w14:paraId="51EE41D6">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1E3AD97E">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7B1B543">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3DE3FFDA">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6.5声卡：集成声卡</w:t>
            </w:r>
          </w:p>
        </w:tc>
        <w:tc>
          <w:tcPr>
            <w:tcW w:w="3458" w:type="dxa"/>
            <w:shd w:val="clear" w:color="auto" w:fill="auto"/>
            <w:vAlign w:val="top"/>
          </w:tcPr>
          <w:p w14:paraId="5A0A6DE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2D4A90A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集成声卡</w:t>
            </w:r>
          </w:p>
        </w:tc>
        <w:tc>
          <w:tcPr>
            <w:tcW w:w="739" w:type="dxa"/>
          </w:tcPr>
          <w:p w14:paraId="611A5D7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05CF0D0">
            <w:pPr>
              <w:pStyle w:val="12"/>
              <w:widowControl w:val="0"/>
              <w:jc w:val="both"/>
              <w:rPr>
                <w:rFonts w:hint="eastAsia" w:ascii="仿宋" w:hAnsi="仿宋" w:eastAsia="仿宋" w:cs="仿宋"/>
                <w:spacing w:val="10"/>
                <w:kern w:val="2"/>
                <w:sz w:val="24"/>
                <w:szCs w:val="24"/>
                <w:lang w:val="en-US" w:eastAsia="en-US" w:bidi="ar-SA"/>
              </w:rPr>
            </w:pPr>
          </w:p>
        </w:tc>
      </w:tr>
      <w:tr w14:paraId="27E8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60A4DDE5">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14EAEF00">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4D1065FA">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019B7690">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6.6硬盘：固态硬盘容量≥1T；机械硬盘容量≥6TB；板载至少支持4个3.5寸硬盘；板载至少支持3个板载M.2 SSD</w:t>
            </w:r>
          </w:p>
        </w:tc>
        <w:tc>
          <w:tcPr>
            <w:tcW w:w="3458" w:type="dxa"/>
            <w:shd w:val="clear" w:color="auto" w:fill="auto"/>
            <w:vAlign w:val="top"/>
          </w:tcPr>
          <w:p w14:paraId="4EA9FCC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0B438E7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硬盘：固态硬盘容量1T；机械硬盘容量6TB；板载支持4个3.5寸硬盘；板载支持3个板载M.2 SSD</w:t>
            </w:r>
          </w:p>
        </w:tc>
        <w:tc>
          <w:tcPr>
            <w:tcW w:w="739" w:type="dxa"/>
          </w:tcPr>
          <w:p w14:paraId="21D513A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1A5A163F">
            <w:pPr>
              <w:pStyle w:val="12"/>
              <w:widowControl w:val="0"/>
              <w:jc w:val="both"/>
              <w:rPr>
                <w:rFonts w:hint="eastAsia" w:ascii="仿宋" w:hAnsi="仿宋" w:eastAsia="仿宋" w:cs="仿宋"/>
                <w:spacing w:val="10"/>
                <w:kern w:val="2"/>
                <w:sz w:val="24"/>
                <w:szCs w:val="24"/>
                <w:lang w:val="en-US" w:eastAsia="en-US" w:bidi="ar-SA"/>
              </w:rPr>
            </w:pPr>
          </w:p>
        </w:tc>
      </w:tr>
      <w:tr w14:paraId="004F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2BC2C106">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6E04D4B8">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77935F9F">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0C0F882E">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6.7RAID：至少支持RAID 0, 1, 5, 10或以上冗余；支持SATA接口且速率≥6Gb/s</w:t>
            </w:r>
          </w:p>
        </w:tc>
        <w:tc>
          <w:tcPr>
            <w:tcW w:w="3458" w:type="dxa"/>
            <w:shd w:val="clear" w:color="auto" w:fill="auto"/>
            <w:vAlign w:val="top"/>
          </w:tcPr>
          <w:p w14:paraId="7E699EB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177C8B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RAID：支持RAID 0, 1, 5, 10或以上冗余；支持SATA接口且速率6Gb/s</w:t>
            </w:r>
          </w:p>
        </w:tc>
        <w:tc>
          <w:tcPr>
            <w:tcW w:w="739" w:type="dxa"/>
          </w:tcPr>
          <w:p w14:paraId="49D5C8D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307D2DB5">
            <w:pPr>
              <w:pStyle w:val="12"/>
              <w:widowControl w:val="0"/>
              <w:jc w:val="both"/>
              <w:rPr>
                <w:rFonts w:hint="eastAsia" w:ascii="仿宋" w:hAnsi="仿宋" w:eastAsia="仿宋" w:cs="仿宋"/>
                <w:spacing w:val="10"/>
                <w:kern w:val="2"/>
                <w:sz w:val="24"/>
                <w:szCs w:val="24"/>
                <w:lang w:val="en-US" w:eastAsia="en-US" w:bidi="ar-SA"/>
              </w:rPr>
            </w:pPr>
          </w:p>
        </w:tc>
      </w:tr>
      <w:tr w14:paraId="7BED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81" w:type="dxa"/>
            <w:vMerge w:val="continue"/>
          </w:tcPr>
          <w:p w14:paraId="1F7529FE">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039F7DB2">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F5AC8BB">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21237882">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6.8网卡：千兆及以上网口数量≥4；万兆网卡数量≥1</w:t>
            </w:r>
          </w:p>
        </w:tc>
        <w:tc>
          <w:tcPr>
            <w:tcW w:w="3458" w:type="dxa"/>
            <w:shd w:val="clear" w:color="auto" w:fill="auto"/>
            <w:vAlign w:val="top"/>
          </w:tcPr>
          <w:p w14:paraId="39C1A31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718E1CD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网卡：千兆及以上网口数量4；万兆网卡数量1</w:t>
            </w:r>
          </w:p>
        </w:tc>
        <w:tc>
          <w:tcPr>
            <w:tcW w:w="739" w:type="dxa"/>
          </w:tcPr>
          <w:p w14:paraId="54BBF39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ADF40B8">
            <w:pPr>
              <w:pStyle w:val="12"/>
              <w:widowControl w:val="0"/>
              <w:jc w:val="both"/>
              <w:rPr>
                <w:rFonts w:hint="eastAsia" w:ascii="仿宋" w:hAnsi="仿宋" w:eastAsia="仿宋" w:cs="仿宋"/>
                <w:spacing w:val="10"/>
                <w:kern w:val="2"/>
                <w:sz w:val="24"/>
                <w:szCs w:val="24"/>
                <w:lang w:val="en-US" w:eastAsia="en-US" w:bidi="ar-SA"/>
              </w:rPr>
            </w:pPr>
          </w:p>
        </w:tc>
      </w:tr>
      <w:tr w14:paraId="7CDA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1D20BECD">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3C02FC22">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05068CFF">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0B96D062">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6.9扩展槽：板载PCIe x16插槽数≥4；板载PCIe M.2接口≥3；至少支持4个双槽位专业显卡安装</w:t>
            </w:r>
          </w:p>
        </w:tc>
        <w:tc>
          <w:tcPr>
            <w:tcW w:w="3458" w:type="dxa"/>
            <w:shd w:val="clear" w:color="auto" w:fill="auto"/>
            <w:vAlign w:val="top"/>
          </w:tcPr>
          <w:p w14:paraId="4FD4E1E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3A02671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扩展槽：板载PCIe x16插槽数4；板载PCIe M.2接口3；支持4个双槽位专业显卡安装</w:t>
            </w:r>
          </w:p>
        </w:tc>
        <w:tc>
          <w:tcPr>
            <w:tcW w:w="739" w:type="dxa"/>
          </w:tcPr>
          <w:p w14:paraId="4C884B0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3753DA5C">
            <w:pPr>
              <w:pStyle w:val="12"/>
              <w:widowControl w:val="0"/>
              <w:jc w:val="both"/>
              <w:rPr>
                <w:rFonts w:hint="eastAsia" w:ascii="仿宋" w:hAnsi="仿宋" w:eastAsia="仿宋" w:cs="仿宋"/>
                <w:spacing w:val="10"/>
                <w:kern w:val="2"/>
                <w:sz w:val="24"/>
                <w:szCs w:val="24"/>
                <w:lang w:val="en-US" w:eastAsia="en-US" w:bidi="ar-SA"/>
              </w:rPr>
            </w:pPr>
          </w:p>
        </w:tc>
      </w:tr>
      <w:tr w14:paraId="57C1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7F723DA1">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455DF8ED">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6CFE0E0">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2F977EC5">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6.10键盘、鼠标：提供防水键盘、抗菌鼠标；连接方式为有线，连接线长≥1.5米</w:t>
            </w:r>
          </w:p>
        </w:tc>
        <w:tc>
          <w:tcPr>
            <w:tcW w:w="3458" w:type="dxa"/>
            <w:shd w:val="clear" w:color="auto" w:fill="auto"/>
            <w:vAlign w:val="top"/>
          </w:tcPr>
          <w:p w14:paraId="14F0007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2ED4E11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键盘、鼠标：提供防水键盘、抗菌鼠标；连接方式为有线，连接线长1.5米</w:t>
            </w:r>
          </w:p>
        </w:tc>
        <w:tc>
          <w:tcPr>
            <w:tcW w:w="739" w:type="dxa"/>
          </w:tcPr>
          <w:p w14:paraId="76F0101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13BB6787">
            <w:pPr>
              <w:pStyle w:val="12"/>
              <w:widowControl w:val="0"/>
              <w:jc w:val="both"/>
              <w:rPr>
                <w:rFonts w:hint="eastAsia" w:ascii="仿宋" w:hAnsi="仿宋" w:eastAsia="仿宋" w:cs="仿宋"/>
                <w:spacing w:val="10"/>
                <w:kern w:val="2"/>
                <w:sz w:val="24"/>
                <w:szCs w:val="24"/>
                <w:lang w:val="en-US" w:eastAsia="en-US" w:bidi="ar-SA"/>
              </w:rPr>
            </w:pPr>
          </w:p>
        </w:tc>
      </w:tr>
      <w:tr w14:paraId="2654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3F11961B">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69DDF867">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6620B3F5">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09F4274A">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6.11接口：≥10个USB接口（前置4个USB 3.2 GEN 2接口，后置6个USB接口）</w:t>
            </w:r>
          </w:p>
        </w:tc>
        <w:tc>
          <w:tcPr>
            <w:tcW w:w="3458" w:type="dxa"/>
            <w:shd w:val="clear" w:color="auto" w:fill="auto"/>
            <w:vAlign w:val="top"/>
          </w:tcPr>
          <w:p w14:paraId="5732CF9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2895C5C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接口：10个USB接口（前置4个USB 3.2 GEN 2接口，后置6个USB接口）</w:t>
            </w:r>
          </w:p>
        </w:tc>
        <w:tc>
          <w:tcPr>
            <w:tcW w:w="739" w:type="dxa"/>
          </w:tcPr>
          <w:p w14:paraId="4197E4F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75B3C39E">
            <w:pPr>
              <w:pStyle w:val="12"/>
              <w:widowControl w:val="0"/>
              <w:jc w:val="both"/>
              <w:rPr>
                <w:rFonts w:hint="eastAsia" w:ascii="仿宋" w:hAnsi="仿宋" w:eastAsia="仿宋" w:cs="仿宋"/>
                <w:spacing w:val="10"/>
                <w:kern w:val="2"/>
                <w:sz w:val="24"/>
                <w:szCs w:val="24"/>
                <w:lang w:val="en-US" w:eastAsia="en-US" w:bidi="ar-SA"/>
              </w:rPr>
            </w:pPr>
          </w:p>
        </w:tc>
      </w:tr>
      <w:tr w14:paraId="0CEC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0B27FE8A">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5F79D679">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17E87AB5">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4E0739C8">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6.12电源：额定功率≥1850W；电源转化效率≥92%，电源需满足工作站最高负载工作的功率要求；符合国家节能、环保要求，投标文件提供所投产品有效的节能产品认证证书扫描件</w:t>
            </w:r>
          </w:p>
        </w:tc>
        <w:tc>
          <w:tcPr>
            <w:tcW w:w="3458" w:type="dxa"/>
            <w:shd w:val="clear" w:color="auto" w:fill="auto"/>
            <w:vAlign w:val="top"/>
          </w:tcPr>
          <w:p w14:paraId="66ADE65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51BF4BCE">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电源：额定功率1850W；电源转化效92%，电源满足工作站最高负载工作的功率要求；符合国家节能、环保要求，投标文件提供所投产品有效的节能产品认证证书扫描件</w:t>
            </w:r>
          </w:p>
        </w:tc>
        <w:tc>
          <w:tcPr>
            <w:tcW w:w="739" w:type="dxa"/>
          </w:tcPr>
          <w:p w14:paraId="5BA7E3D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17ECE7FF">
            <w:pPr>
              <w:pStyle w:val="12"/>
              <w:widowControl w:val="0"/>
              <w:jc w:val="both"/>
              <w:rPr>
                <w:rFonts w:hint="eastAsia" w:ascii="仿宋" w:hAnsi="仿宋" w:eastAsia="仿宋" w:cs="仿宋"/>
                <w:spacing w:val="10"/>
                <w:kern w:val="2"/>
                <w:sz w:val="24"/>
                <w:szCs w:val="24"/>
                <w:lang w:val="en-US" w:eastAsia="en-US" w:bidi="ar-SA"/>
              </w:rPr>
            </w:pPr>
          </w:p>
        </w:tc>
      </w:tr>
      <w:tr w14:paraId="32A2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6DE86BC8">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54EE139B">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3C65B019">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260DD8F9">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6.13可维护性：插入显卡的情况下，Bios需能在开机时进入、并能对系统引导顺序、网络启动等进行配置</w:t>
            </w:r>
          </w:p>
        </w:tc>
        <w:tc>
          <w:tcPr>
            <w:tcW w:w="3458" w:type="dxa"/>
            <w:shd w:val="clear" w:color="auto" w:fill="auto"/>
            <w:vAlign w:val="top"/>
          </w:tcPr>
          <w:p w14:paraId="1BCD27B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1D3ECE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可维护性：插入显卡的情况下，Bios能在开机时进入、并能对系统引导顺序、网络启动等进行配置</w:t>
            </w:r>
          </w:p>
        </w:tc>
        <w:tc>
          <w:tcPr>
            <w:tcW w:w="739" w:type="dxa"/>
          </w:tcPr>
          <w:p w14:paraId="6B9CAC5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4F1898F6">
            <w:pPr>
              <w:pStyle w:val="12"/>
              <w:widowControl w:val="0"/>
              <w:jc w:val="both"/>
              <w:rPr>
                <w:rFonts w:hint="eastAsia" w:ascii="仿宋" w:hAnsi="仿宋" w:eastAsia="仿宋" w:cs="仿宋"/>
                <w:spacing w:val="10"/>
                <w:kern w:val="2"/>
                <w:sz w:val="24"/>
                <w:szCs w:val="24"/>
                <w:lang w:val="en-US" w:eastAsia="en-US" w:bidi="ar-SA"/>
              </w:rPr>
            </w:pPr>
          </w:p>
        </w:tc>
      </w:tr>
      <w:tr w14:paraId="044F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81" w:type="dxa"/>
            <w:vMerge w:val="continue"/>
          </w:tcPr>
          <w:p w14:paraId="718E96DE">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57F12573">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19D599D">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254699BE">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6.14机箱：≥50L立式机箱，具备免工具拆卸、需内嵌式把手易于搬运；需具备线锁插槽，防止机器被整机搬迁；需具备防入侵开关；</w:t>
            </w:r>
          </w:p>
        </w:tc>
        <w:tc>
          <w:tcPr>
            <w:tcW w:w="3458" w:type="dxa"/>
            <w:shd w:val="clear" w:color="auto" w:fill="auto"/>
            <w:vAlign w:val="top"/>
          </w:tcPr>
          <w:p w14:paraId="591C1AB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03F0743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机箱：50L立式机箱，具备免工具拆卸、内嵌式把手易于搬运；具备线锁插槽，防止机器被整机搬迁；具备防入侵开关；</w:t>
            </w:r>
          </w:p>
        </w:tc>
        <w:tc>
          <w:tcPr>
            <w:tcW w:w="739" w:type="dxa"/>
          </w:tcPr>
          <w:p w14:paraId="3EAC180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06B267BE">
            <w:pPr>
              <w:pStyle w:val="12"/>
              <w:widowControl w:val="0"/>
              <w:jc w:val="both"/>
              <w:rPr>
                <w:rFonts w:hint="eastAsia" w:ascii="仿宋" w:hAnsi="仿宋" w:eastAsia="仿宋" w:cs="仿宋"/>
                <w:spacing w:val="10"/>
                <w:kern w:val="2"/>
                <w:sz w:val="24"/>
                <w:szCs w:val="24"/>
                <w:lang w:val="en-US" w:eastAsia="en-US" w:bidi="ar-SA"/>
              </w:rPr>
            </w:pPr>
          </w:p>
        </w:tc>
      </w:tr>
      <w:tr w14:paraId="4838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6ED2E05D">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1C2E2A7B">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15EF6902">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39554BB9">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6.15服务：原厂3年质保服务</w:t>
            </w:r>
          </w:p>
        </w:tc>
        <w:tc>
          <w:tcPr>
            <w:tcW w:w="3458" w:type="dxa"/>
            <w:shd w:val="clear" w:color="auto" w:fill="auto"/>
            <w:vAlign w:val="top"/>
          </w:tcPr>
          <w:p w14:paraId="28B7190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48D4EDE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服务：原厂3年质保服务</w:t>
            </w:r>
          </w:p>
        </w:tc>
        <w:tc>
          <w:tcPr>
            <w:tcW w:w="739" w:type="dxa"/>
          </w:tcPr>
          <w:p w14:paraId="1A01E94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33233E3B">
            <w:pPr>
              <w:pStyle w:val="12"/>
              <w:widowControl w:val="0"/>
              <w:jc w:val="both"/>
              <w:rPr>
                <w:rFonts w:hint="eastAsia" w:ascii="仿宋" w:hAnsi="仿宋" w:eastAsia="仿宋" w:cs="仿宋"/>
                <w:spacing w:val="10"/>
                <w:kern w:val="2"/>
                <w:sz w:val="24"/>
                <w:szCs w:val="24"/>
                <w:lang w:val="en-US" w:eastAsia="en-US" w:bidi="ar-SA"/>
              </w:rPr>
            </w:pPr>
          </w:p>
        </w:tc>
      </w:tr>
      <w:tr w14:paraId="43E1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 w:type="dxa"/>
            <w:vMerge w:val="restart"/>
          </w:tcPr>
          <w:p w14:paraId="76B09FA8">
            <w:pPr>
              <w:pStyle w:val="12"/>
              <w:widowControl w:val="0"/>
              <w:jc w:val="both"/>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7</w:t>
            </w:r>
          </w:p>
        </w:tc>
        <w:tc>
          <w:tcPr>
            <w:tcW w:w="571" w:type="dxa"/>
            <w:vMerge w:val="restart"/>
          </w:tcPr>
          <w:p w14:paraId="190F6EA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高性能图形工作站</w:t>
            </w:r>
          </w:p>
        </w:tc>
        <w:tc>
          <w:tcPr>
            <w:tcW w:w="310" w:type="dxa"/>
          </w:tcPr>
          <w:p w14:paraId="029552AD">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14372CE2">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7.1机型：必须为工作站产品，在官网或产品认证中为工作站产品；提供彩页或截图或其他佐证材料</w:t>
            </w:r>
          </w:p>
        </w:tc>
        <w:tc>
          <w:tcPr>
            <w:tcW w:w="3458" w:type="dxa"/>
            <w:shd w:val="clear" w:color="auto" w:fill="auto"/>
            <w:vAlign w:val="top"/>
          </w:tcPr>
          <w:p w14:paraId="2D23C44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2AD69E5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机型：必须为工作站产品，在官网或产品认证中为工作站产品；提供彩页或截图或其他佐证材料</w:t>
            </w:r>
          </w:p>
        </w:tc>
        <w:tc>
          <w:tcPr>
            <w:tcW w:w="739" w:type="dxa"/>
          </w:tcPr>
          <w:p w14:paraId="5BF3370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10EDD814">
            <w:pPr>
              <w:pStyle w:val="12"/>
              <w:widowControl w:val="0"/>
              <w:jc w:val="both"/>
              <w:rPr>
                <w:rFonts w:hint="eastAsia" w:ascii="仿宋" w:hAnsi="仿宋" w:eastAsia="仿宋" w:cs="仿宋"/>
                <w:spacing w:val="10"/>
                <w:kern w:val="2"/>
                <w:sz w:val="24"/>
                <w:szCs w:val="24"/>
                <w:lang w:val="en-US" w:eastAsia="en-US" w:bidi="ar-SA"/>
              </w:rPr>
            </w:pPr>
          </w:p>
        </w:tc>
      </w:tr>
      <w:tr w14:paraId="48B6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07580ADD">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1DE9B92B">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1925FB49">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73AE30E7">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7.2CPU：数量≥2；单CPU核心数≥24；单CPU线程数≥48；单CPU基本频率≥2.0GHz；单CPU最高频率≥3.8GHz；提供彩页或截图或其他佐证材料</w:t>
            </w:r>
          </w:p>
        </w:tc>
        <w:tc>
          <w:tcPr>
            <w:tcW w:w="3458" w:type="dxa"/>
            <w:shd w:val="clear" w:color="auto" w:fill="auto"/>
            <w:vAlign w:val="top"/>
          </w:tcPr>
          <w:p w14:paraId="1C7DCF4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2C8DE8B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CPU：数量2；单CPU核心数24；单CPU线程数48；单CPU基本频率2.0GHz；单CPU最高频率3.8GHz；提供彩页或截图或其他佐证材料</w:t>
            </w:r>
          </w:p>
        </w:tc>
        <w:tc>
          <w:tcPr>
            <w:tcW w:w="739" w:type="dxa"/>
          </w:tcPr>
          <w:p w14:paraId="228EB14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B21E7BF">
            <w:pPr>
              <w:pStyle w:val="12"/>
              <w:widowControl w:val="0"/>
              <w:jc w:val="both"/>
              <w:rPr>
                <w:rFonts w:hint="eastAsia" w:ascii="仿宋" w:hAnsi="仿宋" w:eastAsia="仿宋" w:cs="仿宋"/>
                <w:spacing w:val="10"/>
                <w:kern w:val="2"/>
                <w:sz w:val="24"/>
                <w:szCs w:val="24"/>
                <w:lang w:val="en-US" w:eastAsia="en-US" w:bidi="ar-SA"/>
              </w:rPr>
            </w:pPr>
          </w:p>
        </w:tc>
      </w:tr>
      <w:tr w14:paraId="5C82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3A293404">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2CF62DAD">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15384693">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5A6A2A6E">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7.3内存：≥512G DDR4；单条内存容量≥64G；整机支持内存≥1T；提供彩页或截图或其他佐证材料</w:t>
            </w:r>
          </w:p>
        </w:tc>
        <w:tc>
          <w:tcPr>
            <w:tcW w:w="3458" w:type="dxa"/>
            <w:shd w:val="clear" w:color="auto" w:fill="auto"/>
            <w:vAlign w:val="top"/>
          </w:tcPr>
          <w:p w14:paraId="27BDB09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4B4DFC4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内存：512G DDR5；单条内存容量64G；整机支持内存1T；提供彩页或截图或其他佐证材料</w:t>
            </w:r>
          </w:p>
        </w:tc>
        <w:tc>
          <w:tcPr>
            <w:tcW w:w="739" w:type="dxa"/>
          </w:tcPr>
          <w:p w14:paraId="1D7C8C81">
            <w:pPr>
              <w:pStyle w:val="12"/>
              <w:widowControl w:val="0"/>
              <w:jc w:val="both"/>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highlight w:val="none"/>
                <w:lang w:val="en-US" w:eastAsia="zh-CN" w:bidi="ar-SA"/>
              </w:rPr>
              <w:t>正偏离</w:t>
            </w:r>
          </w:p>
        </w:tc>
        <w:tc>
          <w:tcPr>
            <w:tcW w:w="486" w:type="dxa"/>
          </w:tcPr>
          <w:p w14:paraId="109780C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z w:val="24"/>
                <w:szCs w:val="24"/>
                <w:highlight w:val="none"/>
                <w:lang w:val="en-US" w:eastAsia="zh-CN"/>
              </w:rPr>
              <w:t>证明材料见其他材（七）-3</w:t>
            </w:r>
          </w:p>
        </w:tc>
      </w:tr>
      <w:tr w14:paraId="0954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5B6D6732">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5BAF627C">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79C61EA6">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3DA52939">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7.4显卡：独立显卡数量≥4；单卡显存≥24G GDDR6，单卡CUDA核心数≥10496，单卡位宽≥384bit，需支持HDMI和DP接口的视频信号输出</w:t>
            </w:r>
          </w:p>
        </w:tc>
        <w:tc>
          <w:tcPr>
            <w:tcW w:w="3458" w:type="dxa"/>
            <w:shd w:val="clear" w:color="auto" w:fill="auto"/>
            <w:vAlign w:val="top"/>
          </w:tcPr>
          <w:p w14:paraId="5BC6D31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5683A12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显卡：独立显卡数量4；单卡显存24G GDDR6，单卡CUDA核心数10496，单卡位宽384bit，支持HDMI和DP接口的视频信号输出</w:t>
            </w:r>
          </w:p>
        </w:tc>
        <w:tc>
          <w:tcPr>
            <w:tcW w:w="739" w:type="dxa"/>
          </w:tcPr>
          <w:p w14:paraId="449D749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6D21836A">
            <w:pPr>
              <w:pStyle w:val="12"/>
              <w:widowControl w:val="0"/>
              <w:jc w:val="both"/>
              <w:rPr>
                <w:rFonts w:hint="eastAsia" w:ascii="仿宋" w:hAnsi="仿宋" w:eastAsia="仿宋" w:cs="仿宋"/>
                <w:spacing w:val="10"/>
                <w:kern w:val="2"/>
                <w:sz w:val="24"/>
                <w:szCs w:val="24"/>
                <w:lang w:val="en-US" w:eastAsia="en-US" w:bidi="ar-SA"/>
              </w:rPr>
            </w:pPr>
          </w:p>
        </w:tc>
      </w:tr>
      <w:tr w14:paraId="5988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75CA9CAC">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421A25EE">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132C0FCE">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79DA2D3C">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7.5声卡：集成声卡</w:t>
            </w:r>
          </w:p>
        </w:tc>
        <w:tc>
          <w:tcPr>
            <w:tcW w:w="3458" w:type="dxa"/>
            <w:shd w:val="clear" w:color="auto" w:fill="auto"/>
            <w:vAlign w:val="top"/>
          </w:tcPr>
          <w:p w14:paraId="54948EE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5279195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声卡：集成声卡</w:t>
            </w:r>
          </w:p>
        </w:tc>
        <w:tc>
          <w:tcPr>
            <w:tcW w:w="739" w:type="dxa"/>
          </w:tcPr>
          <w:p w14:paraId="054B1DB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1C42A530">
            <w:pPr>
              <w:pStyle w:val="12"/>
              <w:widowControl w:val="0"/>
              <w:jc w:val="both"/>
              <w:rPr>
                <w:rFonts w:hint="eastAsia" w:ascii="仿宋" w:hAnsi="仿宋" w:eastAsia="仿宋" w:cs="仿宋"/>
                <w:spacing w:val="10"/>
                <w:kern w:val="2"/>
                <w:sz w:val="24"/>
                <w:szCs w:val="24"/>
                <w:lang w:val="en-US" w:eastAsia="en-US" w:bidi="ar-SA"/>
              </w:rPr>
            </w:pPr>
          </w:p>
        </w:tc>
      </w:tr>
      <w:tr w14:paraId="5133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1AB090BE">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3F6E7753">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059FECCE">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7C5010A0">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7.6硬盘：固态硬盘容量≥1T；机械硬盘容量≥12TB；板载至少支持4个3.5寸硬盘；板载至少支持3个板载M.2 SSD</w:t>
            </w:r>
          </w:p>
        </w:tc>
        <w:tc>
          <w:tcPr>
            <w:tcW w:w="3458" w:type="dxa"/>
            <w:shd w:val="clear" w:color="auto" w:fill="auto"/>
            <w:vAlign w:val="top"/>
          </w:tcPr>
          <w:p w14:paraId="1E22444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3072297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硬盘：固态硬盘容量1T；机械硬盘容量12TB；板载支持4个3.5寸硬盘；板载支持3个板载M.2 SSD</w:t>
            </w:r>
          </w:p>
        </w:tc>
        <w:tc>
          <w:tcPr>
            <w:tcW w:w="739" w:type="dxa"/>
          </w:tcPr>
          <w:p w14:paraId="5638C26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0C87CC9">
            <w:pPr>
              <w:pStyle w:val="12"/>
              <w:widowControl w:val="0"/>
              <w:jc w:val="both"/>
              <w:rPr>
                <w:rFonts w:hint="eastAsia" w:ascii="仿宋" w:hAnsi="仿宋" w:eastAsia="仿宋" w:cs="仿宋"/>
                <w:spacing w:val="10"/>
                <w:kern w:val="2"/>
                <w:sz w:val="24"/>
                <w:szCs w:val="24"/>
                <w:lang w:val="en-US" w:eastAsia="en-US" w:bidi="ar-SA"/>
              </w:rPr>
            </w:pPr>
          </w:p>
        </w:tc>
      </w:tr>
      <w:tr w14:paraId="722F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2D976762">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610431C7">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166502F9">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07A5B9CD">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7.7RAID：至少支持RAID 0, 1, 5, 10或以上冗余；支持SATA接口且速率≥6Gb/s</w:t>
            </w:r>
          </w:p>
        </w:tc>
        <w:tc>
          <w:tcPr>
            <w:tcW w:w="3458" w:type="dxa"/>
            <w:shd w:val="clear" w:color="auto" w:fill="auto"/>
            <w:vAlign w:val="top"/>
          </w:tcPr>
          <w:p w14:paraId="7AC0EA5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3DD8794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RAID：支持RAID 0, 1, 5, 10或以上冗余；支持SATA接口且速率6Gb/s</w:t>
            </w:r>
          </w:p>
        </w:tc>
        <w:tc>
          <w:tcPr>
            <w:tcW w:w="739" w:type="dxa"/>
          </w:tcPr>
          <w:p w14:paraId="213769A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5AF9EE9">
            <w:pPr>
              <w:pStyle w:val="12"/>
              <w:widowControl w:val="0"/>
              <w:jc w:val="both"/>
              <w:rPr>
                <w:rFonts w:hint="eastAsia" w:ascii="仿宋" w:hAnsi="仿宋" w:eastAsia="仿宋" w:cs="仿宋"/>
                <w:spacing w:val="10"/>
                <w:kern w:val="2"/>
                <w:sz w:val="24"/>
                <w:szCs w:val="24"/>
                <w:lang w:val="en-US" w:eastAsia="en-US" w:bidi="ar-SA"/>
              </w:rPr>
            </w:pPr>
          </w:p>
        </w:tc>
      </w:tr>
      <w:tr w14:paraId="580C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082BFC81">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131E18FA">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4FC54CC4">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3E719EE1">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7.8网卡：千兆及以上网口数量≥4；万兆网卡数量≥1</w:t>
            </w:r>
          </w:p>
        </w:tc>
        <w:tc>
          <w:tcPr>
            <w:tcW w:w="3458" w:type="dxa"/>
            <w:shd w:val="clear" w:color="auto" w:fill="auto"/>
            <w:vAlign w:val="top"/>
          </w:tcPr>
          <w:p w14:paraId="0434132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3E3A524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网卡：千兆及以上网口数量4；万兆网卡数量1</w:t>
            </w:r>
          </w:p>
        </w:tc>
        <w:tc>
          <w:tcPr>
            <w:tcW w:w="739" w:type="dxa"/>
          </w:tcPr>
          <w:p w14:paraId="46CC52E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7F1D3263">
            <w:pPr>
              <w:pStyle w:val="12"/>
              <w:widowControl w:val="0"/>
              <w:jc w:val="both"/>
              <w:rPr>
                <w:rFonts w:hint="eastAsia" w:ascii="仿宋" w:hAnsi="仿宋" w:eastAsia="仿宋" w:cs="仿宋"/>
                <w:spacing w:val="10"/>
                <w:kern w:val="2"/>
                <w:sz w:val="24"/>
                <w:szCs w:val="24"/>
                <w:lang w:val="en-US" w:eastAsia="en-US" w:bidi="ar-SA"/>
              </w:rPr>
            </w:pPr>
          </w:p>
        </w:tc>
      </w:tr>
      <w:tr w14:paraId="1E89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0267864C">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0909B101">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237B1533">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32CC5361">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7.9扩展槽：板载PCIe x16插槽数≥4；板载PCIe M.2接口≥3；至少支持4个双槽位专业显卡安装</w:t>
            </w:r>
          </w:p>
        </w:tc>
        <w:tc>
          <w:tcPr>
            <w:tcW w:w="3458" w:type="dxa"/>
            <w:shd w:val="clear" w:color="auto" w:fill="auto"/>
            <w:vAlign w:val="top"/>
          </w:tcPr>
          <w:p w14:paraId="77230B3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59FF324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扩展槽：板载PCIe x16插槽数4；板载PCIe M.2接口3；支持4个双槽位专业显卡安装</w:t>
            </w:r>
          </w:p>
        </w:tc>
        <w:tc>
          <w:tcPr>
            <w:tcW w:w="739" w:type="dxa"/>
          </w:tcPr>
          <w:p w14:paraId="79EA648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7593E70E">
            <w:pPr>
              <w:pStyle w:val="12"/>
              <w:widowControl w:val="0"/>
              <w:jc w:val="both"/>
              <w:rPr>
                <w:rFonts w:hint="eastAsia" w:ascii="仿宋" w:hAnsi="仿宋" w:eastAsia="仿宋" w:cs="仿宋"/>
                <w:spacing w:val="10"/>
                <w:kern w:val="2"/>
                <w:sz w:val="24"/>
                <w:szCs w:val="24"/>
                <w:lang w:val="en-US" w:eastAsia="en-US" w:bidi="ar-SA"/>
              </w:rPr>
            </w:pPr>
          </w:p>
        </w:tc>
      </w:tr>
      <w:tr w14:paraId="6114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668CDE3E">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461D6620">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05FBFA51">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767C22AB">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7.10键盘、鼠标：提供防水键盘、抗菌鼠标；连接方式为有线，连接线长≥1.5米</w:t>
            </w:r>
          </w:p>
        </w:tc>
        <w:tc>
          <w:tcPr>
            <w:tcW w:w="3458" w:type="dxa"/>
            <w:shd w:val="clear" w:color="auto" w:fill="auto"/>
            <w:vAlign w:val="top"/>
          </w:tcPr>
          <w:p w14:paraId="0D89591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621932A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键盘、鼠标：提供防水键盘、抗菌鼠标；连接方式为有线，连接线长1.5米</w:t>
            </w:r>
          </w:p>
        </w:tc>
        <w:tc>
          <w:tcPr>
            <w:tcW w:w="739" w:type="dxa"/>
          </w:tcPr>
          <w:p w14:paraId="72DC0C49">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48D3553">
            <w:pPr>
              <w:pStyle w:val="12"/>
              <w:widowControl w:val="0"/>
              <w:jc w:val="both"/>
              <w:rPr>
                <w:rFonts w:hint="eastAsia" w:ascii="仿宋" w:hAnsi="仿宋" w:eastAsia="仿宋" w:cs="仿宋"/>
                <w:spacing w:val="10"/>
                <w:kern w:val="2"/>
                <w:sz w:val="24"/>
                <w:szCs w:val="24"/>
                <w:lang w:val="en-US" w:eastAsia="en-US" w:bidi="ar-SA"/>
              </w:rPr>
            </w:pPr>
          </w:p>
        </w:tc>
      </w:tr>
      <w:tr w14:paraId="233A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1F5E86CC">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234C231B">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7E89639E">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7AB638E5">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7.11接口：≥10个USB接口（前置4个USB 3.2 GEN 2接口，后置6个USB接口）</w:t>
            </w:r>
          </w:p>
        </w:tc>
        <w:tc>
          <w:tcPr>
            <w:tcW w:w="3458" w:type="dxa"/>
            <w:shd w:val="clear" w:color="auto" w:fill="auto"/>
            <w:vAlign w:val="top"/>
          </w:tcPr>
          <w:p w14:paraId="33A37F6C">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609F81F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接口：10个USB接口（前置4个USB 3.2 GEN 2接口，后置6个USB接口）</w:t>
            </w:r>
          </w:p>
        </w:tc>
        <w:tc>
          <w:tcPr>
            <w:tcW w:w="739" w:type="dxa"/>
          </w:tcPr>
          <w:p w14:paraId="6175237F">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02224A36">
            <w:pPr>
              <w:pStyle w:val="12"/>
              <w:widowControl w:val="0"/>
              <w:jc w:val="both"/>
              <w:rPr>
                <w:rFonts w:hint="eastAsia" w:ascii="仿宋" w:hAnsi="仿宋" w:eastAsia="仿宋" w:cs="仿宋"/>
                <w:spacing w:val="10"/>
                <w:kern w:val="2"/>
                <w:sz w:val="24"/>
                <w:szCs w:val="24"/>
                <w:lang w:val="en-US" w:eastAsia="en-US" w:bidi="ar-SA"/>
              </w:rPr>
            </w:pPr>
          </w:p>
        </w:tc>
      </w:tr>
      <w:tr w14:paraId="7EA4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5ACE0A50">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498F84C9">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3A897750">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0B6FAE2C">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7.12电源：数量≥2；单个电源额定功率≥1850W；电源转化效率≥92%，电源需满足工作站最高负载工作的功率要求；符合国家节能、环保要求，投标文件提供所投产品有效的节能产品认证证书扫描件</w:t>
            </w:r>
          </w:p>
        </w:tc>
        <w:tc>
          <w:tcPr>
            <w:tcW w:w="3458" w:type="dxa"/>
            <w:shd w:val="clear" w:color="auto" w:fill="auto"/>
            <w:vAlign w:val="top"/>
          </w:tcPr>
          <w:p w14:paraId="19D96BD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1399166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电源：数量2；单个电源额定功率1850W；电源转化效率92%，电源满足工作站最高负载工作的功率要求；符合国家节能、环保要求，投标文件提供所投产品有效的节能产品认证证书扫描件</w:t>
            </w:r>
          </w:p>
        </w:tc>
        <w:tc>
          <w:tcPr>
            <w:tcW w:w="739" w:type="dxa"/>
          </w:tcPr>
          <w:p w14:paraId="514A111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4733C58A">
            <w:pPr>
              <w:pStyle w:val="12"/>
              <w:widowControl w:val="0"/>
              <w:jc w:val="both"/>
              <w:rPr>
                <w:rFonts w:hint="eastAsia" w:ascii="仿宋" w:hAnsi="仿宋" w:eastAsia="仿宋" w:cs="仿宋"/>
                <w:spacing w:val="10"/>
                <w:kern w:val="2"/>
                <w:sz w:val="24"/>
                <w:szCs w:val="24"/>
                <w:lang w:val="en-US" w:eastAsia="en-US" w:bidi="ar-SA"/>
              </w:rPr>
            </w:pPr>
          </w:p>
        </w:tc>
      </w:tr>
      <w:tr w14:paraId="5173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40C772D3">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7057350D">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7A69BFE7">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5D710EB6">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7.13可维护性：插入显卡的情况下，Bios需能在开机时进入，可对系统引导顺序、网络启动等进行配置</w:t>
            </w:r>
          </w:p>
        </w:tc>
        <w:tc>
          <w:tcPr>
            <w:tcW w:w="3458" w:type="dxa"/>
            <w:shd w:val="clear" w:color="auto" w:fill="auto"/>
            <w:vAlign w:val="top"/>
          </w:tcPr>
          <w:p w14:paraId="6CFB4A98">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3656C3D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可维护性：插入显卡的情况下，Bios能在开机时进入，可对系统引导顺序、网络启动等进行配置</w:t>
            </w:r>
          </w:p>
        </w:tc>
        <w:tc>
          <w:tcPr>
            <w:tcW w:w="739" w:type="dxa"/>
          </w:tcPr>
          <w:p w14:paraId="416702B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27FDA8A7">
            <w:pPr>
              <w:pStyle w:val="12"/>
              <w:widowControl w:val="0"/>
              <w:jc w:val="both"/>
              <w:rPr>
                <w:rFonts w:hint="eastAsia" w:ascii="仿宋" w:hAnsi="仿宋" w:eastAsia="仿宋" w:cs="仿宋"/>
                <w:spacing w:val="10"/>
                <w:kern w:val="2"/>
                <w:sz w:val="24"/>
                <w:szCs w:val="24"/>
                <w:lang w:val="en-US" w:eastAsia="en-US" w:bidi="ar-SA"/>
              </w:rPr>
            </w:pPr>
          </w:p>
        </w:tc>
      </w:tr>
      <w:tr w14:paraId="017A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11149A75">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0A90EFAA">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7A9BC376">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736C6D57">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7.14机箱：≥50L立式机箱，具备免工具拆卸、需内嵌式把手易于搬运；需具备线锁插槽，防止机器被整机搬迁；需具备防入侵开关；</w:t>
            </w:r>
          </w:p>
        </w:tc>
        <w:tc>
          <w:tcPr>
            <w:tcW w:w="3458" w:type="dxa"/>
            <w:shd w:val="clear" w:color="auto" w:fill="auto"/>
            <w:vAlign w:val="top"/>
          </w:tcPr>
          <w:p w14:paraId="089220AB">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4F93418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机箱：50L立式机箱，具备免工具拆卸、内嵌式把手易于搬运；具备线锁插槽，防止机器被整机搬迁；具备防入侵开关；</w:t>
            </w:r>
          </w:p>
        </w:tc>
        <w:tc>
          <w:tcPr>
            <w:tcW w:w="739" w:type="dxa"/>
          </w:tcPr>
          <w:p w14:paraId="792F8806">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4BD609A7">
            <w:pPr>
              <w:pStyle w:val="12"/>
              <w:widowControl w:val="0"/>
              <w:jc w:val="both"/>
              <w:rPr>
                <w:rFonts w:hint="eastAsia" w:ascii="仿宋" w:hAnsi="仿宋" w:eastAsia="仿宋" w:cs="仿宋"/>
                <w:spacing w:val="10"/>
                <w:kern w:val="2"/>
                <w:sz w:val="24"/>
                <w:szCs w:val="24"/>
                <w:lang w:val="en-US" w:eastAsia="en-US" w:bidi="ar-SA"/>
              </w:rPr>
            </w:pPr>
          </w:p>
        </w:tc>
      </w:tr>
      <w:tr w14:paraId="6D0A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7CE04968">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512875F5">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615E9D0B">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00B635C8">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7.15服务：原厂3年质保服务</w:t>
            </w:r>
          </w:p>
        </w:tc>
        <w:tc>
          <w:tcPr>
            <w:tcW w:w="3458" w:type="dxa"/>
            <w:shd w:val="clear" w:color="auto" w:fill="auto"/>
            <w:vAlign w:val="top"/>
          </w:tcPr>
          <w:p w14:paraId="0DC8F7F1">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6B933E93">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服务：原厂3年质保服务</w:t>
            </w:r>
          </w:p>
        </w:tc>
        <w:tc>
          <w:tcPr>
            <w:tcW w:w="739" w:type="dxa"/>
          </w:tcPr>
          <w:p w14:paraId="2F992C1D">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618918E2">
            <w:pPr>
              <w:pStyle w:val="12"/>
              <w:widowControl w:val="0"/>
              <w:jc w:val="both"/>
              <w:rPr>
                <w:rFonts w:hint="eastAsia" w:ascii="仿宋" w:hAnsi="仿宋" w:eastAsia="仿宋" w:cs="仿宋"/>
                <w:spacing w:val="10"/>
                <w:kern w:val="2"/>
                <w:sz w:val="24"/>
                <w:szCs w:val="24"/>
                <w:lang w:val="en-US" w:eastAsia="en-US" w:bidi="ar-SA"/>
              </w:rPr>
            </w:pPr>
          </w:p>
        </w:tc>
      </w:tr>
      <w:tr w14:paraId="0313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restart"/>
          </w:tcPr>
          <w:p w14:paraId="2E36B0BF">
            <w:pPr>
              <w:pStyle w:val="12"/>
              <w:widowControl w:val="0"/>
              <w:jc w:val="both"/>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8</w:t>
            </w:r>
          </w:p>
        </w:tc>
        <w:tc>
          <w:tcPr>
            <w:tcW w:w="571" w:type="dxa"/>
            <w:vMerge w:val="restart"/>
          </w:tcPr>
          <w:p w14:paraId="411B3770">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机房环境改造</w:t>
            </w:r>
          </w:p>
        </w:tc>
        <w:tc>
          <w:tcPr>
            <w:tcW w:w="310" w:type="dxa"/>
          </w:tcPr>
          <w:p w14:paraId="3CD5C3F4">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7E2AED77">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8.1至少2间教室的改造,包括但不限于墙体粉刷、防静电地板、网络布线，智能门锁、文化墙等 1、实施设备包括：六类网线（符合国际标准（如ISO/IEC 11801），至少支持1000Mbps传输速率。）、水晶头、室内光缆（至少支持10Gbps传输速率）、线标（具备防水、耐磨、耐高温等特性）、三芯护套电源线（电流输出不小于4000W，线径应满足电流需求，使用3×2.5mm²或更大规格）、空开及配电箱（≥3P，额定电流不小于63A）、机柜隔板、理线架、PVC线槽、镀锌线槽、电源插排（≥三插位，电流输出不小于4000W，符合国家电气标准，至少满足一台工作站和一个试验箱的供电需求）、电子元器、光模块（至少支持10Gbps传输速率）、铜牌、辅材 2、静电地板: 表面为柔光，需耐磨、防蚀，面层为防静电瓷砖；基材为钢板壳结构、水泥填充，产品为全钢组件；支架上、下板采用冷轧钢板，上板厚度≥2.5㎜，下板厚度≥1.5㎜，圆管外径≥2.5㎜:支架组件表面作白色镀锌防腐处理。需满足绿色环保的相关国家标准；需通过信息产业部防静电产品质量监督检测中心检测；防火等级需达A级； 3、网络机柜，尺寸≥600mm（宽）×600mm（深）×1200mm（高），容量≥22U。采用优质冷轧钢板，厚度≥1.5mm，表面耐腐蚀、耐磨。前门可选钢化玻璃或网状门，带锁；后门为网状，侧门全钢且装卸方便。内部有可调节托盘，支持强弱电分离。配备重型脚轮，静载能力≥500kg。通风良好，可选配智能温控风扇。前后门配高质量锁，有接地装置，防护等级高。</w:t>
            </w:r>
          </w:p>
        </w:tc>
        <w:tc>
          <w:tcPr>
            <w:tcW w:w="3458" w:type="dxa"/>
            <w:shd w:val="clear" w:color="auto" w:fill="auto"/>
            <w:vAlign w:val="top"/>
          </w:tcPr>
          <w:p w14:paraId="40B667B7">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45B5B61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2间教室的改造,包括墙体粉刷、防静电地板、网络布线，智能门锁、文化墙等 1、实施设备包括：六类网线（符合国际标准（如ISO/IEC 11801），支持1000Mbps传输速率。）、水晶头、室内光缆（支持10Gbps传输速率）、线标（具备防水、耐磨、耐高温等特性）、三芯护套电源线（电流输出4000W，线径应满足电流需求，使用3×2.5mm²或更大规格）、空开及配电箱（3P，额定电流不小于63A）、机柜隔板、理线架、PVC线槽、镀锌线槽、电源插排（三插位，电流输出4000W，符合国家电气标准，满足一台工作站和一个试验箱的供电需求）、电子元器、光模块（支持10Gbps传输速率）、铜牌、辅材 2、静电地板: 表面为柔光，需耐磨、防蚀，面层为防静电瓷砖；基材为钢板壳结构、水泥填充，产品为全钢组件；支架上、下板采用冷轧钢板，上板厚度2.5㎜，下板厚度1.5㎜，圆管外径2.5㎜:支架组件表面作白色镀锌防腐处理。满足绿色环保的相关国家标准；通过信息产业部防静电产品质量监督检测中心检测；防火等级达A级； 3、网络机柜，尺寸600mm（宽）×600mm（深）×1200mm（高），容量22U。采用优质冷轧钢板，厚度1.5mm，表面耐腐蚀、耐磨。前门可选钢化玻璃或网状门，带锁；后门为网状，侧门全钢且装卸方便。内部有可调节托盘，支持强弱电分离。配备重型脚轮，静载能力500kg。通风良好，可选配智能温控风扇。前后门配高质量锁，有接地装置，防护等级高。</w:t>
            </w:r>
          </w:p>
        </w:tc>
        <w:tc>
          <w:tcPr>
            <w:tcW w:w="739" w:type="dxa"/>
          </w:tcPr>
          <w:p w14:paraId="218C8E84">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3CEE4616">
            <w:pPr>
              <w:pStyle w:val="12"/>
              <w:widowControl w:val="0"/>
              <w:jc w:val="both"/>
              <w:rPr>
                <w:rFonts w:hint="eastAsia" w:ascii="仿宋" w:hAnsi="仿宋" w:eastAsia="仿宋" w:cs="仿宋"/>
                <w:spacing w:val="10"/>
                <w:kern w:val="2"/>
                <w:sz w:val="24"/>
                <w:szCs w:val="24"/>
                <w:lang w:val="en-US" w:eastAsia="en-US" w:bidi="ar-SA"/>
              </w:rPr>
            </w:pPr>
          </w:p>
        </w:tc>
      </w:tr>
      <w:tr w14:paraId="69E4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Merge w:val="continue"/>
          </w:tcPr>
          <w:p w14:paraId="453197E9">
            <w:pPr>
              <w:pStyle w:val="12"/>
              <w:widowControl w:val="0"/>
              <w:jc w:val="both"/>
              <w:rPr>
                <w:rFonts w:hint="eastAsia" w:ascii="仿宋" w:hAnsi="仿宋" w:eastAsia="仿宋" w:cs="仿宋"/>
                <w:spacing w:val="10"/>
                <w:kern w:val="2"/>
                <w:sz w:val="24"/>
                <w:szCs w:val="24"/>
                <w:lang w:val="en-US" w:eastAsia="zh-CN" w:bidi="ar-SA"/>
              </w:rPr>
            </w:pPr>
          </w:p>
        </w:tc>
        <w:tc>
          <w:tcPr>
            <w:tcW w:w="571" w:type="dxa"/>
            <w:vMerge w:val="continue"/>
          </w:tcPr>
          <w:p w14:paraId="20208020">
            <w:pPr>
              <w:pStyle w:val="12"/>
              <w:widowControl w:val="0"/>
              <w:jc w:val="both"/>
              <w:rPr>
                <w:rFonts w:hint="eastAsia" w:ascii="仿宋" w:hAnsi="仿宋" w:eastAsia="仿宋" w:cs="仿宋"/>
                <w:spacing w:val="10"/>
                <w:kern w:val="2"/>
                <w:sz w:val="24"/>
                <w:szCs w:val="24"/>
                <w:lang w:val="en-US" w:eastAsia="en-US" w:bidi="ar-SA"/>
              </w:rPr>
            </w:pPr>
          </w:p>
        </w:tc>
        <w:tc>
          <w:tcPr>
            <w:tcW w:w="310" w:type="dxa"/>
          </w:tcPr>
          <w:p w14:paraId="03446A1F">
            <w:pPr>
              <w:keepNext w:val="0"/>
              <w:keepLines w:val="0"/>
              <w:widowControl/>
              <w:suppressLineNumbers w:val="0"/>
              <w:jc w:val="left"/>
              <w:rPr>
                <w:rFonts w:hint="eastAsia" w:ascii="仿宋" w:hAnsi="仿宋" w:eastAsia="仿宋" w:cs="仿宋"/>
                <w:spacing w:val="10"/>
                <w:kern w:val="2"/>
                <w:sz w:val="24"/>
                <w:szCs w:val="24"/>
                <w:lang w:val="en-US" w:eastAsia="zh-CN" w:bidi="ar-SA"/>
              </w:rPr>
            </w:pPr>
          </w:p>
        </w:tc>
        <w:tc>
          <w:tcPr>
            <w:tcW w:w="3054" w:type="dxa"/>
          </w:tcPr>
          <w:p w14:paraId="6B97EAE1">
            <w:pPr>
              <w:keepNext w:val="0"/>
              <w:keepLines w:val="0"/>
              <w:widowControl/>
              <w:suppressLineNumbers w:val="0"/>
              <w:jc w:val="left"/>
              <w:rPr>
                <w:rFonts w:hint="eastAsia" w:ascii="仿宋" w:hAnsi="仿宋" w:eastAsia="仿宋" w:cs="仿宋"/>
                <w:spacing w:val="10"/>
                <w:kern w:val="2"/>
                <w:sz w:val="24"/>
                <w:szCs w:val="24"/>
                <w:lang w:val="en-US" w:eastAsia="zh-CN" w:bidi="ar-SA"/>
              </w:rPr>
            </w:pPr>
            <w:r>
              <w:rPr>
                <w:rFonts w:hint="eastAsia" w:ascii="仿宋" w:hAnsi="仿宋" w:eastAsia="仿宋" w:cs="仿宋"/>
                <w:spacing w:val="10"/>
                <w:kern w:val="2"/>
                <w:sz w:val="24"/>
                <w:szCs w:val="24"/>
                <w:lang w:val="en-US" w:eastAsia="zh-CN" w:bidi="ar-SA"/>
              </w:rPr>
              <w:t>8.21、提供至少86台工作站、至少3年以上的还原和运维服务；提供的工作站还原功能无时间限制，且提供还原功能的数量不随工作站硬件变化而减少。还原应能够支持独立环境功能，可以基于当前还原点创建无数个互不干扰的系统环境，且不被还原。 2、还原系统同时支持C/S或B/S管理模式，管理主界面应至少具有：镜像管理、群组管理、客户端管理等功能模块，管理人员可以在一个界面内自由切换实现所有管理功能。 3、WEB管理：需支持创建任意多个管理员帐号，并可自定义管理权限，通过WEB管理页面可以实现所有的管理操作。 4、缓存空间：要求基于UEFI功能下，缓存空间与镜像中操作系统的实际占用空间大小相同且支持不同镜像不同快照可以随意切换，无需重新缓存。 5、网络传输协议：需兼容INTEL PXE协议，在不修改交换机配置的情况下，学生机2可以无条件跨网关，支持外部DHCP、固定IP、自动提供三种方式。 6、具有远程协助功能，便于远程管理：需支持在服务器端不需要借助第三方软件即可实现远程登录客户机，可以在软件中远程监看客户端的屏幕并进行远程控制；系统管理员远程控制客户端时，具备直接控制和授权控制两种方式。 7、管理端具有网络拓扑模块，可以按照实际网络情况，把终端分配到不同的交换机下 8、客户端开机后可以提供多种桌面应用环境给用户选择，也可以由管理员在服务器端指定教学桌面环境给特定的云终端； 云终端内置与服务端管理平台配套的受控组件，管理平台可向任意云终端发送远程命令，包括自动时间校对、文件分发、远程开关机等，并能自定义远程控制命令；支持终端网络唤醒功能。</w:t>
            </w:r>
          </w:p>
        </w:tc>
        <w:tc>
          <w:tcPr>
            <w:tcW w:w="3458" w:type="dxa"/>
            <w:shd w:val="clear" w:color="auto" w:fill="auto"/>
            <w:vAlign w:val="top"/>
          </w:tcPr>
          <w:p w14:paraId="6A3CE8B5">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我司提供的产品完全响应招标技术要求，具体如下：</w:t>
            </w:r>
          </w:p>
          <w:p w14:paraId="4E91D522">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zh-CN" w:bidi="ar-SA"/>
              </w:rPr>
              <w:t>提供86台工作站、3年的还原和运维服务；提供的工作站还原功能无时间限制，且提供还原功能的数量不随工作站硬件变化而减少。还原应能够支持独立环境功能，可以基于当前还原点创建无数个互不干扰的系统环境，且不被还原。 2、还原系统同时支持C/S或B/S管理模式，管理主界面应具有：镜像管理、群组管理、客户端管理等功能模块，管理人员可以在一个界面内自由切换实现所有管理功能。 3、WEB管理：支持创建任意多个管理员帐号，并可自定义管理权限，通过WEB管理页面可以实现所有的管理操作。 4、缓存空间：要求基于UEFI功能下，缓存空间与镜像中操作系统的实际占用空间大小相同且支持不同镜像不同快照可以随意切换，无重新缓存。 5、网络传输协议：兼容INTEL PXE协议，在不修改交换机配置的情况下，学生机2可以无条件跨网关，支持外部DHCP、固定IP、自动提供三种方式。 6、具有远程协助功能，便于远程管理：支持在服务器端不需要借助第三方软件即可实现远程登录客户机，可以在软件中远程监看客户端的屏幕并进行远程控制；系统管理员远程控制客户端时，具备直接控制和授权控制两种方式。 7、管理端具有网络拓扑模块，可以按照实际网络情况，把终端分配到不同的交换机下 8、客户端开机后可以提供多种桌面应用环境给用户选择，也可以由管理员在服务器端指定教学桌面环境给特定的云终端； 云终端内置与服务端管理平台配套的受控组件，管理平台可向任意云终端发送远程命令，包括自动时间校对、文件分发、远程开关机等，并能自定义远程控制命令；支持终端网络唤醒功能。</w:t>
            </w:r>
          </w:p>
        </w:tc>
        <w:tc>
          <w:tcPr>
            <w:tcW w:w="739" w:type="dxa"/>
          </w:tcPr>
          <w:p w14:paraId="6688875A">
            <w:pPr>
              <w:pStyle w:val="12"/>
              <w:widowControl w:val="0"/>
              <w:jc w:val="both"/>
              <w:rPr>
                <w:rFonts w:hint="eastAsia" w:ascii="仿宋" w:hAnsi="仿宋" w:eastAsia="仿宋" w:cs="仿宋"/>
                <w:spacing w:val="10"/>
                <w:kern w:val="2"/>
                <w:sz w:val="24"/>
                <w:szCs w:val="24"/>
                <w:lang w:val="en-US" w:eastAsia="en-US" w:bidi="ar-SA"/>
              </w:rPr>
            </w:pPr>
            <w:r>
              <w:rPr>
                <w:rFonts w:hint="eastAsia" w:ascii="仿宋" w:hAnsi="仿宋" w:eastAsia="仿宋" w:cs="仿宋"/>
                <w:spacing w:val="10"/>
                <w:kern w:val="2"/>
                <w:sz w:val="24"/>
                <w:szCs w:val="24"/>
                <w:lang w:val="en-US" w:eastAsia="en-US" w:bidi="ar-SA"/>
              </w:rPr>
              <w:t>满足、响应</w:t>
            </w:r>
          </w:p>
        </w:tc>
        <w:tc>
          <w:tcPr>
            <w:tcW w:w="486" w:type="dxa"/>
          </w:tcPr>
          <w:p w14:paraId="5BB2CD6C">
            <w:pPr>
              <w:pStyle w:val="12"/>
              <w:widowControl w:val="0"/>
              <w:jc w:val="both"/>
              <w:rPr>
                <w:rFonts w:hint="eastAsia" w:ascii="仿宋" w:hAnsi="仿宋" w:eastAsia="仿宋" w:cs="仿宋"/>
                <w:spacing w:val="10"/>
                <w:kern w:val="2"/>
                <w:sz w:val="24"/>
                <w:szCs w:val="24"/>
                <w:lang w:val="en-US" w:eastAsia="en-US" w:bidi="ar-SA"/>
              </w:rPr>
            </w:pPr>
          </w:p>
        </w:tc>
      </w:tr>
    </w:tbl>
    <w:p w14:paraId="3A4F68A0">
      <w:pPr>
        <w:pStyle w:val="10"/>
        <w:numPr>
          <w:ilvl w:val="0"/>
          <w:numId w:val="0"/>
        </w:numPr>
      </w:pPr>
    </w:p>
    <w:sectPr>
      <w:headerReference r:id="rId4" w:type="first"/>
      <w:head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FC12A">
    <w:pPr>
      <w:pStyle w:val="4"/>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0B735">
    <w:pPr>
      <w:pStyle w:val="4"/>
      <w:jc w:val="right"/>
      <w:rPr>
        <w:rFonts w:hint="eastAsia"/>
        <w:sz w:val="24"/>
        <w:szCs w:val="40"/>
        <w:lang w:val="en-US" w:eastAsia="zh-CN"/>
      </w:rPr>
    </w:pPr>
  </w:p>
  <w:p w14:paraId="772DA76F">
    <w:pPr>
      <w:pStyle w:val="4"/>
      <w:jc w:val="right"/>
      <w:rPr>
        <w:b/>
        <w:bCs/>
      </w:rPr>
    </w:pPr>
    <w:r>
      <w:rPr>
        <w:rFonts w:hint="eastAsia"/>
        <w:b/>
        <w:bCs/>
        <w:sz w:val="24"/>
        <w:szCs w:val="40"/>
        <w:lang w:val="en-US" w:eastAsia="zh-CN"/>
      </w:rPr>
      <w:t>合同编号：JJ-2025-0338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D3026"/>
    <w:multiLevelType w:val="multilevel"/>
    <w:tmpl w:val="702D3026"/>
    <w:lvl w:ilvl="0" w:tentative="0">
      <w:start w:val="1"/>
      <w:numFmt w:val="japaneseCounting"/>
      <w:pStyle w:val="10"/>
      <w:lvlText w:val="%1、"/>
      <w:lvlJc w:val="left"/>
      <w:pPr>
        <w:tabs>
          <w:tab w:val="left" w:pos="1140"/>
        </w:tabs>
        <w:ind w:left="1140" w:hanging="720"/>
      </w:pPr>
      <w:rPr>
        <w:rFonts w:hint="default"/>
        <w:b/>
        <w:sz w:val="28"/>
        <w:szCs w:val="28"/>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b/>
        <w:sz w:val="24"/>
        <w:szCs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MmQ5YWZlOTQwOTQwZDBjMGZlZWY0NDBhZWUyZGIifQ=="/>
  </w:docVars>
  <w:rsids>
    <w:rsidRoot w:val="00000000"/>
    <w:rsid w:val="030602F2"/>
    <w:rsid w:val="048D10D5"/>
    <w:rsid w:val="05966BE6"/>
    <w:rsid w:val="07A75DAA"/>
    <w:rsid w:val="14B3672A"/>
    <w:rsid w:val="1B986414"/>
    <w:rsid w:val="1E0E11DD"/>
    <w:rsid w:val="28A87886"/>
    <w:rsid w:val="2C773801"/>
    <w:rsid w:val="30667545"/>
    <w:rsid w:val="32221C12"/>
    <w:rsid w:val="33021D89"/>
    <w:rsid w:val="3AEB19B3"/>
    <w:rsid w:val="3D932E36"/>
    <w:rsid w:val="3DB90518"/>
    <w:rsid w:val="455240DD"/>
    <w:rsid w:val="48DB5895"/>
    <w:rsid w:val="58DE4EE3"/>
    <w:rsid w:val="59072EA1"/>
    <w:rsid w:val="5936458D"/>
    <w:rsid w:val="5E433B29"/>
    <w:rsid w:val="65FB3166"/>
    <w:rsid w:val="667D1E71"/>
    <w:rsid w:val="678C63CE"/>
    <w:rsid w:val="68C81D2A"/>
    <w:rsid w:val="69662BA8"/>
    <w:rsid w:val="6B300CFE"/>
    <w:rsid w:val="6BD61CC9"/>
    <w:rsid w:val="718764FD"/>
    <w:rsid w:val="72BA5EAF"/>
    <w:rsid w:val="78B42679"/>
    <w:rsid w:val="78F12E05"/>
    <w:rsid w:val="79944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格文字"/>
    <w:qFormat/>
    <w:uiPriority w:val="0"/>
    <w:pPr>
      <w:spacing w:line="360" w:lineRule="auto"/>
      <w:ind w:left="-108" w:leftChars="-45"/>
      <w:jc w:val="center"/>
    </w:pPr>
    <w:rPr>
      <w:rFonts w:ascii="Times New Roman" w:hAnsi="Times New Roman" w:eastAsia="宋体" w:cs="Times New Roman"/>
      <w:iCs/>
      <w:sz w:val="28"/>
      <w:lang w:val="en-US" w:eastAsia="zh-CN" w:bidi="ar-SA"/>
    </w:rPr>
  </w:style>
  <w:style w:type="paragraph" w:customStyle="1" w:styleId="9">
    <w:name w:val="SANGFOR_6_正文"/>
    <w:basedOn w:val="1"/>
    <w:qFormat/>
    <w:uiPriority w:val="0"/>
    <w:pPr>
      <w:spacing w:line="360" w:lineRule="auto"/>
      <w:ind w:firstLine="420"/>
    </w:pPr>
    <w:rPr>
      <w:rFonts w:ascii="微软雅黑" w:hAnsi="微软雅黑" w:eastAsia="微软雅黑"/>
      <w:sz w:val="24"/>
    </w:rPr>
  </w:style>
  <w:style w:type="paragraph" w:customStyle="1" w:styleId="10">
    <w:name w:val="正文格式"/>
    <w:qFormat/>
    <w:uiPriority w:val="0"/>
    <w:pPr>
      <w:widowControl w:val="0"/>
      <w:numPr>
        <w:ilvl w:val="0"/>
        <w:numId w:val="1"/>
      </w:numPr>
      <w:tabs>
        <w:tab w:val="left" w:pos="425"/>
        <w:tab w:val="left" w:pos="810"/>
        <w:tab w:val="clear" w:pos="1140"/>
      </w:tabs>
      <w:jc w:val="both"/>
    </w:pPr>
    <w:rPr>
      <w:rFonts w:ascii="宋体" w:hAnsi="宋体" w:eastAsia="宋体" w:cs="Times New Roman"/>
      <w:kern w:val="2"/>
      <w:sz w:val="24"/>
      <w:lang w:val="en-US" w:eastAsia="zh-CN" w:bidi="ar-SA"/>
    </w:rPr>
  </w:style>
  <w:style w:type="paragraph" w:customStyle="1" w:styleId="11">
    <w:name w:val="Table Text"/>
    <w:basedOn w:val="1"/>
    <w:semiHidden/>
    <w:qFormat/>
    <w:uiPriority w:val="0"/>
    <w:rPr>
      <w:rFonts w:ascii="宋体" w:hAnsi="宋体" w:eastAsia="宋体" w:cs="宋体"/>
      <w:sz w:val="19"/>
      <w:szCs w:val="19"/>
      <w:lang w:eastAsia="en-US"/>
    </w:rPr>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24613</Words>
  <Characters>27160</Characters>
  <Lines>0</Lines>
  <Paragraphs>0</Paragraphs>
  <TotalTime>6</TotalTime>
  <ScaleCrop>false</ScaleCrop>
  <LinksUpToDate>false</LinksUpToDate>
  <CharactersWithSpaces>27550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2024-07-08T11:06:00Z</dcterms:created>
  <dc:creator>dell</dc:creator>
  <cp:lastModifiedBy>ヾ似梦_非夢ヽ</cp:lastModifiedBy>
  <cp:lastPrinted>2025-07-22T06:35:00Z</cp:lastPrinted>
  <dcterms:modified xsi:type="dcterms:W3CDTF">2025-12-01T03:32:39Z</dcterms:modified>
  <dc:title>政府采购合同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5E59F1D354B4418AA808011E2FD4FB79_13</vt:lpwstr>
  </property>
  <property fmtid="{D5CDD505-2E9C-101B-9397-08002B2CF9AE}" pid="4" name="KSOTemplateDocerSaveRecord">
    <vt:lpwstr>eyJoZGlkIjoiZDcxM2I3ZmQ3NmYyYjkyYzI0NTZkMTY0OGY5NWU1ZjEiLCJ1c2VySWQiOiIyODI2Njg0ODUifQ==</vt:lpwstr>
  </property>
</Properties>
</file>