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9226">
      <w:pPr>
        <w:widowControl/>
        <w:jc w:val="center"/>
        <w:rPr>
          <w:rFonts w:hint="eastAsia" w:ascii="黑体" w:hAnsi="黑体" w:eastAsia="黑体" w:cs="黑体"/>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采购合同</w:t>
      </w:r>
    </w:p>
    <w:p w14:paraId="7DB84602">
      <w:pPr>
        <w:rPr>
          <w:rFonts w:hint="eastAsia" w:ascii="黑体" w:hAnsi="黑体" w:eastAsia="黑体" w:cs="黑体"/>
          <w:color w:val="000000" w:themeColor="text1"/>
          <w:sz w:val="32"/>
          <w:szCs w:val="32"/>
          <w14:textFill>
            <w14:solidFill>
              <w14:schemeClr w14:val="tx1"/>
            </w14:solidFill>
          </w14:textFill>
        </w:rPr>
      </w:pPr>
    </w:p>
    <w:p w14:paraId="3BA2E817">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甲方：鄂尔多斯市蒙医医院（鄂尔多斯市蒙医研究所）             乙方：国药控股包头有限公司</w:t>
      </w:r>
    </w:p>
    <w:p w14:paraId="6D98B551">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合同号：SMYYZCB-2025-004</w:t>
      </w:r>
      <w:r>
        <w:rPr>
          <w:rFonts w:hint="eastAsia" w:ascii="黑体" w:hAnsi="黑体" w:eastAsia="黑体" w:cs="黑体"/>
          <w:color w:val="000000" w:themeColor="text1"/>
          <w:sz w:val="32"/>
          <w:szCs w:val="32"/>
          <w:lang w:val="en-US" w:eastAsia="zh-CN"/>
          <w14:textFill>
            <w14:solidFill>
              <w14:schemeClr w14:val="tx1"/>
            </w14:solidFill>
          </w14:textFill>
        </w:rPr>
        <w:t>3</w:t>
      </w:r>
    </w:p>
    <w:p w14:paraId="3A2FD0D4">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根据《中华人民共和国政府采购法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中华人民共和国民法典》等相关法律法规，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甲、乙双方就</w:t>
      </w:r>
      <w:r>
        <w:rPr>
          <w:rFonts w:hint="eastAsia" w:ascii="方正仿宋_GB2312" w:hAnsi="方正仿宋_GB2312" w:eastAsia="方正仿宋_GB2312" w:cs="方正仿宋_GB2312"/>
          <w:snapToGrid/>
          <w:color w:val="000000" w:themeColor="text1"/>
          <w:kern w:val="2"/>
          <w:sz w:val="32"/>
          <w:szCs w:val="32"/>
          <w:u w:val="single"/>
          <w:lang w:val="en-US" w:eastAsia="zh-CN"/>
          <w14:textFill>
            <w14:solidFill>
              <w14:schemeClr w14:val="tx1"/>
            </w14:solidFill>
          </w14:textFill>
          <w14:ligatures w14:val="none"/>
        </w:rPr>
        <w:t>鄂尔多斯市蒙医医院（鄂尔多斯市蒙医研究</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所）采购诊断治疗设备项目（包一）乳腺数字化体层摄影X射线机（钼靶），经平等自愿协商一致达成合同如下：</w:t>
      </w:r>
    </w:p>
    <w:p w14:paraId="28F116CA">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合同文件</w:t>
      </w:r>
    </w:p>
    <w:p w14:paraId="5EC785C4">
      <w:pPr>
        <w:pStyle w:val="7"/>
        <w:numPr>
          <w:ilvl w:val="0"/>
          <w:numId w:val="0"/>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本合同所附下列文件是构成本合同不可分割的部分：</w:t>
      </w:r>
    </w:p>
    <w:p w14:paraId="715D5F04">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成交结果公告及成交通知书；</w:t>
      </w:r>
    </w:p>
    <w:p w14:paraId="3FE8C98E">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公开招标文件；</w:t>
      </w:r>
    </w:p>
    <w:p w14:paraId="674D707F">
      <w:pPr>
        <w:pStyle w:val="7"/>
        <w:numPr>
          <w:ilvl w:val="0"/>
          <w:numId w:val="2"/>
        </w:numPr>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响应文件。</w:t>
      </w:r>
    </w:p>
    <w:p w14:paraId="5D83C473">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货物名称、</w:t>
      </w:r>
      <w:r>
        <w:rPr>
          <w:rFonts w:hint="eastAsia" w:ascii="黑体" w:hAnsi="黑体" w:eastAsia="黑体" w:cs="黑体"/>
          <w:color w:val="000000" w:themeColor="text1"/>
          <w:sz w:val="32"/>
          <w:szCs w:val="32"/>
          <w:lang w:val="en-US" w:eastAsia="zh-CN"/>
          <w14:textFill>
            <w14:solidFill>
              <w14:schemeClr w14:val="tx1"/>
            </w14:solidFill>
          </w14:textFill>
        </w:rPr>
        <w:t>数量、单</w:t>
      </w:r>
      <w:r>
        <w:rPr>
          <w:rFonts w:hint="eastAsia" w:ascii="黑体" w:hAnsi="黑体" w:eastAsia="黑体" w:cs="黑体"/>
          <w:color w:val="000000" w:themeColor="text1"/>
          <w:sz w:val="32"/>
          <w:szCs w:val="32"/>
          <w14:textFill>
            <w14:solidFill>
              <w14:schemeClr w14:val="tx1"/>
            </w14:solidFill>
          </w14:textFill>
        </w:rPr>
        <w:t>价</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总价、制造商、</w:t>
      </w:r>
      <w:r>
        <w:rPr>
          <w:rFonts w:hint="eastAsia" w:ascii="黑体" w:hAnsi="黑体" w:eastAsia="黑体" w:cs="黑体"/>
          <w:color w:val="000000" w:themeColor="text1"/>
          <w:sz w:val="32"/>
          <w:szCs w:val="32"/>
          <w14:textFill>
            <w14:solidFill>
              <w14:schemeClr w14:val="tx1"/>
            </w14:solidFill>
          </w14:textFill>
        </w:rPr>
        <w:t>品牌、型号</w:t>
      </w:r>
    </w:p>
    <w:tbl>
      <w:tblPr>
        <w:tblStyle w:val="13"/>
        <w:tblW w:w="5606"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554"/>
        <w:gridCol w:w="796"/>
        <w:gridCol w:w="1264"/>
        <w:gridCol w:w="1149"/>
        <w:gridCol w:w="1763"/>
        <w:gridCol w:w="1017"/>
        <w:gridCol w:w="1171"/>
      </w:tblGrid>
      <w:tr w14:paraId="25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6" w:type="pct"/>
            <w:vAlign w:val="center"/>
          </w:tcPr>
          <w:p w14:paraId="3B519521">
            <w:pPr>
              <w:pStyle w:val="12"/>
              <w:spacing w:before="88"/>
              <w:ind w:left="10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3"/>
                <w:sz w:val="24"/>
                <w:szCs w:val="24"/>
                <w14:textFill>
                  <w14:solidFill>
                    <w14:schemeClr w14:val="tx1"/>
                  </w14:solidFill>
                </w14:textFill>
              </w:rPr>
              <w:t>序号</w:t>
            </w:r>
          </w:p>
        </w:tc>
        <w:tc>
          <w:tcPr>
            <w:tcW w:w="833" w:type="pct"/>
            <w:vAlign w:val="center"/>
          </w:tcPr>
          <w:p w14:paraId="5CFCD13C">
            <w:pPr>
              <w:pStyle w:val="12"/>
              <w:spacing w:before="88"/>
              <w:ind w:left="105"/>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2"/>
                <w:sz w:val="24"/>
                <w:szCs w:val="24"/>
                <w14:textFill>
                  <w14:solidFill>
                    <w14:schemeClr w14:val="tx1"/>
                  </w14:solidFill>
                </w14:textFill>
              </w:rPr>
              <w:t>货物名称</w:t>
            </w:r>
          </w:p>
        </w:tc>
        <w:tc>
          <w:tcPr>
            <w:tcW w:w="426" w:type="pct"/>
            <w:vAlign w:val="center"/>
          </w:tcPr>
          <w:p w14:paraId="652ABD46">
            <w:pPr>
              <w:pStyle w:val="12"/>
              <w:spacing w:before="89"/>
              <w:ind w:left="109"/>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4"/>
                <w:sz w:val="24"/>
                <w:szCs w:val="24"/>
                <w14:textFill>
                  <w14:solidFill>
                    <w14:schemeClr w14:val="tx1"/>
                  </w14:solidFill>
                </w14:textFill>
              </w:rPr>
              <w:t>数量</w:t>
            </w:r>
          </w:p>
        </w:tc>
        <w:tc>
          <w:tcPr>
            <w:tcW w:w="678" w:type="pct"/>
            <w:vAlign w:val="center"/>
          </w:tcPr>
          <w:p w14:paraId="6F84B29C">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单价（元）</w:t>
            </w:r>
          </w:p>
        </w:tc>
        <w:tc>
          <w:tcPr>
            <w:tcW w:w="616" w:type="pct"/>
            <w:vAlign w:val="center"/>
          </w:tcPr>
          <w:p w14:paraId="67E7A780">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总价（元）</w:t>
            </w:r>
          </w:p>
        </w:tc>
        <w:tc>
          <w:tcPr>
            <w:tcW w:w="945" w:type="pct"/>
            <w:vAlign w:val="center"/>
          </w:tcPr>
          <w:p w14:paraId="12796B4A">
            <w:pPr>
              <w:pStyle w:val="12"/>
              <w:spacing w:before="89"/>
              <w:ind w:left="103"/>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制造商名称</w:t>
            </w:r>
          </w:p>
        </w:tc>
        <w:tc>
          <w:tcPr>
            <w:tcW w:w="545" w:type="pct"/>
            <w:vAlign w:val="center"/>
          </w:tcPr>
          <w:p w14:paraId="739B8570">
            <w:pPr>
              <w:pStyle w:val="12"/>
              <w:spacing w:before="89"/>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11"/>
                <w:sz w:val="24"/>
                <w:szCs w:val="24"/>
                <w14:textFill>
                  <w14:solidFill>
                    <w14:schemeClr w14:val="tx1"/>
                  </w14:solidFill>
                </w14:textFill>
              </w:rPr>
              <w:t>品牌</w:t>
            </w:r>
          </w:p>
        </w:tc>
        <w:tc>
          <w:tcPr>
            <w:tcW w:w="628" w:type="pct"/>
            <w:vAlign w:val="center"/>
          </w:tcPr>
          <w:p w14:paraId="642C2245">
            <w:pPr>
              <w:pStyle w:val="12"/>
              <w:spacing w:before="89"/>
              <w:ind w:left="106"/>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1"/>
                <w:sz w:val="24"/>
                <w:szCs w:val="24"/>
                <w14:textFill>
                  <w14:solidFill>
                    <w14:schemeClr w14:val="tx1"/>
                  </w14:solidFill>
                </w14:textFill>
              </w:rPr>
              <w:t>规格型号</w:t>
            </w:r>
          </w:p>
        </w:tc>
      </w:tr>
      <w:tr w14:paraId="489F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6" w:type="pct"/>
            <w:shd w:val="clear" w:color="auto" w:fill="auto"/>
            <w:vAlign w:val="center"/>
          </w:tcPr>
          <w:p w14:paraId="5C6EE2F7">
            <w:pPr>
              <w:pStyle w:val="12"/>
              <w:spacing w:before="88"/>
              <w:ind w:left="105"/>
              <w:jc w:val="center"/>
              <w:rPr>
                <w:rFonts w:hint="eastAsia"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1</w:t>
            </w:r>
          </w:p>
        </w:tc>
        <w:tc>
          <w:tcPr>
            <w:tcW w:w="833" w:type="pct"/>
            <w:shd w:val="clear" w:color="auto" w:fill="auto"/>
            <w:vAlign w:val="center"/>
          </w:tcPr>
          <w:p w14:paraId="374D8B2E">
            <w:pPr>
              <w:pStyle w:val="12"/>
              <w:spacing w:before="88"/>
              <w:ind w:left="105" w:leftChars="0"/>
              <w:jc w:val="center"/>
              <w:rPr>
                <w:rFonts w:hint="default" w:ascii="黑体" w:hAnsi="黑体" w:eastAsia="黑体" w:cs="黑体"/>
                <w:color w:val="000000" w:themeColor="text1"/>
                <w:spacing w:val="-2"/>
                <w:kern w:val="2"/>
                <w:sz w:val="24"/>
                <w:szCs w:val="24"/>
                <w:lang w:val="en-US" w:eastAsia="zh-CN" w:bidi="ar-SA"/>
                <w14:textFill>
                  <w14:solidFill>
                    <w14:schemeClr w14:val="tx1"/>
                  </w14:solidFill>
                </w14:textFill>
              </w:rPr>
            </w:pPr>
            <w:r>
              <w:rPr>
                <w:rFonts w:hint="eastAsia" w:ascii="黑体" w:hAnsi="黑体" w:eastAsia="黑体" w:cs="黑体"/>
                <w:spacing w:val="-2"/>
                <w:sz w:val="24"/>
                <w:szCs w:val="24"/>
                <w:lang w:val="en-US" w:eastAsia="zh-CN"/>
              </w:rPr>
              <w:t>乳腺X射线系统</w:t>
            </w:r>
          </w:p>
        </w:tc>
        <w:tc>
          <w:tcPr>
            <w:tcW w:w="426" w:type="pct"/>
            <w:shd w:val="clear" w:color="auto" w:fill="auto"/>
            <w:vAlign w:val="center"/>
          </w:tcPr>
          <w:p w14:paraId="14FD1D79">
            <w:pPr>
              <w:pStyle w:val="12"/>
              <w:spacing w:before="89"/>
              <w:ind w:left="109" w:leftChars="0"/>
              <w:jc w:val="center"/>
              <w:rPr>
                <w:rFonts w:hint="eastAsia" w:ascii="黑体" w:hAnsi="黑体" w:eastAsia="黑体" w:cs="黑体"/>
                <w:color w:val="000000" w:themeColor="text1"/>
                <w:spacing w:val="-4"/>
                <w:kern w:val="2"/>
                <w:sz w:val="24"/>
                <w:szCs w:val="24"/>
                <w:lang w:val="en-US" w:eastAsia="zh-CN" w:bidi="ar-SA"/>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w:t>
            </w:r>
          </w:p>
        </w:tc>
        <w:tc>
          <w:tcPr>
            <w:tcW w:w="678" w:type="pct"/>
            <w:shd w:val="clear" w:color="auto" w:fill="auto"/>
            <w:vAlign w:val="center"/>
          </w:tcPr>
          <w:p w14:paraId="0F7DEDF3">
            <w:pPr>
              <w:pStyle w:val="12"/>
              <w:spacing w:before="89"/>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848000</w:t>
            </w:r>
          </w:p>
        </w:tc>
        <w:tc>
          <w:tcPr>
            <w:tcW w:w="616" w:type="pct"/>
            <w:shd w:val="clear" w:color="auto" w:fill="auto"/>
            <w:vAlign w:val="center"/>
          </w:tcPr>
          <w:p w14:paraId="2529F6D9">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kern w:val="2"/>
                <w:sz w:val="24"/>
                <w:szCs w:val="24"/>
                <w:lang w:val="en-US" w:eastAsia="zh-CN" w:bidi="ar-SA"/>
                <w14:textFill>
                  <w14:solidFill>
                    <w14:schemeClr w14:val="tx1"/>
                  </w14:solidFill>
                </w14:textFill>
              </w:rPr>
              <w:t>848000</w:t>
            </w:r>
          </w:p>
        </w:tc>
        <w:tc>
          <w:tcPr>
            <w:tcW w:w="945" w:type="pct"/>
            <w:shd w:val="clear" w:color="auto" w:fill="auto"/>
            <w:vAlign w:val="center"/>
          </w:tcPr>
          <w:p w14:paraId="4E1E3AD3">
            <w:pPr>
              <w:pStyle w:val="12"/>
              <w:spacing w:before="88"/>
              <w:ind w:left="105"/>
              <w:jc w:val="center"/>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default" w:ascii="黑体" w:hAnsi="黑体" w:eastAsia="黑体" w:cs="黑体"/>
                <w:color w:val="000000" w:themeColor="text1"/>
                <w:spacing w:val="-2"/>
                <w:sz w:val="24"/>
                <w:szCs w:val="24"/>
                <w:lang w:val="en-US" w:eastAsia="zh-CN"/>
                <w14:textFill>
                  <w14:solidFill>
                    <w14:schemeClr w14:val="tx1"/>
                  </w14:solidFill>
                </w14:textFill>
              </w:rPr>
              <w:t>东莞安科医疗科技有限公司</w:t>
            </w:r>
          </w:p>
        </w:tc>
        <w:tc>
          <w:tcPr>
            <w:tcW w:w="545" w:type="pct"/>
            <w:shd w:val="clear" w:color="auto" w:fill="auto"/>
            <w:vAlign w:val="center"/>
          </w:tcPr>
          <w:p w14:paraId="7E4AC63D">
            <w:pPr>
              <w:pStyle w:val="12"/>
              <w:spacing w:before="88"/>
              <w:jc w:val="center"/>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default" w:ascii="黑体" w:hAnsi="黑体" w:eastAsia="黑体" w:cs="黑体"/>
                <w:color w:val="000000" w:themeColor="text1"/>
                <w:spacing w:val="-2"/>
                <w:sz w:val="24"/>
                <w:szCs w:val="24"/>
                <w:lang w:val="en-US" w:eastAsia="zh-CN"/>
                <w14:textFill>
                  <w14:solidFill>
                    <w14:schemeClr w14:val="tx1"/>
                  </w14:solidFill>
                </w14:textFill>
              </w:rPr>
              <w:t>安科</w:t>
            </w:r>
          </w:p>
        </w:tc>
        <w:tc>
          <w:tcPr>
            <w:tcW w:w="628" w:type="pct"/>
            <w:shd w:val="clear" w:color="auto" w:fill="auto"/>
            <w:vAlign w:val="center"/>
          </w:tcPr>
          <w:p w14:paraId="40E9E64B">
            <w:pPr>
              <w:pStyle w:val="12"/>
              <w:spacing w:before="88"/>
              <w:ind w:left="105"/>
              <w:jc w:val="center"/>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default" w:ascii="黑体" w:hAnsi="黑体" w:eastAsia="黑体" w:cs="黑体"/>
                <w:color w:val="000000" w:themeColor="text1"/>
                <w:spacing w:val="-2"/>
                <w:sz w:val="24"/>
                <w:szCs w:val="24"/>
                <w:lang w:val="en-US" w:eastAsia="zh-CN"/>
                <w14:textFill>
                  <w14:solidFill>
                    <w14:schemeClr w14:val="tx1"/>
                  </w14:solidFill>
                </w14:textFill>
              </w:rPr>
              <w:t>ANAMMO C410</w:t>
            </w:r>
          </w:p>
        </w:tc>
      </w:tr>
    </w:tbl>
    <w:p w14:paraId="330524CD">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、合同金额</w:t>
      </w:r>
    </w:p>
    <w:p w14:paraId="67618AA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总</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金额</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人民币</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848000元</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，大写：</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捌拾肆万捌仟</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元整，该价款为含税价。</w:t>
      </w:r>
    </w:p>
    <w:p w14:paraId="6A870956">
      <w:pPr>
        <w:numPr>
          <w:ilvl w:val="0"/>
          <w:numId w:val="0"/>
        </w:numPr>
        <w:ind w:leftChars="200"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付款方式及时间</w:t>
      </w:r>
    </w:p>
    <w:p w14:paraId="432BCEBB">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1期：支付比例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40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339200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叁拾叁万玖仟贰佰</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元整），合同签订后乙方开具全额发票，甲方在20个日历日内支付。</w:t>
      </w:r>
    </w:p>
    <w:p w14:paraId="0D61E4F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2期：支付比例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60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508800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伍拾万零捌仟捌佰</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元整），乙方完成设备到货、安装、</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调试、</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运行</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并通过</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现场</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验收后，甲方在2</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0个</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日历</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内</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支付。</w:t>
      </w:r>
    </w:p>
    <w:p w14:paraId="3520D6D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、交货时间、地点</w:t>
      </w:r>
      <w:bookmarkStart w:id="0" w:name="_GoBack"/>
      <w:bookmarkEnd w:id="0"/>
    </w:p>
    <w:p w14:paraId="47DF3C97">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交货时间：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个日历日 </w:t>
      </w:r>
    </w:p>
    <w:p w14:paraId="2E1F4156">
      <w:pPr>
        <w:ind w:firstLine="640" w:firstLineChars="200"/>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交货地点：鄂尔多斯市蒙医医院</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康巴什部</w:t>
      </w:r>
    </w:p>
    <w:p w14:paraId="3DAD415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、质量</w:t>
      </w:r>
    </w:p>
    <w:p w14:paraId="3AB0A15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乙方提供的标的物应符合国家相关质量验收标准，且能够提供相关权威部门出具的产品质量检测报告；提供的相关服务符合国家（或行业）规定标准。</w:t>
      </w:r>
    </w:p>
    <w:p w14:paraId="252A4E5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、包装</w:t>
      </w:r>
    </w:p>
    <w:p w14:paraId="559E77B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标的物的包装应按照国家或者行业主管部门的技术规定执行，国家或业务主管部门无技术规定的，应当按双方约定采取足以保护标的物安全、完好的包装方式。</w:t>
      </w:r>
    </w:p>
    <w:p w14:paraId="3DCC56D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、运输要求</w:t>
      </w:r>
    </w:p>
    <w:p w14:paraId="632C5CC1">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（一）运输方式及线路：乙方确定。</w:t>
      </w:r>
    </w:p>
    <w:p w14:paraId="37EF5279">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（二）运输及相关费用由乙方承担。</w:t>
      </w:r>
    </w:p>
    <w:p w14:paraId="2315183B">
      <w:pPr>
        <w:ind w:firstLine="640" w:firstLineChars="200"/>
        <w:rPr>
          <w:rFonts w:hint="eastAsia" w:eastAsiaTheme="minorEastAsia"/>
          <w:color w:val="000000" w:themeColor="text1"/>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三）货物运输过程中所产生的风险，由乙方承担。 </w:t>
      </w:r>
    </w:p>
    <w:p w14:paraId="733BB72F">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、知识产权</w:t>
      </w:r>
    </w:p>
    <w:p w14:paraId="54EF6E0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乙方应保证甲方在中国境内使用标的物或标的物的任何一部分时，免受第三方提出的侵犯其知识产权的诉讼。</w:t>
      </w:r>
    </w:p>
    <w:p w14:paraId="005BCD72">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、验收</w:t>
      </w:r>
    </w:p>
    <w:p w14:paraId="5CE540EA">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（一）乙方将标的物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送达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甲方指定的地点并安装正常运行后，由甲乙双方一同验收并签字确认。</w:t>
      </w:r>
    </w:p>
    <w:p w14:paraId="61F83B2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（二）对标的物的质量问题，甲方应在发现后向乙方提出异议（包括但不限于书面或电话、邮件、微信、短信等方式），乙方在接到异议后，应当在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3日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内负责处理。</w:t>
      </w:r>
    </w:p>
    <w:p w14:paraId="0B034AB3">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经双方共同验收，标的物达不到</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文件技术要求、响应文件技术应答标准及甲方使用要求的，甲方可以拒收标的物，并可单方解除本合同且不承担任何法律责任，乙方须承担相应法律责任，如造成损失，应赔偿相应损失。</w:t>
      </w:r>
    </w:p>
    <w:p w14:paraId="661C5FAE">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整套设备系统的控制软件操作界面为简体中文。</w:t>
      </w:r>
    </w:p>
    <w:p w14:paraId="56AE46DF">
      <w:pPr>
        <w:ind w:firstLine="640" w:firstLineChars="200"/>
        <w:rPr>
          <w:rFonts w:hint="default"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（五）提供质量安全可靠的在交货时间之前一年内生产的全新产品，不得为翻新机、库存机等。</w:t>
      </w:r>
    </w:p>
    <w:p w14:paraId="1855799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、售后服务</w:t>
      </w:r>
    </w:p>
    <w:p w14:paraId="2226510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文件、投标文件及乙方在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过程中做出的书面说明或承诺提供及时、快速、优质的售后服务。</w:t>
      </w:r>
    </w:p>
    <w:p w14:paraId="3E720AD7">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w:t>
      </w: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质保与服务：乳腺数字化体层摄影X射线机，整机系统（含X射线发生器、球管、平板探测器、工作站等所有组件）质保期自最终验收合格之日起不低于3年。质保期费用包含在投标报价中，采购人不再支付任何费用。</w:t>
      </w:r>
    </w:p>
    <w:p w14:paraId="1A32200F">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（三）质保期内设备（包含整机及配件等）出现任何故障由乙方提供维修，并更换损坏的配件，不收取任何费用。</w:t>
      </w:r>
    </w:p>
    <w:p w14:paraId="60F534C5">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 xml:space="preserve">（四）质保期结束后，对设备提供终生维修服务，保证10年以上供应维修零、配件，只收取配件成本，不收取服务费。 </w:t>
      </w:r>
    </w:p>
    <w:p w14:paraId="17DF0542">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 xml:space="preserve">（五）工程师2小时内响应，24小时到位服务。 </w:t>
      </w:r>
    </w:p>
    <w:p w14:paraId="0D155CF4">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 xml:space="preserve">（六）专业工程师免费上门安装、调试。并向使用科室提供设备及设备使用等技术培训。 </w:t>
      </w:r>
    </w:p>
    <w:p w14:paraId="449853F4">
      <w:pPr>
        <w:ind w:firstLine="640" w:firstLineChars="200"/>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u w:val="single"/>
          <w:lang w:val="en-US" w:eastAsia="zh-CN" w:bidi="ar-SA"/>
          <w14:textFill>
            <w14:solidFill>
              <w14:schemeClr w14:val="tx1"/>
            </w14:solidFill>
          </w14:textFill>
        </w:rPr>
        <w:t>（七）质保期内提供免费升级软件版本的服务。</w:t>
      </w:r>
    </w:p>
    <w:p w14:paraId="27C77C5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、违约条款</w:t>
      </w:r>
    </w:p>
    <w:p w14:paraId="2AFA5726">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（一）合同签订后乙方开具</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等额</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发票，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应按合同约定</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支付</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款项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。如合同签订后，该项目有争议，按</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有关部门要求暂停项目，待有关部门通知继续履行本合同时，双方才可按照合同约定继续履行。</w:t>
      </w:r>
    </w:p>
    <w:p w14:paraId="60EE071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（二）乙方逾期</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交付货物或验收不合格的，每延期1 日，乙方应按照合同总金额的0.01% 承担违约责任。延期达到 30 日，甲方有权解除合同，拒付合同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剩余</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价款，并要求乙方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双倍返还已收款项，并</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赔偿甲方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因此而遭受的全部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经济损失</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p>
    <w:p w14:paraId="2693301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（三）乙方交付的货物不符合质量约定或乙方未履行相应的质量保证责任及售后服务义务</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包括但不限于未按照约定的时间响应故障报修、未在规定的时限内到场维修、保修期内互相推诿服务等</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）或</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存在侵权行为的，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甲方有权退货，并要求乙方支付合同总金额10%的违约金，违约金不足以赔偿甲方损失的，甲方有权要求乙方赔偿经济损失。</w:t>
      </w:r>
    </w:p>
    <w:p w14:paraId="77A79174">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（四）乙方在参与本项目采购活动过程中，如存在提供虚假承诺、证明、串通投标等违法违规行为，除承担相应的行政责任外，甲方有权解除合同，并要求乙方承担合同总金额 10%的违约金，违约金不足以赔偿甲方损失的，甲方有权要求乙方赔偿经济损失。</w:t>
      </w:r>
    </w:p>
    <w:p w14:paraId="7283FF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（五）乙方存在其他违反本合同的行为，应承担相应的违约责任（注：可以根据情况进行细化）；违约金不足以赔偿甲方损失的，甲方有权要求乙方赔偿经济损失。</w:t>
      </w:r>
    </w:p>
    <w:p w14:paraId="4CEC102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（六）其他违约责任以相关法律法规规定为准，无相关规定的，双方协商解决。</w:t>
      </w:r>
    </w:p>
    <w:p w14:paraId="1733C01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、不可抗力条款</w:t>
      </w:r>
    </w:p>
    <w:p w14:paraId="375D2718">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因不可抗力致使一方不能及时或完全履行合同的，应及时通知另一方，双方互不承担责任，并在7 天内提供有关不可抗力的相关证明。合同未履行部分是否继续履行、如何履行等问题，双方协商解决。</w:t>
      </w:r>
    </w:p>
    <w:p w14:paraId="0BB19D69">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、争议的解决方式</w:t>
      </w:r>
    </w:p>
    <w:p w14:paraId="66B46AD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因本合同引起的或与本合同有关的任何争议，双方应首先通过友好协商解决。协商不成的，任何一方均有权向</w:t>
      </w:r>
      <w:r>
        <w:rPr>
          <w:rFonts w:hint="default" w:ascii="方正仿宋_GB2312" w:hAnsi="方正仿宋_GB2312" w:eastAsia="方正仿宋_GB2312" w:cs="方正仿宋_GB2312"/>
          <w:color w:val="000000" w:themeColor="text1"/>
          <w:sz w:val="32"/>
          <w:szCs w:val="32"/>
          <w14:textFill>
            <w14:solidFill>
              <w14:schemeClr w14:val="tx1"/>
            </w14:solidFill>
          </w14:textFill>
        </w:rPr>
        <w:t>甲方住所地有管辖权的人民法院提起诉讼。</w:t>
      </w:r>
    </w:p>
    <w:p w14:paraId="76D8CAB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w:t>
      </w:r>
    </w:p>
    <w:p w14:paraId="75E5509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合同文本一式四份，采购单位、供应商各两份，自双方签订之日起生效。</w:t>
      </w:r>
    </w:p>
    <w:p w14:paraId="18B72915">
      <w:pPr>
        <w:ind w:firstLine="640" w:firstLineChars="20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其他未尽事宜，双方可签订补充合同，补充合同为本合同组成部分。</w:t>
      </w:r>
    </w:p>
    <w:p w14:paraId="6DCED95F">
      <w:pPr>
        <w:ind w:firstLine="640"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附件：配置清单</w:t>
      </w:r>
    </w:p>
    <w:p w14:paraId="4F270061">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CAF97B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w w:val="95"/>
          <w:sz w:val="32"/>
          <w:szCs w:val="32"/>
          <w:lang w:val="en-US" w:eastAsia="zh-CN"/>
          <w14:textFill>
            <w14:solidFill>
              <w14:schemeClr w14:val="tx1"/>
            </w14:solidFill>
          </w14:textFill>
        </w:rPr>
        <w:t>账户</w:t>
      </w: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 鄂尔多斯市蒙医医院（鄂尔多斯市蒙医研究所）</w:t>
      </w:r>
    </w:p>
    <w:p w14:paraId="475BDC4F">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采购方代表：（签字） </w:t>
      </w:r>
    </w:p>
    <w:p w14:paraId="2A1FAF9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0477-8395021</w:t>
      </w:r>
    </w:p>
    <w:p w14:paraId="1C9F4AF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开户银行：中国建设银行康巴什支行      </w:t>
      </w:r>
    </w:p>
    <w:p w14:paraId="260B67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号：1500 1686 6480 5250 1940                      </w:t>
      </w:r>
    </w:p>
    <w:p w14:paraId="1E8CADC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p>
    <w:p w14:paraId="3BF7A51B">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乙方账户：国药控股包头有限公司</w:t>
      </w:r>
    </w:p>
    <w:p w14:paraId="6D65159C">
      <w:pPr>
        <w:ind w:firstLine="640"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供货方法人代表：（签字） </w:t>
      </w:r>
    </w:p>
    <w:p w14:paraId="1AA23C2D">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开户银行：兴业银行股份有限公司包头分行营业部</w:t>
      </w:r>
    </w:p>
    <w:p w14:paraId="1E6851F0">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帐     号：593010100100143263</w:t>
      </w:r>
    </w:p>
    <w:p w14:paraId="2BAF8CC3">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联系人及电话：郭小青  15661559435</w:t>
      </w:r>
    </w:p>
    <w:p w14:paraId="7C873708">
      <w:pPr>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7DD096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签订时间    202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14:paraId="6AA3CE00">
      <w:pPr>
        <w:jc w:val="cente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配置清单</w:t>
      </w:r>
    </w:p>
    <w:tbl>
      <w:tblPr>
        <w:tblStyle w:val="13"/>
        <w:tblpPr w:leftFromText="180" w:rightFromText="180" w:vertAnchor="text" w:horzAnchor="page" w:tblpX="1403" w:tblpY="613"/>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438"/>
        <w:gridCol w:w="795"/>
        <w:gridCol w:w="855"/>
        <w:gridCol w:w="885"/>
        <w:gridCol w:w="1965"/>
        <w:gridCol w:w="902"/>
        <w:gridCol w:w="1380"/>
        <w:gridCol w:w="765"/>
      </w:tblGrid>
      <w:tr w14:paraId="4CE81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274E8017">
            <w:pPr>
              <w:pStyle w:val="12"/>
              <w:spacing w:before="88"/>
              <w:ind w:left="100"/>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3"/>
                <w:sz w:val="24"/>
                <w:szCs w:val="24"/>
                <w14:textFill>
                  <w14:solidFill>
                    <w14:schemeClr w14:val="tx1"/>
                  </w14:solidFill>
                </w14:textFill>
              </w:rPr>
              <w:t>序号</w:t>
            </w:r>
          </w:p>
        </w:tc>
        <w:tc>
          <w:tcPr>
            <w:tcW w:w="1438" w:type="dxa"/>
            <w:vAlign w:val="center"/>
          </w:tcPr>
          <w:p w14:paraId="72BA1D4A">
            <w:pPr>
              <w:pStyle w:val="12"/>
              <w:spacing w:before="88"/>
              <w:ind w:left="105"/>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2"/>
                <w:sz w:val="24"/>
                <w:szCs w:val="24"/>
                <w14:textFill>
                  <w14:solidFill>
                    <w14:schemeClr w14:val="tx1"/>
                  </w14:solidFill>
                </w14:textFill>
              </w:rPr>
              <w:t>货物名称</w:t>
            </w:r>
          </w:p>
        </w:tc>
        <w:tc>
          <w:tcPr>
            <w:tcW w:w="795" w:type="dxa"/>
            <w:vAlign w:val="center"/>
          </w:tcPr>
          <w:p w14:paraId="1FF24ABF">
            <w:pPr>
              <w:pStyle w:val="12"/>
              <w:spacing w:before="89"/>
              <w:ind w:left="109"/>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4"/>
                <w:sz w:val="24"/>
                <w:szCs w:val="24"/>
                <w14:textFill>
                  <w14:solidFill>
                    <w14:schemeClr w14:val="tx1"/>
                  </w14:solidFill>
                </w14:textFill>
              </w:rPr>
              <w:t>数量</w:t>
            </w:r>
          </w:p>
        </w:tc>
        <w:tc>
          <w:tcPr>
            <w:tcW w:w="855" w:type="dxa"/>
            <w:vAlign w:val="center"/>
          </w:tcPr>
          <w:p w14:paraId="5A4491E4">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单价（元）</w:t>
            </w:r>
          </w:p>
        </w:tc>
        <w:tc>
          <w:tcPr>
            <w:tcW w:w="885" w:type="dxa"/>
            <w:vAlign w:val="center"/>
          </w:tcPr>
          <w:p w14:paraId="2BB61480">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总价（元）</w:t>
            </w:r>
          </w:p>
        </w:tc>
        <w:tc>
          <w:tcPr>
            <w:tcW w:w="1965" w:type="dxa"/>
            <w:vAlign w:val="center"/>
          </w:tcPr>
          <w:p w14:paraId="393D649E">
            <w:pPr>
              <w:pStyle w:val="12"/>
              <w:spacing w:before="89"/>
              <w:ind w:left="103"/>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制造商名称</w:t>
            </w:r>
          </w:p>
        </w:tc>
        <w:tc>
          <w:tcPr>
            <w:tcW w:w="902" w:type="dxa"/>
            <w:vAlign w:val="center"/>
          </w:tcPr>
          <w:p w14:paraId="031CA5A6">
            <w:pPr>
              <w:pStyle w:val="12"/>
              <w:spacing w:before="89"/>
              <w:ind w:left="119"/>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11"/>
                <w:sz w:val="24"/>
                <w:szCs w:val="24"/>
                <w14:textFill>
                  <w14:solidFill>
                    <w14:schemeClr w14:val="tx1"/>
                  </w14:solidFill>
                </w14:textFill>
              </w:rPr>
              <w:t>品牌</w:t>
            </w:r>
          </w:p>
        </w:tc>
        <w:tc>
          <w:tcPr>
            <w:tcW w:w="1380" w:type="dxa"/>
            <w:vAlign w:val="center"/>
          </w:tcPr>
          <w:p w14:paraId="1BD258D9">
            <w:pPr>
              <w:pStyle w:val="12"/>
              <w:spacing w:before="89"/>
              <w:ind w:left="106"/>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pacing w:val="-1"/>
                <w:sz w:val="24"/>
                <w:szCs w:val="24"/>
                <w14:textFill>
                  <w14:solidFill>
                    <w14:schemeClr w14:val="tx1"/>
                  </w14:solidFill>
                </w14:textFill>
              </w:rPr>
              <w:t>规格型号</w:t>
            </w:r>
          </w:p>
        </w:tc>
        <w:tc>
          <w:tcPr>
            <w:tcW w:w="765" w:type="dxa"/>
            <w:vAlign w:val="center"/>
          </w:tcPr>
          <w:p w14:paraId="295A951D">
            <w:pPr>
              <w:pStyle w:val="12"/>
              <w:spacing w:before="89"/>
              <w:ind w:left="109"/>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备注</w:t>
            </w:r>
          </w:p>
        </w:tc>
      </w:tr>
      <w:tr w14:paraId="12CA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4FCF2436">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w:t>
            </w:r>
          </w:p>
        </w:tc>
        <w:tc>
          <w:tcPr>
            <w:tcW w:w="1438" w:type="dxa"/>
            <w:vAlign w:val="center"/>
          </w:tcPr>
          <w:p w14:paraId="1928042C">
            <w:pPr>
              <w:pStyle w:val="12"/>
              <w:spacing w:before="88"/>
              <w:ind w:left="105"/>
              <w:jc w:val="both"/>
              <w:rPr>
                <w:rFonts w:hint="eastAsia"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乳腺X射线系统</w:t>
            </w:r>
          </w:p>
        </w:tc>
        <w:tc>
          <w:tcPr>
            <w:tcW w:w="795" w:type="dxa"/>
            <w:vAlign w:val="center"/>
          </w:tcPr>
          <w:p w14:paraId="5F4FF128">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w:t>
            </w:r>
          </w:p>
        </w:tc>
        <w:tc>
          <w:tcPr>
            <w:tcW w:w="855" w:type="dxa"/>
            <w:vAlign w:val="center"/>
          </w:tcPr>
          <w:p w14:paraId="643261D7">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848000</w:t>
            </w:r>
          </w:p>
        </w:tc>
        <w:tc>
          <w:tcPr>
            <w:tcW w:w="885" w:type="dxa"/>
            <w:vAlign w:val="center"/>
          </w:tcPr>
          <w:p w14:paraId="67312181">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848000</w:t>
            </w:r>
          </w:p>
        </w:tc>
        <w:tc>
          <w:tcPr>
            <w:tcW w:w="1965" w:type="dxa"/>
            <w:vAlign w:val="center"/>
          </w:tcPr>
          <w:p w14:paraId="62C3D36D">
            <w:pPr>
              <w:pStyle w:val="12"/>
              <w:spacing w:before="89"/>
              <w:ind w:left="103"/>
              <w:jc w:val="both"/>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广东安科医疗科技有限公司</w:t>
            </w:r>
          </w:p>
        </w:tc>
        <w:tc>
          <w:tcPr>
            <w:tcW w:w="902" w:type="dxa"/>
            <w:vAlign w:val="center"/>
          </w:tcPr>
          <w:p w14:paraId="105344BD">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安科</w:t>
            </w:r>
          </w:p>
        </w:tc>
        <w:tc>
          <w:tcPr>
            <w:tcW w:w="1380" w:type="dxa"/>
            <w:vAlign w:val="center"/>
          </w:tcPr>
          <w:p w14:paraId="56A37D59">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　C410</w:t>
            </w:r>
          </w:p>
        </w:tc>
        <w:tc>
          <w:tcPr>
            <w:tcW w:w="765" w:type="dxa"/>
            <w:vAlign w:val="center"/>
          </w:tcPr>
          <w:p w14:paraId="2ADDFFC2">
            <w:pPr>
              <w:pStyle w:val="12"/>
              <w:spacing w:before="89"/>
              <w:ind w:left="109"/>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货物</w:t>
            </w:r>
          </w:p>
        </w:tc>
      </w:tr>
      <w:tr w14:paraId="58BF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0CC19E60">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2</w:t>
            </w:r>
          </w:p>
        </w:tc>
        <w:tc>
          <w:tcPr>
            <w:tcW w:w="1438" w:type="dxa"/>
            <w:vAlign w:val="center"/>
          </w:tcPr>
          <w:p w14:paraId="65EA7B78">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高压发生器</w:t>
            </w:r>
          </w:p>
        </w:tc>
        <w:tc>
          <w:tcPr>
            <w:tcW w:w="795" w:type="dxa"/>
            <w:vAlign w:val="center"/>
          </w:tcPr>
          <w:p w14:paraId="7F70DDE5">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79FBF41B">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47F03200">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068A36AE">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29DFE704">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52CAC5D5">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ANAMMO-GEN004</w:t>
            </w:r>
          </w:p>
        </w:tc>
        <w:tc>
          <w:tcPr>
            <w:tcW w:w="765" w:type="dxa"/>
            <w:vAlign w:val="center"/>
          </w:tcPr>
          <w:p w14:paraId="723A6DE9">
            <w:pPr>
              <w:pStyle w:val="12"/>
              <w:spacing w:before="89"/>
              <w:ind w:left="109"/>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22E5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6E0FFB8F">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3</w:t>
            </w:r>
          </w:p>
        </w:tc>
        <w:tc>
          <w:tcPr>
            <w:tcW w:w="1438" w:type="dxa"/>
            <w:vAlign w:val="center"/>
          </w:tcPr>
          <w:p w14:paraId="37E359A9">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X射线管组件</w:t>
            </w:r>
          </w:p>
        </w:tc>
        <w:tc>
          <w:tcPr>
            <w:tcW w:w="795" w:type="dxa"/>
            <w:vAlign w:val="center"/>
          </w:tcPr>
          <w:p w14:paraId="61F44814">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1只</w:t>
            </w:r>
          </w:p>
        </w:tc>
        <w:tc>
          <w:tcPr>
            <w:tcW w:w="855" w:type="dxa"/>
            <w:vAlign w:val="center"/>
          </w:tcPr>
          <w:p w14:paraId="1EA2DBBB">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0B7EC703">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085E9E3C">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I.A.E.SpA</w:t>
            </w:r>
          </w:p>
        </w:tc>
        <w:tc>
          <w:tcPr>
            <w:tcW w:w="902" w:type="dxa"/>
            <w:vAlign w:val="center"/>
          </w:tcPr>
          <w:p w14:paraId="5B1A4FB8">
            <w:pPr>
              <w:pStyle w:val="12"/>
              <w:spacing w:before="89"/>
              <w:ind w:left="119"/>
              <w:jc w:val="center"/>
              <w:rPr>
                <w:rFonts w:hint="default"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I.A.E</w:t>
            </w:r>
          </w:p>
        </w:tc>
        <w:tc>
          <w:tcPr>
            <w:tcW w:w="1380" w:type="dxa"/>
            <w:vAlign w:val="center"/>
          </w:tcPr>
          <w:p w14:paraId="37F30A57">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XM1016T</w:t>
            </w:r>
          </w:p>
        </w:tc>
        <w:tc>
          <w:tcPr>
            <w:tcW w:w="765" w:type="dxa"/>
            <w:vAlign w:val="center"/>
          </w:tcPr>
          <w:p w14:paraId="37F86D1B">
            <w:pPr>
              <w:pStyle w:val="12"/>
              <w:spacing w:before="89"/>
              <w:ind w:left="109"/>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6D69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6436D073">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4</w:t>
            </w:r>
          </w:p>
        </w:tc>
        <w:tc>
          <w:tcPr>
            <w:tcW w:w="1438" w:type="dxa"/>
            <w:vAlign w:val="center"/>
          </w:tcPr>
          <w:p w14:paraId="08353444">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数字平板探测器</w:t>
            </w:r>
          </w:p>
        </w:tc>
        <w:tc>
          <w:tcPr>
            <w:tcW w:w="795" w:type="dxa"/>
            <w:vAlign w:val="center"/>
          </w:tcPr>
          <w:p w14:paraId="3D97FA71">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1块</w:t>
            </w:r>
          </w:p>
        </w:tc>
        <w:tc>
          <w:tcPr>
            <w:tcW w:w="855" w:type="dxa"/>
            <w:vAlign w:val="center"/>
          </w:tcPr>
          <w:p w14:paraId="007DF270">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69DEB83C">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3A451296">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苏州康众数字医疗科技股份有限公司</w:t>
            </w:r>
          </w:p>
        </w:tc>
        <w:tc>
          <w:tcPr>
            <w:tcW w:w="902" w:type="dxa"/>
            <w:vAlign w:val="center"/>
          </w:tcPr>
          <w:p w14:paraId="2F9CDFF9">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康众</w:t>
            </w:r>
          </w:p>
        </w:tc>
        <w:tc>
          <w:tcPr>
            <w:tcW w:w="1380" w:type="dxa"/>
            <w:vAlign w:val="center"/>
          </w:tcPr>
          <w:p w14:paraId="65DA009A">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CareView750M</w:t>
            </w:r>
          </w:p>
        </w:tc>
        <w:tc>
          <w:tcPr>
            <w:tcW w:w="765" w:type="dxa"/>
            <w:vAlign w:val="center"/>
          </w:tcPr>
          <w:p w14:paraId="7EA2BC55">
            <w:pPr>
              <w:pStyle w:val="12"/>
              <w:spacing w:before="89"/>
              <w:ind w:left="109"/>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02F7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63CD38BE">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5</w:t>
            </w:r>
          </w:p>
        </w:tc>
        <w:tc>
          <w:tcPr>
            <w:tcW w:w="1438" w:type="dxa"/>
            <w:vAlign w:val="center"/>
          </w:tcPr>
          <w:p w14:paraId="180ACB56">
            <w:pPr>
              <w:pStyle w:val="12"/>
              <w:spacing w:before="88"/>
              <w:ind w:left="105"/>
              <w:jc w:val="both"/>
              <w:rPr>
                <w:rFonts w:hint="eastAsia"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限束器</w:t>
            </w:r>
          </w:p>
        </w:tc>
        <w:tc>
          <w:tcPr>
            <w:tcW w:w="795" w:type="dxa"/>
            <w:vAlign w:val="center"/>
          </w:tcPr>
          <w:p w14:paraId="69B33BB5">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27474704">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1C905A87">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408E6A29">
            <w:pPr>
              <w:pStyle w:val="12"/>
              <w:spacing w:before="89"/>
              <w:ind w:left="103"/>
              <w:jc w:val="both"/>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58F4B80C">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53AAE990">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ANAMMO-CLM001</w:t>
            </w:r>
          </w:p>
        </w:tc>
        <w:tc>
          <w:tcPr>
            <w:tcW w:w="765" w:type="dxa"/>
            <w:vAlign w:val="center"/>
          </w:tcPr>
          <w:p w14:paraId="44C57CE9">
            <w:pPr>
              <w:pStyle w:val="12"/>
              <w:spacing w:before="89"/>
              <w:ind w:left="109"/>
              <w:jc w:val="center"/>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348A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64658A87">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6</w:t>
            </w:r>
          </w:p>
        </w:tc>
        <w:tc>
          <w:tcPr>
            <w:tcW w:w="1438" w:type="dxa"/>
            <w:vAlign w:val="center"/>
          </w:tcPr>
          <w:p w14:paraId="49626789">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控制装置</w:t>
            </w:r>
          </w:p>
        </w:tc>
        <w:tc>
          <w:tcPr>
            <w:tcW w:w="795" w:type="dxa"/>
            <w:vAlign w:val="center"/>
          </w:tcPr>
          <w:p w14:paraId="494926E4">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59AFABC8">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222C7A88">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30120827">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1D11130B">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28F991F9">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ANAMMO-CBX003</w:t>
            </w:r>
          </w:p>
        </w:tc>
        <w:tc>
          <w:tcPr>
            <w:tcW w:w="765" w:type="dxa"/>
            <w:shd w:val="clear" w:color="auto" w:fill="auto"/>
            <w:vAlign w:val="center"/>
          </w:tcPr>
          <w:p w14:paraId="36C213DE">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5320E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53BDC6F9">
            <w:pPr>
              <w:pStyle w:val="12"/>
              <w:spacing w:before="88"/>
              <w:ind w:left="100"/>
              <w:jc w:val="center"/>
              <w:rPr>
                <w:rFonts w:hint="eastAsia"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7</w:t>
            </w:r>
          </w:p>
        </w:tc>
        <w:tc>
          <w:tcPr>
            <w:tcW w:w="1438" w:type="dxa"/>
            <w:vAlign w:val="center"/>
          </w:tcPr>
          <w:p w14:paraId="3355A6FE">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图像采集及处理工作站</w:t>
            </w:r>
          </w:p>
        </w:tc>
        <w:tc>
          <w:tcPr>
            <w:tcW w:w="795" w:type="dxa"/>
            <w:vAlign w:val="center"/>
          </w:tcPr>
          <w:p w14:paraId="698267DE">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1台</w:t>
            </w:r>
          </w:p>
        </w:tc>
        <w:tc>
          <w:tcPr>
            <w:tcW w:w="855" w:type="dxa"/>
            <w:vAlign w:val="center"/>
          </w:tcPr>
          <w:p w14:paraId="639449CB">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10002468">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7B34B5D8">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联想（北京）有限公司</w:t>
            </w:r>
          </w:p>
        </w:tc>
        <w:tc>
          <w:tcPr>
            <w:tcW w:w="902" w:type="dxa"/>
            <w:vAlign w:val="center"/>
          </w:tcPr>
          <w:p w14:paraId="464DC74B">
            <w:pPr>
              <w:pStyle w:val="12"/>
              <w:spacing w:before="89"/>
              <w:ind w:left="119"/>
              <w:jc w:val="center"/>
              <w:rPr>
                <w:rFonts w:hint="default"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联想</w:t>
            </w:r>
          </w:p>
        </w:tc>
        <w:tc>
          <w:tcPr>
            <w:tcW w:w="1380" w:type="dxa"/>
            <w:vAlign w:val="center"/>
          </w:tcPr>
          <w:p w14:paraId="7A359B4C">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启天M415-N000</w:t>
            </w:r>
          </w:p>
        </w:tc>
        <w:tc>
          <w:tcPr>
            <w:tcW w:w="765" w:type="dxa"/>
            <w:shd w:val="clear" w:color="auto" w:fill="auto"/>
            <w:vAlign w:val="center"/>
          </w:tcPr>
          <w:p w14:paraId="3B3D52A4">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0A5D3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4FBF2523">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8</w:t>
            </w:r>
          </w:p>
        </w:tc>
        <w:tc>
          <w:tcPr>
            <w:tcW w:w="1438" w:type="dxa"/>
            <w:vAlign w:val="center"/>
          </w:tcPr>
          <w:p w14:paraId="5778D63B">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预览显示器</w:t>
            </w:r>
          </w:p>
        </w:tc>
        <w:tc>
          <w:tcPr>
            <w:tcW w:w="795" w:type="dxa"/>
            <w:vAlign w:val="center"/>
          </w:tcPr>
          <w:p w14:paraId="2EBC5BC9">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1台</w:t>
            </w:r>
          </w:p>
        </w:tc>
        <w:tc>
          <w:tcPr>
            <w:tcW w:w="855" w:type="dxa"/>
            <w:vAlign w:val="center"/>
          </w:tcPr>
          <w:p w14:paraId="24A0AA45">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6F04DFC8">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49E95E1A">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沈阳火炬北泰数码科技有限责任公司</w:t>
            </w:r>
          </w:p>
        </w:tc>
        <w:tc>
          <w:tcPr>
            <w:tcW w:w="902" w:type="dxa"/>
            <w:vAlign w:val="center"/>
          </w:tcPr>
          <w:p w14:paraId="7DA90676">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巨烽</w:t>
            </w:r>
          </w:p>
        </w:tc>
        <w:tc>
          <w:tcPr>
            <w:tcW w:w="1380" w:type="dxa"/>
            <w:vAlign w:val="center"/>
          </w:tcPr>
          <w:p w14:paraId="5F727192">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C23W-WD</w:t>
            </w:r>
          </w:p>
        </w:tc>
        <w:tc>
          <w:tcPr>
            <w:tcW w:w="765" w:type="dxa"/>
            <w:shd w:val="clear" w:color="auto" w:fill="auto"/>
            <w:vAlign w:val="center"/>
          </w:tcPr>
          <w:p w14:paraId="743880A6">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5279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73935E32">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9</w:t>
            </w:r>
          </w:p>
        </w:tc>
        <w:tc>
          <w:tcPr>
            <w:tcW w:w="1438" w:type="dxa"/>
            <w:vAlign w:val="center"/>
          </w:tcPr>
          <w:p w14:paraId="07FF15FC">
            <w:pPr>
              <w:pStyle w:val="12"/>
              <w:spacing w:before="88"/>
              <w:ind w:left="105"/>
              <w:jc w:val="both"/>
              <w:rPr>
                <w:rFonts w:hint="eastAsia"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机架</w:t>
            </w:r>
          </w:p>
        </w:tc>
        <w:tc>
          <w:tcPr>
            <w:tcW w:w="795" w:type="dxa"/>
            <w:vAlign w:val="center"/>
          </w:tcPr>
          <w:p w14:paraId="42BC4FFA">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0B8FE1EB">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596BBB49">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499D985F">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59E5C554">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2145E937">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ANAMMO-BCK025</w:t>
            </w:r>
          </w:p>
        </w:tc>
        <w:tc>
          <w:tcPr>
            <w:tcW w:w="765" w:type="dxa"/>
            <w:shd w:val="clear" w:color="auto" w:fill="auto"/>
            <w:vAlign w:val="center"/>
          </w:tcPr>
          <w:p w14:paraId="3C3FD1BA">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24A1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2ECBA71C">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10</w:t>
            </w:r>
          </w:p>
        </w:tc>
        <w:tc>
          <w:tcPr>
            <w:tcW w:w="1438" w:type="dxa"/>
            <w:vAlign w:val="center"/>
          </w:tcPr>
          <w:p w14:paraId="576047DC">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系统软件</w:t>
            </w:r>
          </w:p>
        </w:tc>
        <w:tc>
          <w:tcPr>
            <w:tcW w:w="795" w:type="dxa"/>
            <w:vAlign w:val="center"/>
          </w:tcPr>
          <w:p w14:paraId="797BB91E">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63CE94AB">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0C351F10">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068BDD86">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600EA5C1">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0223B594">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E-View</w:t>
            </w:r>
          </w:p>
        </w:tc>
        <w:tc>
          <w:tcPr>
            <w:tcW w:w="765" w:type="dxa"/>
            <w:shd w:val="clear" w:color="auto" w:fill="auto"/>
            <w:vAlign w:val="center"/>
          </w:tcPr>
          <w:p w14:paraId="51D2DEA2">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73BF4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530C8E1B">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11</w:t>
            </w:r>
          </w:p>
        </w:tc>
        <w:tc>
          <w:tcPr>
            <w:tcW w:w="1438" w:type="dxa"/>
            <w:vAlign w:val="center"/>
          </w:tcPr>
          <w:p w14:paraId="2DCB2911">
            <w:pPr>
              <w:pStyle w:val="12"/>
              <w:spacing w:before="88"/>
              <w:ind w:left="105"/>
              <w:jc w:val="both"/>
              <w:rPr>
                <w:rFonts w:hint="eastAsia"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压迫器（249mm×352mm）</w:t>
            </w:r>
          </w:p>
        </w:tc>
        <w:tc>
          <w:tcPr>
            <w:tcW w:w="795" w:type="dxa"/>
            <w:vAlign w:val="center"/>
          </w:tcPr>
          <w:p w14:paraId="2DB1BA44">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35F8EA9D">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5E378B0A">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3316C8AF">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6C7B0ABA">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0AC41897">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ANAMMO-CMP002</w:t>
            </w:r>
          </w:p>
        </w:tc>
        <w:tc>
          <w:tcPr>
            <w:tcW w:w="765" w:type="dxa"/>
            <w:shd w:val="clear" w:color="auto" w:fill="auto"/>
            <w:vAlign w:val="center"/>
          </w:tcPr>
          <w:p w14:paraId="75E0D504">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405F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2F26E25B">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12</w:t>
            </w:r>
          </w:p>
        </w:tc>
        <w:tc>
          <w:tcPr>
            <w:tcW w:w="1438" w:type="dxa"/>
            <w:vAlign w:val="center"/>
          </w:tcPr>
          <w:p w14:paraId="444F3924">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面部防护屏</w:t>
            </w:r>
          </w:p>
        </w:tc>
        <w:tc>
          <w:tcPr>
            <w:tcW w:w="795" w:type="dxa"/>
            <w:vAlign w:val="center"/>
          </w:tcPr>
          <w:p w14:paraId="7B4F89EB">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1个</w:t>
            </w:r>
          </w:p>
        </w:tc>
        <w:tc>
          <w:tcPr>
            <w:tcW w:w="855" w:type="dxa"/>
            <w:vAlign w:val="center"/>
          </w:tcPr>
          <w:p w14:paraId="47F77584">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4185A21B">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46D87C8E">
            <w:pPr>
              <w:pStyle w:val="12"/>
              <w:spacing w:before="89"/>
              <w:ind w:left="103"/>
              <w:jc w:val="both"/>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广东安科医疗科技有限公司</w:t>
            </w:r>
          </w:p>
        </w:tc>
        <w:tc>
          <w:tcPr>
            <w:tcW w:w="902" w:type="dxa"/>
            <w:vAlign w:val="center"/>
          </w:tcPr>
          <w:p w14:paraId="1E665797">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安科</w:t>
            </w:r>
          </w:p>
        </w:tc>
        <w:tc>
          <w:tcPr>
            <w:tcW w:w="1380" w:type="dxa"/>
            <w:vAlign w:val="center"/>
          </w:tcPr>
          <w:p w14:paraId="723D969C">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ANAMMO-FSH007</w:t>
            </w:r>
          </w:p>
        </w:tc>
        <w:tc>
          <w:tcPr>
            <w:tcW w:w="765" w:type="dxa"/>
            <w:shd w:val="clear" w:color="auto" w:fill="auto"/>
            <w:vAlign w:val="center"/>
          </w:tcPr>
          <w:p w14:paraId="04E43A5A">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5FCB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07CA6A24">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13</w:t>
            </w:r>
          </w:p>
        </w:tc>
        <w:tc>
          <w:tcPr>
            <w:tcW w:w="1438" w:type="dxa"/>
            <w:vAlign w:val="center"/>
          </w:tcPr>
          <w:p w14:paraId="76395439">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脚踏开关</w:t>
            </w:r>
          </w:p>
        </w:tc>
        <w:tc>
          <w:tcPr>
            <w:tcW w:w="795" w:type="dxa"/>
            <w:vAlign w:val="center"/>
          </w:tcPr>
          <w:p w14:paraId="5A219A79">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2副</w:t>
            </w:r>
          </w:p>
        </w:tc>
        <w:tc>
          <w:tcPr>
            <w:tcW w:w="855" w:type="dxa"/>
            <w:vAlign w:val="center"/>
          </w:tcPr>
          <w:p w14:paraId="5C914A93">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172B8D8C">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7EF243CB">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LINAK</w:t>
            </w:r>
          </w:p>
        </w:tc>
        <w:tc>
          <w:tcPr>
            <w:tcW w:w="902" w:type="dxa"/>
            <w:vAlign w:val="center"/>
          </w:tcPr>
          <w:p w14:paraId="091DACA6">
            <w:pPr>
              <w:pStyle w:val="12"/>
              <w:spacing w:before="89"/>
              <w:ind w:left="119"/>
              <w:jc w:val="center"/>
              <w:rPr>
                <w:rFonts w:hint="default"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LINAK</w:t>
            </w:r>
          </w:p>
        </w:tc>
        <w:tc>
          <w:tcPr>
            <w:tcW w:w="1380" w:type="dxa"/>
            <w:vAlign w:val="center"/>
          </w:tcPr>
          <w:p w14:paraId="721A7C05">
            <w:pPr>
              <w:pStyle w:val="12"/>
              <w:spacing w:before="89"/>
              <w:ind w:left="106"/>
              <w:jc w:val="both"/>
              <w:rPr>
                <w:rFonts w:hint="default"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FSE1200022</w:t>
            </w:r>
          </w:p>
        </w:tc>
        <w:tc>
          <w:tcPr>
            <w:tcW w:w="765" w:type="dxa"/>
            <w:shd w:val="clear" w:color="auto" w:fill="auto"/>
            <w:vAlign w:val="center"/>
          </w:tcPr>
          <w:p w14:paraId="6B40BDD0">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028E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29560901">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14</w:t>
            </w:r>
          </w:p>
        </w:tc>
        <w:tc>
          <w:tcPr>
            <w:tcW w:w="1438" w:type="dxa"/>
            <w:vAlign w:val="center"/>
          </w:tcPr>
          <w:p w14:paraId="0A6388C9">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原厂诊断工作站</w:t>
            </w:r>
          </w:p>
        </w:tc>
        <w:tc>
          <w:tcPr>
            <w:tcW w:w="795" w:type="dxa"/>
            <w:vAlign w:val="center"/>
          </w:tcPr>
          <w:p w14:paraId="5A31A596">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239CD350">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4C611D35">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5F325490">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数坤科技股份有限公司</w:t>
            </w:r>
          </w:p>
        </w:tc>
        <w:tc>
          <w:tcPr>
            <w:tcW w:w="902" w:type="dxa"/>
            <w:vAlign w:val="center"/>
          </w:tcPr>
          <w:p w14:paraId="1A236B9B">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数坤</w:t>
            </w:r>
          </w:p>
        </w:tc>
        <w:tc>
          <w:tcPr>
            <w:tcW w:w="1380" w:type="dxa"/>
            <w:vAlign w:val="center"/>
          </w:tcPr>
          <w:p w14:paraId="4905BB05">
            <w:pPr>
              <w:pStyle w:val="12"/>
              <w:spacing w:before="89"/>
              <w:ind w:left="106"/>
              <w:jc w:val="center"/>
              <w:rPr>
                <w:rFonts w:hint="eastAsia"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w:t>
            </w:r>
          </w:p>
        </w:tc>
        <w:tc>
          <w:tcPr>
            <w:tcW w:w="765" w:type="dxa"/>
            <w:shd w:val="clear" w:color="auto" w:fill="auto"/>
            <w:vAlign w:val="center"/>
          </w:tcPr>
          <w:p w14:paraId="0877E564">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1EB2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18EEDEED">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15</w:t>
            </w:r>
          </w:p>
        </w:tc>
        <w:tc>
          <w:tcPr>
            <w:tcW w:w="1438" w:type="dxa"/>
            <w:vAlign w:val="center"/>
          </w:tcPr>
          <w:p w14:paraId="7E277805">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5M横屏</w:t>
            </w:r>
          </w:p>
        </w:tc>
        <w:tc>
          <w:tcPr>
            <w:tcW w:w="795" w:type="dxa"/>
            <w:vAlign w:val="center"/>
          </w:tcPr>
          <w:p w14:paraId="00289209">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1块</w:t>
            </w:r>
          </w:p>
        </w:tc>
        <w:tc>
          <w:tcPr>
            <w:tcW w:w="855" w:type="dxa"/>
            <w:vAlign w:val="center"/>
          </w:tcPr>
          <w:p w14:paraId="609A6A82">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5FA5CC97">
            <w:pPr>
              <w:pStyle w:val="12"/>
              <w:spacing w:before="89"/>
              <w:ind w:left="104"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15314602">
            <w:pPr>
              <w:pStyle w:val="12"/>
              <w:spacing w:before="89"/>
              <w:ind w:left="103"/>
              <w:jc w:val="both"/>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w:t>
            </w:r>
          </w:p>
        </w:tc>
        <w:tc>
          <w:tcPr>
            <w:tcW w:w="902" w:type="dxa"/>
            <w:vAlign w:val="center"/>
          </w:tcPr>
          <w:p w14:paraId="0C327D1C">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w:t>
            </w:r>
          </w:p>
        </w:tc>
        <w:tc>
          <w:tcPr>
            <w:tcW w:w="1380" w:type="dxa"/>
            <w:vAlign w:val="center"/>
          </w:tcPr>
          <w:p w14:paraId="7A882379">
            <w:pPr>
              <w:pStyle w:val="12"/>
              <w:spacing w:before="89"/>
              <w:ind w:left="106"/>
              <w:jc w:val="center"/>
              <w:rPr>
                <w:rFonts w:hint="eastAsia"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w:t>
            </w:r>
          </w:p>
        </w:tc>
        <w:tc>
          <w:tcPr>
            <w:tcW w:w="765" w:type="dxa"/>
            <w:shd w:val="clear" w:color="auto" w:fill="auto"/>
            <w:vAlign w:val="center"/>
          </w:tcPr>
          <w:p w14:paraId="6D02A1FA">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617F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7E4982F8">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16</w:t>
            </w:r>
          </w:p>
        </w:tc>
        <w:tc>
          <w:tcPr>
            <w:tcW w:w="1438" w:type="dxa"/>
            <w:vAlign w:val="center"/>
          </w:tcPr>
          <w:p w14:paraId="20DF1554">
            <w:pPr>
              <w:pStyle w:val="12"/>
              <w:spacing w:before="88"/>
              <w:ind w:left="105"/>
              <w:jc w:val="both"/>
              <w:rPr>
                <w:rFonts w:hint="default" w:ascii="黑体" w:hAnsi="黑体" w:eastAsia="黑体" w:cs="黑体"/>
                <w:color w:val="000000" w:themeColor="text1"/>
                <w:spacing w:val="-2"/>
                <w:sz w:val="24"/>
                <w:szCs w:val="24"/>
                <w:lang w:val="en-US" w:eastAsia="zh-CN"/>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5M竖屏</w:t>
            </w:r>
          </w:p>
        </w:tc>
        <w:tc>
          <w:tcPr>
            <w:tcW w:w="795" w:type="dxa"/>
            <w:vAlign w:val="center"/>
          </w:tcPr>
          <w:p w14:paraId="470D14CC">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1块</w:t>
            </w:r>
          </w:p>
        </w:tc>
        <w:tc>
          <w:tcPr>
            <w:tcW w:w="855" w:type="dxa"/>
            <w:vAlign w:val="center"/>
          </w:tcPr>
          <w:p w14:paraId="611A4A8C">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32BA5169">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3B659120">
            <w:pPr>
              <w:pStyle w:val="12"/>
              <w:spacing w:before="89"/>
              <w:ind w:left="103"/>
              <w:jc w:val="both"/>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w:t>
            </w:r>
          </w:p>
        </w:tc>
        <w:tc>
          <w:tcPr>
            <w:tcW w:w="902" w:type="dxa"/>
            <w:vAlign w:val="center"/>
          </w:tcPr>
          <w:p w14:paraId="16B958CA">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w:t>
            </w:r>
          </w:p>
        </w:tc>
        <w:tc>
          <w:tcPr>
            <w:tcW w:w="1380" w:type="dxa"/>
            <w:vAlign w:val="center"/>
          </w:tcPr>
          <w:p w14:paraId="3AA4C670">
            <w:pPr>
              <w:pStyle w:val="12"/>
              <w:spacing w:before="89"/>
              <w:ind w:left="106"/>
              <w:jc w:val="center"/>
              <w:rPr>
                <w:rFonts w:hint="eastAsia"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w:t>
            </w:r>
          </w:p>
        </w:tc>
        <w:tc>
          <w:tcPr>
            <w:tcW w:w="765" w:type="dxa"/>
            <w:shd w:val="clear" w:color="auto" w:fill="auto"/>
            <w:vAlign w:val="center"/>
          </w:tcPr>
          <w:p w14:paraId="2B639ACF">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r w14:paraId="401C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4" w:type="dxa"/>
            <w:vAlign w:val="center"/>
          </w:tcPr>
          <w:p w14:paraId="686FD074">
            <w:pPr>
              <w:pStyle w:val="12"/>
              <w:spacing w:before="88"/>
              <w:ind w:left="100"/>
              <w:jc w:val="center"/>
              <w:rPr>
                <w:rFonts w:hint="default" w:ascii="黑体" w:hAnsi="黑体" w:eastAsia="黑体" w:cs="黑体"/>
                <w:color w:val="000000" w:themeColor="text1"/>
                <w:spacing w:val="-3"/>
                <w:sz w:val="24"/>
                <w:szCs w:val="24"/>
                <w:lang w:val="en-US" w:eastAsia="zh-CN"/>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17</w:t>
            </w:r>
          </w:p>
        </w:tc>
        <w:tc>
          <w:tcPr>
            <w:tcW w:w="1438" w:type="dxa"/>
            <w:vAlign w:val="center"/>
          </w:tcPr>
          <w:p w14:paraId="07FAF681">
            <w:pPr>
              <w:pStyle w:val="12"/>
              <w:spacing w:before="88"/>
              <w:ind w:left="105"/>
              <w:jc w:val="both"/>
              <w:rPr>
                <w:rFonts w:hint="eastAsia" w:ascii="黑体" w:hAnsi="黑体" w:eastAsia="黑体" w:cs="黑体"/>
                <w:color w:val="000000" w:themeColor="text1"/>
                <w:spacing w:val="-2"/>
                <w:sz w:val="24"/>
                <w:szCs w:val="24"/>
                <w14:textFill>
                  <w14:solidFill>
                    <w14:schemeClr w14:val="tx1"/>
                  </w14:solidFill>
                </w14:textFill>
              </w:rPr>
            </w:pPr>
            <w:r>
              <w:rPr>
                <w:rFonts w:hint="eastAsia" w:ascii="黑体" w:hAnsi="黑体" w:eastAsia="黑体" w:cs="黑体"/>
                <w:color w:val="000000" w:themeColor="text1"/>
                <w:spacing w:val="-2"/>
                <w:sz w:val="24"/>
                <w:szCs w:val="24"/>
                <w:lang w:val="en-US" w:eastAsia="zh-CN"/>
                <w14:textFill>
                  <w14:solidFill>
                    <w14:schemeClr w14:val="tx1"/>
                  </w14:solidFill>
                </w14:textFill>
              </w:rPr>
              <w:t>乳腺X射线图像计算机辅助检测软件</w:t>
            </w:r>
          </w:p>
        </w:tc>
        <w:tc>
          <w:tcPr>
            <w:tcW w:w="795" w:type="dxa"/>
            <w:vAlign w:val="center"/>
          </w:tcPr>
          <w:p w14:paraId="329D1216">
            <w:pPr>
              <w:pStyle w:val="12"/>
              <w:spacing w:before="89"/>
              <w:ind w:left="109"/>
              <w:jc w:val="center"/>
              <w:rPr>
                <w:rFonts w:hint="default" w:ascii="黑体" w:hAnsi="黑体" w:eastAsia="黑体" w:cs="黑体"/>
                <w:color w:val="000000" w:themeColor="text1"/>
                <w:spacing w:val="-4"/>
                <w:sz w:val="24"/>
                <w:szCs w:val="24"/>
                <w:lang w:val="en-US" w:eastAsia="zh-CN"/>
                <w14:textFill>
                  <w14:solidFill>
                    <w14:schemeClr w14:val="tx1"/>
                  </w14:solidFill>
                </w14:textFill>
              </w:rPr>
            </w:pPr>
            <w:r>
              <w:rPr>
                <w:rFonts w:hint="eastAsia" w:ascii="黑体" w:hAnsi="黑体" w:eastAsia="黑体" w:cs="黑体"/>
                <w:color w:val="000000" w:themeColor="text1"/>
                <w:spacing w:val="-4"/>
                <w:sz w:val="24"/>
                <w:szCs w:val="24"/>
                <w:lang w:val="en-US" w:eastAsia="zh-CN"/>
                <w14:textFill>
                  <w14:solidFill>
                    <w14:schemeClr w14:val="tx1"/>
                  </w14:solidFill>
                </w14:textFill>
              </w:rPr>
              <w:t>1套</w:t>
            </w:r>
          </w:p>
        </w:tc>
        <w:tc>
          <w:tcPr>
            <w:tcW w:w="855" w:type="dxa"/>
            <w:vAlign w:val="center"/>
          </w:tcPr>
          <w:p w14:paraId="0D78FF23">
            <w:pPr>
              <w:pStyle w:val="12"/>
              <w:spacing w:before="89"/>
              <w:ind w:left="104" w:leftChars="0"/>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885" w:type="dxa"/>
            <w:shd w:val="clear" w:color="auto" w:fill="auto"/>
            <w:vAlign w:val="center"/>
          </w:tcPr>
          <w:p w14:paraId="2A906F94">
            <w:pPr>
              <w:pStyle w:val="12"/>
              <w:spacing w:before="89"/>
              <w:ind w:left="104" w:leftChars="0"/>
              <w:jc w:val="center"/>
              <w:rPr>
                <w:rFonts w:hint="default"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0</w:t>
            </w:r>
          </w:p>
        </w:tc>
        <w:tc>
          <w:tcPr>
            <w:tcW w:w="1965" w:type="dxa"/>
            <w:vAlign w:val="center"/>
          </w:tcPr>
          <w:p w14:paraId="0FF83C7F">
            <w:pPr>
              <w:pStyle w:val="12"/>
              <w:spacing w:before="89"/>
              <w:ind w:left="103"/>
              <w:jc w:val="both"/>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数坤科技股份有限公司</w:t>
            </w:r>
          </w:p>
        </w:tc>
        <w:tc>
          <w:tcPr>
            <w:tcW w:w="902" w:type="dxa"/>
            <w:vAlign w:val="center"/>
          </w:tcPr>
          <w:p w14:paraId="79763DEB">
            <w:pPr>
              <w:pStyle w:val="12"/>
              <w:spacing w:before="89"/>
              <w:ind w:left="119"/>
              <w:jc w:val="center"/>
              <w:rPr>
                <w:rFonts w:hint="eastAsia" w:ascii="黑体" w:hAnsi="黑体" w:eastAsia="黑体" w:cs="黑体"/>
                <w:color w:val="000000" w:themeColor="text1"/>
                <w:spacing w:val="-11"/>
                <w:sz w:val="24"/>
                <w:szCs w:val="24"/>
                <w:lang w:val="en-US" w:eastAsia="zh-CN"/>
                <w14:textFill>
                  <w14:solidFill>
                    <w14:schemeClr w14:val="tx1"/>
                  </w14:solidFill>
                </w14:textFill>
              </w:rPr>
            </w:pPr>
            <w:r>
              <w:rPr>
                <w:rFonts w:hint="eastAsia" w:ascii="黑体" w:hAnsi="黑体" w:eastAsia="黑体" w:cs="黑体"/>
                <w:color w:val="000000" w:themeColor="text1"/>
                <w:spacing w:val="-11"/>
                <w:sz w:val="24"/>
                <w:szCs w:val="24"/>
                <w:lang w:val="en-US" w:eastAsia="zh-CN"/>
                <w14:textFill>
                  <w14:solidFill>
                    <w14:schemeClr w14:val="tx1"/>
                  </w14:solidFill>
                </w14:textFill>
              </w:rPr>
              <w:t>数坤</w:t>
            </w:r>
          </w:p>
        </w:tc>
        <w:tc>
          <w:tcPr>
            <w:tcW w:w="1380" w:type="dxa"/>
            <w:vAlign w:val="center"/>
          </w:tcPr>
          <w:p w14:paraId="26A442E4">
            <w:pPr>
              <w:pStyle w:val="12"/>
              <w:spacing w:before="89"/>
              <w:ind w:left="106"/>
              <w:jc w:val="center"/>
              <w:rPr>
                <w:rFonts w:hint="eastAsia" w:ascii="黑体" w:hAnsi="黑体" w:eastAsia="黑体" w:cs="黑体"/>
                <w:color w:val="000000" w:themeColor="text1"/>
                <w:spacing w:val="-1"/>
                <w:sz w:val="24"/>
                <w:szCs w:val="24"/>
                <w:lang w:val="en-US" w:eastAsia="zh-CN"/>
                <w14:textFill>
                  <w14:solidFill>
                    <w14:schemeClr w14:val="tx1"/>
                  </w14:solidFill>
                </w14:textFill>
              </w:rPr>
            </w:pPr>
            <w:r>
              <w:rPr>
                <w:rFonts w:hint="eastAsia" w:ascii="黑体" w:hAnsi="黑体" w:eastAsia="黑体" w:cs="黑体"/>
                <w:color w:val="000000" w:themeColor="text1"/>
                <w:spacing w:val="-1"/>
                <w:sz w:val="24"/>
                <w:szCs w:val="24"/>
                <w:lang w:val="en-US" w:eastAsia="zh-CN"/>
                <w14:textFill>
                  <w14:solidFill>
                    <w14:schemeClr w14:val="tx1"/>
                  </w14:solidFill>
                </w14:textFill>
              </w:rPr>
              <w:t>/</w:t>
            </w:r>
          </w:p>
        </w:tc>
        <w:tc>
          <w:tcPr>
            <w:tcW w:w="765" w:type="dxa"/>
            <w:shd w:val="clear" w:color="auto" w:fill="auto"/>
            <w:vAlign w:val="center"/>
          </w:tcPr>
          <w:p w14:paraId="6EE118A5">
            <w:pPr>
              <w:pStyle w:val="12"/>
              <w:spacing w:before="89"/>
              <w:ind w:left="109" w:leftChars="0"/>
              <w:jc w:val="center"/>
              <w:rPr>
                <w:rFonts w:hint="eastAsia" w:ascii="黑体" w:hAnsi="黑体" w:eastAsia="黑体" w:cs="黑体"/>
                <w:color w:val="000000" w:themeColor="text1"/>
                <w:kern w:val="2"/>
                <w:sz w:val="24"/>
                <w:szCs w:val="24"/>
                <w:lang w:val="en-US" w:eastAsia="zh-CN" w:bidi="ar-SA"/>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附件</w:t>
            </w:r>
          </w:p>
        </w:tc>
      </w:tr>
    </w:tbl>
    <w:p w14:paraId="34F7DF40">
      <w:pPr>
        <w:jc w:val="cente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p>
    <w:p w14:paraId="6F3E0E97">
      <w:pPr>
        <w:jc w:val="center"/>
        <w:rPr>
          <w:rFonts w:hint="eastAsia" w:ascii="宋体" w:hAnsi="宋体" w:eastAsia="宋体" w:cs="宋体"/>
          <w:color w:val="000000" w:themeColor="text1"/>
          <w:spacing w:val="-1"/>
          <w:sz w:val="19"/>
          <w:szCs w:val="19"/>
          <w:lang w:val="en-US" w:eastAsia="zh-CN"/>
          <w14:textFill>
            <w14:solidFill>
              <w14:schemeClr w14:val="tx1"/>
            </w14:solidFill>
          </w14:textFill>
        </w:rPr>
      </w:pPr>
      <w:r>
        <w:rPr>
          <w:rFonts w:hint="eastAsia" w:ascii="宋体" w:hAnsi="宋体" w:eastAsia="宋体" w:cs="宋体"/>
          <w:color w:val="000000" w:themeColor="text1"/>
          <w:spacing w:val="-1"/>
          <w:sz w:val="19"/>
          <w:szCs w:val="19"/>
          <w:lang w:val="en-US" w:eastAsia="zh-CN"/>
          <w14:textFill>
            <w14:solidFill>
              <w14:schemeClr w14:val="tx1"/>
            </w14:solidFill>
          </w14:textFill>
        </w:rPr>
        <w:t xml:space="preserve"> </w:t>
      </w:r>
    </w:p>
    <w:p w14:paraId="11442C4B">
      <w:pPr>
        <w:jc w:val="center"/>
        <w:rPr>
          <w:rFonts w:hint="eastAsia" w:ascii="方正小标宋_GBK" w:hAnsi="方正小标宋_GBK" w:eastAsia="方正小标宋_GBK" w:cs="方正小标宋_GBK"/>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1"/>
          <w:sz w:val="19"/>
          <w:szCs w:val="19"/>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24"/>
          <w:szCs w:val="24"/>
          <w:lang w:val="en-US" w:eastAsia="zh-CN"/>
          <w14:textFill>
            <w14:solidFill>
              <w14:schemeClr w14:val="tx1"/>
            </w14:solidFill>
          </w14:textFill>
        </w:rPr>
        <w:t xml:space="preserve">                   </w:t>
      </w:r>
    </w:p>
    <w:p w14:paraId="08FDE9C5">
      <w:pPr>
        <w:pStyle w:val="2"/>
        <w:spacing w:line="257" w:lineRule="auto"/>
        <w:rPr>
          <w:color w:val="000000" w:themeColor="text1"/>
          <w:lang w:eastAsia="zh-CN"/>
          <w14:textFill>
            <w14:solidFill>
              <w14:schemeClr w14:val="tx1"/>
            </w14:solidFill>
          </w14:textFill>
        </w:rPr>
      </w:pPr>
    </w:p>
    <w:p w14:paraId="02AC2C64">
      <w:pPr>
        <w:rPr>
          <w:color w:val="000000" w:themeColor="text1"/>
          <w14:textFill>
            <w14:solidFill>
              <w14:schemeClr w14:val="tx1"/>
            </w14:solidFill>
          </w14:textFill>
        </w:rPr>
      </w:pPr>
    </w:p>
    <w:p w14:paraId="3F51A57A">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423FAFEE">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326DCDF7">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0F372392">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71247FBD">
      <w:pPr>
        <w:rPr>
          <w:rFonts w:hint="eastAsia" w:ascii="方正仿宋_GB2312" w:hAnsi="方正仿宋_GB2312" w:eastAsia="方正仿宋_GB2312" w:cs="方正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F4C21E-14C4-44A2-9F2B-99EED7243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1E8BDC4-A553-4CE7-96F9-2BDFCC66FC91}"/>
  </w:font>
  <w:font w:name="方正仿宋_GB2312">
    <w:panose1 w:val="02000000000000000000"/>
    <w:charset w:val="86"/>
    <w:family w:val="auto"/>
    <w:pitch w:val="default"/>
    <w:sig w:usb0="A00002BF" w:usb1="184F6CFA" w:usb2="00000012" w:usb3="00000000" w:csb0="00040001" w:csb1="00000000"/>
    <w:embedRegular r:id="rId3" w:fontKey="{CE399420-29F8-4F29-A2D3-5B99672736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68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CEDC"/>
    <w:multiLevelType w:val="singleLevel"/>
    <w:tmpl w:val="CDE9CEDC"/>
    <w:lvl w:ilvl="0" w:tentative="0">
      <w:start w:val="1"/>
      <w:numFmt w:val="chineseCounting"/>
      <w:suff w:val="nothing"/>
      <w:lvlText w:val="（%1）"/>
      <w:lvlJc w:val="left"/>
      <w:rPr>
        <w:rFonts w:hint="eastAsia"/>
      </w:rPr>
    </w:lvl>
  </w:abstractNum>
  <w:abstractNum w:abstractNumId="1">
    <w:nsid w:val="4434D4B6"/>
    <w:multiLevelType w:val="singleLevel"/>
    <w:tmpl w:val="4434D4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31E"/>
    <w:rsid w:val="033A36E9"/>
    <w:rsid w:val="056B3902"/>
    <w:rsid w:val="0638001E"/>
    <w:rsid w:val="0CF81509"/>
    <w:rsid w:val="18881CAB"/>
    <w:rsid w:val="18A96DD5"/>
    <w:rsid w:val="239D1989"/>
    <w:rsid w:val="258B7398"/>
    <w:rsid w:val="278735F7"/>
    <w:rsid w:val="32140715"/>
    <w:rsid w:val="324F1DB7"/>
    <w:rsid w:val="32CA37F1"/>
    <w:rsid w:val="38BB232A"/>
    <w:rsid w:val="39A362C2"/>
    <w:rsid w:val="3C324217"/>
    <w:rsid w:val="3CF961A8"/>
    <w:rsid w:val="3D34622F"/>
    <w:rsid w:val="41CC4A2C"/>
    <w:rsid w:val="45056E2D"/>
    <w:rsid w:val="45C4637F"/>
    <w:rsid w:val="46524427"/>
    <w:rsid w:val="4D9D5E63"/>
    <w:rsid w:val="4EF13128"/>
    <w:rsid w:val="51A64A84"/>
    <w:rsid w:val="53B06098"/>
    <w:rsid w:val="53CB331E"/>
    <w:rsid w:val="5461129F"/>
    <w:rsid w:val="5A5F4792"/>
    <w:rsid w:val="5A647BDD"/>
    <w:rsid w:val="60673F83"/>
    <w:rsid w:val="64D7377C"/>
    <w:rsid w:val="67130B51"/>
    <w:rsid w:val="6A382F1A"/>
    <w:rsid w:val="6B782CA1"/>
    <w:rsid w:val="759F05DE"/>
    <w:rsid w:val="76372176"/>
    <w:rsid w:val="77E45A61"/>
    <w:rsid w:val="7BA21888"/>
    <w:rsid w:val="7CFB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19"/>
      <w:szCs w:val="19"/>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autoRedefine/>
    <w:qFormat/>
    <w:uiPriority w:val="1"/>
    <w:pPr>
      <w:spacing w:before="63"/>
      <w:ind w:left="11"/>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3b81befb-97f2-4119-ac64-ebb19c587313</errorID>
      <errorWord>方</errorWord>
      <group>L1_Word</group>
      <groupName>字词问题</groupName>
      <ability>L2_Typo</ability>
      <abilityName>字词错误</abilityName>
      <candidateList>
        <item>方在</item>
      </candidateList>
      <explain/>
      <paraID> D61E4F0</paraID>
      <start>60</start>
      <end>61</end>
      <status>unmodified</status>
      <modifiedWord/>
      <trackRevisions>false</trackRevisions>
    </reviewItem>
    <reviewItem>
      <errorID>0d5f9557-f589-4cf1-9136-ec92729cb17f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1E6851F0</paraID>
      <start>0</start>
      <end>1</end>
      <status>unmodified</status>
      <modifiedWord/>
      <trackRevisions>false</trackRevisions>
    </reviewItem>
    <reviewItem>
      <errorID>07906a07-977b-438f-a74b-7cc679286dba</errorID>
      <errorWord>数坤</errorWord>
      <group>L1_Word</group>
      <groupName>字词问题</groupName>
      <ability>L2_Typo</ability>
      <abilityName>字词错误</abilityName>
      <candidateList>
        <item>数据</item>
      </candidateList>
      <explain/>
      <paraID>1A236B9B</paraID>
      <start>0</start>
      <end>2</end>
      <status>unmodified</status>
      <modifiedWord/>
      <trackRevisions>false</trackRevisions>
    </reviewItem>
    <reviewItem>
      <errorID>2e274cb2-623f-4b64-b446-295a24dc1f54</errorID>
      <errorWord>数坤</errorWord>
      <group>L1_Word</group>
      <groupName>字词问题</groupName>
      <ability>L2_Typo</ability>
      <abilityName>字词错误</abilityName>
      <candidateList>
        <item>数据</item>
      </candidateList>
      <explain/>
      <paraID>79763DEB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70ba4-1df7-4434-adcd-833bffe9e25f}">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2347</Words>
  <Characters>2471</Characters>
  <Lines>0</Lines>
  <Paragraphs>0</Paragraphs>
  <TotalTime>1</TotalTime>
  <ScaleCrop>false</ScaleCrop>
  <LinksUpToDate>false</LinksUpToDate>
  <CharactersWithSpaces>2596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2024-12-17T08:17:00Z</dcterms:created>
  <dc:creator>敏娜</dc:creator>
  <cp:lastModifiedBy>敏娜</cp:lastModifiedBy>
  <cp:lastPrinted>2025-12-02T09:14:21Z</cp:lastPrinted>
  <dcterms:modified xsi:type="dcterms:W3CDTF">2025-12-02T09:15:47Z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C6D60264F263495DB07365EB5A6C50F1_13</vt:lpwstr>
  </property>
  <property fmtid="{D5CDD505-2E9C-101B-9397-08002B2CF9AE}" pid="4" name="KSOTemplateDocerSaveRecord">
    <vt:lpwstr>eyJoZGlkIjoiYjBkNDRkNzgxOTUyMTRhZTk1MjJlNzJlYzIzZDUwMWQiLCJ1c2VySWQiOiIzNjM0OTM4NzkifQ==</vt:lpwstr>
  </property>
</Properties>
</file>