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default"/>
          <w:lang w:val="en-US" w:eastAsia="zh-CN"/>
        </w:rPr>
      </w:pPr>
    </w:p>
    <w:p>
      <w:pPr>
        <w:pStyle w:val="2"/>
        <w:ind w:left="1320" w:leftChars="0" w:hanging="1320" w:hangingChars="300"/>
        <w:jc w:val="both"/>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内蒙古自治区公共资源交易网站中访问鄂尔多斯市公共资源交易网操作手册</w:t>
      </w:r>
    </w:p>
    <w:p>
      <w:pPr>
        <w:tabs>
          <w:tab w:val="left" w:pos="3698"/>
        </w:tabs>
        <w:bidi w:val="0"/>
        <w:ind w:firstLine="2200" w:firstLineChars="500"/>
        <w:jc w:val="both"/>
        <w:rPr>
          <w:rFonts w:hint="eastAsia" w:ascii="黑体" w:hAnsi="黑体" w:eastAsia="黑体" w:cs="黑体"/>
          <w:sz w:val="44"/>
          <w:szCs w:val="44"/>
          <w:lang w:val="en-US" w:eastAsia="zh-CN"/>
        </w:rPr>
      </w:pPr>
    </w:p>
    <w:p>
      <w:pPr>
        <w:tabs>
          <w:tab w:val="left" w:pos="3698"/>
        </w:tabs>
        <w:bidi w:val="0"/>
        <w:ind w:firstLine="7920" w:firstLineChars="1800"/>
        <w:jc w:val="center"/>
        <w:rPr>
          <w:rFonts w:hint="eastAsia" w:ascii="黑体" w:hAnsi="黑体" w:eastAsia="黑体" w:cs="黑体"/>
          <w:sz w:val="44"/>
          <w:szCs w:val="44"/>
          <w:lang w:val="en-US" w:eastAsia="zh-CN"/>
        </w:rPr>
      </w:pPr>
    </w:p>
    <w:p>
      <w:pPr>
        <w:tabs>
          <w:tab w:val="left" w:pos="3698"/>
        </w:tabs>
        <w:bidi w:val="0"/>
        <w:jc w:val="both"/>
        <w:rPr>
          <w:rFonts w:hint="default"/>
          <w:lang w:val="en-US" w:eastAsia="zh-CN"/>
        </w:rPr>
        <w:sectPr>
          <w:pgSz w:w="11900" w:h="16840"/>
          <w:pgMar w:top="1480" w:right="1240" w:bottom="280" w:left="1660" w:header="720" w:footer="720" w:gutter="0"/>
          <w:cols w:space="720" w:num="1"/>
        </w:sectPr>
      </w:pPr>
    </w:p>
    <w:p>
      <w:pPr>
        <w:numPr>
          <w:ilvl w:val="0"/>
          <w:numId w:val="0"/>
        </w:numPr>
        <w:outlineLvl w:val="9"/>
        <w:rPr>
          <w:rFonts w:hint="eastAsia" w:ascii="黑体" w:hAnsi="黑体" w:eastAsia="黑体" w:cs="黑体"/>
          <w:sz w:val="32"/>
          <w:szCs w:val="44"/>
          <w:lang w:val="en-US" w:eastAsia="zh-CN"/>
        </w:rPr>
      </w:pPr>
    </w:p>
    <w:p>
      <w:pPr>
        <w:pStyle w:val="3"/>
        <w:bidi w:val="0"/>
        <w:rPr>
          <w:rFonts w:hint="eastAsia"/>
          <w:lang w:val="en-US" w:eastAsia="zh-CN"/>
        </w:rPr>
      </w:pPr>
      <w:r>
        <w:rPr>
          <w:rFonts w:hint="eastAsia"/>
          <w:lang w:val="en-US" w:eastAsia="zh-CN"/>
        </w:rPr>
        <w:t>访问鄂尔多斯市公共资源交易网</w:t>
      </w:r>
    </w:p>
    <w:p>
      <w:pPr>
        <w:bidi w:val="0"/>
        <w:ind w:firstLine="600" w:firstLineChars="200"/>
        <w:rPr>
          <w:rFonts w:hint="eastAsia"/>
          <w:lang w:val="en-US" w:eastAsia="zh-CN"/>
        </w:rPr>
      </w:pPr>
      <w:r>
        <w:rPr>
          <w:rFonts w:hint="eastAsia"/>
        </w:rPr>
        <w:t>在浏览器地址栏输入地址登陆：</w:t>
      </w:r>
      <w:r>
        <w:rPr>
          <w:rFonts w:hint="eastAsia"/>
        </w:rPr>
        <w:fldChar w:fldCharType="begin"/>
      </w:r>
      <w:r>
        <w:rPr>
          <w:rFonts w:hint="eastAsia"/>
        </w:rPr>
        <w:instrText xml:space="preserve"> HYPERLINK "http://219.148.175.179/" </w:instrText>
      </w:r>
      <w:r>
        <w:rPr>
          <w:rFonts w:hint="eastAsia"/>
        </w:rPr>
        <w:fldChar w:fldCharType="separate"/>
      </w:r>
      <w:r>
        <w:rPr>
          <w:rStyle w:val="19"/>
          <w:rFonts w:hint="eastAsia" w:ascii="仿宋" w:hAnsi="仿宋" w:eastAsia="仿宋" w:cs="仿宋"/>
        </w:rPr>
        <w:t>http://219.148.175.179/</w:t>
      </w:r>
      <w:r>
        <w:rPr>
          <w:rFonts w:hint="eastAsia"/>
        </w:rPr>
        <w:fldChar w:fldCharType="end"/>
      </w:r>
      <w:r>
        <w:rPr>
          <w:rFonts w:hint="eastAsia"/>
          <w:lang w:eastAsia="zh-CN"/>
        </w:rPr>
        <w:t>，</w:t>
      </w:r>
      <w:r>
        <w:rPr>
          <w:rFonts w:hint="eastAsia"/>
          <w:lang w:val="en-US" w:eastAsia="zh-CN"/>
        </w:rPr>
        <w:t>进入内蒙古自治区公共资源交易网首页，如下图所示：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406" w:lineRule="auto"/>
        <w:ind w:right="0" w:rightChars="0"/>
        <w:textAlignment w:val="auto"/>
      </w:pPr>
      <w:r>
        <w:drawing>
          <wp:inline distT="0" distB="0" distL="114300" distR="114300">
            <wp:extent cx="5708015" cy="2632075"/>
            <wp:effectExtent l="0" t="0" r="698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08015" cy="263207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406" w:lineRule="auto"/>
        <w:ind w:right="0" w:rightChars="0"/>
        <w:textAlignment w:val="auto"/>
      </w:pPr>
    </w:p>
    <w:p>
      <w:pPr>
        <w:bidi w:val="0"/>
        <w:rPr>
          <w:rFonts w:hint="eastAsia"/>
          <w:lang w:val="en-US" w:eastAsia="zh-CN"/>
        </w:rPr>
      </w:pPr>
      <w:r>
        <w:rPr>
          <w:rFonts w:hint="eastAsia"/>
          <w:lang w:val="en-US" w:eastAsia="zh-CN"/>
        </w:rPr>
        <w:t>点击首页一网通办下地图，点击“自治区本级”下拉框，选择“鄂尔多斯市”，或者在地图中选择鄂尔多斯市位置进行跳转鄂尔多斯市公共资源交易中心，如下图所示：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rPr>
          <w:rFonts w:hint="default" w:ascii="微软雅黑" w:hAnsi="微软雅黑" w:eastAsia="微软雅黑" w:cs="微软雅黑"/>
          <w:lang w:val="en-US" w:eastAsia="zh-CN"/>
        </w:rPr>
      </w:pPr>
      <w:r>
        <w:drawing>
          <wp:inline distT="0" distB="0" distL="114300" distR="114300">
            <wp:extent cx="5709285" cy="2818130"/>
            <wp:effectExtent l="0" t="0" r="5715"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5709285" cy="28181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内蒙古自治区鄂尔多斯市公共资源交易网首页一共9个栏目，分别为网站首页、政务公开、党建工作、交易信息、政策法规、办事大厅、监管信息、办事指南及互动交流，如下图所示。</w:t>
      </w:r>
    </w:p>
    <w:p>
      <w:pPr>
        <w:pStyle w:val="2"/>
        <w:rPr>
          <w:rFonts w:hint="eastAsia"/>
          <w:lang w:val="en-US" w:eastAsia="zh-CN"/>
        </w:rPr>
      </w:pPr>
      <w:r>
        <w:drawing>
          <wp:inline distT="0" distB="0" distL="114300" distR="114300">
            <wp:extent cx="5712460" cy="2621280"/>
            <wp:effectExtent l="0" t="0" r="2540" b="762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a:stretch>
                      <a:fillRect/>
                    </a:stretch>
                  </pic:blipFill>
                  <pic:spPr>
                    <a:xfrm>
                      <a:off x="0" y="0"/>
                      <a:ext cx="5712460" cy="2621280"/>
                    </a:xfrm>
                    <a:prstGeom prst="rect">
                      <a:avLst/>
                    </a:prstGeom>
                    <a:noFill/>
                    <a:ln>
                      <a:noFill/>
                    </a:ln>
                  </pic:spPr>
                </pic:pic>
              </a:graphicData>
            </a:graphic>
          </wp:inline>
        </w:drawing>
      </w:r>
    </w:p>
    <w:p>
      <w:pPr>
        <w:rPr>
          <w:rFonts w:hint="default"/>
          <w:lang w:val="en-US" w:eastAsia="zh-CN"/>
        </w:rPr>
      </w:pPr>
      <w:r>
        <w:rPr>
          <w:rFonts w:hint="eastAsia"/>
          <w:lang w:val="en-US" w:eastAsia="zh-CN"/>
        </w:rPr>
        <w:t>在网站“一网通办”栏目下方可以进入鄂尔多斯市公共资源交易页面，点击“交易平台”，选择“工程建设”可以进入“鄂尔多斯电子招投标交易平台”进行相关业务操作，如下图所示。</w:t>
      </w:r>
    </w:p>
    <w:p>
      <w:pPr>
        <w:pStyle w:val="2"/>
        <w:rPr>
          <w:rFonts w:hint="eastAsia"/>
          <w:lang w:val="en-US" w:eastAsia="zh-CN"/>
        </w:rPr>
      </w:pPr>
    </w:p>
    <w:p>
      <w:pPr>
        <w:rPr>
          <w:rFonts w:hint="eastAsia"/>
          <w:lang w:val="en-US" w:eastAsia="zh-CN"/>
        </w:rPr>
      </w:pPr>
      <w:r>
        <w:drawing>
          <wp:inline distT="0" distB="0" distL="114300" distR="114300">
            <wp:extent cx="5711825" cy="3228340"/>
            <wp:effectExtent l="0" t="0" r="317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711825" cy="3228340"/>
                    </a:xfrm>
                    <a:prstGeom prst="rect">
                      <a:avLst/>
                    </a:prstGeom>
                    <a:noFill/>
                    <a:ln>
                      <a:noFill/>
                    </a:ln>
                  </pic:spPr>
                </pic:pic>
              </a:graphicData>
            </a:graphic>
          </wp:inline>
        </w:drawing>
      </w:r>
    </w:p>
    <w:p>
      <w:pPr>
        <w:pStyle w:val="2"/>
        <w:rPr>
          <w:rFonts w:hint="eastAsia"/>
          <w:lang w:val="en-US" w:eastAsia="zh-CN"/>
        </w:rPr>
      </w:pPr>
    </w:p>
    <w:p>
      <w:pPr>
        <w:rPr>
          <w:rFonts w:hint="eastAsia"/>
          <w:lang w:val="en-US" w:eastAsia="zh-CN"/>
        </w:rPr>
      </w:pPr>
    </w:p>
    <w:p>
      <w:pPr>
        <w:pStyle w:val="2"/>
        <w:rPr>
          <w:rFonts w:hint="eastAsia"/>
          <w:lang w:val="en-US" w:eastAsia="zh-CN"/>
        </w:rPr>
      </w:pPr>
      <w:r>
        <w:drawing>
          <wp:inline distT="0" distB="0" distL="114300" distR="114300">
            <wp:extent cx="5715000" cy="3199765"/>
            <wp:effectExtent l="0" t="0" r="0" b="63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715000" cy="3199765"/>
                    </a:xfrm>
                    <a:prstGeom prst="rect">
                      <a:avLst/>
                    </a:prstGeom>
                    <a:noFill/>
                    <a:ln>
                      <a:noFill/>
                    </a:ln>
                  </pic:spPr>
                </pic:pic>
              </a:graphicData>
            </a:graphic>
          </wp:inline>
        </w:drawing>
      </w:r>
    </w:p>
    <w:p>
      <w:pPr>
        <w:rPr>
          <w:rFonts w:hint="eastAsia"/>
          <w:lang w:val="en-US" w:eastAsia="zh-CN"/>
        </w:rPr>
      </w:pPr>
    </w:p>
    <w:p>
      <w:pPr>
        <w:pStyle w:val="3"/>
        <w:bidi w:val="0"/>
        <w:rPr>
          <w:rFonts w:hint="default"/>
          <w:lang w:val="en-US" w:eastAsia="zh-CN"/>
        </w:rPr>
      </w:pPr>
      <w:r>
        <w:rPr>
          <w:rFonts w:hint="eastAsia"/>
          <w:lang w:val="en-US" w:eastAsia="zh-CN"/>
        </w:rPr>
        <w:t>网站内容简介</w:t>
      </w:r>
    </w:p>
    <w:p>
      <w:pPr>
        <w:rPr>
          <w:rFonts w:hint="default"/>
          <w:lang w:val="en-US" w:eastAsia="zh-CN"/>
        </w:rPr>
      </w:pPr>
      <w:r>
        <w:rPr>
          <w:rFonts w:hint="eastAsia"/>
          <w:lang w:val="en-US" w:eastAsia="zh-CN"/>
        </w:rPr>
        <w:t>内蒙古自治区鄂尔多斯市公共资源交易网首页横向一共9个栏目，分别为网站首页、党建工作、政策法规、办事大厅、监管信息、办事指南及互动交流。</w:t>
      </w:r>
    </w:p>
    <w:p>
      <w:pPr>
        <w:pStyle w:val="4"/>
        <w:bidi w:val="0"/>
        <w:rPr>
          <w:rFonts w:hint="default"/>
          <w:lang w:val="en-US" w:eastAsia="zh-CN"/>
        </w:rPr>
      </w:pPr>
      <w:r>
        <w:rPr>
          <w:rFonts w:hint="eastAsia"/>
          <w:lang w:val="en-US" w:eastAsia="zh-CN"/>
        </w:rPr>
        <w:t>网站首页</w:t>
      </w:r>
    </w:p>
    <w:p>
      <w:pPr>
        <w:pStyle w:val="5"/>
        <w:bidi w:val="0"/>
        <w:rPr>
          <w:rFonts w:hint="eastAsia"/>
          <w:lang w:val="en-US" w:eastAsia="zh-CN"/>
        </w:rPr>
      </w:pPr>
      <w:r>
        <w:rPr>
          <w:rFonts w:hint="eastAsia"/>
          <w:lang w:val="en-US" w:eastAsia="zh-CN"/>
        </w:rPr>
        <w:t>一网通办</w:t>
      </w:r>
    </w:p>
    <w:p>
      <w:pPr>
        <w:pStyle w:val="2"/>
        <w:bidi w:val="0"/>
        <w:rPr>
          <w:rFonts w:hint="eastAsia"/>
          <w:lang w:val="en-US" w:eastAsia="zh-CN"/>
        </w:rPr>
      </w:pPr>
      <w:r>
        <w:rPr>
          <w:rFonts w:hint="eastAsia" w:ascii="微软雅黑" w:hAnsi="微软雅黑" w:eastAsia="微软雅黑" w:cs="微软雅黑"/>
          <w:szCs w:val="24"/>
          <w:lang w:val="en-US" w:eastAsia="zh-CN"/>
        </w:rPr>
        <w:t xml:space="preserve"> </w:t>
      </w:r>
      <w:r>
        <w:rPr>
          <w:rFonts w:hint="eastAsia"/>
          <w:lang w:val="en-US" w:eastAsia="zh-CN"/>
        </w:rPr>
        <w:t>一网通办包含交易平台和服务平台：</w:t>
      </w:r>
    </w:p>
    <w:p>
      <w:pPr>
        <w:pStyle w:val="2"/>
        <w:bidi w:val="0"/>
        <w:rPr>
          <w:rFonts w:hint="eastAsia"/>
          <w:lang w:val="en-US" w:eastAsia="zh-CN"/>
        </w:rPr>
      </w:pPr>
      <w:r>
        <w:rPr>
          <w:rFonts w:hint="eastAsia"/>
          <w:lang w:val="en-US" w:eastAsia="zh-CN"/>
        </w:rPr>
        <w:t xml:space="preserve"> 交易平台：主体单位业务受理平台（政府采购、工程建设、自然资源、产权交易、疫苗交易、药采交易）</w:t>
      </w:r>
    </w:p>
    <w:p>
      <w:pPr>
        <w:pStyle w:val="2"/>
        <w:bidi w:val="0"/>
        <w:rPr>
          <w:rFonts w:hint="default"/>
          <w:lang w:val="en-US" w:eastAsia="zh-CN"/>
        </w:rPr>
      </w:pPr>
      <w:r>
        <w:rPr>
          <w:rFonts w:hint="eastAsia"/>
          <w:lang w:val="en-US" w:eastAsia="zh-CN"/>
        </w:rPr>
        <w:t>服务平台：专家申报系统、专家库管理系统、专家抽取系统、CA互认平台、业务培训。</w:t>
      </w:r>
    </w:p>
    <w:p>
      <w:pPr>
        <w:pStyle w:val="2"/>
        <w:numPr>
          <w:ilvl w:val="0"/>
          <w:numId w:val="0"/>
        </w:numPr>
        <w:spacing w:before="143" w:line="405" w:lineRule="auto"/>
        <w:ind w:right="2186" w:rightChars="0"/>
      </w:pPr>
      <w:r>
        <w:drawing>
          <wp:inline distT="0" distB="0" distL="114300" distR="114300">
            <wp:extent cx="5712460" cy="2494915"/>
            <wp:effectExtent l="0" t="0" r="2540" b="6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3"/>
                    <a:stretch>
                      <a:fillRect/>
                    </a:stretch>
                  </pic:blipFill>
                  <pic:spPr>
                    <a:xfrm>
                      <a:off x="0" y="0"/>
                      <a:ext cx="5712460" cy="249491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一网交易</w:t>
      </w:r>
    </w:p>
    <w:p>
      <w:pPr>
        <w:bidi w:val="0"/>
        <w:rPr>
          <w:rFonts w:hint="eastAsia"/>
          <w:lang w:val="en-US" w:eastAsia="zh-CN"/>
        </w:rPr>
      </w:pPr>
      <w:r>
        <w:rPr>
          <w:rFonts w:hint="eastAsia"/>
          <w:lang w:val="en-US" w:eastAsia="zh-CN"/>
        </w:rPr>
        <w:t>一网交易包含交易流程和交易主体：</w:t>
      </w:r>
    </w:p>
    <w:p>
      <w:pPr>
        <w:bidi w:val="0"/>
        <w:rPr>
          <w:rFonts w:hint="default"/>
          <w:lang w:val="en-US" w:eastAsia="zh-CN"/>
        </w:rPr>
      </w:pPr>
      <w:r>
        <w:rPr>
          <w:rFonts w:hint="eastAsia"/>
          <w:lang w:val="en-US" w:eastAsia="zh-CN"/>
        </w:rPr>
        <w:t>交易流程：公共资源交易相关业务系统位置，如：交易主体注册、CA办理、CA互认、项目登记、场地预约、在线投标、在线开标、专家抽取、结果公告、合同备案、履约信息。</w:t>
      </w:r>
    </w:p>
    <w:p>
      <w:pPr>
        <w:bidi w:val="0"/>
        <w:rPr>
          <w:rFonts w:hint="eastAsia"/>
          <w:lang w:val="en-US" w:eastAsia="zh-CN"/>
        </w:rPr>
      </w:pPr>
      <w:r>
        <w:rPr>
          <w:rFonts w:hint="eastAsia"/>
          <w:lang w:val="en-US" w:eastAsia="zh-CN"/>
        </w:rPr>
        <w:t>交易主体：各个主体单位操作栏目（招标单位、投标单位、专家、监管部门）平台入口</w:t>
      </w:r>
    </w:p>
    <w:p>
      <w:pPr>
        <w:pStyle w:val="2"/>
        <w:numPr>
          <w:ilvl w:val="0"/>
          <w:numId w:val="0"/>
        </w:numPr>
        <w:spacing w:before="143" w:line="405" w:lineRule="auto"/>
        <w:ind w:right="2186" w:rightChars="0"/>
        <w:outlineLvl w:val="9"/>
      </w:pPr>
      <w:r>
        <w:drawing>
          <wp:inline distT="0" distB="0" distL="114300" distR="114300">
            <wp:extent cx="5704205" cy="1432560"/>
            <wp:effectExtent l="0" t="0" r="1079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704205" cy="143256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一网汇聚</w:t>
      </w:r>
    </w:p>
    <w:p>
      <w:pPr>
        <w:bidi w:val="0"/>
        <w:rPr>
          <w:rFonts w:hint="eastAsia"/>
          <w:lang w:val="en-US" w:eastAsia="zh-CN"/>
        </w:rPr>
      </w:pPr>
      <w:r>
        <w:rPr>
          <w:rFonts w:hint="eastAsia"/>
          <w:lang w:val="en-US" w:eastAsia="zh-CN"/>
        </w:rPr>
        <w:t>一网汇聚包含交易信息、今日开标及数据中心栏目。</w:t>
      </w:r>
    </w:p>
    <w:p>
      <w:pPr>
        <w:bidi w:val="0"/>
        <w:rPr>
          <w:rFonts w:hint="eastAsia"/>
          <w:lang w:val="en-US" w:eastAsia="zh-CN"/>
        </w:rPr>
      </w:pPr>
      <w:r>
        <w:rPr>
          <w:rFonts w:hint="eastAsia"/>
          <w:lang w:val="en-US" w:eastAsia="zh-CN"/>
        </w:rPr>
        <w:t>交易信息：展示所有业务的公告信息</w:t>
      </w:r>
    </w:p>
    <w:p>
      <w:pPr>
        <w:bidi w:val="0"/>
        <w:rPr>
          <w:rFonts w:hint="eastAsia"/>
        </w:rPr>
      </w:pPr>
      <w:r>
        <w:rPr>
          <w:rFonts w:hint="eastAsia"/>
          <w:lang w:val="en-US" w:eastAsia="zh-CN"/>
        </w:rPr>
        <w:t>今日开标：今日开标项目信息</w:t>
      </w:r>
    </w:p>
    <w:p>
      <w:pPr>
        <w:bidi w:val="0"/>
        <w:rPr>
          <w:rFonts w:hint="eastAsia" w:ascii="微软雅黑" w:hAnsi="微软雅黑" w:eastAsia="微软雅黑" w:cs="微软雅黑"/>
        </w:rPr>
      </w:pPr>
      <w:r>
        <w:rPr>
          <w:rFonts w:hint="eastAsia"/>
          <w:lang w:val="en-US" w:eastAsia="zh-CN"/>
        </w:rPr>
        <w:t>数据中心：招标投标数据统计信息</w:t>
      </w:r>
    </w:p>
    <w:p>
      <w:pPr>
        <w:pStyle w:val="2"/>
        <w:numPr>
          <w:ilvl w:val="0"/>
          <w:numId w:val="0"/>
        </w:numPr>
        <w:spacing w:before="143" w:line="405" w:lineRule="auto"/>
        <w:ind w:right="2186" w:rightChars="0"/>
      </w:pPr>
      <w:r>
        <w:drawing>
          <wp:inline distT="0" distB="0" distL="114300" distR="114300">
            <wp:extent cx="5712460" cy="2188210"/>
            <wp:effectExtent l="0" t="0" r="2540" b="25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5712460" cy="218821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一网监管</w:t>
      </w:r>
    </w:p>
    <w:p>
      <w:pPr>
        <w:bidi w:val="0"/>
        <w:rPr>
          <w:rFonts w:hint="eastAsia"/>
          <w:lang w:val="en-US" w:eastAsia="zh-CN"/>
        </w:rPr>
      </w:pPr>
      <w:r>
        <w:rPr>
          <w:rFonts w:hint="eastAsia"/>
          <w:lang w:val="en-US" w:eastAsia="zh-CN"/>
        </w:rPr>
        <w:t>一网监管包含监督管理平台、信用信息、全区主体信息库、异议（质疑）投诉</w:t>
      </w:r>
    </w:p>
    <w:p>
      <w:pPr>
        <w:bidi w:val="0"/>
        <w:rPr>
          <w:rFonts w:hint="eastAsia"/>
          <w:lang w:val="en-US" w:eastAsia="zh-CN"/>
        </w:rPr>
      </w:pPr>
      <w:r>
        <w:rPr>
          <w:rFonts w:hint="eastAsia"/>
          <w:lang w:val="en-US" w:eastAsia="zh-CN"/>
        </w:rPr>
        <w:t>监督管理平台：内蒙古监管平台入口</w:t>
      </w:r>
    </w:p>
    <w:p>
      <w:pPr>
        <w:bidi w:val="0"/>
        <w:rPr>
          <w:rFonts w:hint="eastAsia"/>
          <w:lang w:val="en-US" w:eastAsia="zh-CN"/>
        </w:rPr>
      </w:pPr>
      <w:r>
        <w:rPr>
          <w:rFonts w:hint="eastAsia"/>
          <w:lang w:val="en-US" w:eastAsia="zh-CN"/>
        </w:rPr>
        <w:t>信用信息（同首页交易信息栏目）：主体单位信息以及交易数据量</w:t>
      </w:r>
    </w:p>
    <w:p>
      <w:pPr>
        <w:bidi w:val="0"/>
        <w:rPr>
          <w:rFonts w:hint="eastAsia"/>
          <w:lang w:val="en-US" w:eastAsia="zh-CN"/>
        </w:rPr>
      </w:pPr>
      <w:r>
        <w:rPr>
          <w:rFonts w:hint="eastAsia"/>
          <w:lang w:val="en-US" w:eastAsia="zh-CN"/>
        </w:rPr>
        <w:t>全区主体信息库：主体单位信息维护入口</w:t>
      </w:r>
    </w:p>
    <w:p>
      <w:pPr>
        <w:bidi w:val="0"/>
        <w:rPr>
          <w:rFonts w:hint="eastAsia"/>
          <w:lang w:val="en-US" w:eastAsia="zh-CN"/>
        </w:rPr>
      </w:pPr>
      <w:r>
        <w:rPr>
          <w:rFonts w:hint="eastAsia"/>
          <w:lang w:val="en-US" w:eastAsia="zh-CN"/>
        </w:rPr>
        <w:t>异议（质疑）投诉：异议投诉及行政监督</w:t>
      </w:r>
    </w:p>
    <w:p>
      <w:pPr>
        <w:pStyle w:val="2"/>
        <w:numPr>
          <w:ilvl w:val="0"/>
          <w:numId w:val="0"/>
        </w:numPr>
        <w:spacing w:before="143" w:line="405" w:lineRule="auto"/>
        <w:ind w:right="2186" w:rightChars="0"/>
      </w:pPr>
      <w:r>
        <w:drawing>
          <wp:inline distT="0" distB="0" distL="114300" distR="114300">
            <wp:extent cx="5711825" cy="1187450"/>
            <wp:effectExtent l="0" t="0" r="317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711825" cy="11874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主题专栏</w:t>
      </w:r>
    </w:p>
    <w:p>
      <w:pPr>
        <w:bidi w:val="0"/>
        <w:rPr>
          <w:rFonts w:hint="eastAsia"/>
          <w:lang w:val="en-US" w:eastAsia="zh-CN"/>
        </w:rPr>
      </w:pPr>
      <w:r>
        <w:rPr>
          <w:rFonts w:hint="eastAsia"/>
          <w:lang w:val="en-US" w:eastAsia="zh-CN"/>
        </w:rPr>
        <w:t>专题专栏信息展示</w:t>
      </w:r>
    </w:p>
    <w:p>
      <w:pPr>
        <w:pStyle w:val="2"/>
        <w:numPr>
          <w:ilvl w:val="0"/>
          <w:numId w:val="0"/>
        </w:numPr>
        <w:spacing w:before="143" w:line="405" w:lineRule="auto"/>
        <w:ind w:right="2186" w:rightChars="0"/>
      </w:pPr>
      <w:r>
        <w:rPr>
          <w:rFonts w:hint="eastAsia"/>
          <w:lang w:val="en-US" w:eastAsia="zh-CN"/>
        </w:rPr>
        <w:t xml:space="preserve">   </w:t>
      </w:r>
      <w:r>
        <w:drawing>
          <wp:inline distT="0" distB="0" distL="114300" distR="114300">
            <wp:extent cx="5709920" cy="2096135"/>
            <wp:effectExtent l="0" t="0" r="5080" b="1841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709920" cy="209613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互动交流</w:t>
      </w:r>
    </w:p>
    <w:p>
      <w:pPr>
        <w:bidi w:val="0"/>
        <w:rPr>
          <w:rFonts w:hint="eastAsia"/>
          <w:lang w:val="en-US" w:eastAsia="zh-CN"/>
        </w:rPr>
      </w:pPr>
      <w:r>
        <w:rPr>
          <w:rFonts w:hint="eastAsia"/>
          <w:lang w:val="en-US" w:eastAsia="zh-CN"/>
        </w:rPr>
        <w:t>常见问题咨询</w:t>
      </w:r>
    </w:p>
    <w:p>
      <w:pPr>
        <w:pStyle w:val="2"/>
        <w:numPr>
          <w:ilvl w:val="0"/>
          <w:numId w:val="0"/>
        </w:numPr>
        <w:spacing w:before="143" w:line="405" w:lineRule="auto"/>
        <w:ind w:right="2186" w:rightChars="0"/>
        <w:outlineLvl w:val="9"/>
      </w:pPr>
      <w:r>
        <w:drawing>
          <wp:inline distT="0" distB="0" distL="114300" distR="114300">
            <wp:extent cx="4429125" cy="2800350"/>
            <wp:effectExtent l="0" t="0" r="3175" b="635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4429125" cy="2800350"/>
                    </a:xfrm>
                    <a:prstGeom prst="rect">
                      <a:avLst/>
                    </a:prstGeom>
                    <a:noFill/>
                    <a:ln>
                      <a:noFill/>
                    </a:ln>
                  </pic:spPr>
                </pic:pic>
              </a:graphicData>
            </a:graphic>
          </wp:inline>
        </w:drawing>
      </w:r>
    </w:p>
    <w:p>
      <w:pPr>
        <w:pStyle w:val="2"/>
        <w:numPr>
          <w:ilvl w:val="0"/>
          <w:numId w:val="0"/>
        </w:numPr>
        <w:spacing w:before="143" w:line="405" w:lineRule="auto"/>
        <w:ind w:right="2186" w:rightChars="0"/>
        <w:outlineLvl w:val="9"/>
        <w:rPr>
          <w:rFonts w:hint="eastAsia" w:ascii="微软雅黑" w:hAnsi="微软雅黑" w:eastAsia="微软雅黑" w:cs="微软雅黑"/>
          <w:sz w:val="28"/>
          <w:szCs w:val="28"/>
          <w:lang w:val="en-US" w:eastAsia="zh-CN"/>
        </w:rPr>
      </w:pPr>
    </w:p>
    <w:p>
      <w:pPr>
        <w:pStyle w:val="4"/>
        <w:bidi w:val="0"/>
        <w:rPr>
          <w:rFonts w:hint="eastAsia"/>
          <w:lang w:val="en-US" w:eastAsia="zh-CN"/>
        </w:rPr>
      </w:pPr>
      <w:r>
        <w:rPr>
          <w:rFonts w:hint="eastAsia"/>
          <w:lang w:val="en-US" w:eastAsia="zh-CN"/>
        </w:rPr>
        <w:t>政务公开</w:t>
      </w:r>
    </w:p>
    <w:p>
      <w:pPr>
        <w:bidi w:val="0"/>
        <w:rPr>
          <w:rFonts w:hint="eastAsia"/>
          <w:lang w:val="en-US" w:eastAsia="zh-CN"/>
        </w:rPr>
      </w:pPr>
      <w:r>
        <w:rPr>
          <w:rFonts w:hint="eastAsia"/>
          <w:lang w:val="en-US" w:eastAsia="zh-CN"/>
        </w:rPr>
        <w:t>政务公开按照中心网站中的政务公开信息进行展示。包括中心简介、机构设置、政务公开、人事任免考核通报。</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r>
        <w:drawing>
          <wp:inline distT="0" distB="0" distL="114300" distR="114300">
            <wp:extent cx="5712460" cy="2621280"/>
            <wp:effectExtent l="0" t="0" r="2540" b="762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9"/>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4"/>
        <w:bidi w:val="0"/>
        <w:rPr>
          <w:rFonts w:hint="eastAsia"/>
          <w:lang w:val="en-US" w:eastAsia="zh-CN"/>
        </w:rPr>
      </w:pPr>
      <w:r>
        <w:rPr>
          <w:rFonts w:hint="eastAsia"/>
          <w:lang w:val="en-US" w:eastAsia="zh-CN"/>
        </w:rPr>
        <w:t>党建工作</w:t>
      </w:r>
    </w:p>
    <w:p>
      <w:pPr>
        <w:bidi w:val="0"/>
        <w:rPr>
          <w:rFonts w:hint="eastAsia"/>
          <w:lang w:val="en-US" w:eastAsia="zh-CN"/>
        </w:rPr>
      </w:pPr>
      <w:r>
        <w:rPr>
          <w:rFonts w:hint="eastAsia"/>
          <w:lang w:val="en-US" w:eastAsia="zh-CN"/>
        </w:rPr>
        <w:t>党建首页主要有党建信息新闻展示包含党建要闻展示、党史教育、党建三会一课、党风</w:t>
      </w:r>
      <w:bookmarkStart w:id="0" w:name="_GoBack"/>
      <w:bookmarkEnd w:id="0"/>
      <w:r>
        <w:rPr>
          <w:rFonts w:hint="eastAsia"/>
          <w:lang w:val="en-US" w:eastAsia="zh-CN"/>
        </w:rPr>
        <w:t>廉政建设等功能；党建组织架构说明党支部组织关系；党建培训则包含播放党建视频功能或与各地市高清视频会议系统对接进行会议线上培训功能。</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r>
        <w:drawing>
          <wp:inline distT="0" distB="0" distL="114300" distR="114300">
            <wp:extent cx="5712460" cy="2621280"/>
            <wp:effectExtent l="0" t="0" r="2540" b="762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0"/>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4"/>
        <w:bidi w:val="0"/>
        <w:rPr>
          <w:rFonts w:hint="eastAsia"/>
          <w:lang w:val="en-US" w:eastAsia="zh-CN"/>
        </w:rPr>
      </w:pPr>
      <w:r>
        <w:rPr>
          <w:rFonts w:hint="eastAsia"/>
          <w:lang w:val="en-US" w:eastAsia="zh-CN"/>
        </w:rPr>
        <w:t>交易信息（同“一网汇聚”交易信息）</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firstLine="600" w:firstLineChars="200"/>
        <w:textAlignment w:val="auto"/>
        <w:outlineLvl w:val="9"/>
        <w:rPr>
          <w:rFonts w:hint="eastAsia" w:ascii="微软雅黑" w:hAnsi="微软雅黑" w:eastAsia="微软雅黑" w:cs="微软雅黑"/>
          <w:sz w:val="28"/>
          <w:szCs w:val="28"/>
          <w:lang w:val="en-US" w:eastAsia="zh-CN"/>
        </w:rPr>
      </w:pPr>
      <w:r>
        <w:rPr>
          <w:rFonts w:hint="eastAsia"/>
          <w:lang w:val="en-US" w:eastAsia="zh-CN"/>
        </w:rPr>
        <w:t>展示全部行业的详细的交易信息，能够按照自治区本级、盟市、旗县区进行划分，也可以按照交易类型进行划分，同时支持检索功能。</w:t>
      </w:r>
      <w:r>
        <w:drawing>
          <wp:inline distT="0" distB="0" distL="114300" distR="114300">
            <wp:extent cx="5712460" cy="2621280"/>
            <wp:effectExtent l="0" t="0" r="254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4"/>
        <w:bidi w:val="0"/>
        <w:rPr>
          <w:rFonts w:hint="eastAsia"/>
          <w:lang w:val="en-US" w:eastAsia="zh-CN"/>
        </w:rPr>
      </w:pPr>
      <w:r>
        <w:rPr>
          <w:rFonts w:hint="eastAsia"/>
          <w:lang w:val="en-US" w:eastAsia="zh-CN"/>
        </w:rPr>
        <w:t>政策法规</w:t>
      </w:r>
    </w:p>
    <w:p>
      <w:pPr>
        <w:bidi w:val="0"/>
        <w:rPr>
          <w:rFonts w:hint="eastAsia"/>
          <w:lang w:val="en-US" w:eastAsia="zh-CN"/>
        </w:rPr>
      </w:pPr>
      <w:r>
        <w:rPr>
          <w:rFonts w:hint="eastAsia"/>
          <w:lang w:val="en-US" w:eastAsia="zh-CN"/>
        </w:rPr>
        <w:t>展示详细的国家、行业、自治区等相关法律法规信息。包括法律法规、政策文件、中心文件、政策解读。</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r>
        <w:drawing>
          <wp:inline distT="0" distB="0" distL="114300" distR="114300">
            <wp:extent cx="5712460" cy="2621280"/>
            <wp:effectExtent l="0" t="0" r="2540" b="762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2"/>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pPr>
    </w:p>
    <w:p>
      <w:pPr>
        <w:pStyle w:val="4"/>
        <w:bidi w:val="0"/>
        <w:rPr>
          <w:rFonts w:hint="eastAsia"/>
          <w:lang w:val="en-US" w:eastAsia="zh-CN"/>
        </w:rPr>
      </w:pPr>
      <w:r>
        <w:rPr>
          <w:rFonts w:hint="eastAsia"/>
          <w:lang w:val="en-US" w:eastAsia="zh-CN"/>
        </w:rPr>
        <w:t>办事大厅</w:t>
      </w:r>
    </w:p>
    <w:p>
      <w:pPr>
        <w:bidi w:val="0"/>
        <w:rPr>
          <w:rFonts w:hint="eastAsia"/>
          <w:lang w:val="en-US" w:eastAsia="zh-CN"/>
        </w:rPr>
      </w:pPr>
      <w:r>
        <w:rPr>
          <w:rFonts w:hint="eastAsia"/>
          <w:lang w:val="en-US" w:eastAsia="zh-CN"/>
        </w:rPr>
        <w:t>按照业务类型划分，包含交易平台、服务平台、监管平台</w:t>
      </w:r>
    </w:p>
    <w:p>
      <w:pPr>
        <w:numPr>
          <w:ilvl w:val="0"/>
          <w:numId w:val="0"/>
        </w:numPr>
        <w:ind w:leftChars="0"/>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r>
        <w:drawing>
          <wp:inline distT="0" distB="0" distL="114300" distR="114300">
            <wp:extent cx="5712460" cy="2621280"/>
            <wp:effectExtent l="0" t="0" r="2540" b="762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3"/>
                    <a:stretch>
                      <a:fillRect/>
                    </a:stretch>
                  </pic:blipFill>
                  <pic:spPr>
                    <a:xfrm>
                      <a:off x="0" y="0"/>
                      <a:ext cx="5712460" cy="262128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监管信息</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firstLine="600" w:firstLineChars="200"/>
        <w:textAlignment w:val="auto"/>
        <w:outlineLvl w:val="9"/>
        <w:rPr>
          <w:rFonts w:hint="eastAsia" w:ascii="微软雅黑" w:hAnsi="微软雅黑" w:eastAsia="微软雅黑" w:cs="微软雅黑"/>
          <w:sz w:val="28"/>
          <w:szCs w:val="28"/>
          <w:lang w:val="en-US" w:eastAsia="zh-CN"/>
        </w:rPr>
      </w:pPr>
      <w:r>
        <w:rPr>
          <w:rFonts w:hint="eastAsia"/>
          <w:lang w:val="en-US" w:eastAsia="zh-CN"/>
        </w:rPr>
        <w:t>实现线上监督管理助力营造公开透明、有序竞争、充分开放、阳光透明的高标准公共资源交易市场环境。</w:t>
      </w:r>
      <w:r>
        <w:drawing>
          <wp:inline distT="0" distB="0" distL="114300" distR="114300">
            <wp:extent cx="5712460" cy="2621280"/>
            <wp:effectExtent l="0" t="0" r="2540" b="762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4"/>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4"/>
        <w:bidi w:val="0"/>
        <w:rPr>
          <w:rFonts w:hint="eastAsia"/>
          <w:lang w:val="en-US" w:eastAsia="zh-CN"/>
        </w:rPr>
      </w:pPr>
      <w:r>
        <w:rPr>
          <w:rFonts w:hint="eastAsia"/>
          <w:lang w:val="en-US" w:eastAsia="zh-CN"/>
        </w:rPr>
        <w:t>办事指南</w:t>
      </w:r>
    </w:p>
    <w:p>
      <w:pPr>
        <w:bidi w:val="0"/>
        <w:rPr>
          <w:rFonts w:hint="eastAsia"/>
          <w:lang w:val="en-US" w:eastAsia="zh-CN"/>
        </w:rPr>
      </w:pPr>
      <w:r>
        <w:rPr>
          <w:rFonts w:hint="eastAsia"/>
          <w:lang w:val="en-US" w:eastAsia="zh-CN"/>
        </w:rPr>
        <w:t>按照业务类型划分，将门户网站使用者最关心的问题和常用的内容放在该模块中。包括CA办理、交易流程、服务清单、下载中心。</w:t>
      </w:r>
    </w:p>
    <w:p>
      <w:pPr>
        <w:numPr>
          <w:ilvl w:val="0"/>
          <w:numId w:val="0"/>
        </w:numPr>
        <w:rPr>
          <w:rFonts w:hint="eastAsia"/>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r>
        <w:drawing>
          <wp:inline distT="0" distB="0" distL="114300" distR="114300">
            <wp:extent cx="5712460" cy="2621280"/>
            <wp:effectExtent l="0" t="0" r="2540" b="762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5"/>
                    <a:stretch>
                      <a:fillRect/>
                    </a:stretch>
                  </pic:blipFill>
                  <pic:spPr>
                    <a:xfrm>
                      <a:off x="0" y="0"/>
                      <a:ext cx="5712460" cy="262128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9"/>
        <w:rPr>
          <w:rFonts w:hint="eastAsia" w:ascii="微软雅黑" w:hAnsi="微软雅黑" w:eastAsia="微软雅黑" w:cs="微软雅黑"/>
          <w:sz w:val="28"/>
          <w:szCs w:val="28"/>
          <w:lang w:val="en-US" w:eastAsia="zh-CN"/>
        </w:rPr>
      </w:pPr>
    </w:p>
    <w:p>
      <w:pPr>
        <w:pStyle w:val="4"/>
        <w:bidi w:val="0"/>
        <w:rPr>
          <w:rFonts w:hint="eastAsia"/>
          <w:lang w:val="en-US" w:eastAsia="zh-CN"/>
        </w:rPr>
      </w:pPr>
      <w:r>
        <w:rPr>
          <w:rFonts w:hint="eastAsia"/>
          <w:lang w:val="en-US" w:eastAsia="zh-CN"/>
        </w:rPr>
        <w:t>互动交流</w:t>
      </w:r>
    </w:p>
    <w:p>
      <w:pPr>
        <w:bidi w:val="0"/>
        <w:rPr>
          <w:rFonts w:hint="eastAsia"/>
          <w:lang w:val="en-US" w:eastAsia="zh-CN"/>
        </w:rPr>
      </w:pPr>
      <w:r>
        <w:rPr>
          <w:rFonts w:hint="eastAsia"/>
          <w:lang w:val="en-US" w:eastAsia="zh-CN"/>
        </w:rPr>
        <w:t>引入信件智能化手段，实现信件接收后的智能分拣，极大的减轻了管理人员的工作量。</w:t>
      </w:r>
    </w:p>
    <w:p>
      <w:pPr>
        <w:bidi w:val="0"/>
        <w:rPr>
          <w:rFonts w:hint="eastAsia"/>
          <w:lang w:val="en-US" w:eastAsia="zh-CN"/>
        </w:rPr>
      </w:pPr>
      <w:r>
        <w:rPr>
          <w:rFonts w:hint="eastAsia"/>
          <w:lang w:val="en-US" w:eastAsia="zh-CN"/>
        </w:rPr>
        <w:t>各单位可以根据自身的具体业务需求选择保留现有的信箱系统及后台处理流程，通过接口将数据接入统一互动平台完成数据同步。</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143" w:line="240" w:lineRule="auto"/>
        <w:ind w:right="0" w:rightChars="0"/>
        <w:textAlignment w:val="auto"/>
        <w:outlineLvl w:val="0"/>
        <w:rPr>
          <w:rFonts w:hint="eastAsia" w:ascii="微软雅黑" w:hAnsi="微软雅黑" w:eastAsia="微软雅黑" w:cs="微软雅黑"/>
          <w:sz w:val="28"/>
          <w:szCs w:val="28"/>
          <w:lang w:val="en-US" w:eastAsia="zh-CN"/>
        </w:rPr>
      </w:pPr>
      <w:r>
        <w:drawing>
          <wp:inline distT="0" distB="0" distL="114300" distR="114300">
            <wp:extent cx="5712460" cy="2621280"/>
            <wp:effectExtent l="0" t="0" r="2540" b="762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6"/>
                    <a:stretch>
                      <a:fillRect/>
                    </a:stretch>
                  </pic:blipFill>
                  <pic:spPr>
                    <a:xfrm>
                      <a:off x="0" y="0"/>
                      <a:ext cx="5712460" cy="2621280"/>
                    </a:xfrm>
                    <a:prstGeom prst="rect">
                      <a:avLst/>
                    </a:prstGeom>
                    <a:noFill/>
                    <a:ln>
                      <a:noFill/>
                    </a:ln>
                  </pic:spPr>
                </pic:pic>
              </a:graphicData>
            </a:graphic>
          </wp:inline>
        </w:drawing>
      </w:r>
    </w:p>
    <w:sectPr>
      <w:headerReference r:id="rId5" w:type="default"/>
      <w:footerReference r:id="rId6" w:type="default"/>
      <w:pgSz w:w="11900" w:h="16840"/>
      <w:pgMar w:top="1080" w:right="1240" w:bottom="960" w:left="1660" w:header="461" w:footer="75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00"/>
      </w:pPr>
      <w:r>
        <w:separator/>
      </w:r>
    </w:p>
  </w:endnote>
  <w:endnote w:type="continuationSeparator" w:id="1">
    <w:p>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val="en-US" w:bidi="ar-SA"/>
      </w:rPr>
      <mc:AlternateContent>
        <mc:Choice Requires="wps">
          <w:drawing>
            <wp:anchor distT="0" distB="0" distL="114300" distR="114300" simplePos="0" relativeHeight="251659264" behindDoc="1" locked="0" layoutInCell="1" allowOverlap="1">
              <wp:simplePos x="0" y="0"/>
              <wp:positionH relativeFrom="page">
                <wp:posOffset>1125855</wp:posOffset>
              </wp:positionH>
              <wp:positionV relativeFrom="page">
                <wp:posOffset>10051415</wp:posOffset>
              </wp:positionV>
              <wp:extent cx="5318125" cy="0"/>
              <wp:effectExtent l="0" t="18415" r="15875" b="19685"/>
              <wp:wrapNone/>
              <wp:docPr id="44" name="直线 5"/>
              <wp:cNvGraphicFramePr/>
              <a:graphic xmlns:a="http://schemas.openxmlformats.org/drawingml/2006/main">
                <a:graphicData uri="http://schemas.microsoft.com/office/word/2010/wordprocessingShape">
                  <wps:wsp>
                    <wps:cNvCnPr/>
                    <wps:spPr>
                      <a:xfrm>
                        <a:off x="0" y="0"/>
                        <a:ext cx="5318125" cy="0"/>
                      </a:xfrm>
                      <a:prstGeom prst="line">
                        <a:avLst/>
                      </a:prstGeom>
                      <a:ln w="36576" cap="flat" cmpd="sng">
                        <a:solidFill>
                          <a:srgbClr val="9BBB59"/>
                        </a:solidFill>
                        <a:prstDash val="solid"/>
                        <a:headEnd type="none" w="med" len="med"/>
                        <a:tailEnd type="none" w="med" len="med"/>
                      </a:ln>
                    </wps:spPr>
                    <wps:bodyPr/>
                  </wps:wsp>
                </a:graphicData>
              </a:graphic>
            </wp:anchor>
          </w:drawing>
        </mc:Choice>
        <mc:Fallback>
          <w:pict>
            <v:line id="直线 5" o:spid="_x0000_s1026" o:spt="20" style="position:absolute;left:0pt;margin-left:88.65pt;margin-top:791.45pt;height:0pt;width:418.75pt;mso-position-horizontal-relative:page;mso-position-vertical-relative:page;z-index:-251657216;mso-width-relative:page;mso-height-relative:page;" filled="f" stroked="t" coordsize="21600,21600" o:gfxdata="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aOwX&#10;2QAAAA4BAAAPAAAAAAAAAAEAIAAAACIAAABkcnMvZG93bnJldi54bWxQSwECFAAUAAAACACHTuJA&#10;lez7DecBAADRAwAADgAAAAAAAAABACAAAAAoAQAAZHJzL2Uyb0RvYy54bWxQSwUGAAAAAAYABgBZ&#10;AQAAgQUAAAAA&#10;">
              <v:fill on="f" focussize="0,0"/>
              <v:stroke weight="2.88pt" color="#9BBB59" joinstyle="round"/>
              <v:imagedata o:title=""/>
              <o:lock v:ext="edit" aspectratio="f"/>
            </v:line>
          </w:pict>
        </mc:Fallback>
      </mc:AlternateContent>
    </w:r>
    <w:r>
      <w:rPr>
        <w:lang w:val="en-US" w:bidi="ar-SA"/>
      </w:rPr>
      <mc:AlternateContent>
        <mc:Choice Requires="wps">
          <w:drawing>
            <wp:anchor distT="0" distB="0" distL="114300" distR="114300" simplePos="0" relativeHeight="251660288" behindDoc="1" locked="0" layoutInCell="1" allowOverlap="1">
              <wp:simplePos x="0" y="0"/>
              <wp:positionH relativeFrom="page">
                <wp:posOffset>2794000</wp:posOffset>
              </wp:positionH>
              <wp:positionV relativeFrom="page">
                <wp:posOffset>10109200</wp:posOffset>
              </wp:positionV>
              <wp:extent cx="2298065" cy="159385"/>
              <wp:effectExtent l="0" t="0" r="0" b="0"/>
              <wp:wrapNone/>
              <wp:docPr id="46" name="文本框 6"/>
              <wp:cNvGraphicFramePr/>
              <a:graphic xmlns:a="http://schemas.openxmlformats.org/drawingml/2006/main">
                <a:graphicData uri="http://schemas.microsoft.com/office/word/2010/wordprocessingShape">
                  <wps:wsp>
                    <wps:cNvSpPr txBox="1"/>
                    <wps:spPr>
                      <a:xfrm>
                        <a:off x="0" y="0"/>
                        <a:ext cx="2298065" cy="159385"/>
                      </a:xfrm>
                      <a:prstGeom prst="rect">
                        <a:avLst/>
                      </a:prstGeom>
                      <a:noFill/>
                      <a:ln>
                        <a:noFill/>
                      </a:ln>
                    </wps:spPr>
                    <wps:txbx>
                      <w:txbxContent>
                        <w:p>
                          <w:pPr>
                            <w:spacing w:line="243" w:lineRule="exact"/>
                            <w:rPr>
                              <w:rFonts w:ascii="Times New Roman"/>
                              <w:sz w:val="19"/>
                              <w:lang w:val="en-US"/>
                            </w:rPr>
                          </w:pPr>
                        </w:p>
                      </w:txbxContent>
                    </wps:txbx>
                    <wps:bodyPr lIns="0" tIns="0" rIns="0" bIns="0" upright="1"/>
                  </wps:wsp>
                </a:graphicData>
              </a:graphic>
            </wp:anchor>
          </w:drawing>
        </mc:Choice>
        <mc:Fallback>
          <w:pict>
            <v:shape id="文本框 6" o:spid="_x0000_s1026" o:spt="202" type="#_x0000_t202" style="position:absolute;left:0pt;margin-left:220pt;margin-top:796pt;height:12.55pt;width:180.95pt;mso-position-horizontal-relative:page;mso-position-vertical-relative:page;z-index:-251656192;mso-width-relative:page;mso-height-relative:page;" filled="f" stroked="f" coordsize="21600,21600" o:gfxdata="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a8F4PbAAAADQEAAA8AAAAAAAAAAQAgAAAAIgAAAGRycy9kb3ducmV2Lnht&#10;bFBLAQIUABQAAAAIAIdO4kCnVGRMvQEAAHMDAAAOAAAAAAAAAAEAIAAAACoBAABkcnMvZTJvRG9j&#10;LnhtbFBLBQYAAAAABgAGAFkBAABZBQAAAAA=&#10;">
              <v:fill on="f" focussize="0,0"/>
              <v:stroke on="f"/>
              <v:imagedata o:title=""/>
              <o:lock v:ext="edit" aspectratio="f"/>
              <v:textbox inset="0mm,0mm,0mm,0mm">
                <w:txbxContent>
                  <w:p>
                    <w:pPr>
                      <w:spacing w:line="243" w:lineRule="exact"/>
                      <w:rPr>
                        <w:rFonts w:ascii="Times New Roman"/>
                        <w:sz w:val="19"/>
                        <w:lang w:val="en-US"/>
                      </w:rPr>
                    </w:pP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6065520</wp:posOffset>
              </wp:positionH>
              <wp:positionV relativeFrom="page">
                <wp:posOffset>10110470</wp:posOffset>
              </wp:positionV>
              <wp:extent cx="373380" cy="172085"/>
              <wp:effectExtent l="0" t="0" r="0" b="0"/>
              <wp:wrapNone/>
              <wp:docPr id="48" name="文本框 7"/>
              <wp:cNvGraphicFramePr/>
              <a:graphic xmlns:a="http://schemas.openxmlformats.org/drawingml/2006/main">
                <a:graphicData uri="http://schemas.microsoft.com/office/word/2010/wordprocessingShape">
                  <wps:wsp>
                    <wps:cNvSpPr txBox="1"/>
                    <wps:spPr>
                      <a:xfrm>
                        <a:off x="0" y="0"/>
                        <a:ext cx="373380" cy="172085"/>
                      </a:xfrm>
                      <a:prstGeom prst="rect">
                        <a:avLst/>
                      </a:prstGeom>
                      <a:noFill/>
                      <a:ln>
                        <a:noFill/>
                      </a:ln>
                    </wps:spPr>
                    <wps:txbx>
                      <w:txbxContent>
                        <w:p>
                          <w:pPr>
                            <w:spacing w:before="15"/>
                            <w:ind w:left="40"/>
                            <w:rPr>
                              <w:rFonts w:ascii="Times New Roman"/>
                              <w:sz w:val="19"/>
                            </w:rPr>
                          </w:pPr>
                        </w:p>
                      </w:txbxContent>
                    </wps:txbx>
                    <wps:bodyPr lIns="0" tIns="0" rIns="0" bIns="0" upright="1"/>
                  </wps:wsp>
                </a:graphicData>
              </a:graphic>
            </wp:anchor>
          </w:drawing>
        </mc:Choice>
        <mc:Fallback>
          <w:pict>
            <v:shape id="文本框 7" o:spid="_x0000_s1026" o:spt="202" type="#_x0000_t202" style="position:absolute;left:0pt;margin-left:477.6pt;margin-top:796.1pt;height:13.55pt;width:29.4pt;mso-position-horizontal-relative:page;mso-position-vertical-relative:page;z-index:-251655168;mso-width-relative:page;mso-height-relative:page;" filled="f" stroked="f" coordsize="21600,21600" o:gfxdata="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iD8sfaAAAADgEAAA8AAAAAAAAAAQAgAAAAIgAAAGRycy9kb3ducmV2LnhtbFBL&#10;AQIUABQAAAAIAIdO4kAwqzs1uwEAAHIDAAAOAAAAAAAAAAEAIAAAACkBAABkcnMvZTJvRG9jLnht&#10;bFBLBQYAAAAABgAGAFkBAABWBQAAAAA=&#10;">
              <v:fill on="f" focussize="0,0"/>
              <v:stroke on="f"/>
              <v:imagedata o:title=""/>
              <o:lock v:ext="edit" aspectratio="f"/>
              <v:textbox inset="0mm,0mm,0mm,0mm">
                <w:txbxContent>
                  <w:p>
                    <w:pPr>
                      <w:spacing w:before="15"/>
                      <w:ind w:left="40"/>
                      <w:rPr>
                        <w:rFonts w:ascii="Times New Roman"/>
                        <w:sz w:val="19"/>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00"/>
      </w:pPr>
      <w:r>
        <w:separator/>
      </w:r>
    </w:p>
  </w:footnote>
  <w:footnote w:type="continuationSeparator" w:id="1">
    <w:p>
      <w:pPr>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lang w:val="en-US" w:bidi="ar-SA"/>
      </w:rPr>
      <mc:AlternateContent>
        <mc:Choice Requires="wpg">
          <w:drawing>
            <wp:anchor distT="0" distB="0" distL="114300" distR="114300" simplePos="0" relativeHeight="251662336" behindDoc="1" locked="0" layoutInCell="1" allowOverlap="1">
              <wp:simplePos x="0" y="0"/>
              <wp:positionH relativeFrom="page">
                <wp:posOffset>1125220</wp:posOffset>
              </wp:positionH>
              <wp:positionV relativeFrom="page">
                <wp:posOffset>640080</wp:posOffset>
              </wp:positionV>
              <wp:extent cx="5318760" cy="54610"/>
              <wp:effectExtent l="0" t="635" r="15240" b="1905"/>
              <wp:wrapNone/>
              <wp:docPr id="76" name="组合 19"/>
              <wp:cNvGraphicFramePr/>
              <a:graphic xmlns:a="http://schemas.openxmlformats.org/drawingml/2006/main">
                <a:graphicData uri="http://schemas.microsoft.com/office/word/2010/wordprocessingGroup">
                  <wpg:wgp>
                    <wpg:cNvGrpSpPr/>
                    <wpg:grpSpPr>
                      <a:xfrm>
                        <a:off x="0" y="0"/>
                        <a:ext cx="5318760" cy="54610"/>
                        <a:chOff x="1773" y="1009"/>
                        <a:chExt cx="8376" cy="86"/>
                      </a:xfrm>
                    </wpg:grpSpPr>
                    <wps:wsp>
                      <wps:cNvPr id="72" name="直线 20"/>
                      <wps:cNvCnPr/>
                      <wps:spPr>
                        <a:xfrm>
                          <a:off x="1773" y="1066"/>
                          <a:ext cx="8376" cy="0"/>
                        </a:xfrm>
                        <a:prstGeom prst="line">
                          <a:avLst/>
                        </a:prstGeom>
                        <a:ln w="36576" cap="flat" cmpd="sng">
                          <a:solidFill>
                            <a:srgbClr val="622423"/>
                          </a:solidFill>
                          <a:prstDash val="solid"/>
                          <a:headEnd type="none" w="med" len="med"/>
                          <a:tailEnd type="none" w="med" len="med"/>
                        </a:ln>
                      </wps:spPr>
                      <wps:bodyPr/>
                    </wps:wsp>
                    <wps:wsp>
                      <wps:cNvPr id="74" name="直线 21"/>
                      <wps:cNvCnPr/>
                      <wps:spPr>
                        <a:xfrm>
                          <a:off x="1773" y="1016"/>
                          <a:ext cx="8376" cy="0"/>
                        </a:xfrm>
                        <a:prstGeom prst="line">
                          <a:avLst/>
                        </a:prstGeom>
                        <a:ln w="9143" cap="flat" cmpd="sng">
                          <a:solidFill>
                            <a:srgbClr val="622423"/>
                          </a:solidFill>
                          <a:prstDash val="solid"/>
                          <a:headEnd type="none" w="med" len="med"/>
                          <a:tailEnd type="none" w="med" len="med"/>
                        </a:ln>
                      </wps:spPr>
                      <wps:bodyPr/>
                    </wps:wsp>
                  </wpg:wgp>
                </a:graphicData>
              </a:graphic>
            </wp:anchor>
          </w:drawing>
        </mc:Choice>
        <mc:Fallback>
          <w:pict>
            <v:group id="组合 19" o:spid="_x0000_s1026" o:spt="203" style="position:absolute;left:0pt;margin-left:88.6pt;margin-top:50.4pt;height:4.3pt;width:418.8pt;mso-position-horizontal-relative:page;mso-position-vertical-relative:page;z-index:-251654144;mso-width-relative:page;mso-height-relative:page;" coordorigin="1773,1009" coordsize="8376,86" o:gfxdata="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KI5Y9kAAAAMAQAADwAAAAAAAAABACAAAAAiAAAA&#10;ZHJzL2Rvd25yZXYueG1sUEsBAhQAFAAAAAgAh07iQCbO/qp4AgAA+gYAAA4AAAAAAAAAAQAgAAAA&#10;KAEAAGRycy9lMm9Eb2MueG1sUEsFBgAAAAAGAAYAWQEAABIGAAAAAA==&#10;">
              <o:lock v:ext="edit" aspectratio="f"/>
              <v:line id="直线 20" o:spid="_x0000_s1026" o:spt="20" style="position:absolute;left:1773;top:1066;height:0;width:8376;" filled="f" stroked="t" coordsize="21600,21600" o:gfxdata="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dSor4A&#10;AADbAAAADwAAAAAAAAABACAAAAAiAAAAZHJzL2Rvd25yZXYueG1sUEsBAhQAFAAAAAgAh07iQDMv&#10;BZ47AAAAOQAAABAAAAAAAAAAAQAgAAAADQEAAGRycy9zaGFwZXhtbC54bWxQSwUGAAAAAAYABgBb&#10;AQAAtwMAAAAA&#10;">
                <v:fill on="f" focussize="0,0"/>
                <v:stroke weight="2.88pt" color="#622423" joinstyle="round"/>
                <v:imagedata o:title=""/>
                <o:lock v:ext="edit" aspectratio="f"/>
              </v:line>
              <v:line id="直线 21" o:spid="_x0000_s1026" o:spt="20" style="position:absolute;left:1773;top:1016;height:0;width:8376;" filled="f" stroked="t" coordsize="21600,21600" o:gfxdata="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Mula/&#10;AAAA2wAAAA8AAAAAAAAAAQAgAAAAIgAAAGRycy9kb3ducmV2LnhtbFBLAQIUABQAAAAIAIdO4kAz&#10;LwWeOwAAADkAAAAQAAAAAAAAAAEAIAAAAA4BAABkcnMvc2hhcGV4bWwueG1sUEsFBgAAAAAGAAYA&#10;WwEAALgDAAAAAA==&#10;">
                <v:fill on="f" focussize="0,0"/>
                <v:stroke weight="0.71992125984252pt" color="#622423" joinstyle="round"/>
                <v:imagedata o:title=""/>
                <o:lock v:ext="edit" aspectratio="f"/>
              </v:line>
            </v:group>
          </w:pict>
        </mc:Fallback>
      </mc:AlternateContent>
    </w:r>
    <w:r>
      <w:rPr>
        <w:lang w:val="en-US" w:bidi="ar-SA"/>
      </w:rPr>
      <mc:AlternateContent>
        <mc:Choice Requires="wps">
          <w:drawing>
            <wp:anchor distT="0" distB="0" distL="114300" distR="114300" simplePos="0" relativeHeight="251663360" behindDoc="1" locked="0" layoutInCell="1" allowOverlap="1">
              <wp:simplePos x="0" y="0"/>
              <wp:positionH relativeFrom="page">
                <wp:posOffset>5181600</wp:posOffset>
              </wp:positionH>
              <wp:positionV relativeFrom="page">
                <wp:posOffset>470535</wp:posOffset>
              </wp:positionV>
              <wp:extent cx="1241425" cy="160020"/>
              <wp:effectExtent l="0" t="0" r="0" b="0"/>
              <wp:wrapNone/>
              <wp:docPr id="78" name="文本框 22"/>
              <wp:cNvGraphicFramePr/>
              <a:graphic xmlns:a="http://schemas.openxmlformats.org/drawingml/2006/main">
                <a:graphicData uri="http://schemas.microsoft.com/office/word/2010/wordprocessingShape">
                  <wps:wsp>
                    <wps:cNvSpPr txBox="1"/>
                    <wps:spPr>
                      <a:xfrm>
                        <a:off x="0" y="0"/>
                        <a:ext cx="1241425" cy="160020"/>
                      </a:xfrm>
                      <a:prstGeom prst="rect">
                        <a:avLst/>
                      </a:prstGeom>
                      <a:noFill/>
                      <a:ln>
                        <a:noFill/>
                      </a:ln>
                    </wps:spPr>
                    <wps:txbx>
                      <w:txbxContent>
                        <w:p/>
                      </w:txbxContent>
                    </wps:txbx>
                    <wps:bodyPr lIns="0" tIns="0" rIns="0" bIns="0" upright="1"/>
                  </wps:wsp>
                </a:graphicData>
              </a:graphic>
            </wp:anchor>
          </w:drawing>
        </mc:Choice>
        <mc:Fallback>
          <w:pict>
            <v:shape id="文本框 22" o:spid="_x0000_s1026" o:spt="202" type="#_x0000_t202" style="position:absolute;left:0pt;margin-left:408pt;margin-top:37.05pt;height:12.6pt;width:97.75pt;mso-position-horizontal-relative:page;mso-position-vertical-relative:page;z-index:-251653120;mso-width-relative:page;mso-height-relative:page;" filled="f" stroked="f" coordsize="21600,21600" o:gfxdata="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MPVc3ZAAAACgEAAA8AAAAAAAAAAQAgAAAAIgAAAGRycy9kb3ducmV2LnhtbFBL&#10;AQIUABQAAAAIAIdO4kA6ymr4vAEAAHQDAAAOAAAAAAAAAAEAIAAAACgBAABkcnMvZTJvRG9jLnht&#10;bFBLBQYAAAAABgAGAFkBAABWBQAAAAA=&#10;">
              <v:fill on="f" focussize="0,0"/>
              <v:stroke on="f"/>
              <v:imagedata o:title=""/>
              <o:lock v:ext="edit" aspectratio="f"/>
              <v:textbox inset="0mm,0mm,0mm,0mm">
                <w:txbxContent>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47BAEA"/>
    <w:multiLevelType w:val="multilevel"/>
    <w:tmpl w:val="1447BAEA"/>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pStyle w:val="6"/>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wYmZiMGUyMDMzNGNkNWQxYjg1MDkxNzE1NmUxZTIifQ=="/>
  </w:docVars>
  <w:rsids>
    <w:rsidRoot w:val="1AAD1BF2"/>
    <w:rsid w:val="04F5229A"/>
    <w:rsid w:val="09794FD0"/>
    <w:rsid w:val="0DFA581B"/>
    <w:rsid w:val="1AAD1BF2"/>
    <w:rsid w:val="2B7F6D33"/>
    <w:rsid w:val="2BA03472"/>
    <w:rsid w:val="3B692505"/>
    <w:rsid w:val="3FBD419A"/>
    <w:rsid w:val="4924036F"/>
    <w:rsid w:val="58E35530"/>
    <w:rsid w:val="5D9B5FB5"/>
    <w:rsid w:val="654036F0"/>
    <w:rsid w:val="75575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ind w:firstLine="600" w:firstLineChars="200"/>
    </w:pPr>
    <w:rPr>
      <w:rFonts w:ascii="宋体" w:hAnsi="宋体" w:eastAsia="仿宋" w:cs="宋体"/>
      <w:sz w:val="30"/>
      <w:szCs w:val="22"/>
      <w:lang w:val="zh-CN" w:eastAsia="zh-CN" w:bidi="zh-CN"/>
    </w:rPr>
  </w:style>
  <w:style w:type="paragraph" w:styleId="3">
    <w:name w:val="heading 1"/>
    <w:basedOn w:val="1"/>
    <w:next w:val="1"/>
    <w:qFormat/>
    <w:uiPriority w:val="1"/>
    <w:pPr>
      <w:numPr>
        <w:ilvl w:val="0"/>
        <w:numId w:val="1"/>
      </w:numPr>
      <w:ind w:left="578" w:firstLineChars="0"/>
      <w:outlineLvl w:val="0"/>
    </w:pPr>
    <w:rPr>
      <w:rFonts w:ascii="Microsoft JhengHei" w:hAnsi="Microsoft JhengHei" w:eastAsia="宋体" w:cs="Microsoft JhengHei"/>
      <w:b/>
      <w:bCs/>
      <w:sz w:val="36"/>
      <w:szCs w:val="32"/>
    </w:rPr>
  </w:style>
  <w:style w:type="paragraph" w:styleId="4">
    <w:name w:val="heading 2"/>
    <w:basedOn w:val="1"/>
    <w:next w:val="1"/>
    <w:qFormat/>
    <w:uiPriority w:val="1"/>
    <w:pPr>
      <w:numPr>
        <w:ilvl w:val="1"/>
        <w:numId w:val="1"/>
      </w:numPr>
      <w:ind w:left="0" w:firstLine="0" w:firstLineChars="0"/>
      <w:outlineLvl w:val="1"/>
    </w:pPr>
    <w:rPr>
      <w:rFonts w:ascii="Microsoft JhengHei" w:hAnsi="Microsoft JhengHei" w:eastAsia="Microsoft JhengHei" w:cs="Microsoft JhengHei"/>
      <w:b/>
      <w:bCs/>
      <w:sz w:val="30"/>
      <w:szCs w:val="30"/>
    </w:rPr>
  </w:style>
  <w:style w:type="paragraph" w:styleId="5">
    <w:name w:val="heading 3"/>
    <w:basedOn w:val="1"/>
    <w:next w:val="1"/>
    <w:qFormat/>
    <w:uiPriority w:val="1"/>
    <w:pPr>
      <w:numPr>
        <w:ilvl w:val="2"/>
        <w:numId w:val="1"/>
      </w:numPr>
      <w:ind w:left="0" w:firstLine="400" w:firstLineChars="0"/>
      <w:outlineLvl w:val="2"/>
    </w:pPr>
    <w:rPr>
      <w:rFonts w:ascii="Microsoft JhengHei" w:hAnsi="Microsoft JhengHei" w:eastAsia="Microsoft JhengHei" w:cs="Microsoft JhengHei"/>
      <w:b/>
      <w:bCs/>
      <w:sz w:val="27"/>
      <w:szCs w:val="27"/>
    </w:rPr>
  </w:style>
  <w:style w:type="paragraph" w:styleId="6">
    <w:name w:val="heading 4"/>
    <w:basedOn w:val="1"/>
    <w:next w:val="1"/>
    <w:qFormat/>
    <w:uiPriority w:val="1"/>
    <w:pPr>
      <w:numPr>
        <w:ilvl w:val="3"/>
        <w:numId w:val="1"/>
      </w:numPr>
      <w:ind w:left="0" w:firstLine="402" w:firstLineChars="0"/>
      <w:outlineLvl w:val="3"/>
    </w:pPr>
    <w:rPr>
      <w:rFonts w:ascii="Microsoft JhengHei" w:hAnsi="Microsoft JhengHei" w:eastAsia="Microsoft JhengHei" w:cs="Microsoft JhengHei"/>
      <w:b/>
      <w:bCs/>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firstLine="402"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9">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10">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11">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18">
    <w:name w:val="Default Paragraph Font"/>
    <w:semiHidden/>
    <w:qFormat/>
    <w:uiPriority w:val="0"/>
  </w:style>
  <w:style w:type="table" w:default="1" w:styleId="17">
    <w:name w:val="Normal Table"/>
    <w:semiHidden/>
    <w:uiPriority w:val="0"/>
    <w:tblPr>
      <w:tblCellMar>
        <w:top w:w="0" w:type="dxa"/>
        <w:left w:w="108" w:type="dxa"/>
        <w:bottom w:w="0" w:type="dxa"/>
        <w:right w:w="108" w:type="dxa"/>
      </w:tblCellMar>
    </w:tblPr>
  </w:style>
  <w:style w:type="paragraph" w:styleId="2">
    <w:name w:val="Body Text"/>
    <w:basedOn w:val="1"/>
    <w:qFormat/>
    <w:uiPriority w:val="1"/>
  </w:style>
  <w:style w:type="paragraph" w:styleId="12">
    <w:name w:val="toc 3"/>
    <w:basedOn w:val="1"/>
    <w:next w:val="1"/>
    <w:qFormat/>
    <w:uiPriority w:val="39"/>
    <w:pPr>
      <w:spacing w:before="37"/>
      <w:ind w:left="62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pPr>
      <w:spacing w:before="3"/>
      <w:ind w:left="140"/>
    </w:pPr>
  </w:style>
  <w:style w:type="paragraph" w:styleId="16">
    <w:name w:val="toc 2"/>
    <w:basedOn w:val="1"/>
    <w:next w:val="1"/>
    <w:qFormat/>
    <w:uiPriority w:val="39"/>
    <w:pPr>
      <w:spacing w:before="36"/>
      <w:ind w:left="836" w:hanging="276"/>
    </w:pPr>
  </w:style>
  <w:style w:type="character" w:styleId="19">
    <w:name w:val="Hyperlink"/>
    <w:basedOn w:val="18"/>
    <w:unhideWhenUsed/>
    <w:qFormat/>
    <w:uiPriority w:val="99"/>
    <w:rPr>
      <w:color w:val="0026E5" w:themeColor="hyperlink"/>
      <w:u w:val="single"/>
      <w14:textFill>
        <w14:solidFill>
          <w14:schemeClr w14:val="hlink"/>
        </w14:solidFill>
      </w14:textFill>
    </w:rPr>
  </w:style>
  <w:style w:type="paragraph" w:customStyle="1" w:styleId="20">
    <w:name w:val="TOC Heading"/>
    <w:basedOn w:val="3"/>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bCs w:val="0"/>
      <w:color w:val="2E54A1" w:themeColor="accent1" w:themeShade="BF"/>
      <w:lang w:val="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2024-01-22T08:16:00Z</dcterms:created>
  <dc:creator>零度time</dc:creator>
  <cp:lastModifiedBy>零度time</cp:lastModifiedBy>
  <dcterms:modified xsi:type="dcterms:W3CDTF">2024-01-29T01:18:01Z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F80237622400489CAC328E579EB2A945_13</vt:lpwstr>
  </property>
</Properties>
</file>