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4C1A33" w:rsidRPr="004C1A33">
        <w:trPr>
          <w:trHeight w:val="750"/>
          <w:tblCellSpacing w:w="0" w:type="dxa"/>
          <w:jc w:val="center"/>
        </w:trPr>
        <w:tc>
          <w:tcPr>
            <w:tcW w:w="0" w:type="auto"/>
            <w:vAlign w:val="center"/>
            <w:hideMark/>
          </w:tcPr>
          <w:p w:rsidR="004C1A33" w:rsidRPr="004C1A33" w:rsidRDefault="004C1A33" w:rsidP="004C1A33">
            <w:pPr>
              <w:widowControl/>
              <w:spacing w:line="750" w:lineRule="atLeast"/>
              <w:jc w:val="center"/>
              <w:rPr>
                <w:rFonts w:ascii="宋体" w:eastAsia="宋体" w:hAnsi="宋体" w:cs="宋体"/>
                <w:color w:val="006699"/>
                <w:kern w:val="0"/>
                <w:sz w:val="27"/>
                <w:szCs w:val="27"/>
              </w:rPr>
            </w:pPr>
            <w:r w:rsidRPr="004C1A33">
              <w:rPr>
                <w:rFonts w:ascii="宋体" w:eastAsia="宋体" w:hAnsi="宋体" w:cs="宋体" w:hint="eastAsia"/>
                <w:b/>
                <w:bCs/>
                <w:color w:val="006699"/>
                <w:kern w:val="0"/>
                <w:sz w:val="27"/>
                <w:szCs w:val="27"/>
              </w:rPr>
              <w:t>优化营商环境条例（国务院令 第722号）</w:t>
            </w:r>
          </w:p>
        </w:tc>
      </w:tr>
      <w:tr w:rsidR="004C1A33" w:rsidRPr="004C1A33" w:rsidTr="004C1A33">
        <w:trPr>
          <w:tblCellSpacing w:w="0" w:type="dxa"/>
          <w:jc w:val="center"/>
        </w:trPr>
        <w:tc>
          <w:tcPr>
            <w:tcW w:w="0" w:type="auto"/>
            <w:vAlign w:val="center"/>
          </w:tcPr>
          <w:p w:rsidR="004C1A33" w:rsidRPr="004C1A33" w:rsidRDefault="004C1A33" w:rsidP="004C1A33">
            <w:pPr>
              <w:widowControl/>
              <w:spacing w:line="375" w:lineRule="atLeast"/>
              <w:jc w:val="left"/>
              <w:rPr>
                <w:rFonts w:ascii="宋体" w:eastAsia="宋体" w:hAnsi="宋体" w:cs="宋体" w:hint="eastAsia"/>
                <w:kern w:val="0"/>
                <w:szCs w:val="21"/>
              </w:rPr>
            </w:pPr>
          </w:p>
        </w:tc>
      </w:tr>
      <w:tr w:rsidR="004C1A33" w:rsidRPr="004C1A33" w:rsidTr="004C1A33">
        <w:trPr>
          <w:tblCellSpacing w:w="0" w:type="dxa"/>
          <w:jc w:val="center"/>
        </w:trPr>
        <w:tc>
          <w:tcPr>
            <w:tcW w:w="0" w:type="auto"/>
            <w:vAlign w:val="center"/>
          </w:tcPr>
          <w:p w:rsidR="004C1A33" w:rsidRPr="004C1A33" w:rsidRDefault="004C1A33" w:rsidP="004C1A33">
            <w:pPr>
              <w:widowControl/>
              <w:spacing w:line="375" w:lineRule="atLeast"/>
              <w:jc w:val="left"/>
              <w:rPr>
                <w:rFonts w:ascii="宋体" w:eastAsia="宋体" w:hAnsi="宋体" w:cs="宋体"/>
                <w:kern w:val="0"/>
                <w:szCs w:val="21"/>
              </w:rPr>
            </w:pPr>
          </w:p>
        </w:tc>
      </w:tr>
      <w:tr w:rsidR="004C1A33" w:rsidRPr="004C1A33">
        <w:trPr>
          <w:trHeight w:val="750"/>
          <w:tblCellSpacing w:w="0" w:type="dxa"/>
          <w:jc w:val="center"/>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7163"/>
            </w:tblGrid>
            <w:tr w:rsidR="004C1A33" w:rsidRPr="004C1A33">
              <w:trPr>
                <w:tblCellSpacing w:w="0" w:type="dxa"/>
                <w:jc w:val="center"/>
              </w:trPr>
              <w:tc>
                <w:tcPr>
                  <w:tcW w:w="0" w:type="auto"/>
                  <w:vAlign w:val="center"/>
                  <w:hideMark/>
                </w:tcPr>
                <w:p w:rsidR="004C1A33" w:rsidRPr="004C1A33" w:rsidRDefault="004C1A33" w:rsidP="004C1A33">
                  <w:pPr>
                    <w:widowControl/>
                    <w:spacing w:line="240" w:lineRule="atLeast"/>
                    <w:jc w:val="left"/>
                    <w:rPr>
                      <w:rFonts w:ascii="宋体" w:eastAsia="宋体" w:hAnsi="宋体" w:cs="宋体" w:hint="eastAsia"/>
                      <w:kern w:val="0"/>
                      <w:sz w:val="20"/>
                      <w:szCs w:val="20"/>
                    </w:rPr>
                  </w:pP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bookmarkStart w:id="0" w:name="_GoBack"/>
                  <w:bookmarkEnd w:id="0"/>
                  <w:r w:rsidRPr="004C1A33">
                    <w:rPr>
                      <w:rFonts w:ascii="宋体" w:eastAsia="宋体" w:hAnsi="宋体" w:cs="宋体" w:hint="eastAsia"/>
                      <w:color w:val="333333"/>
                      <w:kern w:val="0"/>
                      <w:sz w:val="24"/>
                      <w:szCs w:val="24"/>
                    </w:rPr>
                    <w:t>《优化营商环境条例》已经2019年10月8日国务院第66次常务会议通过，现予公布，自2020年1月1日起施行。</w:t>
                  </w:r>
                </w:p>
                <w:p w:rsidR="004C1A33" w:rsidRPr="004C1A33" w:rsidRDefault="004C1A33" w:rsidP="004C1A33">
                  <w:pPr>
                    <w:widowControl/>
                    <w:shd w:val="clear" w:color="auto" w:fill="FFFFFF"/>
                    <w:spacing w:line="480" w:lineRule="auto"/>
                    <w:ind w:firstLine="480"/>
                    <w:jc w:val="righ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总　理　　李克强</w:t>
                  </w:r>
                </w:p>
                <w:p w:rsidR="004C1A33" w:rsidRPr="004C1A33" w:rsidRDefault="004C1A33" w:rsidP="004C1A33">
                  <w:pPr>
                    <w:widowControl/>
                    <w:shd w:val="clear" w:color="auto" w:fill="FFFFFF"/>
                    <w:spacing w:line="480" w:lineRule="auto"/>
                    <w:ind w:firstLine="480"/>
                    <w:jc w:val="righ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2019年10月22日</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优化营商环境条例</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第一章　总　　则</w:t>
                  </w:r>
                </w:p>
                <w:p w:rsidR="004C1A33" w:rsidRPr="004C1A33" w:rsidRDefault="004C1A33" w:rsidP="004C1A33">
                  <w:pPr>
                    <w:widowControl/>
                    <w:shd w:val="clear" w:color="auto" w:fill="FFFFFF"/>
                    <w:spacing w:line="480" w:lineRule="auto"/>
                    <w:ind w:firstLine="480"/>
                    <w:jc w:val="lef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第一条　为了持续优化营商环境，不断解放和发展社会生产力，加快建设现代化经济体系，推动高质量发展，制定本条例。</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第二条　本条例所称营商环境，是指企业等市场主体在市场经济活动中所涉及的体制机制性因素和条件。</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第三条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各级人民政府及其部门应当坚持政务公开透明，以公开为常态、不公开为例外，全面推进决策、执行、管理、服务、结果公开。</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第四条　优化营商环境应当坚持市场化、法治化、国际化原则，以市场主体需求为导向，以深刻转变政府职能为核心，创新体制机制、</w:t>
                  </w:r>
                  <w:r w:rsidRPr="004C1A33">
                    <w:rPr>
                      <w:rFonts w:ascii="宋体" w:eastAsia="宋体" w:hAnsi="宋体" w:cs="宋体" w:hint="eastAsia"/>
                      <w:color w:val="333333"/>
                      <w:kern w:val="0"/>
                      <w:sz w:val="24"/>
                      <w:szCs w:val="24"/>
                    </w:rPr>
                    <w:lastRenderedPageBreak/>
                    <w:t>强化协同联动、完善法治保障，对标国际先进水平，为各类市场主体投资兴业营造稳定、公平、透明、可预期的良好环境。</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第五条　国家加快建立统一开放、竞争有序的现代市场体系，依法促进各类生产要素自由流动，保障各类市场主体公平参与市场竞争。</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第六条　国家鼓励、支持、引导非公有制经济发展，激发非公有制经济活力和创造力。</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国家进一步扩大对外开放，积极促进外商投资，平等对待内资企业、外商投资企业等各类市场主体。</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第七条　各级人民政府应当加强对优化营商环境工作的组织领导，完善优化营商环境的政策措施，建立健全统筹推进、督促落实优化营商环境工作的相关机制，及时协调、解决优化营商环境工作中的重大问题。</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县级以上人民政府有关部门应当按照职责分工，做好优化营商环境的相关工作。县级以上地方人民政府根据实际情况，可以明确优化营商环境工作的主管部门。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国家鼓励和支持各地区、各部门结合实际情况，在法治框架内积极探索原创性、差异化的优化营商环境具体措施；对探索中出现失误或者偏差，符合规定条件的，可以予以免责或者减轻责任。</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第八条　国家建立和完善以市场主体和社会公众满意度为导向的营商环境评价体系，发挥营商环境评价对优化营商环境的引领和督促作用。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开展营商环境评价，不得影响各地区、各部门正常工作，不得影响市场主体正常生产经营活动或者增加市场主体负担。</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任何单位不得利用营商环境评价谋取利益。</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第九条　市场主体应当遵守法律法规，恪守社会公德和商业道德，诚实守信、公平竞争，履行安全、质量、劳动者权益保护、消费者权益保护等方面的法定义务，在国际经贸活动中遵循国际通行规则。</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第二章　市场主体保护</w:t>
                  </w:r>
                </w:p>
                <w:p w:rsidR="004C1A33" w:rsidRPr="004C1A33" w:rsidRDefault="004C1A33" w:rsidP="004C1A33">
                  <w:pPr>
                    <w:widowControl/>
                    <w:shd w:val="clear" w:color="auto" w:fill="FFFFFF"/>
                    <w:spacing w:line="480" w:lineRule="auto"/>
                    <w:ind w:firstLine="480"/>
                    <w:jc w:val="lef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第十条　国家坚持权利平等、机会平等、规则平等，保障各种所有制经济平等受到法律保护。</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第十一条　市场主体依法享有经营自主权。对依法应当由市场主体自主决策的各类事项，任何单位和个人不得干预。</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第十二条　国家保障各类市场主体依法平等使用资金、技术、人力资源、土地使用权及其他自然资源等各类生产要素和公共服务资源。</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第十三条　招标投标和政府采购应当公开透明、公平公正，依法平等对待各类所有制和不同地区的市场主体，不得以不合理条件或者产品产地来源等进行限制或者排斥。</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政府有关部门应当加强招标投标和政府采购监管，依法纠正和查处违法违规行为。</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第十四条　国家依法保护市场主体的财产权和其他合法权益，保护企业经营者人身和财产安全。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严禁违反法定权限、条件、程序对市场主体的财产和企业经营者个人财产实施查封、冻结和扣押等行政强制措施；依法确需实施前述行政强制措施的，应当限定在所必需的范围内。</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禁止在法律、法规规定之外要求市场主体提供财力、物力或者人力的摊派行为。市场主体有权拒绝任何形式的摊派。</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第十五条　国家建立知识产权侵权惩罚性赔偿制度，推动建立知识产权快速协同保护机制，健全知识产权纠纷多元化解决机制和知识产权维权援助机制，加大对知识产权的保护力度。</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国家持续深化商标注册、专利申请便利化改革，提高商标注册、专利申请审查效率。</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第十六条　国家加大中小投资者权益保护力度，完善中小投资者权益保护机制，保障中小投资者的知情权、参与权，提升中小投资者维护合法权益的便利度。</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第十七条　除法律、法规另有规定外，市场主体有权自主决定加入或者退出行业协会商会等社会组织，任何单位和个人不得干预。</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除法律、法规另有规定外，任何单位和个人不得强制或者变相强制市场主体参加评比、达标、表彰、培训、考核、考试以及类似活动，不得借前述活动向市场主体收费或者变相收费。</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第十八条　国家推动建立全国统一的市场主体维权服务平台，为市场主体提供高效、便捷的维权服务。</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第三章　市场环境</w:t>
                  </w:r>
                </w:p>
                <w:p w:rsidR="004C1A33" w:rsidRPr="004C1A33" w:rsidRDefault="004C1A33" w:rsidP="004C1A33">
                  <w:pPr>
                    <w:widowControl/>
                    <w:shd w:val="clear" w:color="auto" w:fill="FFFFFF"/>
                    <w:spacing w:line="480" w:lineRule="auto"/>
                    <w:ind w:firstLine="480"/>
                    <w:jc w:val="lef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第十九条　国家持续深化商事制度改革，统一企业登记业务规范，统一数据标准和平台服务接口，采用统一社会信用代码进行登记管理。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政府有关部门应当按照国家有关规定，简化企业从申请设立到具备一般性经营条件所需办理的手续。在国家规定的企业开办时限内，各地区应当确定并公开具体办理时间。</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企业申请办理住所等相关变更登记的，有关部门应当依法及时办理，不得限制。除法律、法规、规章另有规定外，企业迁移后其持有的有效许可证件不再重复办理。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第二十条　国家持续放宽市场准入，并实行全国统一的市场准入负面清单制度。市场准入负面清单以外的领域，各类市场主体均可以依法平等进入。</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各地区、各部门不得另行制定市场准入性质的负面清单。</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第二十一条　政府有关部门应当加大反垄断和反不正当竞争执法力度，有效预防和制止市场经济活动中的垄断行为、不正当竞争行为以及滥用行政权力排除、限制竞争的行为，营造公平竞争的市场环境。</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第二十二条　国家建立健全统一开放、竞争有序的人力资源市场体系，打破城乡、地区、行业分割和身份、性别等歧视，促进人力资源有序社会性流动和合理配置。</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第二十三条　政府及其有关部门应当完善政策措施、强化创新服务，鼓励和支持市场主体拓展创新空间，持续推进产品、技术、商业模式、管理等创新，充分发挥市场主体在推动科技成果转化中的作用。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第二十四条　政府及其有关部门应当严格落实国家各项减税降费政策，及时研究解决政策落实中的具体问题，确保减税降费政策全面、及时惠及市场主体。</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第二十五条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第二十六条　国家鼓励和支持金融机构加大对民营企业、中小企业的支持力度，降低民营企业、中小企业综合融资成本。</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金融监督管理部门应当完善对商业银行等金融机构的监管考核和激励机制，鼓励、引导其增加对民营企业、中小企业的信贷投放，并合理增加中长期贷款和信用贷款支持，提高贷款审批效率。</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第二十七条　国家促进多层次资本市场规范健康发展，拓宽市场主体融资渠道，支持符合条件的民营企业、中小企业依法发行股票、债券以及其他融资工具，扩大直接融资规模。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政府有关部门应当加强对公用企事业单位运营的监督管理。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第二十九条　行业协会商会应当依照法律、法规和章程，加强行业自律，及时反映行业诉求，为市场主体提供信息咨询、宣传培训、市场拓展、权益保护、纠纷处理等方面的服务。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国家依法严格规范行业协会商会的收费、评比、认证等行为。</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第三十条　国家加强社会信用体系建设，持续推进政务诚信、商务诚信、社会诚信和司法公信建设，提高全社会诚信意识和信用水平，维护信用信息安全，严格保护商业秘密和个人隐私。</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第三十二条　国家机关、事业单位不得违约拖欠市场主体的货物、工程、服务等账款，大型企业不得利用优势地位拖欠中小企业账款。</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县级以上人民政府及其有关部门应当加大对国家机关、事业单位拖欠市场主体账款的清理力度，并通过加强预算管理、严格责任追究等措施，建立防范和治理国家机关、事业单位拖欠市场主体账款的长效机制。</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第三十三条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县级以上地方人民政府应当根据需要建立企业破产工作协调机制，协调解决企业破产过程中涉及的有关问题。</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lastRenderedPageBreak/>
                    <w:t>第四章　政务服务</w:t>
                  </w:r>
                </w:p>
                <w:p w:rsidR="004C1A33" w:rsidRPr="004C1A33" w:rsidRDefault="004C1A33" w:rsidP="004C1A33">
                  <w:pPr>
                    <w:widowControl/>
                    <w:shd w:val="clear" w:color="auto" w:fill="FFFFFF"/>
                    <w:spacing w:line="480" w:lineRule="auto"/>
                    <w:ind w:firstLine="480"/>
                    <w:jc w:val="left"/>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第三十四条　政府及其有关部门应当进一步增强服务意识，切实转变工作作风，为市场主体提供规范、便利、高效的政务服务。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地方各级人民政府已设立政务服务大厅的，本行政区域内各类政务服务事项一般应当进驻政务服务大厅统一办理。对政务服务大厅中</w:t>
                  </w:r>
                  <w:r w:rsidRPr="004C1A33">
                    <w:rPr>
                      <w:rFonts w:ascii="宋体" w:eastAsia="宋体" w:hAnsi="宋体" w:cs="宋体" w:hint="eastAsia"/>
                      <w:color w:val="333333"/>
                      <w:kern w:val="0"/>
                      <w:sz w:val="24"/>
                      <w:szCs w:val="24"/>
                    </w:rPr>
                    <w:lastRenderedPageBreak/>
                    <w:t>部门分设的服务窗口，应当创造条件整合为综合窗口，提供一站式服务。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第三十七条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国家建立电子证照共享服务系统，实现电子证照跨地区、跨部门共享和全国范围内互信互认。各地区、各部门应当加强电子证照的推广应用。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各地区、各部门应当推动政务服务大厅与政务服务平台全面对接融合。市场主体有权自主选择政务服务办理渠道，行政机关不得限定办理渠道。</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第三十八条　政府及其有关部门应当通过政府网站、一体化在线平台，集中公布涉及市场主体的法律、法规、规章、行政规范性文件和各类政策措施，并通过多种途径和方式加强宣传解读。</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第三十九条　国家严格控制新设行政许可。新设行政许可应当按照行政许可法和国务院的规定严格设定标准，并进行合法性、必要性</w:t>
                  </w:r>
                  <w:r w:rsidRPr="004C1A33">
                    <w:rPr>
                      <w:rFonts w:ascii="宋体" w:eastAsia="宋体" w:hAnsi="宋体" w:cs="宋体" w:hint="eastAsia"/>
                      <w:color w:val="333333"/>
                      <w:kern w:val="0"/>
                      <w:sz w:val="24"/>
                      <w:szCs w:val="24"/>
                    </w:rPr>
                    <w:lastRenderedPageBreak/>
                    <w:t>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法律、行政法规和国务院决定对相关管理事项已作出规定，但未采取行政许可管理方式的，地方不得就该事项设定行政许可。对相关管理事项尚未制定法律、行政法规的，地方可以依法就该事项设定行政许可。</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第四十条　国家实行行政许可清单管理制度，适时调整行政许可清单并向社会公布，清单之外不得违法实施行政许可。</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国家大力精简已有行政许可。对已取消的行政许可，行政机关不得继续实施或者变相实施，不得转由行业协会商会或者其他组织实施。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对实行行政许可管理的事项，行政机关应当通过整合实施、下放审批层级等多种方式，优化审批服务，提高审批效率，减轻市场主体负担。符合相关条件和要求的，可以按照有关规定采取告知承诺的方式办理。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第四十二条　设区的市级以上地方人民政府应当按照国家有关规定，优化工程建设项目（不包括特殊工程和交通、水利、能源等领域的重大工程）审批流程，推行并联审批、多图联审、联合竣工验收等方式，简化审批手续，提高审批效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第四十三条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行政机关在行政审批过程中需要委托中介服务机构开展技术性服务的，应当通过竞争性方式选择中介服务机构，并自行承担服务费用，不得转嫁给市场主体承担。</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第四十四条　证明事项应当有法律、法规或者国务院决定依据。</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第四十六条　税务机关应当精简办税资料和流程，简并申报缴税次数，公开涉税事项办理时限，压减办税时间，加大推广使用电子发票的力度，逐步实现全程网上办税，持续优化纳税服务。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第四十七条　不动产登记机构应当按照国家有关规定，加强部门协作，实行不动产登记、交易和缴税一窗受理、并行办理，压缩办理时间，降低办理成本。在国家规定的不动产登记时限内，各地区应当确定并公开具体办理时间。</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国家推动建立统一的动产和权利担保登记公示系统，逐步实现市场主体在一个平台上办理动产和权利担保登记。纳入统一登记公示系统的动产和权利范围另行规定。</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建立政企沟通机制，应当充分尊重市场主体意愿，增强针对性和有效性，不得干扰市场主体正常生产经营活动，不得增加市场主体负担。</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第四十九条　政府及其有关部门应当建立便利、畅通的渠道，受理有关营商环境的投诉和举报。</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第五十条　新闻媒体应当及时、准确宣传优化营商环境的措施和成效，为优化营商环境创造良好舆论氛围。</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国家鼓励对营商环境进行舆论监督，但禁止捏造虚假信息或者歪曲事实进行不实报道。</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第五章　监管执法</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第五十一条　政府有关部门应当严格按照法律法规和职责，落实监管责任，明确监管对象和范围、厘清监管事权，依法对市场主体进行监管，实现监管全覆盖。</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第五十二条　国家健全公开透明的监管规则和标准体系。国务院有关部门应当分领域制定全国统一、简明易行的监管规则和标准，并向社会公开。</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第五十三条　政府及其有关部门应当按照国家关于加快构建以信用为基础的新型监管机制的要求，创新和完善信用监管，强化信用监管的支撑保障，加强信用监管的组织实施，不断提升信用监管效能。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第五十四条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第五十六条　政府及其有关部门应当充分运用互联网、大数据等技术手段，依托国家统一建立的在线监管系统，加强监管信息归集共</w:t>
                  </w:r>
                  <w:r w:rsidRPr="004C1A33">
                    <w:rPr>
                      <w:rFonts w:ascii="宋体" w:eastAsia="宋体" w:hAnsi="宋体" w:cs="宋体" w:hint="eastAsia"/>
                      <w:color w:val="333333"/>
                      <w:kern w:val="0"/>
                      <w:sz w:val="24"/>
                      <w:szCs w:val="24"/>
                    </w:rPr>
                    <w:lastRenderedPageBreak/>
                    <w:t>享和关联整合，推行以远程监管、移动监管、预警防控为特征的非现场监管，提升监管的精准化、智能化水平。</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第五十七条　国家建立健全跨部门、跨区域行政执法联动响应和协作机制，实现违法线索互联、监管标准互通、处理结果互认。</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国家统筹配置行政执法职能和执法资源，在相关领域推行综合行政执法，整合精简执法队伍，减少执法主体和执法层级，提高基层执法能力。</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禁止将罚没收入与行政执法机关利益挂钩。</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第六十条　国家健全行政执法自由裁量基准制度，合理确定裁量范围、种类和幅度，规范行政执法自由裁量权的行使。</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第六章　法治保障</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第六十一条　国家根据优化营商环境需要，依照法定权限和程序及时制定或者修改、废止有关法律、法规、规章、行政规范性文件。</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优化营商环境的改革措施涉及调整实施现行法律、行政法规等有关规定的，依照法定程序经有权机关授权后，可以先行先试。</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第六十二条　制定与市场主体生产经营活动密切相关的行政法规、规章、行政规范性文件，应当按照国务院的规定，充分听取市场主体、行业协会商会的意见。</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第六十三条　制定与市场主体生产经营活动密切相关的行政法规、规章、行政规范性文件，应当按照国务院的规定进行公平竞争审查。</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制定涉及市场主体权利义务的行政规范性文件，应当按照国务院的规定进行合法性审核。</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市场主体认为地方性法规同行政法规相抵触，或者认为规章同法律、行政法规相抵触的，可以向国务院书面提出审查建议，由有关机关按照规定程序处理。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第六十四条　没有法律、法规或者国务院决定和命令依据的，行政规范性文件不得减损市场主体合法权益或者增加其义务，不得设置市场准入和退出条件，不得干预市场主体正常生产经营活动。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涉及市场主体权利义务的行政规范性文件应当按照法定要求和程序予以公布，未经公布的不得作为行政管理依据。</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第六十五条　制定与市场主体生产经营活动密切相关的行政法规、规章、行政规范性文件，应当结合实际，确定是否为市场主体留出必要的适应调整期。</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政府及其有关部门应当统筹协调、合理把握规章、行政规范性文件等的出台节奏，全面评估政策效果，避免因政策叠加或者相互不协调对市场主体正常生产经营活动造成不利影响。</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第六十六条　国家完善调解、仲裁、行政裁决、行政复议、诉讼等有机衔接、相互协调的多元化纠纷解决机制，为市场主体提供高效、便捷的纠纷解决途径。</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第六十八条　政府及其有关部门应当整合律师、公证、司法鉴定、调解、仲裁等公共法律服务资源，加快推进公共法律服务体系建设，全面提升公共法律服务能力和水平，为优化营商环境提供全方位法律服务。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第六十九条　政府和有关部门及其工作人员有下列情形之一的，依法依规追究责任：</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（一）违法干预应当由市场主体自主决策的事项；</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（二）制定或者实施政策措施不依法平等对待各类市场主体；</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（三）违反法定权限、条件、程序对市场主体的财产和企业经营者个人财产实施查封、冻结和扣押等行政强制措施；</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（四）在法律、法规规定之外要求市场主体提供财力、物力或者人力；</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（五）没有法律、法规依据，强制或者变相强制市场主体参加评比、达标、表彰、培训、考核、考试以及类似活动，或者借前述活动向市场主体收费或者变相收费；</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（六）违法设立或者在目录清单之外执行政府性基金、涉企行政事业性收费、涉企保证金；</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（七）不履行向市场主体依法作出的政策承诺以及依法订立的各类合同，或者违约拖欠市场主体的货物、工程、服务等账款；</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（八）变相设定或者实施行政许可，继续实施或者变相实施已取消的行政许可，或者转由行业协会商会或者其他组织实施已取消的行政许可；</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（九）为市场主体指定或者变相指定中介服务机构，或者违法强制市场主体接受中介服务；</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（十）制定与市场主体生产经营活动密切相关的行政法规、规章、行政规范性文件时，不按照规定听取市场主体、行业协会商会的意见；</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lastRenderedPageBreak/>
                    <w:t>（十一）其他不履行优化营商环境职责或者损害营商环境的情形。</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第七十条　公用企事业单位有下列情形之一的，由有关部门责令改正，依法追究法律责任：</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（一）不向社会公开服务标准、资费标准、办理时限等信息；</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（二）强迫市场主体接受不合理的服务条件；</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（三）向市场主体收取不合理费用。</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第七十一条　行业协会商会、中介服务机构有下列情形之一的，由有关部门责令改正，依法追究法律责任：</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（一）违法开展收费、评比、认证等行为；</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（二）违法干预市场主体加入或者退出行业协会商会等社会组织；</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（三）没有法律、法规依据，强制或者变相强制市场主体参加评比、达标、表彰、培训、考核、考试以及类似活动，或者借前述活动向市场主体收费或者变相收费；</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（四）不向社会公开办理法定行政审批中介服务的条件、流程、时限、收费标准；</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（五）违法强制或者变相强制市场主体接受中介服务。</w:t>
                  </w:r>
                </w:p>
                <w:p w:rsidR="004C1A33" w:rsidRPr="004C1A33" w:rsidRDefault="004C1A33" w:rsidP="004C1A33">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4C1A33">
                    <w:rPr>
                      <w:rFonts w:ascii="宋体" w:eastAsia="宋体" w:hAnsi="宋体" w:cs="宋体" w:hint="eastAsia"/>
                      <w:b/>
                      <w:bCs/>
                      <w:color w:val="333333"/>
                      <w:kern w:val="0"/>
                      <w:sz w:val="24"/>
                      <w:szCs w:val="24"/>
                    </w:rPr>
                    <w:t>第七章　附　　则</w:t>
                  </w:r>
                </w:p>
                <w:p w:rsidR="004C1A33" w:rsidRPr="004C1A33" w:rsidRDefault="004C1A33" w:rsidP="004C1A33">
                  <w:pPr>
                    <w:widowControl/>
                    <w:shd w:val="clear" w:color="auto" w:fill="FFFFFF"/>
                    <w:spacing w:line="480" w:lineRule="auto"/>
                    <w:ind w:firstLine="480"/>
                    <w:rPr>
                      <w:rFonts w:ascii="宋体" w:eastAsia="宋体" w:hAnsi="宋体" w:cs="宋体" w:hint="eastAsia"/>
                      <w:color w:val="333333"/>
                      <w:kern w:val="0"/>
                      <w:sz w:val="24"/>
                      <w:szCs w:val="24"/>
                    </w:rPr>
                  </w:pPr>
                  <w:r w:rsidRPr="004C1A33">
                    <w:rPr>
                      <w:rFonts w:ascii="宋体" w:eastAsia="宋体" w:hAnsi="宋体" w:cs="宋体" w:hint="eastAsia"/>
                      <w:color w:val="333333"/>
                      <w:kern w:val="0"/>
                      <w:sz w:val="24"/>
                      <w:szCs w:val="24"/>
                    </w:rPr>
                    <w:t>第七十二条　本条例自2020年1月1日起施行。</w:t>
                  </w:r>
                </w:p>
                <w:p w:rsidR="004C1A33" w:rsidRPr="004C1A33" w:rsidRDefault="004C1A33" w:rsidP="004C1A33">
                  <w:pPr>
                    <w:widowControl/>
                    <w:spacing w:line="450" w:lineRule="atLeast"/>
                    <w:jc w:val="left"/>
                    <w:rPr>
                      <w:rFonts w:ascii="宋体" w:eastAsia="宋体" w:hAnsi="宋体" w:cs="宋体" w:hint="eastAsia"/>
                      <w:kern w:val="0"/>
                      <w:szCs w:val="21"/>
                    </w:rPr>
                  </w:pPr>
                  <w:hyperlink r:id="rId4" w:history="1">
                    <w:r w:rsidRPr="004C1A33">
                      <w:rPr>
                        <w:rFonts w:ascii="宋体" w:eastAsia="宋体" w:hAnsi="宋体" w:cs="宋体" w:hint="eastAsia"/>
                        <w:color w:val="3366FF"/>
                        <w:kern w:val="0"/>
                        <w:sz w:val="24"/>
                        <w:szCs w:val="24"/>
                        <w:shd w:val="clear" w:color="auto" w:fill="FFFFFF"/>
                      </w:rPr>
                      <w:t>》》解读：以政府立法为各类市场主体投资兴业提供制度保障——司法部、发展改革委负责人就《优化营商环境条例》有关问题答记者问</w:t>
                    </w:r>
                  </w:hyperlink>
                  <w:r w:rsidRPr="004C1A33">
                    <w:rPr>
                      <w:rFonts w:ascii="宋体" w:eastAsia="宋体" w:hAnsi="宋体" w:cs="宋体" w:hint="eastAsia"/>
                      <w:kern w:val="0"/>
                      <w:szCs w:val="21"/>
                    </w:rPr>
                    <w:t xml:space="preserve"> </w:t>
                  </w:r>
                </w:p>
              </w:tc>
            </w:tr>
          </w:tbl>
          <w:p w:rsidR="004C1A33" w:rsidRPr="004C1A33" w:rsidRDefault="004C1A33" w:rsidP="004C1A33">
            <w:pPr>
              <w:widowControl/>
              <w:spacing w:line="450" w:lineRule="atLeast"/>
              <w:jc w:val="left"/>
              <w:rPr>
                <w:rFonts w:ascii="宋体" w:eastAsia="宋体" w:hAnsi="宋体" w:cs="宋体" w:hint="eastAsia"/>
                <w:kern w:val="0"/>
                <w:szCs w:val="21"/>
              </w:rPr>
            </w:pPr>
          </w:p>
        </w:tc>
      </w:tr>
    </w:tbl>
    <w:p w:rsidR="00872027" w:rsidRDefault="00872027"/>
    <w:sectPr w:rsidR="00872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33"/>
    <w:rsid w:val="004C1A33"/>
    <w:rsid w:val="0087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FF6AF-711F-423B-85A5-7C17FDA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1A33"/>
    <w:rPr>
      <w:strike w:val="0"/>
      <w:dstrike w:val="0"/>
      <w:color w:val="252525"/>
      <w:u w:val="none"/>
      <w:effect w:val="none"/>
    </w:rPr>
  </w:style>
  <w:style w:type="paragraph" w:styleId="a4">
    <w:name w:val="Normal (Web)"/>
    <w:basedOn w:val="a"/>
    <w:uiPriority w:val="99"/>
    <w:semiHidden/>
    <w:unhideWhenUsed/>
    <w:rsid w:val="004C1A3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1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468677">
      <w:bodyDiv w:val="1"/>
      <w:marLeft w:val="0"/>
      <w:marRight w:val="0"/>
      <w:marTop w:val="0"/>
      <w:marBottom w:val="0"/>
      <w:divBdr>
        <w:top w:val="none" w:sz="0" w:space="0" w:color="auto"/>
        <w:left w:val="none" w:sz="0" w:space="0" w:color="auto"/>
        <w:bottom w:val="none" w:sz="0" w:space="0" w:color="auto"/>
        <w:right w:val="none" w:sz="0" w:space="0" w:color="auto"/>
      </w:divBdr>
      <w:divsChild>
        <w:div w:id="1220288971">
          <w:marLeft w:val="0"/>
          <w:marRight w:val="0"/>
          <w:marTop w:val="100"/>
          <w:marBottom w:val="100"/>
          <w:divBdr>
            <w:top w:val="none" w:sz="0" w:space="0" w:color="auto"/>
            <w:left w:val="none" w:sz="0" w:space="0" w:color="auto"/>
            <w:bottom w:val="none" w:sz="0" w:space="0" w:color="auto"/>
            <w:right w:val="none" w:sz="0" w:space="0" w:color="auto"/>
          </w:divBdr>
          <w:divsChild>
            <w:div w:id="88938363">
              <w:marLeft w:val="0"/>
              <w:marRight w:val="0"/>
              <w:marTop w:val="0"/>
              <w:marBottom w:val="0"/>
              <w:divBdr>
                <w:top w:val="none" w:sz="0" w:space="0" w:color="auto"/>
                <w:left w:val="none" w:sz="0" w:space="0" w:color="auto"/>
                <w:bottom w:val="none" w:sz="0" w:space="0" w:color="auto"/>
                <w:right w:val="none" w:sz="0" w:space="0" w:color="auto"/>
              </w:divBdr>
              <w:divsChild>
                <w:div w:id="225994089">
                  <w:marLeft w:val="0"/>
                  <w:marRight w:val="0"/>
                  <w:marTop w:val="75"/>
                  <w:marBottom w:val="0"/>
                  <w:divBdr>
                    <w:top w:val="none" w:sz="0" w:space="0" w:color="auto"/>
                    <w:left w:val="none" w:sz="0" w:space="0" w:color="auto"/>
                    <w:bottom w:val="none" w:sz="0" w:space="0" w:color="auto"/>
                    <w:right w:val="none" w:sz="0" w:space="0" w:color="auto"/>
                  </w:divBdr>
                  <w:divsChild>
                    <w:div w:id="17975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ueyang.gov.cn/zcjd/47714/content_161376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1581</Words>
  <Characters>9013</Characters>
  <Application>Microsoft Office Word</Application>
  <DocSecurity>0</DocSecurity>
  <Lines>75</Lines>
  <Paragraphs>21</Paragraphs>
  <ScaleCrop>false</ScaleCrop>
  <Company>MS</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2020-10-29T07:57:00Z</dcterms:created>
  <dcterms:modified xsi:type="dcterms:W3CDTF">2020-10-29T08:01:00Z</dcterms:modified>
</cp:coreProperties>
</file>