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Arial" w:hAnsi="Arial" w:eastAsia="Arial" w:cs="Arial"/>
          <w:b w:val="0"/>
          <w:bCs w:val="0"/>
          <w:i w:val="0"/>
          <w:iCs w:val="0"/>
          <w:caps w:val="0"/>
          <w:color w:val="191919"/>
          <w:spacing w:val="0"/>
          <w:sz w:val="42"/>
          <w:szCs w:val="42"/>
        </w:rPr>
      </w:pPr>
      <w:r>
        <w:rPr>
          <w:rFonts w:hint="eastAsia" w:ascii="方正小标宋简体" w:hAnsi="方正小标宋简体" w:eastAsia="方正小标宋简体" w:cs="方正小标宋简体"/>
          <w:b w:val="0"/>
          <w:bCs w:val="0"/>
          <w:i w:val="0"/>
          <w:iCs w:val="0"/>
          <w:caps w:val="0"/>
          <w:color w:val="262626"/>
          <w:spacing w:val="0"/>
          <w:sz w:val="44"/>
          <w:szCs w:val="44"/>
          <w:shd w:val="clear" w:fill="FFFFFF"/>
          <w:lang w:val="en-US" w:eastAsia="zh-CN"/>
        </w:rPr>
        <w:t>鄂尔多斯市</w:t>
      </w:r>
      <w:r>
        <w:rPr>
          <w:rFonts w:hint="eastAsia" w:ascii="方正小标宋简体" w:hAnsi="方正小标宋简体" w:eastAsia="方正小标宋简体" w:cs="方正小标宋简体"/>
          <w:b w:val="0"/>
          <w:bCs w:val="0"/>
          <w:i w:val="0"/>
          <w:iCs w:val="0"/>
          <w:caps w:val="0"/>
          <w:color w:val="262626"/>
          <w:spacing w:val="0"/>
          <w:sz w:val="44"/>
          <w:szCs w:val="44"/>
          <w:shd w:val="clear" w:fill="FFFFFF"/>
        </w:rPr>
        <w:t>公共资源交易中心</w:t>
      </w:r>
      <w:r>
        <w:rPr>
          <w:rFonts w:hint="eastAsia" w:ascii="方正小标宋简体" w:hAnsi="方正小标宋简体" w:eastAsia="方正小标宋简体" w:cs="方正小标宋简体"/>
          <w:b w:val="0"/>
          <w:bCs w:val="0"/>
          <w:i w:val="0"/>
          <w:iCs w:val="0"/>
          <w:caps w:val="0"/>
          <w:color w:val="262626"/>
          <w:spacing w:val="0"/>
          <w:sz w:val="44"/>
          <w:szCs w:val="44"/>
          <w:shd w:val="clear" w:fill="FFFFFF"/>
          <w:lang w:val="en-US" w:eastAsia="zh-CN"/>
        </w:rPr>
        <w:t>东胜区分中心</w:t>
      </w:r>
      <w:r>
        <w:rPr>
          <w:rFonts w:hint="default" w:ascii="方正小标宋简体" w:hAnsi="方正小标宋简体" w:eastAsia="方正小标宋简体" w:cs="方正小标宋简体"/>
          <w:b w:val="0"/>
          <w:bCs w:val="0"/>
          <w:i w:val="0"/>
          <w:iCs w:val="0"/>
          <w:caps w:val="0"/>
          <w:color w:val="262626"/>
          <w:spacing w:val="0"/>
          <w:sz w:val="44"/>
          <w:szCs w:val="44"/>
          <w:shd w:val="clear" w:fill="FFFFFF"/>
          <w:lang w:val="en-US" w:eastAsia="zh-CN"/>
        </w:rPr>
        <w:t>“四化”并举</w:t>
      </w:r>
      <w:r>
        <w:rPr>
          <w:rFonts w:hint="eastAsia" w:ascii="方正小标宋简体" w:hAnsi="方正小标宋简体" w:eastAsia="方正小标宋简体" w:cs="方正小标宋简体"/>
          <w:b w:val="0"/>
          <w:bCs w:val="0"/>
          <w:i w:val="0"/>
          <w:iCs w:val="0"/>
          <w:caps w:val="0"/>
          <w:color w:val="262626"/>
          <w:spacing w:val="0"/>
          <w:sz w:val="44"/>
          <w:szCs w:val="44"/>
          <w:shd w:val="clear" w:fill="FFFFFF"/>
          <w:lang w:val="en-US" w:eastAsia="zh-CN"/>
        </w:rPr>
        <w:t>创</w:t>
      </w:r>
      <w:r>
        <w:rPr>
          <w:rFonts w:hint="default" w:ascii="方正小标宋简体" w:hAnsi="方正小标宋简体" w:eastAsia="方正小标宋简体" w:cs="方正小标宋简体"/>
          <w:b w:val="0"/>
          <w:bCs w:val="0"/>
          <w:i w:val="0"/>
          <w:iCs w:val="0"/>
          <w:caps w:val="0"/>
          <w:color w:val="262626"/>
          <w:spacing w:val="0"/>
          <w:sz w:val="44"/>
          <w:szCs w:val="44"/>
          <w:shd w:val="clear" w:fill="FFFFFF"/>
          <w:lang w:val="en-US" w:eastAsia="zh-CN"/>
        </w:rPr>
        <w:t>优营商环境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right="0" w:firstLine="620"/>
        <w:jc w:val="left"/>
        <w:textAlignment w:val="auto"/>
        <w:rPr>
          <w:rFonts w:hint="eastAsia" w:ascii="仿宋_GB2312" w:eastAsia="仿宋_GB2312" w:cstheme="minorBidi"/>
          <w:b w:val="0"/>
          <w:kern w:val="2"/>
          <w:sz w:val="32"/>
          <w:szCs w:val="32"/>
          <w:lang w:val="en-US" w:eastAsia="zh-CN" w:bidi="ar-SA"/>
        </w:rPr>
      </w:pPr>
      <w:r>
        <w:rPr>
          <w:rFonts w:hint="eastAsia" w:ascii="仿宋_GB2312" w:eastAsia="仿宋_GB2312" w:cstheme="minorBidi"/>
          <w:b w:val="0"/>
          <w:kern w:val="2"/>
          <w:sz w:val="32"/>
          <w:szCs w:val="32"/>
          <w:lang w:val="en-US" w:eastAsia="zh-CN" w:bidi="ar-SA"/>
        </w:rPr>
        <w:t>2022年，鄂尔多斯市公共资源交易中心东胜区分中心始终坚持以服务人民群众为中心，锐意改革创新，主动担当作为，持续提升交易服务效能，助力优化营商环境。截至目前，今年共完成各类交易项目42项，完成评审38项，进场交易总额16489.66万元，中标（成交）金额15285.70万元，节约资金1204.01万元，溢价为0.05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right="0" w:firstLine="620"/>
        <w:jc w:val="left"/>
        <w:textAlignment w:val="auto"/>
        <w:rPr>
          <w:rFonts w:hint="default" w:ascii="仿宋_GB2312" w:eastAsia="仿宋_GB2312" w:cstheme="minorBidi"/>
          <w:b w:val="0"/>
          <w:kern w:val="2"/>
          <w:sz w:val="32"/>
          <w:szCs w:val="32"/>
          <w:lang w:val="en-US" w:eastAsia="zh-CN" w:bidi="ar-SA"/>
        </w:rPr>
      </w:pPr>
      <w:r>
        <w:rPr>
          <w:rFonts w:hint="eastAsia" w:ascii="仿宋_GB2312" w:eastAsia="仿宋_GB2312" w:cstheme="minorBidi"/>
          <w:b/>
          <w:bCs/>
          <w:kern w:val="2"/>
          <w:sz w:val="32"/>
          <w:szCs w:val="32"/>
          <w:lang w:val="en-US" w:eastAsia="zh-CN" w:bidi="ar-SA"/>
        </w:rPr>
        <w:t>交易全程数字化：</w:t>
      </w:r>
      <w:r>
        <w:rPr>
          <w:rFonts w:hint="eastAsia" w:ascii="仿宋_GB2312" w:hAnsi="仿宋_GB2312" w:eastAsia="仿宋_GB2312" w:cs="仿宋_GB2312"/>
          <w:b/>
          <w:bCs/>
          <w:kern w:val="2"/>
          <w:sz w:val="32"/>
          <w:szCs w:val="32"/>
          <w:lang w:val="en-US" w:eastAsia="zh-CN" w:bidi="ar-SA"/>
        </w:rPr>
        <w:t>对标先进，落实“一网通办”。</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b w:val="0"/>
          <w:kern w:val="2"/>
          <w:sz w:val="32"/>
          <w:szCs w:val="32"/>
          <w:lang w:val="en-US" w:eastAsia="zh-CN" w:bidi="ar-SA"/>
        </w:rPr>
        <w:t>按照</w:t>
      </w:r>
      <w:r>
        <w:rPr>
          <w:rFonts w:hint="eastAsia" w:ascii="仿宋_GB2312" w:eastAsia="仿宋_GB2312" w:hAnsiTheme="minorHAnsi" w:cstheme="minorBidi"/>
          <w:b w:val="0"/>
          <w:kern w:val="2"/>
          <w:sz w:val="32"/>
          <w:szCs w:val="32"/>
          <w:lang w:val="en-US" w:eastAsia="zh-CN" w:bidi="ar-SA"/>
        </w:rPr>
        <w:t>市交易中心</w:t>
      </w:r>
      <w:r>
        <w:rPr>
          <w:rFonts w:hint="eastAsia" w:ascii="仿宋_GB2312" w:eastAsia="仿宋_GB2312" w:cstheme="minorBidi"/>
          <w:b w:val="0"/>
          <w:kern w:val="2"/>
          <w:sz w:val="32"/>
          <w:szCs w:val="32"/>
          <w:lang w:val="en-US" w:eastAsia="zh-CN" w:bidi="ar-SA"/>
        </w:rPr>
        <w:t>统一部署，东胜区分中心在实现</w:t>
      </w:r>
      <w:r>
        <w:rPr>
          <w:rFonts w:hint="eastAsia" w:ascii="仿宋_GB2312" w:eastAsia="仿宋_GB2312" w:hAnsiTheme="minorHAnsi" w:cstheme="minorBidi"/>
          <w:b w:val="0"/>
          <w:kern w:val="2"/>
          <w:sz w:val="32"/>
          <w:szCs w:val="32"/>
          <w:lang w:val="en-US" w:eastAsia="zh-CN" w:bidi="ar-SA"/>
        </w:rPr>
        <w:t>进场交易</w:t>
      </w:r>
      <w:r>
        <w:rPr>
          <w:rFonts w:hint="eastAsia" w:ascii="仿宋_GB2312" w:eastAsia="仿宋_GB2312" w:cstheme="minorBidi"/>
          <w:b w:val="0"/>
          <w:kern w:val="2"/>
          <w:sz w:val="32"/>
          <w:szCs w:val="32"/>
          <w:lang w:val="en-US" w:eastAsia="zh-CN" w:bidi="ar-SA"/>
        </w:rPr>
        <w:t>工程建设项目</w:t>
      </w:r>
      <w:r>
        <w:rPr>
          <w:rFonts w:hint="eastAsia" w:ascii="仿宋_GB2312" w:eastAsia="仿宋_GB2312" w:hAnsiTheme="minorHAnsi" w:cstheme="minorBidi"/>
          <w:b w:val="0"/>
          <w:kern w:val="2"/>
          <w:sz w:val="32"/>
          <w:szCs w:val="32"/>
          <w:lang w:val="en-US" w:eastAsia="zh-CN" w:bidi="ar-SA"/>
        </w:rPr>
        <w:t>全流程电子化运行</w:t>
      </w:r>
      <w:r>
        <w:rPr>
          <w:rFonts w:hint="eastAsia" w:ascii="仿宋_GB2312" w:eastAsia="仿宋_GB2312" w:cstheme="minorBidi"/>
          <w:b w:val="0"/>
          <w:kern w:val="2"/>
          <w:sz w:val="32"/>
          <w:szCs w:val="32"/>
          <w:lang w:val="en-US" w:eastAsia="zh-CN" w:bidi="ar-SA"/>
        </w:rPr>
        <w:t>的基础上，进一步完善交易功能，</w:t>
      </w:r>
      <w:r>
        <w:rPr>
          <w:rFonts w:hint="eastAsia" w:ascii="仿宋_GB2312" w:eastAsia="仿宋_GB2312" w:hAnsiTheme="minorHAnsi" w:cstheme="minorBidi"/>
          <w:b w:val="0"/>
          <w:kern w:val="2"/>
          <w:sz w:val="32"/>
          <w:szCs w:val="32"/>
          <w:lang w:val="en-US" w:eastAsia="zh-CN" w:bidi="ar-SA"/>
        </w:rPr>
        <w:t>于</w:t>
      </w:r>
      <w:r>
        <w:rPr>
          <w:rFonts w:hint="eastAsia" w:ascii="仿宋_GB2312" w:eastAsia="仿宋_GB2312" w:cstheme="minorBidi"/>
          <w:b w:val="0"/>
          <w:kern w:val="2"/>
          <w:sz w:val="32"/>
          <w:szCs w:val="32"/>
          <w:lang w:val="en-US" w:eastAsia="zh-CN" w:bidi="ar-SA"/>
        </w:rPr>
        <w:t>2022年</w:t>
      </w:r>
      <w:r>
        <w:rPr>
          <w:rFonts w:hint="eastAsia" w:ascii="仿宋_GB2312" w:eastAsia="仿宋_GB2312" w:hAnsiTheme="minorHAnsi" w:cstheme="minorBidi"/>
          <w:b w:val="0"/>
          <w:kern w:val="2"/>
          <w:sz w:val="32"/>
          <w:szCs w:val="32"/>
          <w:lang w:val="en-US" w:eastAsia="zh-CN" w:bidi="ar-SA"/>
        </w:rPr>
        <w:t>6月25日</w:t>
      </w:r>
      <w:r>
        <w:rPr>
          <w:rFonts w:hint="eastAsia" w:ascii="仿宋_GB2312" w:eastAsia="仿宋_GB2312" w:cstheme="minorBidi"/>
          <w:b w:val="0"/>
          <w:kern w:val="2"/>
          <w:sz w:val="32"/>
          <w:szCs w:val="32"/>
          <w:lang w:val="en-US" w:eastAsia="zh-CN" w:bidi="ar-SA"/>
        </w:rPr>
        <w:t>完成合同在线签订功能</w:t>
      </w:r>
      <w:r>
        <w:rPr>
          <w:rFonts w:hint="eastAsia" w:ascii="仿宋_GB2312" w:eastAsia="仿宋_GB2312" w:hAnsiTheme="minorHAnsi" w:cstheme="minorBidi"/>
          <w:b w:val="0"/>
          <w:kern w:val="2"/>
          <w:sz w:val="32"/>
          <w:szCs w:val="32"/>
          <w:lang w:val="en-US" w:eastAsia="zh-CN" w:bidi="ar-SA"/>
        </w:rPr>
        <w:t>测试运行，实现进场交易项目全流程电子化闭合运行，落实“一网通办”，</w:t>
      </w:r>
      <w:r>
        <w:rPr>
          <w:rFonts w:hint="eastAsia" w:ascii="仿宋_GB2312" w:eastAsia="仿宋_GB2312"/>
          <w:color w:val="000000"/>
          <w:sz w:val="32"/>
          <w:szCs w:val="32"/>
          <w:lang w:val="en-US" w:eastAsia="zh-CN"/>
        </w:rPr>
        <w:t>确保交易行为动态留痕、流程可溯、责任可纠。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交易服务精细化：主动</w:t>
      </w:r>
      <w:r>
        <w:rPr>
          <w:rFonts w:hint="eastAsia" w:ascii="仿宋_GB2312" w:hAnsi="微软雅黑" w:eastAsia="仿宋_GB2312" w:cs="仿宋_GB2312"/>
          <w:b/>
          <w:bCs/>
          <w:color w:val="000000"/>
          <w:spacing w:val="0"/>
          <w:kern w:val="2"/>
          <w:sz w:val="32"/>
          <w:szCs w:val="32"/>
          <w:lang w:val="en-US" w:eastAsia="zh-CN" w:bidi="ar"/>
        </w:rPr>
        <w:t>靠前，</w:t>
      </w:r>
      <w:r>
        <w:rPr>
          <w:rFonts w:ascii="仿宋_GB2312" w:hAnsi="微软雅黑" w:eastAsia="仿宋_GB2312" w:cs="仿宋_GB2312"/>
          <w:b/>
          <w:bCs/>
          <w:color w:val="000000"/>
          <w:spacing w:val="0"/>
          <w:kern w:val="2"/>
          <w:sz w:val="32"/>
          <w:szCs w:val="32"/>
          <w:lang w:val="en-US" w:eastAsia="zh-CN" w:bidi="ar"/>
        </w:rPr>
        <w:t>做好接诉即办工作。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_GB2312" w:hAnsi="微软雅黑" w:eastAsia="仿宋_GB2312" w:cs="仿宋_GB2312"/>
          <w:color w:val="000000"/>
          <w:spacing w:val="0"/>
          <w:kern w:val="2"/>
          <w:sz w:val="32"/>
          <w:szCs w:val="32"/>
          <w:lang w:val="en-US" w:eastAsia="zh-CN" w:bidi="ar"/>
        </w:rPr>
      </w:pPr>
      <w:r>
        <w:rPr>
          <w:rFonts w:hint="eastAsia" w:ascii="仿宋_GB2312" w:hAnsi="微软雅黑" w:eastAsia="仿宋_GB2312" w:cs="仿宋_GB2312"/>
          <w:color w:val="000000"/>
          <w:spacing w:val="0"/>
          <w:kern w:val="2"/>
          <w:sz w:val="32"/>
          <w:szCs w:val="32"/>
          <w:lang w:val="en-US" w:eastAsia="zh-CN" w:bidi="ar"/>
        </w:rPr>
        <w:t>按照</w:t>
      </w:r>
      <w:r>
        <w:rPr>
          <w:rFonts w:hint="eastAsia" w:ascii="仿宋_GB2312" w:hAnsi="微软雅黑" w:eastAsia="仿宋_GB2312" w:cs="仿宋_GB2312"/>
          <w:color w:val="0D203D"/>
          <w:spacing w:val="0"/>
          <w:kern w:val="2"/>
          <w:sz w:val="32"/>
          <w:szCs w:val="32"/>
          <w:lang w:val="en-US" w:eastAsia="zh-CN" w:bidi="ar"/>
        </w:rPr>
        <w:t>《鄂尔多斯公共资源交易中心关于印发“接诉即办”工作实施方案的通知》要求，东胜区分中心</w:t>
      </w:r>
      <w:r>
        <w:rPr>
          <w:rFonts w:hint="eastAsia" w:ascii="仿宋_GB2312" w:hAnsi="微软雅黑" w:eastAsia="仿宋_GB2312" w:cs="仿宋_GB2312"/>
          <w:color w:val="000000"/>
          <w:spacing w:val="0"/>
          <w:kern w:val="2"/>
          <w:sz w:val="32"/>
          <w:szCs w:val="32"/>
          <w:lang w:val="en-US" w:eastAsia="zh-CN" w:bidi="ar"/>
        </w:rPr>
        <w:t>结合工作实际，制定工作方案，工作人员积极行动，主动对接招标人（采购单位）、代理机构等各方服务主体，征求意见建议，变“接诉即办”为“未诉先办”。同时公开畅通维权渠道，在门户网站公开行业监督管理部门受理投诉的联系方式，方便投诉主体维护自身权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eastAsia" w:ascii="仿宋_GB2312" w:hAnsi="宋体" w:eastAsia="仿宋_GB2312" w:cs="宋体"/>
          <w:b/>
          <w:bCs/>
          <w:color w:val="000000"/>
          <w:sz w:val="32"/>
          <w:szCs w:val="32"/>
          <w:lang w:val="en-US" w:eastAsia="zh-CN"/>
        </w:rPr>
      </w:pPr>
      <w:r>
        <w:rPr>
          <w:rFonts w:hint="eastAsia" w:ascii="仿宋_GB2312" w:hAnsi="宋体" w:eastAsia="仿宋_GB2312" w:cs="宋体"/>
          <w:b/>
          <w:bCs/>
          <w:color w:val="000000"/>
          <w:sz w:val="32"/>
          <w:szCs w:val="32"/>
          <w:lang w:val="en-US" w:eastAsia="zh-CN"/>
        </w:rPr>
        <w:t>交易管理标准化：科技赋能，助推平台提效升级。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 w:hAnsi="仿宋" w:eastAsia="仿宋_GB2312" w:cs="仿宋"/>
          <w:color w:val="auto"/>
          <w:kern w:val="0"/>
          <w:sz w:val="32"/>
          <w:szCs w:val="32"/>
          <w:lang w:val="en-US" w:eastAsia="zh-CN"/>
        </w:rPr>
      </w:pPr>
      <w:r>
        <w:rPr>
          <w:rFonts w:hint="eastAsia" w:ascii="仿宋" w:hAnsi="仿宋" w:eastAsia="仿宋_GB2312" w:cs="仿宋"/>
          <w:color w:val="auto"/>
          <w:kern w:val="0"/>
          <w:sz w:val="32"/>
          <w:szCs w:val="32"/>
          <w:lang w:val="en-US" w:eastAsia="zh-CN"/>
        </w:rPr>
        <w:t>对标先进，不断升级物理隔离、技术隔离等措施，新建</w:t>
      </w:r>
      <w:r>
        <w:rPr>
          <w:rFonts w:hint="eastAsia" w:ascii="仿宋_GB2312" w:hAnsi="仿宋_GB2312" w:eastAsia="仿宋_GB2312" w:cs="仿宋_GB2312"/>
          <w:color w:val="auto"/>
          <w:kern w:val="0"/>
          <w:sz w:val="32"/>
          <w:szCs w:val="32"/>
          <w:lang w:val="en-US" w:eastAsia="zh-CN"/>
        </w:rPr>
        <w:t>建设工程开标室1间、电子见证室1间、代理机构开评标室各1间、刻录室及机房各1间，</w:t>
      </w:r>
      <w:r>
        <w:rPr>
          <w:rFonts w:hint="eastAsia" w:ascii="仿宋" w:hAnsi="仿宋" w:eastAsia="仿宋_GB2312" w:cs="仿宋"/>
          <w:color w:val="auto"/>
          <w:kern w:val="0"/>
          <w:sz w:val="32"/>
          <w:szCs w:val="32"/>
          <w:lang w:val="en-US" w:eastAsia="zh-CN"/>
        </w:rPr>
        <w:t>可同时满足工程建设、政府采购及代理机构使用。并从安全、运行、服务等多个维度推进交易场地标准化、数字化、可视化、智能化，形成智能便捷的智慧交易服务平台；同时，东胜区分</w:t>
      </w:r>
      <w:r>
        <w:rPr>
          <w:rFonts w:hint="eastAsia" w:ascii="仿宋_GB2312" w:hAnsi="仿宋_GB2312" w:eastAsia="仿宋_GB2312" w:cs="仿宋_GB2312"/>
          <w:color w:val="auto"/>
          <w:kern w:val="2"/>
          <w:sz w:val="32"/>
          <w:szCs w:val="32"/>
          <w:lang w:val="en-US" w:eastAsia="zh-CN" w:bidi="ar-SA"/>
        </w:rPr>
        <w:t>中心继续强化软硬件设施建设，安装电子见证室拼接屏，更新</w:t>
      </w:r>
      <w:r>
        <w:rPr>
          <w:rFonts w:hint="eastAsia" w:ascii="仿宋_GB2312" w:hAnsi="仿宋_GB2312" w:eastAsia="仿宋_GB2312" w:cs="仿宋_GB2312"/>
          <w:color w:val="auto"/>
          <w:kern w:val="0"/>
          <w:sz w:val="32"/>
          <w:szCs w:val="32"/>
          <w:lang w:val="en-US" w:eastAsia="zh-CN"/>
        </w:rPr>
        <w:t>远程会议设备</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val="0"/>
          <w:i w:val="0"/>
          <w:snapToGrid/>
          <w:color w:val="auto"/>
          <w:sz w:val="32"/>
          <w:szCs w:val="32"/>
          <w:lang w:val="en-US" w:eastAsia="zh-CN"/>
        </w:rPr>
        <w:t>新增32位硬盘录像机，</w:t>
      </w:r>
      <w:r>
        <w:rPr>
          <w:rFonts w:hint="eastAsia" w:ascii="仿宋_GB2312" w:hAnsi="仿宋_GB2312" w:eastAsia="仿宋_GB2312" w:cs="仿宋_GB2312"/>
          <w:color w:val="auto"/>
          <w:kern w:val="2"/>
          <w:sz w:val="32"/>
          <w:szCs w:val="32"/>
          <w:lang w:val="en-US" w:eastAsia="zh-CN" w:bidi="ar-SA"/>
        </w:rPr>
        <w:t>完成</w:t>
      </w:r>
      <w:r>
        <w:rPr>
          <w:rFonts w:hint="eastAsia" w:ascii="仿宋_GB2312" w:hAnsi="仿宋_GB2312" w:eastAsia="仿宋_GB2312" w:cs="仿宋_GB2312"/>
          <w:b w:val="0"/>
          <w:i w:val="0"/>
          <w:snapToGrid/>
          <w:color w:val="auto"/>
          <w:sz w:val="32"/>
          <w:szCs w:val="32"/>
          <w:lang w:val="en-US" w:eastAsia="zh-CN"/>
        </w:rPr>
        <w:t>与自治区交易中心音视频连接工作等，保障全流程电子化交易正常进行；</w:t>
      </w:r>
      <w:r>
        <w:rPr>
          <w:rFonts w:hint="eastAsia" w:ascii="仿宋" w:hAnsi="仿宋" w:eastAsia="仿宋_GB2312" w:cs="仿宋"/>
          <w:color w:val="auto"/>
          <w:kern w:val="0"/>
          <w:sz w:val="32"/>
          <w:szCs w:val="32"/>
          <w:lang w:val="en-US" w:eastAsia="zh-CN"/>
        </w:rPr>
        <w:t>对接市平台相关制度规则流程，结合实际，以交易流程为主线，修订完善服务人员行为守则、服务规范、工作标准等。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240" w:lineRule="auto"/>
        <w:ind w:right="0"/>
        <w:textAlignment w:val="auto"/>
        <w:rPr>
          <w:rFonts w:hint="eastAsia" w:ascii="仿宋" w:hAnsi="仿宋" w:eastAsia="仿宋_GB2312" w:cs="仿宋"/>
          <w:color w:val="auto"/>
          <w:kern w:val="0"/>
          <w:sz w:val="32"/>
          <w:szCs w:val="32"/>
          <w:lang w:val="en-US" w:eastAsia="zh-CN"/>
        </w:rPr>
      </w:pPr>
      <w:r>
        <w:rPr>
          <w:rFonts w:hint="eastAsia" w:ascii="仿宋" w:hAnsi="仿宋" w:eastAsia="仿宋_GB2312" w:cs="仿宋"/>
          <w:color w:val="auto"/>
          <w:kern w:val="0"/>
          <w:sz w:val="32"/>
          <w:szCs w:val="32"/>
          <w:lang w:val="en-US" w:eastAsia="zh-CN"/>
        </w:rPr>
        <w:drawing>
          <wp:inline distT="0" distB="0" distL="114300" distR="114300">
            <wp:extent cx="5253990" cy="3940175"/>
            <wp:effectExtent l="0" t="0" r="3810" b="3175"/>
            <wp:docPr id="2" name="图片 2"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88"/>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3" w:firstLineChars="200"/>
        <w:textAlignment w:val="auto"/>
        <w:rPr>
          <w:rFonts w:hint="default" w:ascii="仿宋_GB2312" w:hAnsi="微软雅黑" w:eastAsia="仿宋_GB2312" w:cs="仿宋_GB2312"/>
          <w:color w:val="000000"/>
          <w:spacing w:val="0"/>
          <w:kern w:val="2"/>
          <w:sz w:val="32"/>
          <w:szCs w:val="32"/>
          <w:lang w:val="en-US" w:eastAsia="zh-CN" w:bidi="ar"/>
        </w:rPr>
      </w:pPr>
      <w:r>
        <w:rPr>
          <w:rFonts w:hint="eastAsia" w:ascii="仿宋_GB2312" w:hAnsi="宋体" w:eastAsia="仿宋_GB2312" w:cs="宋体"/>
          <w:b/>
          <w:bCs/>
          <w:color w:val="000000"/>
          <w:sz w:val="32"/>
          <w:szCs w:val="32"/>
          <w:lang w:val="en-US" w:eastAsia="zh-CN"/>
        </w:rPr>
        <w:t>远程异地常态化：合作共享，推进跨区域大联动。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2022年东胜区分中心所有工程建设项目评审全部使用远程异地评标,共组织主场项目15项，副场配合项目168项，其中隔夜项目54项。在实现市、</w:t>
      </w:r>
      <w:r>
        <w:rPr>
          <w:rFonts w:hint="eastAsia" w:ascii="仿宋_GB2312" w:hAnsi="仿宋_GB2312" w:eastAsia="仿宋_GB2312" w:cs="仿宋_GB2312"/>
          <w:sz w:val="32"/>
          <w:szCs w:val="32"/>
          <w:lang w:val="en-US" w:eastAsia="zh-CN"/>
        </w:rPr>
        <w:t>旗区间远程异地评标常态化的基础上，</w:t>
      </w:r>
      <w:r>
        <w:rPr>
          <w:rFonts w:hint="eastAsia" w:ascii="仿宋_GB2312" w:eastAsia="仿宋_GB2312"/>
          <w:color w:val="000000"/>
          <w:sz w:val="32"/>
          <w:szCs w:val="32"/>
          <w:lang w:val="en-US" w:eastAsia="zh-CN"/>
        </w:rPr>
        <w:t>不断</w:t>
      </w:r>
      <w:r>
        <w:rPr>
          <w:rFonts w:hint="eastAsia" w:ascii="仿宋_GB2312" w:eastAsia="仿宋_GB2312"/>
          <w:color w:val="000000"/>
          <w:sz w:val="32"/>
          <w:szCs w:val="32"/>
        </w:rPr>
        <w:t>完善远程监控</w:t>
      </w:r>
      <w:r>
        <w:rPr>
          <w:rFonts w:hint="eastAsia" w:ascii="仿宋_GB2312" w:eastAsia="仿宋_GB2312"/>
          <w:color w:val="000000"/>
          <w:sz w:val="32"/>
          <w:szCs w:val="32"/>
          <w:lang w:eastAsia="zh-CN"/>
        </w:rPr>
        <w:t>系统</w:t>
      </w:r>
      <w:r>
        <w:rPr>
          <w:rFonts w:hint="eastAsia" w:ascii="仿宋_GB2312" w:eastAsia="仿宋_GB2312"/>
          <w:color w:val="000000"/>
          <w:sz w:val="32"/>
          <w:szCs w:val="32"/>
        </w:rPr>
        <w:t>，</w:t>
      </w:r>
      <w:r>
        <w:rPr>
          <w:rFonts w:hint="eastAsia" w:ascii="仿宋_GB2312" w:eastAsia="仿宋_GB2312"/>
          <w:color w:val="000000"/>
          <w:sz w:val="32"/>
          <w:szCs w:val="32"/>
          <w:lang w:eastAsia="zh-CN"/>
        </w:rPr>
        <w:t>联通</w:t>
      </w:r>
      <w:r>
        <w:rPr>
          <w:rFonts w:hint="eastAsia" w:ascii="仿宋_GB2312" w:eastAsia="仿宋_GB2312"/>
          <w:color w:val="000000"/>
          <w:sz w:val="32"/>
          <w:szCs w:val="32"/>
        </w:rPr>
        <w:t>跨区域视频</w:t>
      </w:r>
      <w:r>
        <w:rPr>
          <w:rFonts w:hint="eastAsia" w:ascii="仿宋_GB2312" w:eastAsia="仿宋_GB2312"/>
          <w:color w:val="000000"/>
          <w:sz w:val="32"/>
          <w:szCs w:val="32"/>
          <w:lang w:eastAsia="zh-CN"/>
        </w:rPr>
        <w:t>直播评标</w:t>
      </w:r>
      <w:r>
        <w:rPr>
          <w:rFonts w:hint="eastAsia" w:ascii="仿宋_GB2312" w:eastAsia="仿宋_GB2312"/>
          <w:color w:val="000000"/>
          <w:sz w:val="32"/>
          <w:szCs w:val="32"/>
        </w:rPr>
        <w:t>现场</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拓宽跨省、跨市远程异地评标，实现更大范围内的资源共享。</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240" w:lineRule="auto"/>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53990" cy="2955290"/>
            <wp:effectExtent l="0" t="0" r="3810" b="16510"/>
            <wp:docPr id="3" name="图片 3" descr="微信图片_2022121215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212152821"/>
                    <pic:cNvPicPr>
                      <a:picLocks noChangeAspect="1"/>
                    </pic:cNvPicPr>
                  </pic:nvPicPr>
                  <pic:blipFill>
                    <a:blip r:embed="rId5"/>
                    <a:stretch>
                      <a:fillRect/>
                    </a:stretch>
                  </pic:blipFill>
                  <pic:spPr>
                    <a:xfrm>
                      <a:off x="0" y="0"/>
                      <a:ext cx="5253990" cy="2955290"/>
                    </a:xfrm>
                    <a:prstGeom prst="rect">
                      <a:avLst/>
                    </a:prstGeom>
                  </pic:spPr>
                </pic:pic>
              </a:graphicData>
            </a:graphic>
          </wp:inline>
        </w:drawing>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 w:hAnsi="仿宋" w:eastAsia="仿宋" w:cs="方正小标宋_GBK"/>
          <w:color w:val="auto"/>
          <w:sz w:val="32"/>
          <w:szCs w:val="32"/>
          <w:lang w:val="en-US" w:eastAsia="zh-CN"/>
        </w:rPr>
      </w:pPr>
      <w:r>
        <w:rPr>
          <w:rFonts w:hint="eastAsia" w:ascii="仿宋" w:hAnsi="仿宋" w:eastAsia="仿宋" w:cs="Times New Roman"/>
          <w:color w:val="auto"/>
          <w:kern w:val="2"/>
          <w:sz w:val="32"/>
          <w:szCs w:val="32"/>
          <w:lang w:val="en-US" w:eastAsia="zh-CN" w:bidi="ar-SA"/>
        </w:rPr>
        <w:t>2022年7月，东胜区分</w:t>
      </w:r>
      <w:r>
        <w:rPr>
          <w:rFonts w:hint="eastAsia" w:ascii="仿宋" w:hAnsi="仿宋" w:eastAsia="仿宋" w:cs="Times New Roman"/>
          <w:kern w:val="2"/>
          <w:sz w:val="32"/>
          <w:szCs w:val="32"/>
          <w:lang w:val="en-US" w:eastAsia="zh-CN" w:bidi="ar-SA"/>
        </w:rPr>
        <w:t>中心打造了政府采购远程异地评标室，与市交易中心、金财系统配合完成远程异地评审项目测试，年内</w:t>
      </w:r>
      <w:r>
        <w:rPr>
          <w:rFonts w:hint="eastAsia" w:ascii="仿宋" w:hAnsi="仿宋" w:eastAsia="仿宋" w:cs="方正小标宋_GBK"/>
          <w:color w:val="auto"/>
          <w:sz w:val="32"/>
          <w:szCs w:val="32"/>
          <w:lang w:val="en-US" w:eastAsia="zh-CN"/>
        </w:rPr>
        <w:t>开展以本地为主场的远程异地评标7项，配合市、旗（区）远程异地评标10项。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 w:hAnsi="仿宋" w:eastAsia="仿宋" w:cs="方正小标宋_GBK"/>
          <w:color w:val="auto"/>
          <w:kern w:val="0"/>
          <w:sz w:val="32"/>
          <w:szCs w:val="32"/>
          <w:lang w:val="en-US" w:eastAsia="zh-CN" w:bidi="ar-SA"/>
        </w:rPr>
        <w:t>东胜区分中心将继续坚持以“放管服”改革工作为导向，对标先进、追求卓越，打通交易服务“最后一公里”，为投标主体公平投标、公正竞标创造最佳营商环境。（通讯员张静）</w:t>
      </w:r>
      <w:bookmarkStart w:id="0" w:name="_GoBack"/>
      <w:bookmarkEnd w:id="0"/>
    </w:p>
    <w:p>
      <w:pPr>
        <w:ind w:firstLine="420" w:firstLineChars="200"/>
        <w:rPr>
          <w:rFonts w:hint="eastAsia"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DQ3NzQzNjgxOTQ1NzQ0OGUxMGI3OWYyNzI4NTEifQ=="/>
  </w:docVars>
  <w:rsids>
    <w:rsidRoot w:val="34F074B5"/>
    <w:rsid w:val="0A2A165E"/>
    <w:rsid w:val="34F074B5"/>
    <w:rsid w:val="4F1614F8"/>
    <w:rsid w:val="511C50E5"/>
    <w:rsid w:val="63C02A4E"/>
    <w:rsid w:val="707F0C55"/>
    <w:rsid w:val="7674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1117</Words>
  <Characters>1161</Characters>
  <Lines>0</Lines>
  <Paragraphs>0</Paragraphs>
  <TotalTime>2</TotalTime>
  <ScaleCrop>false</ScaleCrop>
  <LinksUpToDate>false</LinksUpToDate>
  <CharactersWithSpaces>1161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2022-12-12T01:16:00Z</dcterms:created>
  <dc:creator>张静</dc:creator>
  <cp:lastModifiedBy>巴特尔</cp:lastModifiedBy>
  <cp:lastPrinted>2022-12-12T01:30:00Z</cp:lastPrinted>
  <dcterms:modified xsi:type="dcterms:W3CDTF">2022-12-12T08:30:40Z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FF528F90401C47D9B7540174FA8B2568</vt:lpwstr>
  </property>
</Properties>
</file>