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0" w:hanging="440" w:hangingChars="10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东胜区分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中心召开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2022年度</w:t>
      </w:r>
    </w:p>
    <w:p>
      <w:pPr>
        <w:ind w:left="440" w:hanging="440" w:hangingChars="10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各股室工作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述职大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近日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东胜区分中心组织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召开了202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前三季度工作总结及第四季度工作计划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述职大会。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会上，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各股室负责人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全流程电子化、优化营商环境、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党风廉政建设等年度重点工作进行了现场述职，分析了工作中存在不足，并提出下一步努力方向。</w:t>
      </w:r>
    </w:p>
    <w:p>
      <w:pPr>
        <w:ind w:left="0" w:leftChars="0" w:firstLine="42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89d715a3ee6c8da0365cb4a67852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d715a3ee6c8da0365cb4a67852f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分中心主任宝音夫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的履职情况进行了点评。他指出，各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股室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思路明，底数清，数据也比较详实，较好地完成了前三季度工作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。在肯定成绩的同时，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宝主任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第四季度工作提出了要求：一是要做好年底收尾工作迎检年度考核，对照各项考核指标找差距、补短板、强落实；二是加强理论知识及业务知识学习，全面准确学习领会二十大精神，切实提高工作水平；三是进一步做好党风廉政工作，锲而不舍的将中央八项规定精神落实到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加强团队建设，提升主动服务意识和专业服务能力，为中心的稳步发展提供更加优质高效的保障。</w:t>
      </w:r>
    </w:p>
    <w:p>
      <w:pP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DQ3NzQzNjgxOTQ1NzQ0OGUxMGI3OWYyNzI4NTEifQ=="/>
  </w:docVars>
  <w:rsids>
    <w:rsidRoot w:val="76890D4A"/>
    <w:rsid w:val="0E913A64"/>
    <w:rsid w:val="4BBD7559"/>
    <w:rsid w:val="65DE4CE7"/>
    <w:rsid w:val="768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371</Characters>
  <Lines>0</Lines>
  <Paragraphs>0</Paragraphs>
  <TotalTime>4</TotalTime>
  <ScaleCrop>false</ScaleCrop>
  <LinksUpToDate>false</LinksUpToDate>
  <CharactersWithSpaces>371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2022-11-21T01:43:00Z</dcterms:created>
  <dc:creator>张静</dc:creator>
  <cp:lastModifiedBy>巴特尔</cp:lastModifiedBy>
  <dcterms:modified xsi:type="dcterms:W3CDTF">2022-11-21T07:22:59Z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CE30E6721726477E93A21EC956BCF3DF</vt:lpwstr>
  </property>
</Properties>
</file>