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鄂尔多斯市公共资源交易中心东胜区分中心开展法治政府建设宣传活动</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i w:val="0"/>
          <w:iCs w:val="0"/>
          <w:caps w:val="0"/>
          <w:color w:val="333333"/>
          <w:spacing w:val="15"/>
          <w:sz w:val="32"/>
          <w:szCs w:val="32"/>
          <w:shd w:val="clear" w:fill="FFFFFF"/>
        </w:rPr>
      </w:pPr>
      <w:r>
        <w:rPr>
          <w:rFonts w:hint="eastAsia" w:ascii="仿宋_GB2312" w:hAnsi="仿宋_GB2312" w:eastAsia="仿宋_GB2312" w:cs="仿宋_GB2312"/>
          <w:i w:val="0"/>
          <w:iCs w:val="0"/>
          <w:caps w:val="0"/>
          <w:color w:val="333333"/>
          <w:spacing w:val="15"/>
          <w:sz w:val="32"/>
          <w:szCs w:val="32"/>
          <w:shd w:val="clear" w:fill="FFFFFF"/>
          <w:lang w:val="en-US" w:eastAsia="zh-CN"/>
        </w:rPr>
        <w:t>鄂尔多斯市公共资源交易中心东胜区分中心</w:t>
      </w:r>
      <w:r>
        <w:rPr>
          <w:rFonts w:hint="eastAsia" w:ascii="仿宋_GB2312" w:hAnsi="仿宋_GB2312" w:eastAsia="仿宋_GB2312" w:cs="仿宋_GB2312"/>
          <w:i w:val="0"/>
          <w:iCs w:val="0"/>
          <w:caps w:val="0"/>
          <w:color w:val="333333"/>
          <w:spacing w:val="15"/>
          <w:sz w:val="32"/>
          <w:szCs w:val="32"/>
          <w:shd w:val="clear" w:fill="FFFFFF"/>
        </w:rPr>
        <w:t>紧紧围绕加强法治建设和推进依法治</w:t>
      </w:r>
      <w:r>
        <w:rPr>
          <w:rFonts w:hint="eastAsia" w:ascii="仿宋_GB2312" w:hAnsi="仿宋_GB2312" w:eastAsia="仿宋_GB2312" w:cs="仿宋_GB2312"/>
          <w:i w:val="0"/>
          <w:iCs w:val="0"/>
          <w:caps w:val="0"/>
          <w:color w:val="333333"/>
          <w:spacing w:val="15"/>
          <w:sz w:val="32"/>
          <w:szCs w:val="32"/>
          <w:shd w:val="clear" w:fill="FFFFFF"/>
          <w:lang w:val="en-US" w:eastAsia="zh-CN"/>
        </w:rPr>
        <w:t>区</w:t>
      </w:r>
      <w:r>
        <w:rPr>
          <w:rFonts w:hint="eastAsia" w:ascii="仿宋_GB2312" w:hAnsi="仿宋_GB2312" w:eastAsia="仿宋_GB2312" w:cs="仿宋_GB2312"/>
          <w:i w:val="0"/>
          <w:iCs w:val="0"/>
          <w:caps w:val="0"/>
          <w:color w:val="333333"/>
          <w:spacing w:val="15"/>
          <w:sz w:val="32"/>
          <w:szCs w:val="32"/>
          <w:shd w:val="clear" w:fill="FFFFFF"/>
        </w:rPr>
        <w:t>等重点工作，</w:t>
      </w:r>
      <w:r>
        <w:rPr>
          <w:rFonts w:hint="eastAsia" w:ascii="仿宋_GB2312" w:hAnsi="仿宋_GB2312" w:eastAsia="仿宋_GB2312" w:cs="仿宋_GB2312"/>
          <w:i w:val="0"/>
          <w:iCs w:val="0"/>
          <w:caps w:val="0"/>
          <w:color w:val="333333"/>
          <w:spacing w:val="15"/>
          <w:sz w:val="32"/>
          <w:szCs w:val="32"/>
          <w:shd w:val="clear" w:fill="FFFFFF"/>
          <w:lang w:val="en-US" w:eastAsia="zh-CN"/>
        </w:rPr>
        <w:t>提高法治政府建设宣传</w:t>
      </w:r>
      <w:r>
        <w:rPr>
          <w:rFonts w:hint="eastAsia" w:ascii="仿宋_GB2312" w:hAnsi="仿宋_GB2312" w:eastAsia="仿宋_GB2312" w:cs="仿宋_GB2312"/>
          <w:i w:val="0"/>
          <w:iCs w:val="0"/>
          <w:caps w:val="0"/>
          <w:color w:val="333333"/>
          <w:spacing w:val="15"/>
          <w:sz w:val="32"/>
          <w:szCs w:val="32"/>
          <w:shd w:val="clear" w:fill="FFFFFF"/>
        </w:rPr>
        <w:t>工作高质量，及时总结</w:t>
      </w:r>
      <w:r>
        <w:rPr>
          <w:rFonts w:hint="eastAsia" w:ascii="仿宋_GB2312" w:hAnsi="仿宋_GB2312" w:eastAsia="仿宋_GB2312" w:cs="仿宋_GB2312"/>
          <w:i w:val="0"/>
          <w:iCs w:val="0"/>
          <w:caps w:val="0"/>
          <w:color w:val="333333"/>
          <w:spacing w:val="15"/>
          <w:sz w:val="32"/>
          <w:szCs w:val="32"/>
          <w:shd w:val="clear" w:fill="FFFFFF"/>
          <w:lang w:val="en-US" w:eastAsia="zh-CN"/>
        </w:rPr>
        <w:t>公共资源</w:t>
      </w:r>
      <w:r>
        <w:rPr>
          <w:rFonts w:hint="eastAsia" w:ascii="仿宋_GB2312" w:hAnsi="仿宋_GB2312" w:eastAsia="仿宋_GB2312" w:cs="仿宋_GB2312"/>
          <w:i w:val="0"/>
          <w:iCs w:val="0"/>
          <w:caps w:val="0"/>
          <w:color w:val="333333"/>
          <w:spacing w:val="15"/>
          <w:sz w:val="32"/>
          <w:szCs w:val="32"/>
          <w:shd w:val="clear" w:fill="FFFFFF"/>
        </w:rPr>
        <w:t>领域法治建设经验，激发法治政府建设创新活力和潜能，营造法治政府建设的浓厚氛围。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333333"/>
          <w:spacing w:val="15"/>
          <w:sz w:val="32"/>
          <w:szCs w:val="32"/>
          <w:shd w:val="clear" w:fill="FFFFFF"/>
          <w:lang w:eastAsia="zh-CN"/>
        </w:rPr>
      </w:pPr>
      <w:r>
        <w:rPr>
          <w:rFonts w:hint="eastAsia" w:ascii="仿宋_GB2312" w:hAnsi="仿宋_GB2312" w:eastAsia="仿宋_GB2312" w:cs="仿宋_GB2312"/>
          <w:i w:val="0"/>
          <w:iCs w:val="0"/>
          <w:caps w:val="0"/>
          <w:color w:val="333333"/>
          <w:spacing w:val="15"/>
          <w:sz w:val="32"/>
          <w:szCs w:val="32"/>
          <w:shd w:val="clear" w:fill="FFFFFF"/>
          <w:lang w:eastAsia="zh-CN"/>
        </w:rPr>
        <w:drawing>
          <wp:inline distT="0" distB="0" distL="114300" distR="114300">
            <wp:extent cx="4765040" cy="2726690"/>
            <wp:effectExtent l="0" t="0" r="16510" b="16510"/>
            <wp:docPr id="2" name="图片 2" descr="IMG_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8360"/>
                    <pic:cNvPicPr>
                      <a:picLocks noChangeAspect="1"/>
                    </pic:cNvPicPr>
                  </pic:nvPicPr>
                  <pic:blipFill>
                    <a:blip r:embed="rId4"/>
                    <a:stretch>
                      <a:fillRect/>
                    </a:stretch>
                  </pic:blipFill>
                  <pic:spPr>
                    <a:xfrm>
                      <a:off x="0" y="0"/>
                      <a:ext cx="4765040" cy="27266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333333"/>
          <w:spacing w:val="15"/>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caps w:val="0"/>
          <w:color w:val="333333"/>
          <w:spacing w:val="15"/>
          <w:sz w:val="32"/>
          <w:szCs w:val="32"/>
          <w:shd w:val="clear" w:fill="FFFFFF"/>
          <w:lang w:eastAsia="zh-CN"/>
        </w:rPr>
      </w:pPr>
      <w:bookmarkStart w:id="0" w:name="_GoBack"/>
      <w:r>
        <w:rPr>
          <w:rFonts w:hint="eastAsia" w:ascii="仿宋_GB2312" w:hAnsi="仿宋_GB2312" w:eastAsia="仿宋_GB2312" w:cs="仿宋_GB2312"/>
          <w:i w:val="0"/>
          <w:iCs w:val="0"/>
          <w:caps w:val="0"/>
          <w:color w:val="333333"/>
          <w:spacing w:val="15"/>
          <w:sz w:val="32"/>
          <w:szCs w:val="32"/>
          <w:shd w:val="clear" w:fill="FFFFFF"/>
          <w:lang w:eastAsia="zh-CN"/>
        </w:rPr>
        <w:drawing>
          <wp:inline distT="0" distB="0" distL="114300" distR="114300">
            <wp:extent cx="5145405" cy="7060565"/>
            <wp:effectExtent l="0" t="0" r="17145" b="6985"/>
            <wp:docPr id="1"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
                    <pic:cNvPicPr>
                      <a:picLocks noChangeAspect="1"/>
                    </pic:cNvPicPr>
                  </pic:nvPicPr>
                  <pic:blipFill>
                    <a:blip r:embed="rId5"/>
                    <a:srcRect l="467" b="1934"/>
                    <a:stretch>
                      <a:fillRect/>
                    </a:stretch>
                  </pic:blipFill>
                  <pic:spPr>
                    <a:xfrm>
                      <a:off x="0" y="0"/>
                      <a:ext cx="5145405" cy="7060565"/>
                    </a:xfrm>
                    <a:prstGeom prst="rect">
                      <a:avLst/>
                    </a:prstGeom>
                  </pic:spPr>
                </pic:pic>
              </a:graphicData>
            </a:graphic>
          </wp:inline>
        </w:drawing>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700" w:firstLineChars="200"/>
        <w:rPr>
          <w:rFonts w:hint="eastAsia" w:ascii="仿宋_GB2312" w:hAnsi="仿宋_GB2312" w:eastAsia="仿宋_GB2312" w:cs="仿宋_GB2312"/>
          <w:b w:val="0"/>
          <w:bCs w:val="0"/>
          <w:i w:val="0"/>
          <w:iCs w:val="0"/>
          <w:caps w:val="0"/>
          <w:color w:val="auto"/>
          <w:spacing w:val="15"/>
          <w:sz w:val="32"/>
          <w:szCs w:val="32"/>
          <w:shd w:val="clear" w:fill="FFFFFF"/>
          <w:lang w:eastAsia="zh-CN"/>
        </w:rPr>
      </w:pP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中心召开</w:t>
      </w:r>
      <w:r>
        <w:rPr>
          <w:rFonts w:hint="eastAsia" w:ascii="仿宋_GB2312" w:hAnsi="仿宋_GB2312" w:eastAsia="仿宋_GB2312" w:cs="仿宋_GB2312"/>
          <w:b w:val="0"/>
          <w:bCs w:val="0"/>
          <w:i w:val="0"/>
          <w:iCs w:val="0"/>
          <w:caps w:val="0"/>
          <w:color w:val="auto"/>
          <w:spacing w:val="8"/>
          <w:sz w:val="32"/>
          <w:szCs w:val="32"/>
          <w:shd w:val="clear" w:fill="FFFFFF"/>
        </w:rPr>
        <w:t>法治政府建设示范创建工作</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专题</w:t>
      </w:r>
      <w:r>
        <w:rPr>
          <w:rFonts w:hint="eastAsia" w:ascii="仿宋_GB2312" w:hAnsi="仿宋_GB2312" w:eastAsia="仿宋_GB2312" w:cs="仿宋_GB2312"/>
          <w:b w:val="0"/>
          <w:bCs w:val="0"/>
          <w:i w:val="0"/>
          <w:iCs w:val="0"/>
          <w:caps w:val="0"/>
          <w:color w:val="auto"/>
          <w:spacing w:val="8"/>
          <w:sz w:val="32"/>
          <w:szCs w:val="32"/>
          <w:shd w:val="clear" w:fill="FFFFFF"/>
        </w:rPr>
        <w:t>会</w:t>
      </w:r>
      <w:r>
        <w:rPr>
          <w:rFonts w:hint="eastAsia" w:ascii="仿宋_GB2312" w:hAnsi="仿宋_GB2312" w:eastAsia="仿宋_GB2312" w:cs="仿宋_GB2312"/>
          <w:b w:val="0"/>
          <w:bCs w:val="0"/>
          <w:i w:val="0"/>
          <w:iCs w:val="0"/>
          <w:caps w:val="0"/>
          <w:color w:val="auto"/>
          <w:spacing w:val="8"/>
          <w:sz w:val="32"/>
          <w:szCs w:val="32"/>
          <w:shd w:val="clear" w:fill="FFFFFF"/>
          <w:lang w:eastAsia="zh-CN"/>
        </w:rPr>
        <w:t>，</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按照《东胜区法治政府建设示范创建指标体系任务清单》</w:t>
      </w:r>
      <w:r>
        <w:rPr>
          <w:rFonts w:hint="eastAsia" w:ascii="仿宋_GB2312" w:hAnsi="仿宋_GB2312" w:eastAsia="仿宋_GB2312" w:cs="仿宋_GB2312"/>
          <w:b w:val="0"/>
          <w:bCs w:val="0"/>
          <w:i w:val="0"/>
          <w:iCs w:val="0"/>
          <w:caps w:val="0"/>
          <w:color w:val="auto"/>
          <w:spacing w:val="8"/>
          <w:sz w:val="32"/>
          <w:szCs w:val="32"/>
          <w:shd w:val="clear" w:fill="FEFEFE"/>
        </w:rPr>
        <w:t>精准对标对表，逐项自查自纠，</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要求全体干部</w:t>
      </w:r>
      <w:r>
        <w:rPr>
          <w:rFonts w:hint="eastAsia" w:ascii="仿宋_GB2312" w:hAnsi="仿宋_GB2312" w:eastAsia="仿宋_GB2312" w:cs="仿宋_GB2312"/>
          <w:b w:val="0"/>
          <w:bCs w:val="0"/>
          <w:i w:val="0"/>
          <w:iCs w:val="0"/>
          <w:caps w:val="0"/>
          <w:color w:val="auto"/>
          <w:spacing w:val="15"/>
          <w:sz w:val="32"/>
          <w:szCs w:val="32"/>
          <w:shd w:val="clear" w:fill="FFFFFF"/>
        </w:rPr>
        <w:t>加强法治教育，提高依法行政的意识和能力，提升政务服务水平，做尊法学法守法用法的模范，强化普法宣传，坚持普法宣传与</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公共资源交易</w:t>
      </w:r>
      <w:r>
        <w:rPr>
          <w:rFonts w:hint="eastAsia" w:ascii="仿宋_GB2312" w:hAnsi="仿宋_GB2312" w:eastAsia="仿宋_GB2312" w:cs="仿宋_GB2312"/>
          <w:b w:val="0"/>
          <w:bCs w:val="0"/>
          <w:i w:val="0"/>
          <w:iCs w:val="0"/>
          <w:caps w:val="0"/>
          <w:color w:val="auto"/>
          <w:spacing w:val="15"/>
          <w:sz w:val="32"/>
          <w:szCs w:val="32"/>
          <w:shd w:val="clear" w:fill="FFFFFF"/>
        </w:rPr>
        <w:t>工作相结合</w:t>
      </w:r>
      <w:r>
        <w:rPr>
          <w:rFonts w:hint="eastAsia" w:ascii="仿宋_GB2312" w:hAnsi="仿宋_GB2312" w:eastAsia="仿宋_GB2312" w:cs="仿宋_GB2312"/>
          <w:b w:val="0"/>
          <w:bCs w:val="0"/>
          <w:i w:val="0"/>
          <w:iCs w:val="0"/>
          <w:caps w:val="0"/>
          <w:color w:val="auto"/>
          <w:spacing w:val="15"/>
          <w:sz w:val="32"/>
          <w:szCs w:val="32"/>
          <w:shd w:val="clear" w:fill="FFFFFF"/>
          <w:lang w:eastAsia="zh-CN"/>
        </w:rPr>
        <w:t>。</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中心</w:t>
      </w:r>
      <w:r>
        <w:rPr>
          <w:rFonts w:hint="eastAsia" w:ascii="仿宋_GB2312" w:hAnsi="仿宋_GB2312" w:eastAsia="仿宋_GB2312" w:cs="仿宋_GB2312"/>
          <w:b w:val="0"/>
          <w:bCs w:val="0"/>
          <w:i w:val="0"/>
          <w:iCs w:val="0"/>
          <w:caps w:val="0"/>
          <w:color w:val="auto"/>
          <w:spacing w:val="15"/>
          <w:sz w:val="32"/>
          <w:szCs w:val="32"/>
          <w:shd w:val="clear" w:fill="FFFFFF"/>
        </w:rPr>
        <w:t>党员干部</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在</w:t>
      </w:r>
      <w:r>
        <w:rPr>
          <w:rFonts w:hint="eastAsia" w:ascii="仿宋_GB2312" w:hAnsi="仿宋_GB2312" w:eastAsia="仿宋_GB2312" w:cs="仿宋_GB2312"/>
          <w:b w:val="0"/>
          <w:bCs w:val="0"/>
          <w:i w:val="0"/>
          <w:iCs w:val="0"/>
          <w:caps w:val="0"/>
          <w:color w:val="auto"/>
          <w:spacing w:val="15"/>
          <w:sz w:val="32"/>
          <w:szCs w:val="32"/>
          <w:shd w:val="clear" w:fill="FFFFFF"/>
        </w:rPr>
        <w:t>不断提升法治意识和法治素养</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的基础上</w:t>
      </w:r>
      <w:r>
        <w:rPr>
          <w:rFonts w:hint="eastAsia" w:ascii="仿宋_GB2312" w:hAnsi="仿宋_GB2312" w:eastAsia="仿宋_GB2312" w:cs="仿宋_GB2312"/>
          <w:b w:val="0"/>
          <w:bCs w:val="0"/>
          <w:i w:val="0"/>
          <w:iCs w:val="0"/>
          <w:caps w:val="0"/>
          <w:color w:val="auto"/>
          <w:spacing w:val="15"/>
          <w:sz w:val="32"/>
          <w:szCs w:val="32"/>
          <w:shd w:val="clear" w:fill="FFFFFF"/>
        </w:rPr>
        <w:t>，推进法治建设走深走实，要把依法行政工作放在重要位置，以法治</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政府</w:t>
      </w:r>
      <w:r>
        <w:rPr>
          <w:rFonts w:hint="eastAsia" w:ascii="仿宋_GB2312" w:hAnsi="仿宋_GB2312" w:eastAsia="仿宋_GB2312" w:cs="仿宋_GB2312"/>
          <w:b w:val="0"/>
          <w:bCs w:val="0"/>
          <w:i w:val="0"/>
          <w:iCs w:val="0"/>
          <w:caps w:val="0"/>
          <w:color w:val="auto"/>
          <w:spacing w:val="15"/>
          <w:sz w:val="32"/>
          <w:szCs w:val="32"/>
          <w:shd w:val="clear" w:fill="FFFFFF"/>
        </w:rPr>
        <w:t>建设护航</w:t>
      </w:r>
      <w:r>
        <w:rPr>
          <w:rFonts w:hint="eastAsia" w:ascii="仿宋_GB2312" w:hAnsi="仿宋_GB2312" w:eastAsia="仿宋_GB2312" w:cs="仿宋_GB2312"/>
          <w:b w:val="0"/>
          <w:bCs w:val="0"/>
          <w:i w:val="0"/>
          <w:iCs w:val="0"/>
          <w:caps w:val="0"/>
          <w:color w:val="auto"/>
          <w:spacing w:val="15"/>
          <w:sz w:val="32"/>
          <w:szCs w:val="32"/>
          <w:shd w:val="clear" w:fill="FFFFFF"/>
          <w:lang w:val="en-US" w:eastAsia="zh-CN"/>
        </w:rPr>
        <w:t>公共资源交易</w:t>
      </w:r>
      <w:r>
        <w:rPr>
          <w:rFonts w:hint="eastAsia" w:ascii="仿宋_GB2312" w:hAnsi="仿宋_GB2312" w:eastAsia="仿宋_GB2312" w:cs="仿宋_GB2312"/>
          <w:b w:val="0"/>
          <w:bCs w:val="0"/>
          <w:i w:val="0"/>
          <w:iCs w:val="0"/>
          <w:caps w:val="0"/>
          <w:color w:val="auto"/>
          <w:spacing w:val="15"/>
          <w:sz w:val="32"/>
          <w:szCs w:val="32"/>
          <w:shd w:val="clear" w:fill="FFFFFF"/>
        </w:rPr>
        <w:t>事业高质量发展</w:t>
      </w:r>
      <w:r>
        <w:rPr>
          <w:rFonts w:hint="eastAsia" w:ascii="仿宋_GB2312" w:hAnsi="仿宋_GB2312" w:eastAsia="仿宋_GB2312" w:cs="仿宋_GB2312"/>
          <w:b w:val="0"/>
          <w:bCs w:val="0"/>
          <w:i w:val="0"/>
          <w:iCs w:val="0"/>
          <w:caps w:val="0"/>
          <w:color w:val="auto"/>
          <w:spacing w:val="15"/>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333333"/>
          <w:spacing w:val="15"/>
          <w:sz w:val="32"/>
          <w:szCs w:val="32"/>
          <w:shd w:val="clear" w:fill="FFFFFF"/>
          <w:lang w:eastAsia="zh-CN"/>
        </w:rPr>
      </w:pPr>
    </w:p>
    <w:p>
      <w:pPr>
        <w:rPr>
          <w:rFonts w:hint="default" w:ascii="微软雅黑" w:hAnsi="微软雅黑" w:eastAsia="微软雅黑" w:cs="微软雅黑"/>
          <w:i w:val="0"/>
          <w:iCs w:val="0"/>
          <w:caps w:val="0"/>
          <w:color w:val="333333"/>
          <w:spacing w:val="15"/>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NmRjYjhiZDlkYWM4MzA2YjVhNGM4MmQzYjQ5MDIifQ=="/>
  </w:docVars>
  <w:rsids>
    <w:rsidRoot w:val="6AC57DE5"/>
    <w:rsid w:val="1C460837"/>
    <w:rsid w:val="1DCA0421"/>
    <w:rsid w:val="6AC5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343</Words>
  <Characters>343</Characters>
  <Lines>0</Lines>
  <Paragraphs>0</Paragraphs>
  <TotalTime>46</TotalTime>
  <ScaleCrop>false</ScaleCrop>
  <LinksUpToDate>false</LinksUpToDate>
  <CharactersWithSpaces>343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2023-04-21T00:32:00Z</dcterms:created>
  <dc:creator>张静</dc:creator>
  <cp:lastModifiedBy>梦里</cp:lastModifiedBy>
  <dcterms:modified xsi:type="dcterms:W3CDTF">2023-04-21T04:33:24Z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A68BBE6A521D4C98A180404C79510896_11</vt:lpwstr>
  </property>
</Properties>
</file>