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914F">
      <w:pPr>
        <w:spacing w:before="183" w:line="225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</w:t>
      </w:r>
    </w:p>
    <w:p w14:paraId="2F88072A">
      <w:pPr>
        <w:spacing w:before="160" w:line="224" w:lineRule="auto"/>
        <w:ind w:left="32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符合性审查表</w:t>
      </w:r>
    </w:p>
    <w:p w14:paraId="42A9CB43">
      <w:pPr>
        <w:spacing w:line="94" w:lineRule="exact"/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5F79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95E3B68">
            <w:pPr>
              <w:spacing w:line="247" w:lineRule="auto"/>
              <w:rPr>
                <w:rFonts w:ascii="Arial"/>
                <w:sz w:val="21"/>
              </w:rPr>
            </w:pPr>
          </w:p>
          <w:p w14:paraId="2025F800">
            <w:pPr>
              <w:spacing w:line="247" w:lineRule="auto"/>
              <w:rPr>
                <w:rFonts w:ascii="Arial"/>
                <w:sz w:val="21"/>
              </w:rPr>
            </w:pPr>
          </w:p>
          <w:p w14:paraId="578CE061">
            <w:pPr>
              <w:spacing w:line="247" w:lineRule="auto"/>
              <w:rPr>
                <w:rFonts w:ascii="Arial"/>
                <w:sz w:val="21"/>
              </w:rPr>
            </w:pPr>
          </w:p>
          <w:p w14:paraId="0D8DE2C5">
            <w:pPr>
              <w:spacing w:line="247" w:lineRule="auto"/>
              <w:rPr>
                <w:rFonts w:ascii="Arial"/>
                <w:sz w:val="21"/>
              </w:rPr>
            </w:pPr>
          </w:p>
          <w:p w14:paraId="34B4CA9B">
            <w:pPr>
              <w:spacing w:line="247" w:lineRule="auto"/>
              <w:rPr>
                <w:rFonts w:ascii="Arial"/>
                <w:sz w:val="21"/>
              </w:rPr>
            </w:pPr>
          </w:p>
          <w:p w14:paraId="6F3E579F">
            <w:pPr>
              <w:spacing w:line="247" w:lineRule="auto"/>
              <w:rPr>
                <w:rFonts w:ascii="Arial"/>
                <w:sz w:val="21"/>
              </w:rPr>
            </w:pPr>
          </w:p>
          <w:p w14:paraId="0B22D039">
            <w:pPr>
              <w:spacing w:line="247" w:lineRule="auto"/>
              <w:rPr>
                <w:rFonts w:ascii="Arial"/>
                <w:sz w:val="21"/>
              </w:rPr>
            </w:pPr>
          </w:p>
          <w:p w14:paraId="6E67799D">
            <w:pPr>
              <w:spacing w:line="248" w:lineRule="auto"/>
              <w:rPr>
                <w:rFonts w:ascii="Arial"/>
                <w:sz w:val="21"/>
              </w:rPr>
            </w:pPr>
          </w:p>
          <w:p w14:paraId="399676D4">
            <w:pPr>
              <w:spacing w:line="248" w:lineRule="auto"/>
              <w:rPr>
                <w:rFonts w:ascii="Arial"/>
                <w:sz w:val="21"/>
              </w:rPr>
            </w:pPr>
          </w:p>
          <w:p w14:paraId="5698D07B">
            <w:pPr>
              <w:spacing w:line="248" w:lineRule="auto"/>
              <w:rPr>
                <w:rFonts w:ascii="Arial"/>
                <w:sz w:val="21"/>
              </w:rPr>
            </w:pPr>
          </w:p>
          <w:p w14:paraId="44E45F0C">
            <w:pPr>
              <w:spacing w:line="248" w:lineRule="auto"/>
              <w:rPr>
                <w:rFonts w:ascii="Arial"/>
                <w:sz w:val="21"/>
              </w:rPr>
            </w:pPr>
          </w:p>
          <w:p w14:paraId="26E3015B">
            <w:pPr>
              <w:spacing w:line="248" w:lineRule="auto"/>
              <w:rPr>
                <w:rFonts w:ascii="Arial"/>
                <w:sz w:val="21"/>
              </w:rPr>
            </w:pPr>
          </w:p>
          <w:p w14:paraId="5A0F6FBA">
            <w:pPr>
              <w:spacing w:line="248" w:lineRule="auto"/>
              <w:rPr>
                <w:rFonts w:ascii="Arial"/>
                <w:sz w:val="21"/>
              </w:rPr>
            </w:pPr>
          </w:p>
          <w:p w14:paraId="6F89BD10">
            <w:pPr>
              <w:spacing w:line="248" w:lineRule="auto"/>
              <w:rPr>
                <w:rFonts w:ascii="Arial"/>
                <w:sz w:val="21"/>
              </w:rPr>
            </w:pPr>
          </w:p>
          <w:p w14:paraId="570D9112">
            <w:pPr>
              <w:spacing w:line="248" w:lineRule="auto"/>
              <w:rPr>
                <w:rFonts w:ascii="Arial"/>
                <w:sz w:val="21"/>
              </w:rPr>
            </w:pPr>
          </w:p>
          <w:p w14:paraId="423FE06B">
            <w:pPr>
              <w:spacing w:line="248" w:lineRule="auto"/>
              <w:rPr>
                <w:rFonts w:ascii="Arial"/>
                <w:sz w:val="21"/>
              </w:rPr>
            </w:pPr>
          </w:p>
          <w:p w14:paraId="3D069688">
            <w:pPr>
              <w:spacing w:line="248" w:lineRule="auto"/>
              <w:rPr>
                <w:rFonts w:ascii="Arial"/>
                <w:sz w:val="21"/>
              </w:rPr>
            </w:pPr>
          </w:p>
          <w:p w14:paraId="0D2855A3">
            <w:pPr>
              <w:spacing w:line="248" w:lineRule="auto"/>
              <w:rPr>
                <w:rFonts w:ascii="Arial"/>
                <w:sz w:val="21"/>
              </w:rPr>
            </w:pPr>
          </w:p>
          <w:p w14:paraId="28C022F3">
            <w:pPr>
              <w:spacing w:line="248" w:lineRule="auto"/>
              <w:rPr>
                <w:rFonts w:ascii="Arial"/>
                <w:sz w:val="21"/>
              </w:rPr>
            </w:pPr>
          </w:p>
          <w:p w14:paraId="7849E934">
            <w:pPr>
              <w:spacing w:line="248" w:lineRule="auto"/>
              <w:rPr>
                <w:rFonts w:ascii="Arial"/>
                <w:sz w:val="21"/>
              </w:rPr>
            </w:pPr>
          </w:p>
          <w:p w14:paraId="74814E2F">
            <w:pPr>
              <w:spacing w:line="248" w:lineRule="auto"/>
              <w:rPr>
                <w:rFonts w:ascii="Arial"/>
                <w:sz w:val="21"/>
              </w:rPr>
            </w:pPr>
          </w:p>
          <w:p w14:paraId="5A1929DB">
            <w:pPr>
              <w:spacing w:line="248" w:lineRule="auto"/>
              <w:rPr>
                <w:rFonts w:ascii="Arial"/>
                <w:sz w:val="21"/>
              </w:rPr>
            </w:pPr>
          </w:p>
          <w:p w14:paraId="1B0C69A0">
            <w:pPr>
              <w:pStyle w:val="5"/>
              <w:spacing w:before="68" w:line="263" w:lineRule="auto"/>
              <w:ind w:left="465" w:right="142" w:hanging="308"/>
            </w:pPr>
            <w:r>
              <w:rPr>
                <w:spacing w:val="-3"/>
              </w:rPr>
              <w:t>符合性审</w:t>
            </w:r>
            <w:r>
              <w:t xml:space="preserve"> 查</w:t>
            </w:r>
          </w:p>
        </w:tc>
        <w:tc>
          <w:tcPr>
            <w:tcW w:w="1699" w:type="dxa"/>
            <w:vAlign w:val="top"/>
          </w:tcPr>
          <w:p w14:paraId="6E991586">
            <w:pPr>
              <w:spacing w:line="250" w:lineRule="auto"/>
              <w:rPr>
                <w:rFonts w:ascii="Arial"/>
                <w:sz w:val="21"/>
              </w:rPr>
            </w:pPr>
          </w:p>
          <w:p w14:paraId="50E12B3D">
            <w:pPr>
              <w:spacing w:line="250" w:lineRule="auto"/>
              <w:rPr>
                <w:rFonts w:ascii="Arial"/>
                <w:sz w:val="21"/>
              </w:rPr>
            </w:pPr>
          </w:p>
          <w:p w14:paraId="1BF614BE">
            <w:pPr>
              <w:spacing w:line="251" w:lineRule="auto"/>
              <w:rPr>
                <w:rFonts w:ascii="Arial"/>
                <w:sz w:val="21"/>
              </w:rPr>
            </w:pPr>
          </w:p>
          <w:p w14:paraId="19FE4FFD">
            <w:pPr>
              <w:spacing w:line="251" w:lineRule="auto"/>
              <w:rPr>
                <w:rFonts w:ascii="Arial"/>
                <w:sz w:val="21"/>
              </w:rPr>
            </w:pPr>
          </w:p>
          <w:p w14:paraId="654F361B">
            <w:pPr>
              <w:spacing w:line="251" w:lineRule="auto"/>
              <w:rPr>
                <w:rFonts w:ascii="Arial"/>
                <w:sz w:val="21"/>
              </w:rPr>
            </w:pPr>
          </w:p>
          <w:p w14:paraId="6D08D854">
            <w:pPr>
              <w:spacing w:line="251" w:lineRule="auto"/>
              <w:rPr>
                <w:rFonts w:ascii="Arial"/>
                <w:sz w:val="21"/>
              </w:rPr>
            </w:pPr>
          </w:p>
          <w:p w14:paraId="62DC0DC5">
            <w:pPr>
              <w:spacing w:line="251" w:lineRule="auto"/>
              <w:rPr>
                <w:rFonts w:ascii="Arial"/>
                <w:sz w:val="21"/>
              </w:rPr>
            </w:pPr>
          </w:p>
          <w:p w14:paraId="345A4C9F">
            <w:pPr>
              <w:spacing w:line="251" w:lineRule="auto"/>
              <w:rPr>
                <w:rFonts w:ascii="Arial"/>
                <w:sz w:val="21"/>
              </w:rPr>
            </w:pPr>
          </w:p>
          <w:p w14:paraId="4CD4E5FA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资格要求</w:t>
            </w:r>
          </w:p>
        </w:tc>
        <w:tc>
          <w:tcPr>
            <w:tcW w:w="5469" w:type="dxa"/>
            <w:vAlign w:val="top"/>
          </w:tcPr>
          <w:p w14:paraId="3421CE58">
            <w:pPr>
              <w:pStyle w:val="5"/>
              <w:spacing w:before="57" w:line="265" w:lineRule="auto"/>
              <w:ind w:left="105" w:right="109" w:firstLine="20"/>
              <w:jc w:val="both"/>
            </w:pPr>
            <w:r>
              <w:rPr>
                <w:spacing w:val="-1"/>
              </w:rPr>
              <w:t>1.银行金融服务机构具有独立承担民事责任的能力，具备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《中华人民共和国招标投标法》第二十六条的规定</w:t>
            </w:r>
            <w:r>
              <w:rPr>
                <w:spacing w:val="-5"/>
              </w:rPr>
              <w:t>。（允</w:t>
            </w:r>
            <w:r>
              <w:t xml:space="preserve">  </w:t>
            </w:r>
            <w:r>
              <w:rPr>
                <w:spacing w:val="-6"/>
              </w:rPr>
              <w:t>许依法成立的分支机构参与）。</w:t>
            </w:r>
          </w:p>
          <w:p w14:paraId="29747736">
            <w:pPr>
              <w:pStyle w:val="5"/>
              <w:spacing w:before="33" w:line="267" w:lineRule="auto"/>
              <w:ind w:left="113" w:right="102" w:firstLine="8"/>
            </w:pPr>
            <w:r>
              <w:rPr>
                <w:spacing w:val="-1"/>
              </w:rPr>
              <w:t>2.银行金融服务机构属于国有商业银行、股份制商业银行</w:t>
            </w:r>
            <w:r>
              <w:rPr>
                <w:spacing w:val="15"/>
              </w:rPr>
              <w:t xml:space="preserve"> </w:t>
            </w:r>
            <w:r>
              <w:t>或地方商业银行性质，须具备银行业监督管理部门</w:t>
            </w:r>
            <w:r>
              <w:rPr>
                <w:spacing w:val="-1"/>
              </w:rPr>
              <w:t>颁发的</w:t>
            </w:r>
            <w:r>
              <w:t xml:space="preserve"> </w:t>
            </w:r>
            <w:r>
              <w:rPr>
                <w:spacing w:val="-5"/>
              </w:rPr>
              <w:t>有效金融许可证件、营业执照。（响应文件提供相关证件</w:t>
            </w:r>
            <w:r>
              <w:rPr>
                <w:spacing w:val="7"/>
              </w:rPr>
              <w:t xml:space="preserve">  </w:t>
            </w:r>
            <w:r>
              <w:rPr>
                <w:spacing w:val="-16"/>
              </w:rPr>
              <w:t>扫面件）。</w:t>
            </w:r>
          </w:p>
          <w:p w14:paraId="5BA8F66F">
            <w:pPr>
              <w:pStyle w:val="5"/>
              <w:spacing w:before="32" w:line="260" w:lineRule="auto"/>
              <w:ind w:left="110" w:right="102" w:firstLine="19"/>
            </w:pPr>
            <w:r>
              <w:rPr>
                <w:spacing w:val="-3"/>
              </w:rPr>
              <w:t>3.银行金融服务机构须具备鄂尔多斯市旗</w:t>
            </w:r>
            <w:r>
              <w:rPr>
                <w:spacing w:val="-4"/>
              </w:rPr>
              <w:t>（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区）县级支行</w:t>
            </w:r>
            <w:r>
              <w:t xml:space="preserve"> </w:t>
            </w:r>
            <w:r>
              <w:rPr>
                <w:spacing w:val="-1"/>
              </w:rPr>
              <w:t>及以上资格。</w:t>
            </w:r>
          </w:p>
          <w:p w14:paraId="19DC9562">
            <w:pPr>
              <w:pStyle w:val="5"/>
              <w:spacing w:before="31" w:line="260" w:lineRule="auto"/>
              <w:ind w:left="115" w:right="124" w:firstLine="4"/>
            </w:pPr>
            <w:r>
              <w:rPr>
                <w:spacing w:val="-1"/>
              </w:rPr>
              <w:t>4.银行金融服务机构具备保证金托管所必</w:t>
            </w:r>
            <w:r>
              <w:rPr>
                <w:spacing w:val="-2"/>
              </w:rPr>
              <w:t>需的设备、专业</w:t>
            </w:r>
            <w:r>
              <w:t xml:space="preserve"> </w:t>
            </w:r>
            <w:r>
              <w:rPr>
                <w:spacing w:val="-1"/>
              </w:rPr>
              <w:t>技术和服务能力。</w:t>
            </w:r>
          </w:p>
          <w:p w14:paraId="20BF3142">
            <w:pPr>
              <w:pStyle w:val="5"/>
              <w:spacing w:before="35" w:line="256" w:lineRule="auto"/>
              <w:ind w:left="106" w:right="102" w:firstLine="17"/>
              <w:jc w:val="both"/>
            </w:pPr>
            <w:r>
              <w:rPr>
                <w:spacing w:val="-2"/>
              </w:rPr>
              <w:t>5.具备与鄂尔多斯市电子招标投标交易平台、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内蒙</w:t>
            </w:r>
            <w:r>
              <w:rPr>
                <w:spacing w:val="-3"/>
              </w:rPr>
              <w:t>古自治</w:t>
            </w:r>
            <w:r>
              <w:t xml:space="preserve"> 区政府采购云平台实现对接的电子平台，能实现投标电子</w:t>
            </w:r>
            <w:r>
              <w:rPr>
                <w:spacing w:val="4"/>
              </w:rPr>
              <w:t xml:space="preserve"> </w:t>
            </w:r>
            <w:r>
              <w:t>信息传输和保密功能，并经联动测试合格。</w:t>
            </w:r>
          </w:p>
        </w:tc>
      </w:tr>
      <w:tr w14:paraId="688D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FBF2B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4849AEE">
            <w:pPr>
              <w:pStyle w:val="5"/>
              <w:spacing w:before="213" w:line="259" w:lineRule="auto"/>
              <w:ind w:left="239" w:right="110" w:hanging="116"/>
            </w:pPr>
            <w:r>
              <w:rPr>
                <w:spacing w:val="-2"/>
              </w:rPr>
              <w:t>响应征集文件规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范性、符合性</w:t>
            </w:r>
          </w:p>
        </w:tc>
        <w:tc>
          <w:tcPr>
            <w:tcW w:w="5469" w:type="dxa"/>
            <w:vAlign w:val="top"/>
          </w:tcPr>
          <w:p w14:paraId="09B098DA">
            <w:pPr>
              <w:pStyle w:val="5"/>
              <w:spacing w:before="58" w:line="218" w:lineRule="auto"/>
              <w:ind w:left="222"/>
            </w:pPr>
            <w:r>
              <w:rPr>
                <w:spacing w:val="1"/>
              </w:rPr>
              <w:t>响应征集电子文件须加盖公章、法人章且以</w:t>
            </w:r>
            <w:r>
              <w:t>PDF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格式递</w:t>
            </w:r>
          </w:p>
          <w:p w14:paraId="346609E8">
            <w:pPr>
              <w:pStyle w:val="5"/>
              <w:spacing w:before="64" w:line="247" w:lineRule="auto"/>
              <w:ind w:left="330" w:right="210" w:hanging="107"/>
            </w:pPr>
            <w:r>
              <w:rPr>
                <w:spacing w:val="-1"/>
              </w:rPr>
              <w:t>交，符合征集文件要求；应真实有效，无严重的编排混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乱、内容不全或字迹模糊辨认不清、前后矛盾情况。</w:t>
            </w:r>
          </w:p>
        </w:tc>
      </w:tr>
      <w:tr w14:paraId="629B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343852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87F537F">
            <w:pPr>
              <w:spacing w:line="453" w:lineRule="auto"/>
              <w:rPr>
                <w:rFonts w:ascii="Arial"/>
                <w:sz w:val="21"/>
              </w:rPr>
            </w:pPr>
          </w:p>
          <w:p w14:paraId="1EBC8BB1">
            <w:pPr>
              <w:pStyle w:val="5"/>
              <w:spacing w:before="68" w:line="218" w:lineRule="auto"/>
              <w:ind w:left="121"/>
            </w:pPr>
            <w:r>
              <w:rPr>
                <w:spacing w:val="-2"/>
              </w:rPr>
              <w:t>参加征集活动前</w:t>
            </w:r>
          </w:p>
          <w:p w14:paraId="34E860F7">
            <w:pPr>
              <w:pStyle w:val="5"/>
              <w:spacing w:before="63" w:line="216" w:lineRule="auto"/>
              <w:ind w:left="122"/>
            </w:pPr>
            <w:r>
              <w:rPr>
                <w:spacing w:val="-5"/>
              </w:rPr>
              <w:t>近年内，在经营</w:t>
            </w:r>
          </w:p>
          <w:p w14:paraId="4DF5F367">
            <w:pPr>
              <w:pStyle w:val="5"/>
              <w:spacing w:before="66" w:line="219" w:lineRule="auto"/>
              <w:ind w:left="128"/>
            </w:pPr>
            <w:r>
              <w:rPr>
                <w:spacing w:val="-3"/>
              </w:rPr>
              <w:t>活动中没有重大</w:t>
            </w:r>
          </w:p>
          <w:p w14:paraId="46169ED3">
            <w:pPr>
              <w:pStyle w:val="5"/>
              <w:spacing w:before="62" w:line="220" w:lineRule="auto"/>
              <w:ind w:left="434"/>
            </w:pPr>
            <w:r>
              <w:rPr>
                <w:spacing w:val="-2"/>
              </w:rPr>
              <w:t>违法记录</w:t>
            </w:r>
          </w:p>
        </w:tc>
        <w:tc>
          <w:tcPr>
            <w:tcW w:w="5469" w:type="dxa"/>
            <w:vAlign w:val="top"/>
          </w:tcPr>
          <w:p w14:paraId="1ECB9991">
            <w:pPr>
              <w:pStyle w:val="5"/>
              <w:spacing w:before="45" w:line="257" w:lineRule="auto"/>
              <w:ind w:left="119" w:right="136" w:firstLine="6"/>
            </w:pPr>
            <w:r>
              <w:rPr>
                <w:spacing w:val="-1"/>
              </w:rPr>
              <w:t>1.在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信用中国</w:t>
            </w:r>
            <w:r>
              <w:rPr>
                <w:rFonts w:ascii="等线" w:hAnsi="等线" w:eastAsia="等线" w:cs="等线"/>
                <w:spacing w:val="-1"/>
              </w:rPr>
              <w:t>”</w:t>
            </w:r>
            <w:r>
              <w:rPr>
                <w:spacing w:val="-1"/>
              </w:rPr>
              <w:t>网站（www.creditchina.gov.cn）和</w:t>
            </w:r>
            <w:r>
              <w:rPr>
                <w:rFonts w:ascii="等线" w:hAnsi="等线" w:eastAsia="等线" w:cs="等线"/>
                <w:spacing w:val="-1"/>
              </w:rPr>
              <w:t>“</w:t>
            </w:r>
            <w:r>
              <w:rPr>
                <w:spacing w:val="-1"/>
              </w:rPr>
              <w:t>中</w:t>
            </w:r>
            <w:r>
              <w:rPr>
                <w:spacing w:val="8"/>
              </w:rPr>
              <w:t xml:space="preserve">  </w:t>
            </w:r>
            <w:r>
              <w:t>国政府采购网</w:t>
            </w:r>
            <w:r>
              <w:rPr>
                <w:rFonts w:ascii="等线" w:hAnsi="等线" w:eastAsia="等线" w:cs="等线"/>
              </w:rPr>
              <w:t>”</w:t>
            </w:r>
            <w:r>
              <w:t>（www.ccgp.gov</w:t>
            </w:r>
            <w:r>
              <w:rPr>
                <w:spacing w:val="-1"/>
              </w:rPr>
              <w:t>.cn）未被列入有关违法违</w:t>
            </w:r>
            <w:r>
              <w:t xml:space="preserve"> </w:t>
            </w:r>
            <w:r>
              <w:rPr>
                <w:spacing w:val="-1"/>
              </w:rPr>
              <w:t>规记录，提供查询截图，投标文件须附复印件。</w:t>
            </w:r>
          </w:p>
          <w:p w14:paraId="04831091">
            <w:pPr>
              <w:pStyle w:val="5"/>
              <w:spacing w:before="26" w:line="260" w:lineRule="auto"/>
              <w:ind w:left="142" w:right="263" w:hanging="21"/>
            </w:pPr>
            <w:r>
              <w:rPr>
                <w:spacing w:val="-7"/>
              </w:rPr>
              <w:t>2.银行金融服务机构近三年来（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202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 日至今）</w:t>
            </w:r>
            <w:r>
              <w:t xml:space="preserve"> </w:t>
            </w:r>
            <w:r>
              <w:rPr>
                <w:spacing w:val="-4"/>
              </w:rPr>
              <w:t>内未受相关监管机构重大违规处罚。</w:t>
            </w:r>
          </w:p>
          <w:p w14:paraId="4567CA23">
            <w:pPr>
              <w:pStyle w:val="5"/>
              <w:spacing w:before="32" w:line="247" w:lineRule="auto"/>
              <w:ind w:left="115" w:right="145" w:firstLine="13"/>
            </w:pPr>
            <w:r>
              <w:rPr>
                <w:spacing w:val="-3"/>
              </w:rPr>
              <w:t>3.银行金融服务机构参加公开征集活动近三年内（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202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t xml:space="preserve"> 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 日至今）在经营活动中没有重大违</w:t>
            </w:r>
            <w:r>
              <w:rPr>
                <w:spacing w:val="-7"/>
              </w:rPr>
              <w:t>法违规记录。</w:t>
            </w:r>
          </w:p>
        </w:tc>
      </w:tr>
      <w:tr w14:paraId="68A9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FF298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113EEB9">
            <w:pPr>
              <w:spacing w:line="299" w:lineRule="auto"/>
              <w:rPr>
                <w:rFonts w:ascii="Arial"/>
                <w:sz w:val="21"/>
              </w:rPr>
            </w:pPr>
          </w:p>
          <w:p w14:paraId="633BA0AC">
            <w:pPr>
              <w:pStyle w:val="5"/>
              <w:spacing w:before="68" w:line="219" w:lineRule="auto"/>
              <w:ind w:left="440"/>
            </w:pPr>
            <w:r>
              <w:rPr>
                <w:spacing w:val="-4"/>
              </w:rPr>
              <w:t>资质要求</w:t>
            </w:r>
          </w:p>
        </w:tc>
        <w:tc>
          <w:tcPr>
            <w:tcW w:w="5469" w:type="dxa"/>
            <w:vAlign w:val="top"/>
          </w:tcPr>
          <w:p w14:paraId="76EA6387">
            <w:pPr>
              <w:pStyle w:val="5"/>
              <w:spacing w:before="57" w:line="256" w:lineRule="auto"/>
              <w:ind w:left="111" w:right="102"/>
              <w:jc w:val="both"/>
            </w:pPr>
            <w:r>
              <w:t xml:space="preserve">银行金融服务机构属于国有商业银行、股份制商业银行或 地方商业银行性质，须具备银行业监督管理部门颁发的有 </w:t>
            </w:r>
            <w:r>
              <w:rPr>
                <w:spacing w:val="-6"/>
              </w:rPr>
              <w:t>效的《金融许可证》和《营业执照》。</w:t>
            </w:r>
          </w:p>
        </w:tc>
      </w:tr>
      <w:tr w14:paraId="56626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33CA5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CD1130D">
            <w:pPr>
              <w:pStyle w:val="5"/>
              <w:spacing w:before="57" w:line="219" w:lineRule="auto"/>
              <w:ind w:left="123"/>
            </w:pPr>
            <w:r>
              <w:rPr>
                <w:spacing w:val="-2"/>
              </w:rPr>
              <w:t>具有良好的商业</w:t>
            </w:r>
          </w:p>
          <w:p w14:paraId="620A19EB">
            <w:pPr>
              <w:pStyle w:val="5"/>
              <w:spacing w:before="63" w:line="218" w:lineRule="auto"/>
              <w:ind w:left="110"/>
            </w:pPr>
            <w:r>
              <w:t>信誉和健全的财</w:t>
            </w:r>
          </w:p>
          <w:p w14:paraId="038DAFF4">
            <w:pPr>
              <w:pStyle w:val="5"/>
              <w:spacing w:before="63" w:line="218" w:lineRule="auto"/>
              <w:ind w:left="330"/>
            </w:pPr>
            <w:r>
              <w:rPr>
                <w:spacing w:val="-2"/>
              </w:rPr>
              <w:t>务会计制度</w:t>
            </w:r>
          </w:p>
        </w:tc>
        <w:tc>
          <w:tcPr>
            <w:tcW w:w="5469" w:type="dxa"/>
            <w:vAlign w:val="top"/>
          </w:tcPr>
          <w:p w14:paraId="3A863489">
            <w:pPr>
              <w:spacing w:line="299" w:lineRule="auto"/>
              <w:rPr>
                <w:rFonts w:ascii="Arial"/>
                <w:sz w:val="21"/>
              </w:rPr>
            </w:pPr>
          </w:p>
          <w:p w14:paraId="3114E83D">
            <w:pPr>
              <w:pStyle w:val="5"/>
              <w:spacing w:before="69" w:line="219" w:lineRule="auto"/>
              <w:ind w:left="1004"/>
            </w:pPr>
            <w:r>
              <w:rPr>
                <w:spacing w:val="-2"/>
              </w:rPr>
              <w:t>提供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2022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年度的审计报告或财务报表</w:t>
            </w:r>
          </w:p>
        </w:tc>
      </w:tr>
      <w:tr w14:paraId="75336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7BE3DD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97CE354">
            <w:pPr>
              <w:spacing w:line="305" w:lineRule="auto"/>
              <w:rPr>
                <w:rFonts w:ascii="Arial"/>
                <w:sz w:val="21"/>
              </w:rPr>
            </w:pPr>
          </w:p>
          <w:p w14:paraId="11D475B8">
            <w:pPr>
              <w:spacing w:line="305" w:lineRule="auto"/>
              <w:rPr>
                <w:rFonts w:ascii="Arial"/>
                <w:sz w:val="21"/>
              </w:rPr>
            </w:pPr>
          </w:p>
          <w:p w14:paraId="2A8A1E75">
            <w:pPr>
              <w:pStyle w:val="5"/>
              <w:spacing w:before="68" w:line="219" w:lineRule="auto"/>
              <w:ind w:left="433"/>
            </w:pPr>
            <w:r>
              <w:rPr>
                <w:spacing w:val="-2"/>
              </w:rPr>
              <w:t>人员要求</w:t>
            </w:r>
          </w:p>
        </w:tc>
        <w:tc>
          <w:tcPr>
            <w:tcW w:w="5469" w:type="dxa"/>
            <w:vAlign w:val="top"/>
          </w:tcPr>
          <w:p w14:paraId="6FC41097">
            <w:pPr>
              <w:pStyle w:val="5"/>
              <w:spacing w:before="58" w:line="263" w:lineRule="auto"/>
              <w:ind w:left="110" w:right="102"/>
              <w:jc w:val="both"/>
            </w:pPr>
            <w:r>
              <w:rPr>
                <w:spacing w:val="-1"/>
              </w:rPr>
              <w:t>银行金融服务机构需安排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名本单位业务素质高</w:t>
            </w:r>
            <w:r>
              <w:rPr>
                <w:spacing w:val="-2"/>
              </w:rPr>
              <w:t>、服务态</w:t>
            </w:r>
            <w:r>
              <w:t xml:space="preserve"> 度好、责任心强的工作人员做好保证金代收、代退等相关 工作，要求工作经验三年（含以上）的工作人员（需提供 相关工作人员的身份证、学历证明、工作证明和企业员工 </w:t>
            </w:r>
            <w:r>
              <w:rPr>
                <w:spacing w:val="-6"/>
              </w:rPr>
              <w:t>缴纳社保资金的凭证）。</w:t>
            </w:r>
          </w:p>
        </w:tc>
      </w:tr>
      <w:tr w14:paraId="292F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55EFAD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3C5B021">
            <w:pPr>
              <w:pStyle w:val="5"/>
              <w:spacing w:before="214" w:line="221" w:lineRule="auto"/>
              <w:ind w:left="538"/>
            </w:pPr>
            <w:r>
              <w:rPr>
                <w:spacing w:val="-2"/>
              </w:rPr>
              <w:t>承诺书</w:t>
            </w:r>
          </w:p>
        </w:tc>
        <w:tc>
          <w:tcPr>
            <w:tcW w:w="5469" w:type="dxa"/>
            <w:vAlign w:val="top"/>
          </w:tcPr>
          <w:p w14:paraId="74789537">
            <w:pPr>
              <w:pStyle w:val="5"/>
              <w:spacing w:before="59" w:line="249" w:lineRule="auto"/>
              <w:ind w:left="118" w:right="150" w:hanging="4"/>
            </w:pPr>
            <w:r>
              <w:rPr>
                <w:spacing w:val="-2"/>
              </w:rPr>
              <w:t>承诺退还保证金免除一切转账手续费用，资金往来</w:t>
            </w:r>
            <w:r>
              <w:rPr>
                <w:spacing w:val="-3"/>
              </w:rPr>
              <w:t>保密，</w:t>
            </w:r>
            <w:r>
              <w:t xml:space="preserve"> </w:t>
            </w:r>
            <w:r>
              <w:rPr>
                <w:spacing w:val="-6"/>
              </w:rPr>
              <w:t>并提供保密承诺等。（提供承诺书，格式自拟）</w:t>
            </w:r>
          </w:p>
        </w:tc>
      </w:tr>
    </w:tbl>
    <w:p w14:paraId="15DB1732">
      <w:pPr>
        <w:rPr>
          <w:rFonts w:ascii="Arial"/>
          <w:sz w:val="21"/>
        </w:rPr>
      </w:pPr>
    </w:p>
    <w:p w14:paraId="6C9B12D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2F13ACE">
      <w:pPr>
        <w:spacing w:line="91" w:lineRule="auto"/>
        <w:rPr>
          <w:rFonts w:ascii="Arial"/>
          <w:sz w:val="2"/>
        </w:rPr>
      </w:pPr>
    </w:p>
    <w:tbl>
      <w:tblPr>
        <w:tblStyle w:val="4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99"/>
        <w:gridCol w:w="5469"/>
      </w:tblGrid>
      <w:tr w14:paraId="63D7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CABC2D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C513D05">
            <w:pPr>
              <w:spacing w:line="269" w:lineRule="auto"/>
              <w:rPr>
                <w:rFonts w:ascii="Arial"/>
                <w:sz w:val="21"/>
              </w:rPr>
            </w:pPr>
          </w:p>
          <w:p w14:paraId="404AD31F">
            <w:pPr>
              <w:spacing w:line="269" w:lineRule="auto"/>
              <w:rPr>
                <w:rFonts w:ascii="Arial"/>
                <w:sz w:val="21"/>
              </w:rPr>
            </w:pPr>
          </w:p>
          <w:p w14:paraId="02FA357F">
            <w:pPr>
              <w:spacing w:line="269" w:lineRule="auto"/>
              <w:rPr>
                <w:rFonts w:ascii="Arial"/>
                <w:sz w:val="21"/>
              </w:rPr>
            </w:pPr>
          </w:p>
          <w:p w14:paraId="20BCFDC7">
            <w:pPr>
              <w:spacing w:line="269" w:lineRule="auto"/>
              <w:rPr>
                <w:rFonts w:ascii="Arial"/>
                <w:sz w:val="21"/>
              </w:rPr>
            </w:pPr>
          </w:p>
          <w:p w14:paraId="45908305">
            <w:pPr>
              <w:pStyle w:val="5"/>
              <w:spacing w:before="68" w:line="218" w:lineRule="auto"/>
              <w:ind w:left="431"/>
            </w:pPr>
            <w:r>
              <w:rPr>
                <w:spacing w:val="-2"/>
              </w:rPr>
              <w:t>其他要求</w:t>
            </w:r>
          </w:p>
        </w:tc>
        <w:tc>
          <w:tcPr>
            <w:tcW w:w="5469" w:type="dxa"/>
            <w:vAlign w:val="top"/>
          </w:tcPr>
          <w:p w14:paraId="7DFE3474">
            <w:pPr>
              <w:pStyle w:val="5"/>
              <w:spacing w:before="57" w:line="269" w:lineRule="auto"/>
              <w:ind w:left="117" w:right="102" w:firstLine="9"/>
            </w:pPr>
            <w:r>
              <w:rPr>
                <w:spacing w:val="-1"/>
              </w:rPr>
              <w:t>1.银行金融服务机构</w:t>
            </w:r>
            <w:bookmarkStart w:id="0" w:name="_GoBack"/>
            <w:r>
              <w:rPr>
                <w:color w:val="auto"/>
                <w:spacing w:val="-1"/>
              </w:rPr>
              <w:t>不能满</w:t>
            </w:r>
            <w:bookmarkEnd w:id="0"/>
            <w:r>
              <w:rPr>
                <w:spacing w:val="-1"/>
              </w:rPr>
              <w:t>足各级公共资源交易平台监管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需要的，各级公共资源交易平台可以自行调整银行金融服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务机构。银行金融服务机构未尽到相关义务，给当事人造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成损失的，应当依法承担赔偿责任。（提供承诺书，格式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自拟）</w:t>
            </w:r>
          </w:p>
          <w:p w14:paraId="006D75D8">
            <w:pPr>
              <w:pStyle w:val="5"/>
              <w:spacing w:before="32" w:line="256" w:lineRule="auto"/>
              <w:ind w:left="114" w:right="102" w:firstLine="7"/>
              <w:jc w:val="both"/>
            </w:pPr>
            <w:r>
              <w:rPr>
                <w:spacing w:val="-1"/>
              </w:rPr>
              <w:t>2.愿意遵守公共资源交易有关的法律法规及各级公共资源</w:t>
            </w:r>
            <w:r>
              <w:rPr>
                <w:spacing w:val="15"/>
              </w:rPr>
              <w:t xml:space="preserve"> </w:t>
            </w:r>
            <w:r>
              <w:t>交易平台关于保证金管理的有关要求，并承担政</w:t>
            </w:r>
            <w:r>
              <w:rPr>
                <w:spacing w:val="-1"/>
              </w:rPr>
              <w:t>策不确定</w:t>
            </w:r>
            <w:r>
              <w:t xml:space="preserve"> </w:t>
            </w:r>
            <w:r>
              <w:rPr>
                <w:spacing w:val="-5"/>
              </w:rPr>
              <w:t>风险及业务风险的承诺。（提供承诺书，格式自拟）</w:t>
            </w:r>
          </w:p>
        </w:tc>
      </w:tr>
      <w:tr w14:paraId="3281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359726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267EFBF">
            <w:pPr>
              <w:pStyle w:val="5"/>
              <w:spacing w:before="133" w:line="219" w:lineRule="auto"/>
              <w:ind w:left="225"/>
            </w:pPr>
            <w:r>
              <w:rPr>
                <w:spacing w:val="-2"/>
              </w:rPr>
              <w:t>服务需求内容</w:t>
            </w:r>
          </w:p>
        </w:tc>
        <w:tc>
          <w:tcPr>
            <w:tcW w:w="5469" w:type="dxa"/>
            <w:vAlign w:val="top"/>
          </w:tcPr>
          <w:p w14:paraId="042429FC">
            <w:pPr>
              <w:pStyle w:val="5"/>
              <w:spacing w:before="133" w:line="217" w:lineRule="auto"/>
              <w:ind w:left="430"/>
            </w:pPr>
            <w:r>
              <w:rPr>
                <w:spacing w:val="-2"/>
              </w:rPr>
              <w:t>服务内容明确并实质性满足交易平台的相关要求。</w:t>
            </w:r>
          </w:p>
        </w:tc>
      </w:tr>
      <w:tr w14:paraId="4BE24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34" w:type="dxa"/>
            <w:vAlign w:val="top"/>
          </w:tcPr>
          <w:p w14:paraId="5B05817D">
            <w:pPr>
              <w:pStyle w:val="5"/>
              <w:spacing w:before="272" w:line="221" w:lineRule="auto"/>
              <w:ind w:left="363"/>
            </w:pPr>
            <w:r>
              <w:rPr>
                <w:spacing w:val="-3"/>
              </w:rPr>
              <w:t>备注</w:t>
            </w:r>
          </w:p>
        </w:tc>
        <w:tc>
          <w:tcPr>
            <w:tcW w:w="1699" w:type="dxa"/>
            <w:vAlign w:val="top"/>
          </w:tcPr>
          <w:p w14:paraId="6DB391E1">
            <w:pPr>
              <w:spacing w:line="326" w:lineRule="auto"/>
              <w:rPr>
                <w:rFonts w:ascii="Arial"/>
                <w:sz w:val="21"/>
              </w:rPr>
            </w:pPr>
          </w:p>
          <w:p w14:paraId="4F3F0139">
            <w:pPr>
              <w:pStyle w:val="5"/>
              <w:spacing w:before="68" w:line="220" w:lineRule="auto"/>
              <w:ind w:left="434"/>
            </w:pPr>
            <w:r>
              <w:rPr>
                <w:spacing w:val="-2"/>
              </w:rPr>
              <w:t>特别说明</w:t>
            </w:r>
          </w:p>
        </w:tc>
        <w:tc>
          <w:tcPr>
            <w:tcW w:w="5469" w:type="dxa"/>
            <w:vAlign w:val="top"/>
          </w:tcPr>
          <w:p w14:paraId="2EF4BED7">
            <w:pPr>
              <w:pStyle w:val="5"/>
              <w:spacing w:before="84" w:line="264" w:lineRule="auto"/>
              <w:ind w:left="109" w:right="102" w:firstLine="4"/>
            </w:pPr>
            <w:r>
              <w:rPr>
                <w:spacing w:val="-5"/>
              </w:rPr>
              <w:t>说明：投标人提供的《信用查询结果》、中国政府采购网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查询截图中，如有失信记录的，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已处理失信情况则需要提</w:t>
            </w:r>
            <w:r>
              <w:t xml:space="preserve"> </w:t>
            </w:r>
            <w:r>
              <w:rPr>
                <w:spacing w:val="-3"/>
              </w:rPr>
              <w:t>供已处理证明材料。</w:t>
            </w:r>
          </w:p>
        </w:tc>
      </w:tr>
    </w:tbl>
    <w:p w14:paraId="0245149A">
      <w:pPr>
        <w:rPr>
          <w:rFonts w:ascii="Arial"/>
          <w:sz w:val="21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FC0433"/>
    <w:rsid w:val="50012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1088</Words>
  <Characters>1144</Characters>
  <TotalTime>2</TotalTime>
  <ScaleCrop>false</ScaleCrop>
  <LinksUpToDate>false</LinksUpToDate>
  <CharactersWithSpaces>1200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文档存本地丢失不负责</cp:lastModifiedBy>
  <dcterms:modified xsi:type="dcterms:W3CDTF">2025-03-05T06:37:54Z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2025-03-05T10:08:33Z</vt:filetime>
  </property>
  <property fmtid="{D5CDD505-2E9C-101B-9397-08002B2CF9AE}" pid="4" name="KSOTemplateDocerSaveRecord">
    <vt:lpwstr>eyJoZGlkIjoiZWQ2MzYzODg5OGY3YzQxYWE0MmI3NjRlODJiOWQ2NjAiLCJ1c2VySWQiOiIxMzc1NDY5MTMyIn0=</vt:lpwstr>
  </property>
  <property fmtid="{D5CDD505-2E9C-101B-9397-08002B2CF9AE}" pid="5" name="KSOProductBuildVer">
    <vt:lpwstr>2052-12.1.0.20305</vt:lpwstr>
  </property>
  <property fmtid="{D5CDD505-2E9C-101B-9397-08002B2CF9AE}" pid="6" name="ICV">
    <vt:lpwstr>6C0056D3FF81414191B672D4222987EA_12</vt:lpwstr>
  </property>
</Properties>
</file>