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hint="eastAsia" w:ascii="宋体" w:hAnsi="宋体"/>
          <w:b/>
          <w:bCs/>
          <w:color w:val="000000"/>
          <w:spacing w:val="36"/>
          <w:w w:val="66"/>
          <w:sz w:val="52"/>
          <w:szCs w:val="52"/>
          <w:lang w:eastAsia="zh-CN"/>
        </w:rPr>
      </w:pPr>
    </w:p>
    <w:p>
      <w:pPr>
        <w:pStyle w:val="5"/>
        <w:bidi w:val="0"/>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鄂托克前旗农牧业综合开发中心</w:t>
      </w:r>
      <w:r>
        <w:rPr>
          <w:rFonts w:hint="eastAsia" w:asciiTheme="minorEastAsia" w:hAnsiTheme="minorEastAsia" w:eastAsiaTheme="minorEastAsia" w:cstheme="minorEastAsia"/>
          <w:b w:val="0"/>
          <w:bCs w:val="0"/>
          <w:sz w:val="28"/>
          <w:szCs w:val="28"/>
          <w:lang w:val="en-US" w:eastAsia="zh-CN"/>
        </w:rPr>
        <w:t>采购</w:t>
      </w:r>
      <w:r>
        <w:rPr>
          <w:rFonts w:hint="eastAsia" w:asciiTheme="minorEastAsia" w:hAnsiTheme="minorEastAsia" w:eastAsiaTheme="minorEastAsia" w:cstheme="minorEastAsia"/>
          <w:b w:val="0"/>
          <w:bCs w:val="0"/>
          <w:sz w:val="28"/>
          <w:szCs w:val="28"/>
          <w:lang w:eastAsia="zh-CN"/>
        </w:rPr>
        <w:t>十二五以来高标准农田建设评估及上图入库工作项目</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磋 商 文 件</w:t>
      </w: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宋体" w:hAnsi="宋体" w:eastAsia="宋体"/>
          <w:b w:val="0"/>
          <w:bCs/>
          <w:color w:val="000000"/>
          <w:szCs w:val="28"/>
          <w:lang w:val="en-US" w:eastAsia="zh-CN"/>
        </w:rPr>
        <w:t>项目编号：</w:t>
      </w:r>
      <w:r>
        <w:rPr>
          <w:rFonts w:hint="eastAsia" w:ascii="宋体" w:hAnsi="宋体"/>
          <w:b w:val="0"/>
          <w:bCs/>
          <w:color w:val="0000FF"/>
          <w:szCs w:val="28"/>
          <w:lang w:eastAsia="zh-CN"/>
        </w:rPr>
        <w:t>CG2020FCS098</w:t>
      </w:r>
    </w:p>
    <w:p>
      <w:pPr>
        <w:tabs>
          <w:tab w:val="left" w:pos="315"/>
          <w:tab w:val="left" w:pos="8820"/>
        </w:tabs>
        <w:spacing w:line="360" w:lineRule="auto"/>
        <w:ind w:right="356" w:rightChars="127"/>
        <w:jc w:val="both"/>
        <w:rPr>
          <w:rFonts w:ascii="宋体" w:hAnsi="宋体"/>
          <w:color w:val="000000"/>
          <w:szCs w:val="28"/>
        </w:rPr>
      </w:pPr>
    </w:p>
    <w:p>
      <w:pPr>
        <w:tabs>
          <w:tab w:val="left" w:pos="315"/>
          <w:tab w:val="left" w:pos="8820"/>
        </w:tabs>
        <w:spacing w:before="312" w:beforeLines="100" w:after="156" w:afterLines="50" w:line="360" w:lineRule="auto"/>
        <w:ind w:right="356" w:rightChars="127"/>
        <w:jc w:val="center"/>
        <w:rPr>
          <w:rFonts w:hint="eastAsia" w:ascii="宋体" w:hAnsi="宋体" w:eastAsia="宋体"/>
          <w:b w:val="0"/>
          <w:bCs/>
          <w:color w:val="000000"/>
          <w:szCs w:val="28"/>
          <w:lang w:eastAsia="zh-CN"/>
        </w:rPr>
      </w:pPr>
      <w:r>
        <w:rPr>
          <w:rFonts w:hint="eastAsia" w:ascii="宋体" w:hAnsi="宋体"/>
          <w:b w:val="0"/>
          <w:bCs/>
          <w:color w:val="000000"/>
          <w:szCs w:val="28"/>
        </w:rPr>
        <w:t>2020年</w:t>
      </w:r>
      <w:r>
        <w:rPr>
          <w:rFonts w:hint="eastAsia" w:ascii="宋体" w:hAnsi="宋体"/>
          <w:b w:val="0"/>
          <w:bCs/>
          <w:color w:val="000000"/>
          <w:szCs w:val="28"/>
          <w:lang w:val="en-US" w:eastAsia="zh-CN"/>
        </w:rPr>
        <w:t>服务类</w:t>
      </w:r>
    </w:p>
    <w:p>
      <w:pPr>
        <w:tabs>
          <w:tab w:val="left" w:pos="315"/>
          <w:tab w:val="left" w:pos="8820"/>
        </w:tabs>
        <w:spacing w:line="360" w:lineRule="auto"/>
        <w:ind w:right="356" w:rightChars="127"/>
        <w:rPr>
          <w:rFonts w:ascii="宋体" w:hAnsi="宋体"/>
          <w:color w:val="000000"/>
          <w:szCs w:val="28"/>
        </w:rPr>
      </w:pPr>
    </w:p>
    <w:p>
      <w:pPr>
        <w:pStyle w:val="23"/>
        <w:rPr>
          <w:rFonts w:ascii="宋体" w:hAnsi="宋体"/>
          <w:color w:val="000000"/>
          <w:szCs w:val="28"/>
        </w:rPr>
      </w:pPr>
    </w:p>
    <w:p>
      <w:pPr>
        <w:pStyle w:val="23"/>
        <w:rPr>
          <w:rFonts w:ascii="宋体" w:hAnsi="宋体"/>
          <w:color w:val="000000"/>
          <w:szCs w:val="28"/>
        </w:rPr>
      </w:pPr>
    </w:p>
    <w:p>
      <w:pPr>
        <w:pStyle w:val="23"/>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13"/>
        <w:spacing w:line="360" w:lineRule="auto"/>
        <w:ind w:left="2470" w:leftChars="337" w:hanging="1526" w:hangingChars="545"/>
        <w:rPr>
          <w:rFonts w:hint="eastAsia" w:ascii="宋体" w:hAnsi="宋体" w:eastAsia="宋体"/>
          <w:b w:val="0"/>
          <w:bCs/>
          <w:color w:val="000000"/>
          <w:szCs w:val="28"/>
          <w:lang w:eastAsia="zh-CN"/>
        </w:rPr>
      </w:pPr>
      <w:r>
        <w:rPr>
          <w:rFonts w:hint="eastAsia" w:ascii="宋体" w:hAnsi="宋体" w:eastAsia="宋体"/>
          <w:b w:val="0"/>
          <w:bCs/>
          <w:color w:val="000000"/>
          <w:szCs w:val="28"/>
          <w:lang w:val="en-US" w:eastAsia="zh-CN"/>
        </w:rPr>
        <w:t>采购人</w:t>
      </w:r>
      <w:r>
        <w:rPr>
          <w:rFonts w:hint="eastAsia" w:ascii="宋体" w:hAnsi="宋体" w:eastAsia="宋体"/>
          <w:b w:val="0"/>
          <w:bCs/>
          <w:color w:val="000000"/>
          <w:szCs w:val="28"/>
        </w:rPr>
        <w:t>：</w:t>
      </w:r>
      <w:r>
        <w:rPr>
          <w:rFonts w:hint="eastAsia" w:ascii="宋体" w:hAnsi="宋体" w:eastAsia="宋体"/>
          <w:b w:val="0"/>
          <w:bCs/>
          <w:color w:val="000000"/>
          <w:szCs w:val="28"/>
          <w:lang w:eastAsia="zh-CN"/>
        </w:rPr>
        <w:t>鄂托克前旗农牧业综合开发中心</w:t>
      </w:r>
    </w:p>
    <w:p>
      <w:pPr>
        <w:pStyle w:val="13"/>
        <w:spacing w:line="360" w:lineRule="auto"/>
        <w:ind w:left="2330" w:leftChars="337" w:hanging="1386" w:hangingChars="495"/>
        <w:rPr>
          <w:rFonts w:hint="default" w:ascii="宋体" w:hAnsi="宋体" w:eastAsia="宋体"/>
          <w:b w:val="0"/>
          <w:bCs/>
          <w:color w:val="000000"/>
          <w:szCs w:val="28"/>
          <w:lang w:val="en-US" w:eastAsia="zh-CN"/>
        </w:rPr>
      </w:pPr>
      <w:r>
        <w:rPr>
          <w:rFonts w:hint="eastAsia" w:ascii="宋体" w:hAnsi="宋体" w:eastAsia="宋体"/>
          <w:b w:val="0"/>
          <w:bCs/>
          <w:color w:val="000000"/>
          <w:szCs w:val="28"/>
          <w:lang w:val="en-US" w:eastAsia="zh-CN"/>
        </w:rPr>
        <w:t>采购代理机构</w:t>
      </w:r>
      <w:r>
        <w:rPr>
          <w:rFonts w:hint="eastAsia" w:ascii="宋体" w:hAnsi="宋体" w:eastAsia="宋体"/>
          <w:b w:val="0"/>
          <w:bCs/>
          <w:color w:val="000000"/>
          <w:szCs w:val="28"/>
        </w:rPr>
        <w:t>：</w:t>
      </w:r>
      <w:r>
        <w:rPr>
          <w:rFonts w:hint="eastAsia" w:ascii="宋体" w:hAnsi="宋体" w:eastAsia="宋体"/>
          <w:b w:val="0"/>
          <w:bCs/>
          <w:color w:val="000000"/>
          <w:szCs w:val="28"/>
          <w:lang w:val="en-US" w:eastAsia="zh-CN"/>
        </w:rPr>
        <w:t>鄂尔多斯市金博工程项目管理有限公司</w:t>
      </w:r>
    </w:p>
    <w:p>
      <w:pPr>
        <w:pStyle w:val="13"/>
        <w:spacing w:line="360" w:lineRule="auto"/>
        <w:ind w:left="2330" w:leftChars="337" w:hanging="1386" w:hangingChars="495"/>
        <w:rPr>
          <w:rFonts w:ascii="宋体" w:hAnsi="宋体" w:eastAsia="宋体"/>
          <w:b w:val="0"/>
          <w:bCs/>
          <w:color w:val="000000"/>
          <w:szCs w:val="28"/>
        </w:rPr>
      </w:pPr>
      <w:r>
        <w:rPr>
          <w:rFonts w:hint="eastAsia" w:ascii="宋体" w:hAnsi="宋体" w:eastAsia="宋体"/>
          <w:b w:val="0"/>
          <w:bCs/>
          <w:color w:val="000000"/>
          <w:szCs w:val="28"/>
        </w:rPr>
        <w:t xml:space="preserve"> </w:t>
      </w:r>
    </w:p>
    <w:p>
      <w:pPr>
        <w:pStyle w:val="13"/>
        <w:spacing w:line="360" w:lineRule="auto"/>
        <w:rPr>
          <w:rFonts w:ascii="宋体" w:hAnsi="宋体" w:eastAsia="宋体"/>
          <w:color w:val="000000"/>
          <w:szCs w:val="28"/>
        </w:rPr>
      </w:pPr>
    </w:p>
    <w:p>
      <w:pPr>
        <w:pStyle w:val="50"/>
        <w:keepNext w:val="0"/>
        <w:keepLines w:val="0"/>
        <w:spacing w:before="0" w:line="360" w:lineRule="auto"/>
        <w:jc w:val="center"/>
        <w:rPr>
          <w:rFonts w:hint="eastAsia" w:ascii="宋体" w:hAnsi="宋体"/>
          <w:b w:val="0"/>
          <w:bCs w:val="0"/>
          <w:color w:val="auto"/>
          <w:szCs w:val="28"/>
          <w:lang w:eastAsia="zh-CN"/>
        </w:rPr>
        <w:sectPr>
          <w:footerReference r:id="rId3" w:type="default"/>
          <w:pgSz w:w="11906" w:h="16838"/>
          <w:pgMar w:top="737" w:right="1247" w:bottom="737" w:left="1247" w:header="851" w:footer="992" w:gutter="0"/>
          <w:cols w:space="720" w:num="1"/>
          <w:titlePg/>
          <w:docGrid w:linePitch="312" w:charSpace="0"/>
        </w:sectPr>
      </w:pPr>
      <w:r>
        <w:rPr>
          <w:rFonts w:hint="eastAsia" w:ascii="宋体" w:hAnsi="宋体"/>
          <w:b w:val="0"/>
          <w:bCs w:val="0"/>
          <w:color w:val="auto"/>
          <w:szCs w:val="28"/>
          <w:lang w:eastAsia="zh-CN"/>
        </w:rPr>
        <w:t>2020年04月03日</w:t>
      </w:r>
    </w:p>
    <w:p>
      <w:pPr>
        <w:pStyle w:val="50"/>
        <w:keepNext w:val="0"/>
        <w:keepLines w:val="0"/>
        <w:spacing w:before="0" w:line="360" w:lineRule="auto"/>
        <w:jc w:val="center"/>
        <w:rPr>
          <w:rFonts w:ascii="宋体" w:hAnsi="宋体"/>
          <w:b w:val="0"/>
          <w:bCs w:val="0"/>
          <w:color w:val="000000"/>
          <w:sz w:val="24"/>
          <w:szCs w:val="24"/>
        </w:rPr>
      </w:pPr>
      <w:r>
        <w:rPr>
          <w:rFonts w:hint="eastAsia" w:ascii="宋体" w:hAnsi="宋体"/>
          <w:b w:val="0"/>
          <w:bCs w:val="0"/>
          <w:color w:val="000000"/>
          <w:sz w:val="24"/>
          <w:szCs w:val="24"/>
        </w:rPr>
        <w:t>目   录</w:t>
      </w:r>
    </w:p>
    <w:p>
      <w:pPr>
        <w:pStyle w:val="20"/>
        <w:tabs>
          <w:tab w:val="right" w:leader="dot" w:pos="9402"/>
        </w:tabs>
        <w:rPr>
          <w:rFonts w:asciiTheme="minorHAnsi" w:hAnsiTheme="minorHAnsi" w:eastAsiaTheme="minorEastAsia" w:cstheme="minorBidi"/>
          <w:b w:val="0"/>
          <w:bCs w:val="0"/>
          <w:caps w:val="0"/>
          <w:sz w:val="20"/>
          <w:szCs w:val="21"/>
        </w:rPr>
      </w:pPr>
      <w:r>
        <w:rPr>
          <w:rFonts w:ascii="宋体" w:hAnsi="宋体"/>
          <w:b w:val="0"/>
          <w:bCs w:val="0"/>
          <w:color w:val="000000"/>
          <w:sz w:val="24"/>
          <w:szCs w:val="24"/>
        </w:rPr>
        <w:fldChar w:fldCharType="begin"/>
      </w:r>
      <w:r>
        <w:rPr>
          <w:rFonts w:ascii="宋体" w:hAnsi="宋体"/>
          <w:b w:val="0"/>
          <w:bCs w:val="0"/>
          <w:color w:val="000000"/>
          <w:sz w:val="24"/>
          <w:szCs w:val="24"/>
        </w:rPr>
        <w:instrText xml:space="preserve"> TOC \o "1-3" \h \z \u </w:instrText>
      </w:r>
      <w:r>
        <w:rPr>
          <w:rFonts w:ascii="宋体" w:hAnsi="宋体"/>
          <w:b w:val="0"/>
          <w:bCs w:val="0"/>
          <w:color w:val="000000"/>
          <w:sz w:val="24"/>
          <w:szCs w:val="24"/>
        </w:rPr>
        <w:fldChar w:fldCharType="separate"/>
      </w:r>
      <w:r>
        <w:rPr>
          <w:b w:val="0"/>
          <w:bCs w:val="0"/>
          <w:sz w:val="24"/>
          <w:szCs w:val="18"/>
        </w:rPr>
        <w:fldChar w:fldCharType="begin"/>
      </w:r>
      <w:r>
        <w:rPr>
          <w:b w:val="0"/>
          <w:bCs w:val="0"/>
          <w:sz w:val="24"/>
          <w:szCs w:val="18"/>
        </w:rPr>
        <w:instrText xml:space="preserve"> HYPERLINK \l "_Toc497408600" </w:instrText>
      </w:r>
      <w:r>
        <w:rPr>
          <w:b w:val="0"/>
          <w:bCs w:val="0"/>
          <w:sz w:val="24"/>
          <w:szCs w:val="18"/>
        </w:rPr>
        <w:fldChar w:fldCharType="separate"/>
      </w:r>
      <w:r>
        <w:rPr>
          <w:rStyle w:val="33"/>
          <w:rFonts w:hint="eastAsia" w:ascii="宋体" w:hAnsi="宋体"/>
          <w:b w:val="0"/>
          <w:bCs w:val="0"/>
          <w:sz w:val="24"/>
          <w:szCs w:val="18"/>
        </w:rPr>
        <w:t>第一章磋商公告</w:t>
      </w:r>
      <w:r>
        <w:rPr>
          <w:b w:val="0"/>
          <w:bCs w:val="0"/>
          <w:sz w:val="24"/>
          <w:szCs w:val="18"/>
        </w:rPr>
        <w:tab/>
      </w:r>
      <w:r>
        <w:rPr>
          <w:b w:val="0"/>
          <w:bCs w:val="0"/>
          <w:sz w:val="24"/>
          <w:szCs w:val="18"/>
        </w:rPr>
        <w:fldChar w:fldCharType="begin"/>
      </w:r>
      <w:r>
        <w:rPr>
          <w:b w:val="0"/>
          <w:bCs w:val="0"/>
          <w:sz w:val="24"/>
          <w:szCs w:val="18"/>
        </w:rPr>
        <w:instrText xml:space="preserve"> PAGEREF _Toc497408600 \h </w:instrText>
      </w:r>
      <w:r>
        <w:rPr>
          <w:b w:val="0"/>
          <w:bCs w:val="0"/>
          <w:sz w:val="24"/>
          <w:szCs w:val="18"/>
        </w:rPr>
        <w:fldChar w:fldCharType="separate"/>
      </w:r>
      <w:r>
        <w:rPr>
          <w:b w:val="0"/>
          <w:bCs w:val="0"/>
          <w:sz w:val="24"/>
          <w:szCs w:val="18"/>
        </w:rPr>
        <w:t>2</w:t>
      </w:r>
      <w:r>
        <w:rPr>
          <w:b w:val="0"/>
          <w:bCs w:val="0"/>
          <w:sz w:val="24"/>
          <w:szCs w:val="18"/>
        </w:rPr>
        <w:fldChar w:fldCharType="end"/>
      </w:r>
      <w:r>
        <w:rPr>
          <w:b w:val="0"/>
          <w:bCs w:val="0"/>
          <w:sz w:val="24"/>
          <w:szCs w:val="18"/>
        </w:rPr>
        <w:fldChar w:fldCharType="end"/>
      </w:r>
    </w:p>
    <w:p>
      <w:pPr>
        <w:pStyle w:val="20"/>
        <w:tabs>
          <w:tab w:val="right" w:leader="dot" w:pos="9402"/>
        </w:tabs>
        <w:rPr>
          <w:rFonts w:asciiTheme="minorHAnsi" w:hAnsiTheme="minorHAnsi" w:eastAsiaTheme="minorEastAsia" w:cstheme="minorBidi"/>
          <w:b w:val="0"/>
          <w:bCs w:val="0"/>
          <w:caps w:val="0"/>
          <w:sz w:val="20"/>
          <w:szCs w:val="21"/>
        </w:rPr>
      </w:pPr>
      <w:r>
        <w:rPr>
          <w:b w:val="0"/>
          <w:bCs w:val="0"/>
          <w:sz w:val="24"/>
          <w:szCs w:val="18"/>
        </w:rPr>
        <w:fldChar w:fldCharType="begin"/>
      </w:r>
      <w:r>
        <w:rPr>
          <w:b w:val="0"/>
          <w:bCs w:val="0"/>
          <w:sz w:val="24"/>
          <w:szCs w:val="18"/>
        </w:rPr>
        <w:instrText xml:space="preserve"> HYPERLINK \l "_Toc497408601" </w:instrText>
      </w:r>
      <w:r>
        <w:rPr>
          <w:b w:val="0"/>
          <w:bCs w:val="0"/>
          <w:sz w:val="24"/>
          <w:szCs w:val="18"/>
        </w:rPr>
        <w:fldChar w:fldCharType="separate"/>
      </w:r>
      <w:r>
        <w:rPr>
          <w:rStyle w:val="33"/>
          <w:rFonts w:hint="eastAsia" w:ascii="宋体" w:hAnsi="宋体"/>
          <w:b w:val="0"/>
          <w:bCs w:val="0"/>
          <w:sz w:val="24"/>
          <w:szCs w:val="18"/>
        </w:rPr>
        <w:t>第二章供应商须知</w:t>
      </w:r>
      <w:r>
        <w:rPr>
          <w:b w:val="0"/>
          <w:bCs w:val="0"/>
          <w:sz w:val="24"/>
          <w:szCs w:val="18"/>
        </w:rPr>
        <w:tab/>
      </w:r>
      <w:r>
        <w:rPr>
          <w:b w:val="0"/>
          <w:bCs w:val="0"/>
          <w:sz w:val="24"/>
          <w:szCs w:val="18"/>
        </w:rPr>
        <w:fldChar w:fldCharType="begin"/>
      </w:r>
      <w:r>
        <w:rPr>
          <w:b w:val="0"/>
          <w:bCs w:val="0"/>
          <w:sz w:val="24"/>
          <w:szCs w:val="18"/>
        </w:rPr>
        <w:instrText xml:space="preserve"> PAGEREF _Toc497408601 \h </w:instrText>
      </w:r>
      <w:r>
        <w:rPr>
          <w:b w:val="0"/>
          <w:bCs w:val="0"/>
          <w:sz w:val="24"/>
          <w:szCs w:val="18"/>
        </w:rPr>
        <w:fldChar w:fldCharType="separate"/>
      </w:r>
      <w:r>
        <w:rPr>
          <w:b w:val="0"/>
          <w:bCs w:val="0"/>
          <w:sz w:val="24"/>
          <w:szCs w:val="18"/>
        </w:rPr>
        <w:t>5</w:t>
      </w:r>
      <w:r>
        <w:rPr>
          <w:b w:val="0"/>
          <w:bCs w:val="0"/>
          <w:sz w:val="24"/>
          <w:szCs w:val="18"/>
        </w:rPr>
        <w:fldChar w:fldCharType="end"/>
      </w:r>
      <w:r>
        <w:rPr>
          <w:b w:val="0"/>
          <w:bCs w:val="0"/>
          <w:sz w:val="24"/>
          <w:szCs w:val="18"/>
        </w:rPr>
        <w:fldChar w:fldCharType="end"/>
      </w:r>
    </w:p>
    <w:p>
      <w:pPr>
        <w:pStyle w:val="20"/>
        <w:tabs>
          <w:tab w:val="right" w:leader="dot" w:pos="9402"/>
        </w:tabs>
        <w:rPr>
          <w:rFonts w:asciiTheme="minorHAnsi" w:hAnsiTheme="minorHAnsi" w:eastAsiaTheme="minorEastAsia" w:cstheme="minorBidi"/>
          <w:b w:val="0"/>
          <w:bCs w:val="0"/>
          <w:caps w:val="0"/>
          <w:sz w:val="20"/>
          <w:szCs w:val="21"/>
        </w:rPr>
      </w:pPr>
      <w:r>
        <w:rPr>
          <w:b w:val="0"/>
          <w:bCs w:val="0"/>
          <w:sz w:val="24"/>
          <w:szCs w:val="18"/>
        </w:rPr>
        <w:fldChar w:fldCharType="begin"/>
      </w:r>
      <w:r>
        <w:rPr>
          <w:b w:val="0"/>
          <w:bCs w:val="0"/>
          <w:sz w:val="24"/>
          <w:szCs w:val="18"/>
        </w:rPr>
        <w:instrText xml:space="preserve"> HYPERLINK \l "_Toc497408602" </w:instrText>
      </w:r>
      <w:r>
        <w:rPr>
          <w:b w:val="0"/>
          <w:bCs w:val="0"/>
          <w:sz w:val="24"/>
          <w:szCs w:val="18"/>
        </w:rPr>
        <w:fldChar w:fldCharType="separate"/>
      </w:r>
      <w:r>
        <w:rPr>
          <w:rStyle w:val="33"/>
          <w:rFonts w:hint="eastAsia" w:ascii="宋体" w:hAnsi="宋体" w:cs="宋体"/>
          <w:b w:val="0"/>
          <w:bCs w:val="0"/>
          <w:sz w:val="24"/>
          <w:szCs w:val="18"/>
        </w:rPr>
        <w:t>第三章合同与验收</w:t>
      </w:r>
      <w:r>
        <w:rPr>
          <w:b w:val="0"/>
          <w:bCs w:val="0"/>
          <w:sz w:val="24"/>
          <w:szCs w:val="18"/>
        </w:rPr>
        <w:tab/>
      </w:r>
      <w:r>
        <w:rPr>
          <w:b w:val="0"/>
          <w:bCs w:val="0"/>
          <w:sz w:val="24"/>
          <w:szCs w:val="18"/>
        </w:rPr>
        <w:fldChar w:fldCharType="begin"/>
      </w:r>
      <w:r>
        <w:rPr>
          <w:b w:val="0"/>
          <w:bCs w:val="0"/>
          <w:sz w:val="24"/>
          <w:szCs w:val="18"/>
        </w:rPr>
        <w:instrText xml:space="preserve"> PAGEREF _Toc497408602 \h </w:instrText>
      </w:r>
      <w:r>
        <w:rPr>
          <w:b w:val="0"/>
          <w:bCs w:val="0"/>
          <w:sz w:val="24"/>
          <w:szCs w:val="18"/>
        </w:rPr>
        <w:fldChar w:fldCharType="separate"/>
      </w:r>
      <w:r>
        <w:rPr>
          <w:b w:val="0"/>
          <w:bCs w:val="0"/>
          <w:sz w:val="24"/>
          <w:szCs w:val="18"/>
        </w:rPr>
        <w:t>18</w:t>
      </w:r>
      <w:r>
        <w:rPr>
          <w:b w:val="0"/>
          <w:bCs w:val="0"/>
          <w:sz w:val="24"/>
          <w:szCs w:val="18"/>
        </w:rPr>
        <w:fldChar w:fldCharType="end"/>
      </w:r>
      <w:r>
        <w:rPr>
          <w:b w:val="0"/>
          <w:bCs w:val="0"/>
          <w:sz w:val="24"/>
          <w:szCs w:val="18"/>
        </w:rPr>
        <w:fldChar w:fldCharType="end"/>
      </w:r>
    </w:p>
    <w:p>
      <w:pPr>
        <w:pStyle w:val="20"/>
        <w:tabs>
          <w:tab w:val="right" w:leader="dot" w:pos="9402"/>
        </w:tabs>
        <w:rPr>
          <w:rFonts w:hint="eastAsia" w:eastAsia="宋体" w:asciiTheme="minorHAnsi" w:hAnsiTheme="minorHAnsi" w:cstheme="minorBidi"/>
          <w:b w:val="0"/>
          <w:bCs w:val="0"/>
          <w:caps w:val="0"/>
          <w:sz w:val="20"/>
          <w:szCs w:val="21"/>
          <w:lang w:val="en-US" w:eastAsia="zh-CN"/>
        </w:rPr>
      </w:pPr>
      <w:r>
        <w:rPr>
          <w:b w:val="0"/>
          <w:bCs w:val="0"/>
          <w:sz w:val="24"/>
          <w:szCs w:val="18"/>
        </w:rPr>
        <w:fldChar w:fldCharType="begin"/>
      </w:r>
      <w:r>
        <w:rPr>
          <w:b w:val="0"/>
          <w:bCs w:val="0"/>
          <w:sz w:val="24"/>
          <w:szCs w:val="18"/>
        </w:rPr>
        <w:instrText xml:space="preserve"> HYPERLINK \l "_Toc497408603" </w:instrText>
      </w:r>
      <w:r>
        <w:rPr>
          <w:b w:val="0"/>
          <w:bCs w:val="0"/>
          <w:sz w:val="24"/>
          <w:szCs w:val="18"/>
        </w:rPr>
        <w:fldChar w:fldCharType="separate"/>
      </w:r>
      <w:r>
        <w:rPr>
          <w:rStyle w:val="33"/>
          <w:rFonts w:hint="eastAsia" w:ascii="宋体" w:hAnsi="宋体"/>
          <w:b w:val="0"/>
          <w:bCs w:val="0"/>
          <w:kern w:val="44"/>
          <w:sz w:val="24"/>
          <w:szCs w:val="18"/>
          <w:lang w:val="zh-CN"/>
        </w:rPr>
        <w:t>第四章磋商内容与技术要求</w:t>
      </w:r>
      <w:r>
        <w:rPr>
          <w:b w:val="0"/>
          <w:bCs w:val="0"/>
          <w:sz w:val="24"/>
          <w:szCs w:val="18"/>
        </w:rPr>
        <w:tab/>
      </w:r>
      <w:r>
        <w:rPr>
          <w:rFonts w:hint="eastAsia"/>
          <w:b w:val="0"/>
          <w:bCs w:val="0"/>
          <w:sz w:val="24"/>
          <w:szCs w:val="18"/>
          <w:lang w:val="en-US" w:eastAsia="zh-CN"/>
        </w:rPr>
        <w:t>2</w:t>
      </w:r>
      <w:r>
        <w:rPr>
          <w:b w:val="0"/>
          <w:bCs w:val="0"/>
          <w:sz w:val="24"/>
          <w:szCs w:val="18"/>
        </w:rPr>
        <w:fldChar w:fldCharType="end"/>
      </w:r>
      <w:r>
        <w:rPr>
          <w:rFonts w:hint="eastAsia"/>
          <w:b w:val="0"/>
          <w:bCs w:val="0"/>
          <w:sz w:val="24"/>
          <w:szCs w:val="18"/>
          <w:lang w:val="en-US" w:eastAsia="zh-CN"/>
        </w:rPr>
        <w:t>1</w:t>
      </w:r>
    </w:p>
    <w:p>
      <w:pPr>
        <w:pStyle w:val="20"/>
        <w:tabs>
          <w:tab w:val="right" w:leader="dot" w:pos="9402"/>
        </w:tabs>
        <w:rPr>
          <w:rFonts w:hint="eastAsia" w:eastAsia="宋体" w:asciiTheme="minorHAnsi" w:hAnsiTheme="minorHAnsi" w:cstheme="minorBidi"/>
          <w:b w:val="0"/>
          <w:bCs w:val="0"/>
          <w:caps w:val="0"/>
          <w:sz w:val="20"/>
          <w:szCs w:val="21"/>
          <w:lang w:val="en-US" w:eastAsia="zh-CN"/>
        </w:rPr>
      </w:pPr>
      <w:r>
        <w:rPr>
          <w:b w:val="0"/>
          <w:bCs w:val="0"/>
          <w:sz w:val="24"/>
          <w:szCs w:val="18"/>
        </w:rPr>
        <w:fldChar w:fldCharType="begin"/>
      </w:r>
      <w:r>
        <w:rPr>
          <w:b w:val="0"/>
          <w:bCs w:val="0"/>
          <w:sz w:val="24"/>
          <w:szCs w:val="18"/>
        </w:rPr>
        <w:instrText xml:space="preserve"> HYPERLINK \l "_Toc497408604" </w:instrText>
      </w:r>
      <w:r>
        <w:rPr>
          <w:b w:val="0"/>
          <w:bCs w:val="0"/>
          <w:sz w:val="24"/>
          <w:szCs w:val="18"/>
        </w:rPr>
        <w:fldChar w:fldCharType="separate"/>
      </w:r>
      <w:r>
        <w:rPr>
          <w:rStyle w:val="33"/>
          <w:rFonts w:hint="eastAsia" w:ascii="宋体" w:hAnsi="宋体"/>
          <w:b w:val="0"/>
          <w:bCs w:val="0"/>
          <w:kern w:val="44"/>
          <w:sz w:val="24"/>
          <w:szCs w:val="18"/>
          <w:lang w:val="zh-CN"/>
        </w:rPr>
        <w:t>第五章供应商资格证明及相关文件要求</w:t>
      </w:r>
      <w:r>
        <w:rPr>
          <w:b w:val="0"/>
          <w:bCs w:val="0"/>
          <w:sz w:val="24"/>
          <w:szCs w:val="18"/>
        </w:rPr>
        <w:tab/>
      </w:r>
      <w:r>
        <w:rPr>
          <w:rFonts w:hint="eastAsia"/>
          <w:b w:val="0"/>
          <w:bCs w:val="0"/>
          <w:sz w:val="24"/>
          <w:szCs w:val="18"/>
          <w:lang w:val="en-US" w:eastAsia="zh-CN"/>
        </w:rPr>
        <w:t>3</w:t>
      </w:r>
      <w:r>
        <w:rPr>
          <w:b w:val="0"/>
          <w:bCs w:val="0"/>
          <w:sz w:val="24"/>
          <w:szCs w:val="18"/>
        </w:rPr>
        <w:fldChar w:fldCharType="end"/>
      </w:r>
      <w:r>
        <w:rPr>
          <w:rFonts w:hint="eastAsia"/>
          <w:b w:val="0"/>
          <w:bCs w:val="0"/>
          <w:sz w:val="24"/>
          <w:szCs w:val="18"/>
          <w:lang w:val="en-US" w:eastAsia="zh-CN"/>
        </w:rPr>
        <w:t>7</w:t>
      </w:r>
    </w:p>
    <w:p>
      <w:pPr>
        <w:pStyle w:val="20"/>
        <w:tabs>
          <w:tab w:val="right" w:leader="dot" w:pos="9402"/>
        </w:tabs>
        <w:rPr>
          <w:rFonts w:hint="eastAsia" w:eastAsia="宋体" w:asciiTheme="minorHAnsi" w:hAnsiTheme="minorHAnsi" w:cstheme="minorBidi"/>
          <w:b w:val="0"/>
          <w:bCs w:val="0"/>
          <w:caps w:val="0"/>
          <w:sz w:val="20"/>
          <w:szCs w:val="21"/>
          <w:lang w:val="en-US" w:eastAsia="zh-CN"/>
        </w:rPr>
      </w:pPr>
      <w:r>
        <w:rPr>
          <w:b w:val="0"/>
          <w:bCs w:val="0"/>
          <w:sz w:val="24"/>
          <w:szCs w:val="18"/>
        </w:rPr>
        <w:fldChar w:fldCharType="begin"/>
      </w:r>
      <w:r>
        <w:rPr>
          <w:b w:val="0"/>
          <w:bCs w:val="0"/>
          <w:sz w:val="24"/>
          <w:szCs w:val="18"/>
        </w:rPr>
        <w:instrText xml:space="preserve"> HYPERLINK \l "_Toc497408605" </w:instrText>
      </w:r>
      <w:r>
        <w:rPr>
          <w:b w:val="0"/>
          <w:bCs w:val="0"/>
          <w:sz w:val="24"/>
          <w:szCs w:val="18"/>
        </w:rPr>
        <w:fldChar w:fldCharType="separate"/>
      </w:r>
      <w:r>
        <w:rPr>
          <w:rStyle w:val="33"/>
          <w:rFonts w:hint="eastAsia" w:ascii="宋体" w:hAnsi="宋体"/>
          <w:b w:val="0"/>
          <w:bCs w:val="0"/>
          <w:kern w:val="44"/>
          <w:sz w:val="24"/>
          <w:szCs w:val="18"/>
          <w:lang w:val="zh-CN"/>
        </w:rPr>
        <w:t>第六章评标办法（综合评分）</w:t>
      </w:r>
      <w:r>
        <w:rPr>
          <w:b w:val="0"/>
          <w:bCs w:val="0"/>
          <w:sz w:val="24"/>
          <w:szCs w:val="18"/>
        </w:rPr>
        <w:tab/>
      </w:r>
      <w:r>
        <w:rPr>
          <w:rFonts w:hint="eastAsia"/>
          <w:b w:val="0"/>
          <w:bCs w:val="0"/>
          <w:sz w:val="24"/>
          <w:szCs w:val="18"/>
          <w:lang w:val="en-US" w:eastAsia="zh-CN"/>
        </w:rPr>
        <w:t>3</w:t>
      </w:r>
      <w:r>
        <w:rPr>
          <w:b w:val="0"/>
          <w:bCs w:val="0"/>
          <w:sz w:val="24"/>
          <w:szCs w:val="18"/>
        </w:rPr>
        <w:fldChar w:fldCharType="end"/>
      </w:r>
      <w:r>
        <w:rPr>
          <w:rFonts w:hint="eastAsia"/>
          <w:b w:val="0"/>
          <w:bCs w:val="0"/>
          <w:sz w:val="24"/>
          <w:szCs w:val="18"/>
          <w:lang w:val="en-US" w:eastAsia="zh-CN"/>
        </w:rPr>
        <w:t>9</w:t>
      </w:r>
    </w:p>
    <w:p>
      <w:pPr>
        <w:pStyle w:val="20"/>
        <w:tabs>
          <w:tab w:val="right" w:leader="dot" w:pos="9402"/>
        </w:tabs>
        <w:rPr>
          <w:rFonts w:hint="default" w:eastAsia="宋体" w:asciiTheme="minorHAnsi" w:hAnsiTheme="minorHAnsi" w:cstheme="minorBidi"/>
          <w:b w:val="0"/>
          <w:bCs w:val="0"/>
          <w:caps w:val="0"/>
          <w:sz w:val="20"/>
          <w:szCs w:val="21"/>
          <w:lang w:val="en-US" w:eastAsia="zh-CN"/>
        </w:rPr>
      </w:pPr>
      <w:r>
        <w:rPr>
          <w:b w:val="0"/>
          <w:bCs w:val="0"/>
          <w:sz w:val="24"/>
          <w:szCs w:val="18"/>
        </w:rPr>
        <w:fldChar w:fldCharType="begin"/>
      </w:r>
      <w:r>
        <w:rPr>
          <w:b w:val="0"/>
          <w:bCs w:val="0"/>
          <w:sz w:val="24"/>
          <w:szCs w:val="18"/>
        </w:rPr>
        <w:instrText xml:space="preserve"> HYPERLINK \l "_Toc497408606" </w:instrText>
      </w:r>
      <w:r>
        <w:rPr>
          <w:b w:val="0"/>
          <w:bCs w:val="0"/>
          <w:sz w:val="24"/>
          <w:szCs w:val="18"/>
        </w:rPr>
        <w:fldChar w:fldCharType="separate"/>
      </w:r>
      <w:r>
        <w:rPr>
          <w:rStyle w:val="33"/>
          <w:rFonts w:hint="eastAsia" w:ascii="宋体" w:hAnsi="宋体"/>
          <w:b w:val="0"/>
          <w:bCs w:val="0"/>
          <w:sz w:val="24"/>
          <w:szCs w:val="18"/>
        </w:rPr>
        <w:t>第七章响应文件格式与要求</w:t>
      </w:r>
      <w:r>
        <w:rPr>
          <w:b w:val="0"/>
          <w:bCs w:val="0"/>
          <w:sz w:val="24"/>
          <w:szCs w:val="18"/>
        </w:rPr>
        <w:tab/>
      </w:r>
      <w:r>
        <w:rPr>
          <w:b w:val="0"/>
          <w:bCs w:val="0"/>
          <w:sz w:val="24"/>
          <w:szCs w:val="18"/>
        </w:rPr>
        <w:fldChar w:fldCharType="end"/>
      </w:r>
      <w:r>
        <w:rPr>
          <w:rFonts w:hint="eastAsia"/>
          <w:b w:val="0"/>
          <w:bCs w:val="0"/>
          <w:sz w:val="24"/>
          <w:szCs w:val="18"/>
          <w:lang w:val="en-US" w:eastAsia="zh-CN"/>
        </w:rPr>
        <w:t>46</w:t>
      </w:r>
    </w:p>
    <w:p>
      <w:pPr>
        <w:pStyle w:val="20"/>
        <w:tabs>
          <w:tab w:val="right" w:leader="dot" w:pos="9402"/>
        </w:tabs>
        <w:rPr>
          <w:rFonts w:hint="default" w:eastAsia="宋体" w:asciiTheme="minorHAnsi" w:hAnsiTheme="minorHAnsi" w:cstheme="minorBidi"/>
          <w:b w:val="0"/>
          <w:bCs w:val="0"/>
          <w:caps w:val="0"/>
          <w:sz w:val="20"/>
          <w:szCs w:val="21"/>
          <w:lang w:val="en-US" w:eastAsia="zh-CN"/>
        </w:rPr>
      </w:pPr>
      <w:r>
        <w:rPr>
          <w:b w:val="0"/>
          <w:bCs w:val="0"/>
          <w:sz w:val="24"/>
          <w:szCs w:val="18"/>
        </w:rPr>
        <w:fldChar w:fldCharType="begin"/>
      </w:r>
      <w:r>
        <w:rPr>
          <w:b w:val="0"/>
          <w:bCs w:val="0"/>
          <w:sz w:val="24"/>
          <w:szCs w:val="18"/>
        </w:rPr>
        <w:instrText xml:space="preserve"> HYPERLINK \l "_Toc497408607" </w:instrText>
      </w:r>
      <w:r>
        <w:rPr>
          <w:b w:val="0"/>
          <w:bCs w:val="0"/>
          <w:sz w:val="24"/>
          <w:szCs w:val="18"/>
        </w:rPr>
        <w:fldChar w:fldCharType="separate"/>
      </w:r>
      <w:r>
        <w:rPr>
          <w:rStyle w:val="33"/>
          <w:rFonts w:hint="eastAsia" w:ascii="宋体" w:hAnsi="宋体"/>
          <w:b w:val="0"/>
          <w:bCs w:val="0"/>
          <w:sz w:val="24"/>
          <w:szCs w:val="18"/>
          <w:lang w:val="zh-CN"/>
        </w:rPr>
        <w:t>温馨提示</w:t>
      </w:r>
      <w:r>
        <w:rPr>
          <w:b w:val="0"/>
          <w:bCs w:val="0"/>
          <w:sz w:val="24"/>
          <w:szCs w:val="18"/>
        </w:rPr>
        <w:tab/>
      </w:r>
      <w:r>
        <w:rPr>
          <w:b w:val="0"/>
          <w:bCs w:val="0"/>
          <w:sz w:val="24"/>
          <w:szCs w:val="18"/>
        </w:rPr>
        <w:fldChar w:fldCharType="end"/>
      </w:r>
      <w:r>
        <w:rPr>
          <w:rFonts w:hint="eastAsia"/>
          <w:b w:val="0"/>
          <w:bCs w:val="0"/>
          <w:sz w:val="24"/>
          <w:szCs w:val="18"/>
          <w:lang w:val="en-US" w:eastAsia="zh-CN"/>
        </w:rPr>
        <w:t>74</w:t>
      </w:r>
    </w:p>
    <w:p>
      <w:pPr>
        <w:outlineLvl w:val="0"/>
        <w:rPr>
          <w:rFonts w:ascii="宋体" w:hAnsi="宋体"/>
          <w:b/>
          <w:color w:val="000000"/>
          <w:szCs w:val="28"/>
        </w:rPr>
      </w:pPr>
      <w:r>
        <w:rPr>
          <w:rFonts w:ascii="宋体" w:hAnsi="宋体"/>
          <w:b w:val="0"/>
          <w:bCs w:val="0"/>
          <w:color w:val="000000"/>
          <w:sz w:val="24"/>
          <w:szCs w:val="24"/>
        </w:rPr>
        <w:fldChar w:fldCharType="end"/>
      </w:r>
      <w:r>
        <w:rPr>
          <w:rFonts w:ascii="宋体" w:hAnsi="宋体"/>
          <w:b/>
          <w:color w:val="000000"/>
          <w:szCs w:val="28"/>
        </w:rPr>
        <w:br w:type="page"/>
      </w:r>
    </w:p>
    <w:p>
      <w:pPr>
        <w:pStyle w:val="49"/>
        <w:numPr>
          <w:ilvl w:val="0"/>
          <w:numId w:val="0"/>
        </w:numPr>
        <w:ind w:leftChars="0"/>
        <w:jc w:val="center"/>
        <w:outlineLvl w:val="0"/>
        <w:rPr>
          <w:b/>
          <w:bCs w:val="0"/>
          <w:sz w:val="24"/>
          <w:szCs w:val="20"/>
        </w:rPr>
      </w:pPr>
      <w:bookmarkStart w:id="0" w:name="_Toc497408600"/>
      <w:r>
        <w:rPr>
          <w:rFonts w:hint="eastAsia" w:ascii="宋体" w:hAnsi="宋体"/>
          <w:b/>
          <w:bCs w:val="0"/>
          <w:sz w:val="28"/>
          <w:szCs w:val="28"/>
          <w:lang w:val="en-US" w:eastAsia="zh-CN"/>
        </w:rPr>
        <w:t xml:space="preserve">第一章 </w:t>
      </w:r>
      <w:r>
        <w:rPr>
          <w:rFonts w:hint="eastAsia" w:ascii="宋体" w:hAnsi="宋体"/>
          <w:b/>
          <w:bCs w:val="0"/>
          <w:sz w:val="28"/>
          <w:szCs w:val="28"/>
        </w:rPr>
        <w:t>磋商公告</w:t>
      </w:r>
      <w:bookmarkEnd w:id="0"/>
    </w:p>
    <w:p>
      <w:pPr>
        <w:widowControl/>
        <w:jc w:val="center"/>
        <w:rPr>
          <w:b w:val="0"/>
          <w:bCs/>
          <w:sz w:val="32"/>
          <w:szCs w:val="21"/>
          <w:lang w:val="zh-CN"/>
        </w:rPr>
      </w:pPr>
      <w:r>
        <w:rPr>
          <w:rFonts w:hint="eastAsia" w:ascii="宋体" w:hAnsi="宋体"/>
          <w:b w:val="0"/>
          <w:bCs/>
          <w:sz w:val="28"/>
          <w:szCs w:val="28"/>
          <w:lang w:eastAsia="zh-CN"/>
        </w:rPr>
        <w:t>鄂托克前旗农牧业综合开发中心</w:t>
      </w:r>
      <w:r>
        <w:rPr>
          <w:rFonts w:hint="eastAsia" w:ascii="宋体" w:hAnsi="宋体"/>
          <w:b w:val="0"/>
          <w:bCs/>
          <w:sz w:val="28"/>
          <w:szCs w:val="28"/>
          <w:lang w:val="en-US" w:eastAsia="zh-CN"/>
        </w:rPr>
        <w:t>采购</w:t>
      </w:r>
      <w:r>
        <w:rPr>
          <w:rFonts w:hint="eastAsia" w:ascii="宋体" w:hAnsi="宋体"/>
          <w:b w:val="0"/>
          <w:bCs/>
          <w:sz w:val="28"/>
          <w:szCs w:val="28"/>
          <w:lang w:eastAsia="zh-CN"/>
        </w:rPr>
        <w:t>十二五以来高标准农田建设评估及上图入库工作项目</w:t>
      </w:r>
      <w:r>
        <w:rPr>
          <w:rFonts w:hint="eastAsia" w:ascii="宋体" w:hAnsi="宋体"/>
          <w:b w:val="0"/>
          <w:bCs/>
          <w:sz w:val="28"/>
          <w:szCs w:val="28"/>
        </w:rPr>
        <w:t>竞争性磋商招标公告</w:t>
      </w:r>
    </w:p>
    <w:p>
      <w:pPr>
        <w:spacing w:line="360" w:lineRule="auto"/>
        <w:ind w:firstLine="600" w:firstLineChars="250"/>
        <w:rPr>
          <w:rFonts w:ascii="宋体" w:hAnsi="宋体"/>
          <w:color w:val="000000"/>
          <w:sz w:val="24"/>
          <w:szCs w:val="24"/>
        </w:rPr>
      </w:pPr>
      <w:r>
        <w:rPr>
          <w:rFonts w:hint="eastAsia" w:ascii="宋体" w:hAnsi="宋体"/>
          <w:sz w:val="24"/>
          <w:szCs w:val="24"/>
          <w:lang w:val="en-US" w:eastAsia="zh-CN"/>
        </w:rPr>
        <w:t>鄂尔多斯市金博工程项目管理有限公司</w:t>
      </w:r>
      <w:r>
        <w:rPr>
          <w:rFonts w:hint="eastAsia" w:ascii="宋体" w:hAnsi="宋体"/>
          <w:sz w:val="24"/>
          <w:szCs w:val="24"/>
        </w:rPr>
        <w:t>受</w:t>
      </w:r>
      <w:r>
        <w:rPr>
          <w:rFonts w:hint="eastAsia" w:ascii="宋体" w:hAnsi="宋体"/>
          <w:sz w:val="24"/>
          <w:szCs w:val="24"/>
          <w:lang w:eastAsia="zh-CN"/>
        </w:rPr>
        <w:t>鄂托克前旗农牧业综合开发中心</w:t>
      </w:r>
      <w:r>
        <w:rPr>
          <w:rFonts w:hint="eastAsia" w:ascii="宋体" w:hAnsi="宋体"/>
          <w:sz w:val="24"/>
          <w:szCs w:val="24"/>
        </w:rPr>
        <w:t>委托，按照鄂托克前旗财政局审批（竞争性磋商）方式组织采购</w:t>
      </w:r>
      <w:r>
        <w:rPr>
          <w:rFonts w:hint="eastAsia" w:ascii="宋体" w:hAnsi="宋体"/>
          <w:color w:val="000000"/>
          <w:sz w:val="24"/>
          <w:szCs w:val="24"/>
          <w:lang w:eastAsia="zh-CN"/>
        </w:rPr>
        <w:t>十二五以来高标准农田建设评估及上图入库工作项目</w:t>
      </w:r>
      <w:r>
        <w:rPr>
          <w:rFonts w:hint="eastAsia" w:ascii="宋体" w:hAnsi="宋体"/>
          <w:color w:val="000000"/>
          <w:sz w:val="24"/>
          <w:szCs w:val="24"/>
        </w:rPr>
        <w:t>。欢迎符合资格条件的供应商前来报名参加。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9"/>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项目名称：</w:t>
      </w:r>
      <w:r>
        <w:rPr>
          <w:rFonts w:hint="eastAsia" w:ascii="宋体" w:hAnsi="宋体"/>
          <w:sz w:val="24"/>
          <w:szCs w:val="24"/>
          <w:lang w:eastAsia="zh-CN"/>
        </w:rPr>
        <w:t>鄂托克前旗农牧业综合开发中心</w:t>
      </w:r>
      <w:r>
        <w:rPr>
          <w:rFonts w:hint="eastAsia" w:ascii="宋体" w:hAnsi="宋体"/>
          <w:sz w:val="24"/>
          <w:szCs w:val="24"/>
          <w:lang w:val="en-US" w:eastAsia="zh-CN"/>
        </w:rPr>
        <w:t>采购</w:t>
      </w:r>
      <w:r>
        <w:rPr>
          <w:rFonts w:hint="eastAsia" w:ascii="宋体" w:hAnsi="宋体"/>
          <w:color w:val="000000"/>
          <w:sz w:val="24"/>
          <w:szCs w:val="24"/>
          <w:lang w:eastAsia="zh-CN"/>
        </w:rPr>
        <w:t>十二五以来高标准农田建设评估及上图入库工作项目</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hint="eastAsia" w:ascii="宋体" w:hAnsi="宋体"/>
          <w:color w:val="auto"/>
          <w:sz w:val="24"/>
          <w:szCs w:val="24"/>
        </w:rPr>
        <w:t>鄂财购</w:t>
      </w:r>
      <w:r>
        <w:rPr>
          <w:rFonts w:hint="eastAsia" w:ascii="宋体" w:hAnsi="宋体"/>
          <w:color w:val="auto"/>
          <w:sz w:val="24"/>
          <w:szCs w:val="24"/>
          <w:lang w:val="en-US" w:eastAsia="zh-CN"/>
        </w:rPr>
        <w:t>准</w:t>
      </w:r>
      <w:r>
        <w:rPr>
          <w:rFonts w:hint="eastAsia" w:ascii="宋体" w:hAnsi="宋体"/>
          <w:color w:val="auto"/>
          <w:sz w:val="24"/>
          <w:szCs w:val="24"/>
        </w:rPr>
        <w:t>字（电子）[</w:t>
      </w:r>
      <w:r>
        <w:rPr>
          <w:rFonts w:ascii="宋体" w:hAnsi="宋体"/>
          <w:color w:val="auto"/>
          <w:sz w:val="24"/>
          <w:szCs w:val="24"/>
        </w:rPr>
        <w:t>2020]QQ</w:t>
      </w:r>
      <w:r>
        <w:rPr>
          <w:rFonts w:hint="eastAsia" w:ascii="宋体" w:hAnsi="宋体"/>
          <w:color w:val="auto"/>
          <w:sz w:val="24"/>
          <w:szCs w:val="24"/>
          <w:lang w:val="en-US" w:eastAsia="zh-CN"/>
        </w:rPr>
        <w:t>00002</w:t>
      </w:r>
      <w:r>
        <w:rPr>
          <w:rFonts w:hint="eastAsia" w:ascii="宋体" w:hAnsi="宋体"/>
          <w:color w:val="auto"/>
          <w:sz w:val="24"/>
          <w:szCs w:val="24"/>
        </w:rPr>
        <w:t>号</w:t>
      </w:r>
    </w:p>
    <w:p>
      <w:pPr>
        <w:spacing w:line="360" w:lineRule="auto"/>
        <w:ind w:firstLine="480" w:firstLineChars="200"/>
        <w:jc w:val="left"/>
        <w:rPr>
          <w:rFonts w:ascii="宋体" w:hAnsi="宋体"/>
          <w:color w:val="000000"/>
          <w:sz w:val="24"/>
          <w:szCs w:val="24"/>
        </w:rPr>
      </w:pPr>
      <w:r>
        <w:rPr>
          <w:rFonts w:hint="eastAsia" w:ascii="宋体" w:hAnsi="宋体"/>
          <w:sz w:val="24"/>
          <w:szCs w:val="24"/>
        </w:rPr>
        <w:t>采购文件编号：</w:t>
      </w:r>
      <w:bookmarkStart w:id="139" w:name="_GoBack"/>
      <w:bookmarkEnd w:id="139"/>
      <w:r>
        <w:rPr>
          <w:rFonts w:hint="eastAsia" w:ascii="宋体" w:hAnsi="宋体"/>
          <w:color w:val="0000FF"/>
          <w:sz w:val="24"/>
          <w:szCs w:val="24"/>
          <w:lang w:eastAsia="zh-CN"/>
        </w:rPr>
        <w:t>CG2020FCS098</w:t>
      </w:r>
      <w:r>
        <w:rPr>
          <w:rFonts w:hint="eastAsia" w:ascii="宋体" w:hAnsi="宋体"/>
          <w:color w:val="0000FF"/>
          <w:sz w:val="24"/>
          <w:szCs w:val="24"/>
        </w:rPr>
        <w:t xml:space="preserve">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1"/>
                <w:szCs w:val="21"/>
                <w:lang w:eastAsia="zh-CN"/>
              </w:rPr>
              <w:t>十二五以来高标准农田建设评估及上图入库工作项目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详见磋商文件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eastAsia="zh-CN"/>
              </w:rPr>
              <w:t>601060</w:t>
            </w:r>
            <w:r>
              <w:rPr>
                <w:rFonts w:hint="eastAsia" w:ascii="宋体" w:hAnsi="宋体"/>
                <w:sz w:val="24"/>
                <w:szCs w:val="24"/>
              </w:rPr>
              <w:t>.00</w:t>
            </w:r>
          </w:p>
        </w:tc>
      </w:tr>
    </w:tbl>
    <w:p>
      <w:pPr>
        <w:spacing w:line="360" w:lineRule="auto"/>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hint="default" w:eastAsia="宋体"/>
          <w:lang w:val="en-US" w:eastAsia="zh-CN"/>
        </w:rPr>
      </w:pPr>
      <w:r>
        <w:rPr>
          <w:rFonts w:hint="eastAsia" w:ascii="宋体" w:hAnsi="宋体"/>
          <w:color w:val="000000"/>
          <w:sz w:val="24"/>
          <w:szCs w:val="24"/>
        </w:rPr>
        <w:t>1.供应商应符合《中华人民共和国政府采购法》第二十二条规定的条件；</w:t>
      </w:r>
    </w:p>
    <w:p>
      <w:pPr>
        <w:pStyle w:val="23"/>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供应商</w:t>
      </w:r>
      <w:r>
        <w:rPr>
          <w:rFonts w:hint="eastAsia" w:ascii="宋体" w:hAnsi="宋体"/>
          <w:color w:val="000000" w:themeColor="text1"/>
          <w:sz w:val="24"/>
          <w:szCs w:val="24"/>
          <w:lang w:val="en-US" w:eastAsia="zh-CN"/>
          <w14:textFill>
            <w14:solidFill>
              <w14:schemeClr w14:val="tx1"/>
            </w14:solidFill>
          </w14:textFill>
        </w:rPr>
        <w:t>须同时具备水利行业丙级（含丙级）以上企业资质和农林行业专业乙级（含乙级）以上企业资质，并在人员、设备、资金等方面具有相应的能力；</w:t>
      </w:r>
    </w:p>
    <w:p>
      <w:pPr>
        <w:pStyle w:val="23"/>
        <w:spacing w:line="360" w:lineRule="auto"/>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3.拟派项目负责人须具备水利或农林相关专业中级及以上技术职称；</w:t>
      </w:r>
    </w:p>
    <w:p>
      <w:pPr>
        <w:pStyle w:val="23"/>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.该项目不接受联合体投标。</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三.获取磋商文件的时间、地点、方式</w:t>
      </w:r>
    </w:p>
    <w:p>
      <w:pPr>
        <w:spacing w:line="360" w:lineRule="auto"/>
        <w:ind w:firstLine="480" w:firstLineChars="200"/>
        <w:textAlignment w:val="baseline"/>
        <w:rPr>
          <w:rFonts w:ascii="宋体" w:hAnsi="宋体"/>
          <w:sz w:val="24"/>
          <w:szCs w:val="24"/>
        </w:rPr>
      </w:pPr>
      <w:r>
        <w:rPr>
          <w:rFonts w:hint="eastAsia" w:ascii="宋体" w:hAnsi="宋体"/>
          <w:color w:val="000000" w:themeColor="text1"/>
          <w:sz w:val="24"/>
          <w:szCs w:val="24"/>
          <w14:textFill>
            <w14:solidFill>
              <w14:schemeClr w14:val="tx1"/>
            </w14:solidFill>
          </w14:textFill>
        </w:rPr>
        <w:t>符合上述条件的供应商可于</w:t>
      </w:r>
      <w:r>
        <w:rPr>
          <w:rFonts w:hint="eastAsia" w:ascii="宋体" w:hAnsi="宋体"/>
          <w:color w:val="000000" w:themeColor="text1"/>
          <w:sz w:val="24"/>
          <w:szCs w:val="24"/>
          <w:lang w:eastAsia="zh-CN"/>
          <w14:textFill>
            <w14:solidFill>
              <w14:schemeClr w14:val="tx1"/>
            </w14:solidFill>
          </w14:textFill>
        </w:rPr>
        <w:t>2020年04月03日</w:t>
      </w:r>
      <w:r>
        <w:rPr>
          <w:rFonts w:hint="eastAsia" w:ascii="宋体" w:hAnsi="宋体"/>
          <w:color w:val="000000" w:themeColor="text1"/>
          <w:sz w:val="24"/>
          <w:szCs w:val="24"/>
          <w14:textFill>
            <w14:solidFill>
              <w14:schemeClr w14:val="tx1"/>
            </w14:solidFill>
          </w14:textFill>
        </w:rPr>
        <w:t>起</w:t>
      </w:r>
      <w:r>
        <w:rPr>
          <w:rFonts w:hint="eastAsia" w:ascii="宋体" w:hAnsi="宋体"/>
          <w:sz w:val="24"/>
          <w:szCs w:val="24"/>
        </w:rPr>
        <w:t>登录内蒙古自治区政府采购网、内蒙古自治区公共资源交易网、鄂尔多斯市政府采购网、鄂尔多斯市公共资源交易网、鄂尔多斯市鄂托克前旗公共资源交易网、</w:t>
      </w:r>
      <w:r>
        <w:rPr>
          <w:rFonts w:hint="eastAsia" w:ascii="宋体" w:hAnsi="宋体"/>
          <w:bCs/>
          <w:sz w:val="24"/>
          <w:szCs w:val="24"/>
        </w:rPr>
        <w:t>鄂托克前旗人民政府网</w:t>
      </w:r>
      <w:r>
        <w:rPr>
          <w:rFonts w:hint="eastAsia" w:ascii="宋体" w:hAnsi="宋体"/>
          <w:sz w:val="24"/>
          <w:szCs w:val="24"/>
        </w:rPr>
        <w:t>站获取磋商文件。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鄂尔多斯市鄂托克前旗公共资源交易网（http://www.ordosggzyjy.org.cn/TPFront_etkqq/）。登陆网站页面，点击“政府采购”中的“信息公告”栏，查询采购信息，点击信息公告页面左下角“附件”即可浏览、下载招标文件</w:t>
      </w:r>
    </w:p>
    <w:p>
      <w:pPr>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sz w:val="24"/>
          <w:szCs w:val="24"/>
        </w:rPr>
        <w:t>6</w:t>
      </w:r>
      <w:r>
        <w:rPr>
          <w:rFonts w:hint="eastAsia" w:ascii="宋体" w:hAnsi="宋体"/>
          <w:sz w:val="24"/>
          <w:szCs w:val="24"/>
        </w:rPr>
        <w:t>.</w:t>
      </w:r>
      <w:r>
        <w:rPr>
          <w:rFonts w:hint="eastAsia" w:ascii="宋体" w:hAnsi="宋体"/>
          <w:bCs/>
          <w:sz w:val="24"/>
          <w:szCs w:val="24"/>
        </w:rPr>
        <w:t>鄂托克前旗人民政府网（http://www.etkqq.gov.cn/）。</w:t>
      </w:r>
      <w:r>
        <w:rPr>
          <w:rFonts w:hint="eastAsia" w:ascii="宋体" w:hAnsi="宋体"/>
          <w:sz w:val="24"/>
          <w:szCs w:val="24"/>
        </w:rPr>
        <w:t>登陆网站页面，点击“信息公开目录</w:t>
      </w:r>
      <w:r>
        <w:rPr>
          <w:rFonts w:hint="eastAsia" w:ascii="宋体" w:hAnsi="宋体"/>
          <w:bCs/>
          <w:sz w:val="24"/>
          <w:szCs w:val="24"/>
        </w:rPr>
        <w:t>”栏，点击公共资源交易中心链接进入后，栏目右侧通知公告一栏中即可浏览采购公告、也可下载招标文件。</w:t>
      </w:r>
    </w:p>
    <w:p>
      <w:pPr>
        <w:spacing w:line="360" w:lineRule="auto"/>
        <w:ind w:firstLine="480" w:firstLineChars="200"/>
        <w:textAlignment w:val="baseline"/>
        <w:rPr>
          <w:rFonts w:ascii="宋体" w:hAnsi="宋体"/>
          <w:bCs/>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7.报名时间（</w:t>
      </w:r>
      <w:r>
        <w:rPr>
          <w:rFonts w:hint="eastAsia" w:ascii="宋体" w:hAnsi="宋体"/>
          <w:color w:val="000000" w:themeColor="text1"/>
          <w:sz w:val="24"/>
          <w:szCs w:val="24"/>
          <w14:textFill>
            <w14:solidFill>
              <w14:schemeClr w14:val="tx1"/>
            </w14:solidFill>
          </w14:textFill>
        </w:rPr>
        <w:t>磋商文件</w:t>
      </w:r>
      <w:r>
        <w:rPr>
          <w:rFonts w:hint="eastAsia" w:ascii="宋体" w:hAnsi="宋体" w:cs="宋体"/>
          <w:color w:val="000000" w:themeColor="text1"/>
          <w:kern w:val="0"/>
          <w:sz w:val="24"/>
          <w:szCs w:val="24"/>
          <w14:textFill>
            <w14:solidFill>
              <w14:schemeClr w14:val="tx1"/>
            </w14:solidFill>
          </w14:textFill>
        </w:rPr>
        <w:t>提供期限）：</w:t>
      </w:r>
      <w:r>
        <w:rPr>
          <w:rFonts w:hint="eastAsia" w:ascii="宋体" w:hAnsi="宋体"/>
          <w:bCs/>
          <w:color w:val="000000" w:themeColor="text1"/>
          <w:sz w:val="24"/>
          <w:szCs w:val="24"/>
          <w:lang w:eastAsia="zh-CN"/>
          <w14:textFill>
            <w14:solidFill>
              <w14:schemeClr w14:val="tx1"/>
            </w14:solidFill>
          </w14:textFill>
        </w:rPr>
        <w:t>2020年04月03日</w:t>
      </w:r>
      <w:r>
        <w:rPr>
          <w:rFonts w:hint="eastAsia" w:ascii="宋体" w:hAnsi="宋体"/>
          <w:bCs/>
          <w:color w:val="000000" w:themeColor="text1"/>
          <w:sz w:val="24"/>
          <w:szCs w:val="24"/>
          <w14:textFill>
            <w14:solidFill>
              <w14:schemeClr w14:val="tx1"/>
            </w14:solidFill>
          </w14:textFill>
        </w:rPr>
        <w:t>至</w:t>
      </w:r>
      <w:r>
        <w:rPr>
          <w:rFonts w:hint="eastAsia" w:ascii="宋体" w:hAnsi="宋体"/>
          <w:bCs/>
          <w:color w:val="000000" w:themeColor="text1"/>
          <w:sz w:val="24"/>
          <w:szCs w:val="24"/>
          <w:lang w:eastAsia="zh-CN"/>
          <w14:textFill>
            <w14:solidFill>
              <w14:schemeClr w14:val="tx1"/>
            </w14:solidFill>
          </w14:textFill>
        </w:rPr>
        <w:t>2020年04月10日</w:t>
      </w:r>
      <w:r>
        <w:rPr>
          <w:rFonts w:hint="eastAsia" w:ascii="宋体" w:hAnsi="宋体"/>
          <w:bCs/>
          <w:color w:val="000000" w:themeColor="text1"/>
          <w:sz w:val="24"/>
          <w:szCs w:val="24"/>
          <w14:textFill>
            <w14:solidFill>
              <w14:schemeClr w14:val="tx1"/>
            </w14:solidFill>
          </w14:textFill>
        </w:rPr>
        <w:t>17时30分。</w:t>
      </w:r>
    </w:p>
    <w:p>
      <w:pPr>
        <w:spacing w:line="360" w:lineRule="auto"/>
        <w:textAlignment w:val="baseline"/>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四.采购文件售价</w:t>
      </w:r>
    </w:p>
    <w:p>
      <w:pPr>
        <w:spacing w:line="360" w:lineRule="auto"/>
        <w:ind w:firstLine="480" w:firstLineChars="200"/>
        <w:rPr>
          <w:rFonts w:hint="eastAsia" w:ascii="宋体" w:hAnsi="宋体"/>
          <w:b w:val="0"/>
          <w:bCs/>
          <w:color w:val="000000" w:themeColor="text1"/>
          <w:sz w:val="24"/>
          <w:szCs w:val="24"/>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本次采购文件的售价为</w:t>
      </w:r>
      <w:r>
        <w:rPr>
          <w:rFonts w:hint="eastAsia" w:ascii="宋体" w:hAnsi="宋体"/>
          <w:b w:val="0"/>
          <w:bCs/>
          <w:color w:val="000000" w:themeColor="text1"/>
          <w:sz w:val="24"/>
          <w:szCs w:val="24"/>
          <w:lang w:val="en-US" w:eastAsia="zh-CN"/>
          <w14:textFill>
            <w14:solidFill>
              <w14:schemeClr w14:val="tx1"/>
            </w14:solidFill>
          </w14:textFill>
        </w:rPr>
        <w:t>5</w:t>
      </w:r>
      <w:r>
        <w:rPr>
          <w:rFonts w:hint="eastAsia" w:ascii="宋体" w:hAnsi="宋体"/>
          <w:b w:val="0"/>
          <w:bCs/>
          <w:color w:val="000000" w:themeColor="text1"/>
          <w:sz w:val="24"/>
          <w:szCs w:val="24"/>
          <w14:textFill>
            <w14:solidFill>
              <w14:schemeClr w14:val="tx1"/>
            </w14:solidFill>
          </w14:textFill>
        </w:rPr>
        <w:t>00元人民币，开标现场收取，</w:t>
      </w:r>
      <w:r>
        <w:rPr>
          <w:rFonts w:hint="eastAsia" w:ascii="宋体" w:hAnsi="宋体"/>
          <w:b w:val="0"/>
          <w:bCs/>
          <w:color w:val="000000" w:themeColor="text1"/>
          <w:sz w:val="24"/>
          <w:szCs w:val="24"/>
          <w:lang w:val="en-US" w:eastAsia="zh-CN"/>
          <w14:textFill>
            <w14:solidFill>
              <w14:schemeClr w14:val="tx1"/>
            </w14:solidFill>
          </w14:textFill>
        </w:rPr>
        <w:t>售后不退，</w:t>
      </w:r>
      <w:r>
        <w:rPr>
          <w:rFonts w:hint="eastAsia" w:ascii="宋体" w:hAnsi="宋体"/>
          <w:b w:val="0"/>
          <w:bCs/>
          <w:color w:val="000000" w:themeColor="text1"/>
          <w:sz w:val="24"/>
          <w:szCs w:val="24"/>
          <w14:textFill>
            <w14:solidFill>
              <w14:schemeClr w14:val="tx1"/>
            </w14:solidFill>
          </w14:textFill>
        </w:rPr>
        <w:t>不交纳采购文件费的拒绝接收投标文件。</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五.递交投标（响应）文件截止时间、开标时间及地点</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递交投标（响应）文件截止时间：</w:t>
      </w:r>
      <w:r>
        <w:rPr>
          <w:rFonts w:hint="eastAsia" w:ascii="宋体" w:hAnsi="宋体"/>
          <w:color w:val="000000" w:themeColor="text1"/>
          <w:sz w:val="24"/>
          <w:szCs w:val="24"/>
          <w:lang w:eastAsia="zh-CN"/>
          <w14:textFill>
            <w14:solidFill>
              <w14:schemeClr w14:val="tx1"/>
            </w14:solidFill>
          </w14:textFill>
        </w:rPr>
        <w:t>2020年04月14日上午09时00分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投标地点：鄂尔多斯市鄂托克前旗公共资源交易中心开标二室（鄂托克前旗公园西路文化产业园东区C2座）</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r>
        <w:rPr>
          <w:rFonts w:hint="eastAsia" w:ascii="宋体" w:hAnsi="宋体"/>
          <w:color w:val="000000" w:themeColor="text1"/>
          <w:sz w:val="24"/>
          <w:szCs w:val="24"/>
          <w:lang w:eastAsia="zh-CN"/>
          <w14:textFill>
            <w14:solidFill>
              <w14:schemeClr w14:val="tx1"/>
            </w14:solidFill>
          </w14:textFill>
        </w:rPr>
        <w:t>2020年04月14日上午09时00分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开标地点：鄂尔多斯市鄂托克前旗公共资源交易中心开标二室（鄂托克前旗公园西路文化产业园东区C2座）</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鄂尔多斯市金博工程项目管理有限公司</w:t>
      </w:r>
    </w:p>
    <w:p>
      <w:pPr>
        <w:spacing w:line="360" w:lineRule="auto"/>
        <w:ind w:right="-140" w:rightChars="-50" w:firstLine="480" w:firstLineChars="200"/>
        <w:rPr>
          <w:rFonts w:hint="eastAsia" w:ascii="宋体" w:hAnsi="宋体" w:eastAsia="宋体"/>
          <w:color w:val="000000"/>
          <w:sz w:val="24"/>
          <w:szCs w:val="24"/>
          <w:lang w:eastAsia="zh-CN"/>
        </w:rPr>
      </w:pPr>
      <w:r>
        <w:rPr>
          <w:rFonts w:hint="eastAsia" w:ascii="宋体" w:hAnsi="宋体"/>
          <w:sz w:val="24"/>
          <w:szCs w:val="24"/>
        </w:rPr>
        <w:t>地址：</w:t>
      </w:r>
      <w:r>
        <w:rPr>
          <w:rFonts w:hint="eastAsia" w:ascii="宋体" w:hAnsi="宋体"/>
          <w:color w:val="000000"/>
          <w:sz w:val="24"/>
          <w:szCs w:val="24"/>
        </w:rPr>
        <w:t>鄂托克前旗</w:t>
      </w:r>
      <w:r>
        <w:rPr>
          <w:rFonts w:hint="eastAsia" w:ascii="宋体" w:hAnsi="宋体"/>
          <w:color w:val="000000"/>
          <w:sz w:val="24"/>
          <w:szCs w:val="24"/>
          <w:lang w:val="en-US" w:eastAsia="zh-CN"/>
        </w:rPr>
        <w:t>敖勒召其镇</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联系人：</w:t>
      </w:r>
      <w:r>
        <w:rPr>
          <w:rFonts w:hint="eastAsia" w:ascii="宋体" w:hAnsi="宋体"/>
          <w:sz w:val="24"/>
          <w:szCs w:val="24"/>
          <w:lang w:eastAsia="zh-CN"/>
        </w:rPr>
        <w:t>林晓伟</w:t>
      </w:r>
      <w:r>
        <w:rPr>
          <w:rFonts w:hint="eastAsia" w:ascii="宋体" w:hAnsi="宋体"/>
          <w:sz w:val="24"/>
          <w:szCs w:val="24"/>
        </w:rPr>
        <w:t xml:space="preserve">      联系电话：</w:t>
      </w:r>
      <w:r>
        <w:rPr>
          <w:rFonts w:hint="eastAsia" w:ascii="宋体" w:hAnsi="宋体"/>
          <w:sz w:val="24"/>
          <w:szCs w:val="24"/>
          <w:lang w:eastAsia="zh-CN"/>
        </w:rPr>
        <w:t>18947706825</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鄂托克前旗农牧业综合开发中心</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olor w:val="000000"/>
          <w:sz w:val="24"/>
          <w:szCs w:val="24"/>
        </w:rPr>
        <w:t>鄂托克前旗</w:t>
      </w:r>
      <w:r>
        <w:rPr>
          <w:rFonts w:hint="eastAsia" w:ascii="宋体" w:hAnsi="宋体"/>
          <w:color w:val="000000"/>
          <w:sz w:val="24"/>
          <w:szCs w:val="24"/>
          <w:lang w:val="en-US" w:eastAsia="zh-CN"/>
        </w:rPr>
        <w:t>敖勒召其镇</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袁海强</w:t>
      </w:r>
      <w:r>
        <w:rPr>
          <w:rFonts w:hint="eastAsia" w:ascii="宋体" w:hAnsi="宋体"/>
          <w:sz w:val="24"/>
          <w:szCs w:val="24"/>
        </w:rPr>
        <w:t xml:space="preserve">       联系电话：</w:t>
      </w:r>
      <w:r>
        <w:rPr>
          <w:rFonts w:hint="eastAsia" w:ascii="宋体" w:hAnsi="宋体"/>
          <w:sz w:val="24"/>
          <w:szCs w:val="24"/>
          <w:lang w:eastAsia="zh-CN"/>
        </w:rPr>
        <w:t>13634776638</w:t>
      </w:r>
    </w:p>
    <w:p>
      <w:pPr>
        <w:spacing w:line="360" w:lineRule="auto"/>
        <w:ind w:firstLine="600" w:firstLineChars="250"/>
        <w:rPr>
          <w:rFonts w:ascii="宋体" w:hAnsi="宋体"/>
          <w:sz w:val="24"/>
          <w:szCs w:val="24"/>
        </w:rPr>
      </w:pPr>
      <w:r>
        <w:rPr>
          <w:rFonts w:hint="eastAsia" w:ascii="宋体" w:hAnsi="宋体"/>
          <w:sz w:val="24"/>
          <w:szCs w:val="24"/>
        </w:rPr>
        <w:t xml:space="preserve">                              </w:t>
      </w:r>
    </w:p>
    <w:p>
      <w:pPr>
        <w:pStyle w:val="23"/>
      </w:pPr>
    </w:p>
    <w:p>
      <w:pPr>
        <w:spacing w:line="360" w:lineRule="auto"/>
        <w:ind w:firstLine="3840" w:firstLineChars="1600"/>
        <w:rPr>
          <w:rFonts w:hint="eastAsia" w:ascii="宋体" w:hAnsi="宋体"/>
          <w:sz w:val="24"/>
          <w:szCs w:val="24"/>
          <w:lang w:val="en-US" w:eastAsia="zh-CN"/>
        </w:rPr>
      </w:pPr>
      <w:r>
        <w:rPr>
          <w:rFonts w:hint="eastAsia" w:ascii="宋体" w:hAnsi="宋体"/>
          <w:sz w:val="24"/>
          <w:szCs w:val="24"/>
          <w:lang w:val="en-US" w:eastAsia="zh-CN"/>
        </w:rPr>
        <w:t>鄂尔多斯市金博工程项目管理有限公司</w:t>
      </w:r>
    </w:p>
    <w:p>
      <w:pPr>
        <w:spacing w:line="360" w:lineRule="auto"/>
        <w:ind w:firstLine="4800" w:firstLineChars="20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2020年04月03日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01"/>
      <w:r>
        <w:rPr>
          <w:rFonts w:hint="eastAsia" w:ascii="宋体" w:hAnsi="宋体"/>
          <w:b/>
          <w:sz w:val="24"/>
          <w:szCs w:val="24"/>
        </w:rPr>
        <w:t>第二章 供应商须知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6"/>
        <w:tblW w:w="9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鄂托克前旗农牧业综合开发中心</w:t>
            </w:r>
          </w:p>
          <w:p>
            <w:pPr>
              <w:spacing w:line="360" w:lineRule="auto"/>
              <w:ind w:right="-140" w:rightChars="-5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eastAsia="zh-CN"/>
              </w:rPr>
              <w:t>袁海强</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lang w:eastAsia="zh-CN"/>
              </w:rPr>
              <w:t>13634776638</w:t>
            </w:r>
          </w:p>
          <w:p>
            <w:pPr>
              <w:spacing w:line="360" w:lineRule="auto"/>
              <w:ind w:right="-140"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hint="eastAsia" w:ascii="宋体" w:hAnsi="宋体"/>
                <w:color w:val="000000"/>
                <w:sz w:val="24"/>
                <w:szCs w:val="24"/>
              </w:rPr>
              <w:t>鄂托克前旗</w:t>
            </w:r>
            <w:r>
              <w:rPr>
                <w:rFonts w:hint="eastAsia" w:ascii="宋体" w:hAnsi="宋体"/>
                <w:color w:val="000000"/>
                <w:sz w:val="24"/>
                <w:szCs w:val="24"/>
                <w:lang w:val="en-US" w:eastAsia="zh-CN"/>
              </w:rPr>
              <w:t>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sz w:val="24"/>
                <w:szCs w:val="24"/>
                <w:lang w:val="en-US" w:eastAsia="zh-CN"/>
              </w:rPr>
              <w:t>鄂尔多斯市金博工程项目管理有限公司</w:t>
            </w:r>
            <w:r>
              <w:rPr>
                <w:rFonts w:hint="eastAsia" w:ascii="宋体" w:hAnsi="宋体"/>
                <w:color w:val="000000"/>
                <w:sz w:val="24"/>
                <w:szCs w:val="24"/>
              </w:rPr>
              <w:t xml:space="preserve"> </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联系人：</w:t>
            </w:r>
            <w:r>
              <w:rPr>
                <w:rFonts w:hint="eastAsia" w:ascii="宋体" w:hAnsi="宋体"/>
                <w:color w:val="000000"/>
                <w:sz w:val="24"/>
                <w:szCs w:val="24"/>
                <w:lang w:eastAsia="zh-CN"/>
              </w:rPr>
              <w:t>林晓伟</w:t>
            </w:r>
            <w:r>
              <w:rPr>
                <w:rFonts w:hint="eastAsia" w:ascii="宋体" w:hAnsi="宋体"/>
                <w:color w:val="000000"/>
                <w:sz w:val="24"/>
                <w:szCs w:val="24"/>
              </w:rPr>
              <w:t xml:space="preserve">      联系电话：</w:t>
            </w:r>
            <w:r>
              <w:rPr>
                <w:rFonts w:hint="eastAsia" w:ascii="宋体" w:hAnsi="宋体"/>
                <w:color w:val="000000"/>
                <w:sz w:val="24"/>
                <w:szCs w:val="24"/>
                <w:lang w:eastAsia="zh-CN"/>
              </w:rPr>
              <w:t>18947706825</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地址：鄂托克前旗</w:t>
            </w:r>
            <w:r>
              <w:rPr>
                <w:rFonts w:hint="eastAsia" w:ascii="宋体" w:hAnsi="宋体"/>
                <w:color w:val="000000"/>
                <w:sz w:val="24"/>
                <w:szCs w:val="24"/>
                <w:lang w:val="en-US" w:eastAsia="zh-CN"/>
              </w:rPr>
              <w:t>敖勒召其镇</w:t>
            </w:r>
            <w:r>
              <w:rPr>
                <w:rFonts w:hint="eastAsia" w:ascii="宋体" w:hAnsi="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52"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color w:val="000000"/>
                <w:sz w:val="24"/>
                <w:szCs w:val="24"/>
              </w:rPr>
            </w:pPr>
            <w:r>
              <w:rPr>
                <w:rFonts w:hint="eastAsia" w:ascii="宋体" w:hAnsi="宋体"/>
                <w:color w:val="000000"/>
                <w:sz w:val="24"/>
                <w:szCs w:val="24"/>
              </w:rPr>
              <w:t>详见磋商文件第四章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 w:val="24"/>
                <w:szCs w:val="24"/>
                <w:lang w:val="en-US" w:eastAsia="zh-CN"/>
              </w:rPr>
            </w:pPr>
            <w:r>
              <w:rPr>
                <w:rFonts w:hint="eastAsia" w:ascii="宋体" w:hAnsi="宋体"/>
                <w:color w:val="000000"/>
                <w:sz w:val="24"/>
                <w:szCs w:val="24"/>
                <w:u w:val="none"/>
                <w:lang w:val="en-US" w:eastAsia="zh-CN"/>
              </w:rPr>
              <w:t>总预算为</w:t>
            </w:r>
            <w:r>
              <w:rPr>
                <w:rFonts w:hint="eastAsia" w:ascii="宋体" w:hAnsi="宋体"/>
                <w:color w:val="000000"/>
                <w:sz w:val="24"/>
                <w:szCs w:val="24"/>
                <w:u w:val="single"/>
                <w:lang w:eastAsia="zh-CN"/>
              </w:rPr>
              <w:t>601060</w:t>
            </w:r>
            <w:r>
              <w:rPr>
                <w:rFonts w:ascii="宋体" w:hAnsi="宋体"/>
                <w:color w:val="000000"/>
                <w:sz w:val="24"/>
                <w:szCs w:val="24"/>
                <w:u w:val="single"/>
              </w:rPr>
              <w:t>.00</w:t>
            </w:r>
            <w:r>
              <w:rPr>
                <w:rFonts w:hint="eastAsia" w:ascii="宋体" w:hAnsi="宋体"/>
                <w:color w:val="000000"/>
                <w:sz w:val="24"/>
                <w:szCs w:val="24"/>
              </w:rPr>
              <w:t xml:space="preserve"> 元</w:t>
            </w:r>
            <w:r>
              <w:rPr>
                <w:rFonts w:hint="eastAsia" w:ascii="宋体" w:hAnsi="宋体"/>
                <w:color w:val="000000"/>
                <w:sz w:val="24"/>
                <w:szCs w:val="24"/>
                <w:lang w:eastAsia="zh-CN"/>
              </w:rPr>
              <w:t>，</w:t>
            </w:r>
            <w:r>
              <w:rPr>
                <w:rFonts w:hint="eastAsia" w:ascii="宋体" w:hAnsi="宋体"/>
                <w:color w:val="auto"/>
                <w:sz w:val="24"/>
                <w:szCs w:val="24"/>
                <w:lang w:val="en-US" w:eastAsia="zh-CN"/>
              </w:rPr>
              <w:t>其中：</w:t>
            </w:r>
          </w:p>
          <w:p>
            <w:pPr>
              <w:numPr>
                <w:ilvl w:val="0"/>
                <w:numId w:val="2"/>
              </w:numPr>
              <w:rPr>
                <w:rFonts w:hint="eastAsia" w:ascii="宋体" w:hAnsi="宋体"/>
                <w:color w:val="auto"/>
                <w:sz w:val="24"/>
                <w:szCs w:val="24"/>
                <w:lang w:val="en-US" w:eastAsia="zh-CN"/>
              </w:rPr>
            </w:pPr>
            <w:r>
              <w:rPr>
                <w:rFonts w:hint="eastAsia" w:ascii="宋体" w:hAnsi="宋体"/>
                <w:color w:val="auto"/>
                <w:sz w:val="24"/>
                <w:szCs w:val="24"/>
                <w:lang w:eastAsia="zh-CN"/>
              </w:rPr>
              <w:t>“十二五”以来各类农田建设项目实地勘察评价及上图入库：</w:t>
            </w:r>
            <w:r>
              <w:rPr>
                <w:rFonts w:hint="eastAsia" w:ascii="宋体" w:hAnsi="宋体"/>
                <w:color w:val="auto"/>
                <w:sz w:val="24"/>
                <w:szCs w:val="24"/>
                <w:u w:val="single"/>
                <w:lang w:val="en-US" w:eastAsia="zh-CN"/>
              </w:rPr>
              <w:t>495460.00</w:t>
            </w:r>
            <w:r>
              <w:rPr>
                <w:rFonts w:hint="eastAsia" w:ascii="宋体" w:hAnsi="宋体"/>
                <w:color w:val="auto"/>
                <w:sz w:val="24"/>
                <w:szCs w:val="24"/>
                <w:lang w:val="en-US" w:eastAsia="zh-CN"/>
              </w:rPr>
              <w:t>元</w:t>
            </w:r>
          </w:p>
          <w:p>
            <w:pPr>
              <w:spacing w:line="360" w:lineRule="auto"/>
              <w:rPr>
                <w:rFonts w:ascii="宋体" w:hAnsi="宋体"/>
                <w:color w:val="000000"/>
                <w:sz w:val="24"/>
                <w:szCs w:val="24"/>
              </w:rPr>
            </w:pPr>
            <w:r>
              <w:rPr>
                <w:rFonts w:hint="eastAsia" w:ascii="宋体" w:hAnsi="宋体"/>
                <w:color w:val="auto"/>
                <w:sz w:val="24"/>
                <w:szCs w:val="24"/>
                <w:lang w:val="en-US" w:eastAsia="zh-CN"/>
              </w:rPr>
              <w:t>2.</w:t>
            </w:r>
            <w:r>
              <w:rPr>
                <w:rFonts w:hint="eastAsia" w:ascii="宋体" w:hAnsi="宋体"/>
                <w:color w:val="auto"/>
                <w:sz w:val="24"/>
                <w:szCs w:val="24"/>
                <w:lang w:eastAsia="zh-CN"/>
              </w:rPr>
              <w:t>三年（</w:t>
            </w:r>
            <w:r>
              <w:rPr>
                <w:rFonts w:hint="eastAsia" w:ascii="宋体" w:hAnsi="宋体"/>
                <w:color w:val="auto"/>
                <w:sz w:val="24"/>
                <w:szCs w:val="24"/>
                <w:lang w:val="en-US" w:eastAsia="zh-CN"/>
              </w:rPr>
              <w:t>2020-2022</w:t>
            </w:r>
            <w:r>
              <w:rPr>
                <w:rFonts w:hint="eastAsia" w:ascii="宋体" w:hAnsi="宋体"/>
                <w:color w:val="auto"/>
                <w:sz w:val="24"/>
                <w:szCs w:val="24"/>
                <w:lang w:eastAsia="zh-CN"/>
              </w:rPr>
              <w:t>）规划工作：</w:t>
            </w:r>
            <w:r>
              <w:rPr>
                <w:rFonts w:hint="eastAsia" w:ascii="宋体" w:hAnsi="宋体"/>
                <w:color w:val="auto"/>
                <w:sz w:val="24"/>
                <w:szCs w:val="24"/>
                <w:u w:val="single"/>
                <w:lang w:val="en-US" w:eastAsia="zh-CN"/>
              </w:rPr>
              <w:t>105600.00</w:t>
            </w:r>
            <w:r>
              <w:rPr>
                <w:rFonts w:hint="eastAsia" w:ascii="宋体" w:hAnsi="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磋商小组数量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磋商小组依法组建，由采购人代表和评审专家组成共</w:t>
            </w:r>
            <w:r>
              <w:rPr>
                <w:rFonts w:hint="eastAsia" w:ascii="宋体" w:hAnsi="宋体"/>
                <w:color w:val="000000" w:themeColor="text1"/>
                <w:sz w:val="24"/>
                <w:szCs w:val="24"/>
                <w:u w:val="single"/>
                <w14:textFill>
                  <w14:solidFill>
                    <w14:schemeClr w14:val="tx1"/>
                  </w14:solidFill>
                </w14:textFill>
              </w:rPr>
              <w:t xml:space="preserve"> 3 </w:t>
            </w:r>
            <w:r>
              <w:rPr>
                <w:rFonts w:hint="eastAsia" w:ascii="宋体" w:hAnsi="宋体"/>
                <w:color w:val="000000" w:themeColor="text1"/>
                <w:sz w:val="24"/>
                <w:szCs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□采购人授权磋商小组按照评审原则直接确定成交供应商。</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提交响应文件时间</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2020年04月14日08时</w:t>
            </w:r>
            <w:r>
              <w:rPr>
                <w:rFonts w:hint="eastAsia" w:ascii="宋体" w:hAnsi="宋体"/>
                <w:color w:val="000000" w:themeColor="text1"/>
                <w:sz w:val="24"/>
                <w:szCs w:val="24"/>
                <w14:textFill>
                  <w14:solidFill>
                    <w14:schemeClr w14:val="tx1"/>
                  </w14:solidFill>
                </w14:textFill>
              </w:rPr>
              <w:t>30分--</w:t>
            </w:r>
            <w:r>
              <w:rPr>
                <w:rFonts w:hint="eastAsia" w:ascii="宋体" w:hAnsi="宋体"/>
                <w:color w:val="000000" w:themeColor="text1"/>
                <w:sz w:val="24"/>
                <w:szCs w:val="24"/>
                <w:lang w:val="en-US" w:eastAsia="zh-CN"/>
                <w14:textFill>
                  <w14:solidFill>
                    <w14:schemeClr w14:val="tx1"/>
                  </w14:solidFill>
                </w14:textFill>
              </w:rPr>
              <w:t>09</w:t>
            </w:r>
            <w:r>
              <w:rPr>
                <w:rFonts w:hint="eastAsia" w:ascii="宋体" w:hAnsi="宋体"/>
                <w:color w:val="000000" w:themeColor="text1"/>
                <w:sz w:val="24"/>
                <w:szCs w:val="24"/>
                <w:lang w:eastAsia="zh-CN"/>
                <w14:textFill>
                  <w14:solidFill>
                    <w14:schemeClr w14:val="tx1"/>
                  </w14:solidFill>
                </w14:textFill>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2020年04月14日09时00分</w:t>
            </w:r>
            <w:r>
              <w:rPr>
                <w:rFonts w:hint="eastAsia" w:ascii="宋体" w:hAnsi="宋体"/>
                <w:color w:val="000000" w:themeColor="text1"/>
                <w:sz w:val="24"/>
                <w:szCs w:val="24"/>
                <w14:textFill>
                  <w14:solidFill>
                    <w14:schemeClr w14:val="tx1"/>
                  </w14:solidFill>
                </w14:textFill>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sz w:val="24"/>
                <w:szCs w:val="24"/>
              </w:rPr>
              <w:t>鄂尔多斯市鄂托克前旗公共资源交易中心开标二室（鄂托克前旗公园西路文化产业园东区C2座）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正本1份、副本2份，电子</w:t>
            </w:r>
            <w:r>
              <w:rPr>
                <w:rFonts w:hint="eastAsia" w:ascii="宋体" w:hAnsi="宋体"/>
                <w:sz w:val="24"/>
                <w:szCs w:val="24"/>
              </w:rPr>
              <w:t>U盘</w:t>
            </w:r>
            <w:r>
              <w:rPr>
                <w:rFonts w:hint="eastAsia" w:ascii="宋体" w:hAnsi="宋体"/>
                <w:sz w:val="24"/>
                <w:szCs w:val="24"/>
                <w:lang w:val="en-US" w:eastAsia="zh-CN"/>
              </w:rPr>
              <w:t>3</w:t>
            </w:r>
            <w:r>
              <w:rPr>
                <w:rFonts w:hint="eastAsia" w:ascii="宋体" w:hAnsi="宋体"/>
                <w:sz w:val="24"/>
                <w:szCs w:val="24"/>
              </w:rPr>
              <w:t>份</w:t>
            </w:r>
            <w:r>
              <w:rPr>
                <w:rFonts w:hint="eastAsia" w:ascii="宋体" w:hAnsi="宋体"/>
                <w:color w:val="000000"/>
                <w:sz w:val="24"/>
                <w:szCs w:val="24"/>
              </w:rPr>
              <w:t>（标明</w:t>
            </w:r>
            <w:r>
              <w:rPr>
                <w:rFonts w:hint="eastAsia" w:ascii="宋体" w:hAnsi="宋体"/>
                <w:color w:val="000000"/>
                <w:sz w:val="24"/>
                <w:szCs w:val="24"/>
                <w:lang w:eastAsia="zh-CN"/>
              </w:rPr>
              <w:t>供应商</w:t>
            </w:r>
            <w:r>
              <w:rPr>
                <w:rFonts w:hint="eastAsia" w:ascii="宋体" w:hAnsi="宋体"/>
                <w:color w:val="000000"/>
                <w:sz w:val="24"/>
                <w:szCs w:val="24"/>
              </w:rPr>
              <w:t>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s="宋体"/>
                <w:sz w:val="24"/>
                <w:szCs w:val="24"/>
              </w:rPr>
              <w:t>投标现场演示</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val="en-US" w:eastAsia="zh-CN"/>
              </w:rPr>
              <w:t>由中标人支付，按内蒙古自治区工程建设协会文件，内工建协[2016]17号文件规定收费收取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本招标项目采用“虚拟子账户”形式及法律法规规定的其它缴纳方式收退投标保证金。请各</w:t>
            </w:r>
            <w:r>
              <w:rPr>
                <w:rFonts w:hint="eastAsia" w:ascii="宋体" w:hAnsi="宋体"/>
                <w:sz w:val="24"/>
                <w:szCs w:val="24"/>
                <w:lang w:eastAsia="zh-CN"/>
              </w:rPr>
              <w:t>供应商</w:t>
            </w:r>
            <w:r>
              <w:rPr>
                <w:rFonts w:hint="eastAsia" w:ascii="宋体" w:hAnsi="宋体"/>
                <w:sz w:val="24"/>
                <w:szCs w:val="24"/>
              </w:rPr>
              <w:t>特别关注并严格遵照招标文件中有关投标保证金缴纳的规定。</w:t>
            </w:r>
          </w:p>
          <w:p>
            <w:pPr>
              <w:spacing w:line="360" w:lineRule="auto"/>
              <w:ind w:left="-140" w:leftChars="-50" w:right="-140" w:rightChars="-50"/>
              <w:rPr>
                <w:rFonts w:hint="eastAsia" w:ascii="宋体" w:hAnsi="宋体"/>
                <w:bCs/>
                <w:sz w:val="24"/>
                <w:szCs w:val="24"/>
              </w:rPr>
            </w:pPr>
            <w:r>
              <w:rPr>
                <w:rFonts w:hint="eastAsia" w:ascii="宋体" w:hAnsi="宋体"/>
                <w:bCs/>
                <w:sz w:val="24"/>
                <w:szCs w:val="24"/>
              </w:rPr>
              <w:t>保证金人民币：</w:t>
            </w:r>
          </w:p>
          <w:p>
            <w:pPr>
              <w:spacing w:line="360" w:lineRule="auto"/>
              <w:ind w:left="-140" w:leftChars="-50" w:right="-140" w:rightChars="-50" w:firstLine="482" w:firstLineChars="200"/>
              <w:rPr>
                <w:rFonts w:hint="eastAsia" w:ascii="宋体" w:hAnsi="宋体"/>
                <w:b/>
                <w:bCs w:val="0"/>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14:textFill>
                  <w14:solidFill>
                    <w14:schemeClr w14:val="tx1"/>
                  </w14:solidFill>
                </w14:textFill>
              </w:rPr>
              <w:t>大写：壹万贰仟</w:t>
            </w:r>
            <w:r>
              <w:rPr>
                <w:rFonts w:hint="eastAsia" w:ascii="宋体" w:hAnsi="宋体"/>
                <w:b/>
                <w:bCs w:val="0"/>
                <w:color w:val="000000" w:themeColor="text1"/>
                <w:sz w:val="24"/>
                <w:szCs w:val="24"/>
                <w14:textFill>
                  <w14:solidFill>
                    <w14:schemeClr w14:val="tx1"/>
                  </w14:solidFill>
                </w14:textFill>
              </w:rPr>
              <w:t xml:space="preserve">元整 </w:t>
            </w:r>
          </w:p>
          <w:p>
            <w:pPr>
              <w:spacing w:line="360" w:lineRule="auto"/>
              <w:ind w:left="-140" w:leftChars="-50" w:right="-140" w:rightChars="-50" w:firstLine="482" w:firstLineChars="200"/>
              <w:rPr>
                <w:rFonts w:ascii="宋体" w:hAnsi="宋体"/>
                <w:b/>
                <w:bCs w:val="0"/>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14:textFill>
                  <w14:solidFill>
                    <w14:schemeClr w14:val="tx1"/>
                  </w14:solidFill>
                </w14:textFill>
              </w:rPr>
              <w:t>小写：12000</w:t>
            </w:r>
            <w:r>
              <w:rPr>
                <w:rFonts w:hint="eastAsia" w:ascii="宋体" w:hAnsi="宋体"/>
                <w:b/>
                <w:bCs w:val="0"/>
                <w:color w:val="000000" w:themeColor="text1"/>
                <w:sz w:val="24"/>
                <w:szCs w:val="24"/>
                <w14:textFill>
                  <w14:solidFill>
                    <w14:schemeClr w14:val="tx1"/>
                  </w14:solidFill>
                </w14:textFill>
              </w:rPr>
              <w:t>.00元</w:t>
            </w:r>
          </w:p>
          <w:p>
            <w:pPr>
              <w:spacing w:line="360" w:lineRule="auto"/>
              <w:ind w:left="-140" w:leftChars="-50" w:right="-140" w:rightChars="-50"/>
              <w:rPr>
                <w:rFonts w:ascii="宋体" w:hAnsi="宋体"/>
                <w:sz w:val="24"/>
                <w:szCs w:val="24"/>
              </w:rPr>
            </w:pPr>
            <w:r>
              <w:rPr>
                <w:rFonts w:hint="eastAsia" w:ascii="宋体" w:hAnsi="宋体"/>
                <w:sz w:val="24"/>
                <w:szCs w:val="24"/>
              </w:rPr>
              <w:t>开户银行：鄂托克前旗农村商业银行股份有限公司</w:t>
            </w:r>
          </w:p>
          <w:p>
            <w:pPr>
              <w:spacing w:line="360" w:lineRule="auto"/>
              <w:ind w:left="-140" w:leftChars="-50" w:right="-140" w:rightChars="-50"/>
              <w:rPr>
                <w:rFonts w:ascii="宋体" w:hAnsi="宋体"/>
                <w:sz w:val="24"/>
                <w:szCs w:val="24"/>
              </w:rPr>
            </w:pPr>
            <w:r>
              <w:rPr>
                <w:rFonts w:hint="eastAsia" w:ascii="宋体" w:hAnsi="宋体"/>
                <w:sz w:val="24"/>
                <w:szCs w:val="24"/>
              </w:rPr>
              <w:t>行号：402205481279</w:t>
            </w:r>
          </w:p>
          <w:p>
            <w:pPr>
              <w:spacing w:line="360" w:lineRule="auto"/>
              <w:ind w:left="-140" w:leftChars="-50" w:right="-140" w:rightChars="-50"/>
              <w:rPr>
                <w:rFonts w:ascii="宋体" w:hAnsi="宋体"/>
                <w:sz w:val="24"/>
                <w:szCs w:val="24"/>
              </w:rPr>
            </w:pPr>
            <w:r>
              <w:rPr>
                <w:rFonts w:hint="eastAsia" w:ascii="宋体" w:hAnsi="宋体"/>
                <w:sz w:val="24"/>
                <w:szCs w:val="24"/>
              </w:rPr>
              <w:t>开户单位：鄂尔多斯市鄂托克前旗公共资源交易中心</w:t>
            </w:r>
          </w:p>
          <w:p>
            <w:pPr>
              <w:spacing w:line="360" w:lineRule="auto"/>
              <w:ind w:left="-140" w:leftChars="-50" w:right="-140" w:rightChars="-5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rPr>
                <w:rFonts w:ascii="宋体" w:hAnsi="宋体"/>
                <w:color w:val="000000"/>
                <w:sz w:val="24"/>
                <w:szCs w:val="24"/>
              </w:rPr>
            </w:pPr>
            <w:r>
              <w:rPr>
                <w:rFonts w:hint="eastAsia" w:ascii="宋体" w:hAnsi="宋体"/>
                <w:sz w:val="24"/>
                <w:szCs w:val="24"/>
              </w:rPr>
              <w:t>投标保证金缴纳、退还联系人：白俊艳   0477—7625245投标</w:t>
            </w:r>
            <w:r>
              <w:rPr>
                <w:rFonts w:hint="eastAsia" w:ascii="宋体" w:hAnsi="宋体" w:cs="宋体"/>
                <w:kern w:val="0"/>
                <w:sz w:val="24"/>
                <w:szCs w:val="24"/>
              </w:rPr>
              <w:t>保证金缴纳截止时间：</w:t>
            </w:r>
            <w:r>
              <w:rPr>
                <w:rFonts w:hint="eastAsia" w:ascii="宋体" w:hAnsi="宋体" w:cs="宋体"/>
                <w:color w:val="auto"/>
                <w:kern w:val="0"/>
                <w:sz w:val="24"/>
                <w:szCs w:val="24"/>
                <w:lang w:eastAsia="zh-CN"/>
              </w:rPr>
              <w:t>2020年04月14日上午09时00分</w:t>
            </w:r>
            <w:r>
              <w:rPr>
                <w:rFonts w:hint="eastAsia" w:ascii="宋体" w:hAnsi="宋体" w:cs="宋体"/>
                <w:color w:val="auto"/>
                <w:kern w:val="0"/>
                <w:sz w:val="24"/>
                <w:szCs w:val="24"/>
              </w:rPr>
              <w:t>前</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登录登录《鄂尔多斯市公共资源交易网》（http://www.ordosggzyjy.org.cn）或《鄂尔多斯市鄂托克前旗公共资源交易中心网》（http://www.ordosggzyjy.org.cn/TPFront_etkqq/）页面</w:t>
      </w:r>
      <w:r>
        <w:rPr>
          <w:rFonts w:hint="eastAsia" w:ascii="宋体" w:hAnsi="宋体" w:cs="宋体"/>
          <w:kern w:val="0"/>
          <w:sz w:val="24"/>
          <w:szCs w:val="24"/>
        </w:rPr>
        <w:t>，点击“政府采购”中的“采购公告”栏，打开本项目的磋商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本磋商项目采用“虚拟子账号”形式收退投标保证金，每一个供应商在所投的每一项目或标包会自动生成一个账号，</w:t>
      </w:r>
      <w:r>
        <w:rPr>
          <w:rFonts w:hint="eastAsia" w:ascii="宋体" w:hAnsi="宋体" w:cs="宋体"/>
          <w:kern w:val="0"/>
          <w:sz w:val="24"/>
          <w:szCs w:val="24"/>
        </w:rPr>
        <w:t>称为“虚拟子账号”。供应商</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”下方所载明的账号，并按照磋商文件规定的金额、时间电汇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至上述账号中，付款人名称必须为投标单位全称且与报名信息一致，该账号可以自动识别单位名称、缴纳金额金额是否正确，缴纳时间是否符合磋商文件的规定，如果不符合，一律不予收取。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2.1报名时间（磋商文件提供期限）：</w:t>
      </w:r>
      <w:r>
        <w:rPr>
          <w:rFonts w:hint="eastAsia" w:ascii="宋体" w:hAnsi="宋体"/>
          <w:color w:val="auto"/>
          <w:sz w:val="24"/>
          <w:szCs w:val="24"/>
          <w:lang w:eastAsia="zh-CN"/>
        </w:rPr>
        <w:t>2020年04月03日</w:t>
      </w:r>
      <w:r>
        <w:rPr>
          <w:rFonts w:hint="eastAsia" w:ascii="宋体" w:hAnsi="宋体"/>
          <w:color w:val="auto"/>
          <w:sz w:val="24"/>
          <w:szCs w:val="24"/>
        </w:rPr>
        <w:t>至</w:t>
      </w:r>
      <w:r>
        <w:rPr>
          <w:rFonts w:hint="eastAsia" w:ascii="宋体" w:hAnsi="宋体"/>
          <w:color w:val="auto"/>
          <w:sz w:val="24"/>
          <w:szCs w:val="24"/>
          <w:lang w:eastAsia="zh-CN"/>
        </w:rPr>
        <w:t>2020年04月10日</w:t>
      </w:r>
      <w:r>
        <w:rPr>
          <w:rFonts w:hint="eastAsia" w:ascii="宋体" w:hAnsi="宋体"/>
          <w:color w:val="auto"/>
          <w:sz w:val="24"/>
          <w:szCs w:val="24"/>
        </w:rPr>
        <w:t>下午17时30分止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2.2保证金缴纳截止时间（同提交响应文件截止时间）：</w:t>
      </w:r>
      <w:r>
        <w:rPr>
          <w:rFonts w:hint="eastAsia" w:ascii="宋体" w:hAnsi="宋体"/>
          <w:color w:val="auto"/>
          <w:sz w:val="24"/>
          <w:szCs w:val="24"/>
          <w:lang w:eastAsia="zh-CN"/>
        </w:rPr>
        <w:t>2020年04月14日上午09时00分</w:t>
      </w:r>
      <w:r>
        <w:rPr>
          <w:rFonts w:hint="eastAsia" w:ascii="宋体" w:hAnsi="宋体"/>
          <w:color w:val="auto"/>
          <w:sz w:val="24"/>
          <w:szCs w:val="24"/>
        </w:rPr>
        <w:t>。</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财务人员进行咨询，以确保投标保证金缴纳情况符合磋商文件规定。供应商未按照磋商文件要求缴纳投标保证金导致的一切后果由供应商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3.2由于投标保证金到账需要一定时间，请供应商在投标截止前及早缴纳，以免导致报名无效。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3.4网上报名成功而放弃参加投标的供应商，请在提交响应文件前以书面形式并加盖单位公章（扫描件发送至</w:t>
      </w:r>
      <w:r>
        <w:fldChar w:fldCharType="begin"/>
      </w:r>
      <w:r>
        <w:instrText xml:space="preserve"> HYPERLINK "javascript:;" </w:instrText>
      </w:r>
      <w:r>
        <w:fldChar w:fldCharType="separate"/>
      </w:r>
      <w:r>
        <w:rPr>
          <w:rStyle w:val="33"/>
          <w:rFonts w:hint="eastAsia" w:ascii="宋体" w:hAnsi="宋体" w:cs="宋体"/>
          <w:kern w:val="0"/>
          <w:sz w:val="24"/>
          <w:szCs w:val="24"/>
          <w:lang w:eastAsia="zh-CN"/>
        </w:rPr>
        <w:t>117826335</w:t>
      </w:r>
      <w:r>
        <w:rPr>
          <w:rStyle w:val="33"/>
          <w:rFonts w:hint="eastAsia" w:ascii="宋体" w:hAnsi="宋体" w:cs="宋体"/>
          <w:kern w:val="0"/>
          <w:sz w:val="24"/>
          <w:szCs w:val="24"/>
        </w:rPr>
        <w:t>@qq.com</w:t>
      </w:r>
      <w:r>
        <w:rPr>
          <w:rStyle w:val="33"/>
          <w:rFonts w:hint="eastAsia" w:ascii="宋体" w:hAnsi="宋体" w:cs="宋体"/>
          <w:kern w:val="0"/>
          <w:sz w:val="24"/>
          <w:szCs w:val="24"/>
        </w:rPr>
        <w:fldChar w:fldCharType="end"/>
      </w:r>
      <w:r>
        <w:rPr>
          <w:rFonts w:hint="eastAsia" w:ascii="宋体" w:hAnsi="宋体"/>
          <w:sz w:val="24"/>
          <w:szCs w:val="24"/>
        </w:rPr>
        <w:t>或书面送达）通知鄂尔多斯市鄂托克前旗公共资源交易中心，并在网上报名页面中撤销报名。放弃投标未予告知的，鄂尔多斯市鄂托克前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cs="宋体"/>
          <w:b/>
          <w:sz w:val="24"/>
          <w:szCs w:val="24"/>
        </w:rPr>
      </w:pPr>
      <w:r>
        <w:rPr>
          <w:rFonts w:hint="eastAsia" w:ascii="宋体" w:hAnsi="宋体" w:cs="宋体"/>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本次竞争性磋商项目，</w:t>
      </w:r>
      <w:r>
        <w:rPr>
          <w:rFonts w:ascii="宋体" w:hAnsi="宋体"/>
          <w:sz w:val="24"/>
          <w:szCs w:val="24"/>
        </w:rPr>
        <w:t>是以磋商公告的方式邀请非特定的供应商参加投标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本磋商文件所称货物，是指各种形态和种类的物品。提供的货物必须合法生产或销售且符合国家有关标准要求。</w:t>
      </w:r>
    </w:p>
    <w:p>
      <w:pPr>
        <w:pStyle w:val="16"/>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6"/>
        <w:adjustRightInd w:val="0"/>
        <w:snapToGrid w:val="0"/>
        <w:spacing w:line="360" w:lineRule="auto"/>
        <w:ind w:firstLine="480" w:firstLineChars="200"/>
        <w:rPr>
          <w:rFonts w:hAnsi="宋体"/>
          <w:b/>
          <w:kern w:val="2"/>
          <w:sz w:val="24"/>
          <w:szCs w:val="24"/>
        </w:rPr>
      </w:pPr>
      <w:r>
        <w:rPr>
          <w:rFonts w:hint="eastAsia" w:hAnsi="宋体" w:cs="宋体"/>
          <w:sz w:val="24"/>
          <w:szCs w:val="24"/>
        </w:rPr>
        <w:t>本磋商文件仅适用于本次磋商公告中所涉及的项目和内容。</w:t>
      </w:r>
    </w:p>
    <w:p>
      <w:pPr>
        <w:pStyle w:val="16"/>
        <w:adjustRightInd w:val="0"/>
        <w:snapToGrid w:val="0"/>
        <w:spacing w:line="360" w:lineRule="auto"/>
        <w:rPr>
          <w:rFonts w:hAnsi="宋体"/>
          <w:b/>
          <w:sz w:val="24"/>
          <w:szCs w:val="24"/>
        </w:rPr>
      </w:pPr>
      <w:r>
        <w:rPr>
          <w:rFonts w:hint="eastAsia" w:hAnsi="宋体"/>
          <w:b/>
          <w:sz w:val="24"/>
          <w:szCs w:val="24"/>
        </w:rPr>
        <w:t>3.投标费用</w:t>
      </w:r>
    </w:p>
    <w:p>
      <w:pPr>
        <w:spacing w:line="360" w:lineRule="auto"/>
        <w:ind w:firstLine="480" w:firstLineChars="200"/>
        <w:rPr>
          <w:rFonts w:hAnsi="宋体" w:cs="Arial"/>
          <w:color w:val="000000"/>
          <w:sz w:val="24"/>
          <w:szCs w:val="24"/>
        </w:rPr>
      </w:pPr>
      <w:r>
        <w:rPr>
          <w:rFonts w:hint="eastAsia" w:hAnsi="宋体"/>
          <w:sz w:val="24"/>
          <w:szCs w:val="24"/>
        </w:rPr>
        <w:t>3.1供应商应承担所有与准备和参加投标有关的费用。不论投标结果如何，</w:t>
      </w:r>
      <w:r>
        <w:rPr>
          <w:rFonts w:hint="eastAsia" w:hAnsi="宋体"/>
          <w:sz w:val="24"/>
          <w:szCs w:val="24"/>
          <w:lang w:val="en-US" w:eastAsia="zh-CN"/>
        </w:rPr>
        <w:t>鄂尔多斯市金博工程项目管理有限公司</w:t>
      </w:r>
      <w:r>
        <w:rPr>
          <w:rFonts w:hint="eastAsia" w:hAnsi="宋体" w:cs="Arial"/>
          <w:color w:val="000000"/>
          <w:sz w:val="24"/>
          <w:szCs w:val="24"/>
        </w:rPr>
        <w:t>和采购人均无义务和责任承担相关费用。</w:t>
      </w:r>
    </w:p>
    <w:p>
      <w:pPr>
        <w:spacing w:line="360" w:lineRule="auto"/>
        <w:ind w:firstLine="480" w:firstLineChars="200"/>
        <w:rPr>
          <w:rFonts w:hAnsi="宋体" w:cs="Arial"/>
          <w:color w:val="auto"/>
          <w:sz w:val="24"/>
          <w:szCs w:val="24"/>
        </w:rPr>
      </w:pPr>
      <w:r>
        <w:rPr>
          <w:rFonts w:hint="eastAsia" w:ascii="宋体" w:hAnsi="宋体"/>
          <w:color w:val="auto"/>
          <w:sz w:val="24"/>
          <w:szCs w:val="24"/>
        </w:rPr>
        <w:t>3.2每标包中标人需承担本次项目评审专家劳务费（根据实际情况收取）。</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依法进行政府采购的国家机关、事业单位、团体组织。本磋商文件的采购人特指</w:t>
      </w:r>
      <w:r>
        <w:rPr>
          <w:rFonts w:hint="eastAsia" w:asciiTheme="minorEastAsia" w:hAnsiTheme="minorEastAsia" w:eastAsiaTheme="minorEastAsia"/>
          <w:b/>
          <w:bCs/>
          <w:sz w:val="24"/>
          <w:szCs w:val="24"/>
          <w:lang w:eastAsia="zh-CN"/>
        </w:rPr>
        <w:t>鄂托克前旗农牧业综合开发中心</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4.2“集中采购机构”是指人民政府依法设立的代理集中采购项目的执行机构。本磋商文件的集中采购机构特指</w:t>
      </w:r>
      <w:r>
        <w:rPr>
          <w:rFonts w:hint="eastAsia" w:ascii="宋体" w:hAnsi="宋体"/>
          <w:b/>
          <w:bCs/>
          <w:color w:val="000000"/>
          <w:sz w:val="24"/>
          <w:szCs w:val="24"/>
          <w:lang w:val="en-US" w:eastAsia="zh-CN"/>
        </w:rPr>
        <w:t>鄂尔多斯市金博工程项目管理有限公司</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4.4“磋商小组”是指根据《中华人民共和国政府采购法》等法律法规规定，由采购人代表和有关专家组成以确定成交供应商或者推荐成交候选人的临时组织。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4.5“成交供应商”是指经磋商小组评审确定的对磋商文件做出实质性响应，取得与采购人签订合同资格的供应商。</w:t>
      </w:r>
    </w:p>
    <w:p>
      <w:pPr>
        <w:spacing w:line="360" w:lineRule="auto"/>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符合本磋商文件规定的资格要求，并按照要求提供相关证明材料。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6.1联合体各方应签订联合体协议书，明确联合体牵头人和各方权利义务，并装订至响应文件中。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同一资质条件的供应商组成的联合体，应当按照资质等级较低的供应商确定联合体资质等级。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8.1磋商文件规定组织踏勘现场的，采购人按磋商文件规定的时间、地点组织供应商踏勘项目现场。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8.3采购人在踏勘现场中介绍的资料和数据等，不构成对磋商文件的修改或不作为供应商编制响应文件的依据。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无论中标与否供应商递交的响应文件均不予退还。</w:t>
      </w:r>
    </w:p>
    <w:p>
      <w:pPr>
        <w:spacing w:line="360" w:lineRule="auto"/>
        <w:rPr>
          <w:rFonts w:ascii="宋体" w:hAnsi="宋体"/>
          <w:b/>
          <w:sz w:val="24"/>
          <w:szCs w:val="24"/>
        </w:rPr>
      </w:pPr>
      <w:r>
        <w:rPr>
          <w:rFonts w:hint="eastAsia" w:ascii="宋体" w:hAnsi="宋体"/>
          <w:b/>
          <w:sz w:val="24"/>
          <w:szCs w:val="24"/>
        </w:rPr>
        <w:t>四.磋商文件的澄清或者修改</w:t>
      </w:r>
    </w:p>
    <w:p>
      <w:pPr>
        <w:spacing w:line="360" w:lineRule="auto"/>
        <w:ind w:firstLine="480" w:firstLineChars="200"/>
        <w:rPr>
          <w:rFonts w:ascii="宋体" w:hAnsi="宋体"/>
          <w:sz w:val="24"/>
          <w:szCs w:val="24"/>
        </w:rPr>
      </w:pPr>
      <w:r>
        <w:rPr>
          <w:rFonts w:hint="eastAsia" w:ascii="宋体" w:hAnsi="宋体"/>
          <w:sz w:val="24"/>
          <w:szCs w:val="24"/>
        </w:rPr>
        <w:t>提交首次响应文件截止之日前，采购人、</w:t>
      </w:r>
      <w:r>
        <w:rPr>
          <w:rFonts w:hint="eastAsia" w:ascii="宋体" w:hAnsi="宋体"/>
          <w:sz w:val="24"/>
          <w:szCs w:val="24"/>
          <w:lang w:val="en-US" w:eastAsia="zh-CN"/>
        </w:rPr>
        <w:t>鄂尔多斯市金博工程项目管理有限公司</w:t>
      </w:r>
      <w:r>
        <w:rPr>
          <w:rFonts w:hint="eastAsia" w:ascii="宋体" w:hAnsi="宋体"/>
          <w:sz w:val="24"/>
          <w:szCs w:val="24"/>
        </w:rPr>
        <w:t>或者磋商小组可以对已发出的磋商文件进行必要的澄清或者修改，澄清或者修改的内容作为磋商文件的组成部分。澄清或者修改的内容可能影响响应文件编制的，采购人、</w:t>
      </w:r>
      <w:r>
        <w:rPr>
          <w:rFonts w:hint="eastAsia" w:ascii="宋体" w:hAnsi="宋体"/>
          <w:sz w:val="24"/>
          <w:szCs w:val="24"/>
          <w:lang w:val="en-US" w:eastAsia="zh-CN"/>
        </w:rPr>
        <w:t>鄂尔多斯市金博工程项目管理有限公司</w:t>
      </w:r>
      <w:r>
        <w:rPr>
          <w:rFonts w:hint="eastAsia" w:ascii="宋体" w:hAnsi="宋体"/>
          <w:sz w:val="24"/>
          <w:szCs w:val="24"/>
        </w:rPr>
        <w:t>应当在提交首次响应文件截止时间至少5日前，不足5日的，采购人、</w:t>
      </w:r>
      <w:r>
        <w:rPr>
          <w:rFonts w:hint="eastAsia" w:ascii="宋体" w:hAnsi="宋体"/>
          <w:sz w:val="24"/>
          <w:szCs w:val="24"/>
          <w:lang w:val="en-US" w:eastAsia="zh-CN"/>
        </w:rPr>
        <w:t>鄂尔多斯市金博工程项目管理有限公司</w:t>
      </w:r>
      <w:r>
        <w:rPr>
          <w:rFonts w:hint="eastAsia" w:ascii="宋体" w:hAnsi="宋体"/>
          <w:sz w:val="24"/>
          <w:szCs w:val="24"/>
        </w:rPr>
        <w:t>应当顺延提交首次响应文件截止时间。</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鄂托克前旗人民政府网”上发布澄清或者变更公告进行通知。澄清或者变更公告的内容为磋商文件的组成部分，供应商应自行上网查询，采购人或</w:t>
      </w:r>
      <w:r>
        <w:rPr>
          <w:rFonts w:hint="eastAsia" w:ascii="宋体" w:hAnsi="宋体"/>
          <w:sz w:val="24"/>
          <w:szCs w:val="24"/>
          <w:lang w:val="en-US" w:eastAsia="zh-CN"/>
        </w:rPr>
        <w:t>鄂尔多斯市金博工程项目管理有限公司</w:t>
      </w:r>
      <w:r>
        <w:rPr>
          <w:rFonts w:hint="eastAsia" w:ascii="宋体" w:hAnsi="宋体"/>
          <w:sz w:val="24"/>
          <w:szCs w:val="24"/>
        </w:rPr>
        <w:t>不承担供应商未及时关注相关信息的责任。</w:t>
      </w:r>
    </w:p>
    <w:p>
      <w:pPr>
        <w:spacing w:line="360" w:lineRule="auto"/>
        <w:rPr>
          <w:rFonts w:ascii="宋体" w:hAnsi="宋体"/>
          <w:b/>
          <w:sz w:val="24"/>
          <w:szCs w:val="24"/>
        </w:rPr>
      </w:pPr>
      <w:r>
        <w:rPr>
          <w:rFonts w:hint="eastAsia" w:ascii="宋体" w:hAnsi="宋体"/>
          <w:b/>
          <w:sz w:val="24"/>
          <w:szCs w:val="24"/>
        </w:rPr>
        <w:t>五.响应文件</w:t>
      </w:r>
    </w:p>
    <w:p>
      <w:pPr>
        <w:spacing w:line="360" w:lineRule="auto"/>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响应文件应按照磋商文件第七章“响应文件格式”进行编写（可以增加附页），作为响应文件的组成部分。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供应商应按照“第四章磋商内容与要求”的供货内容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。投标总价中不得包含磋商文件要求以外的内容，否则，在评审时不予核减。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w:t>
      </w:r>
      <w:r>
        <w:rPr>
          <w:rFonts w:hint="eastAsia" w:ascii="宋体" w:hAnsi="宋体"/>
          <w:sz w:val="24"/>
          <w:szCs w:val="24"/>
        </w:rPr>
        <w:t>投标报价的范</w:t>
      </w:r>
      <w:r>
        <w:rPr>
          <w:rFonts w:hint="eastAsia" w:ascii="宋体" w:hAnsi="宋体"/>
          <w:kern w:val="0"/>
          <w:sz w:val="24"/>
          <w:szCs w:val="24"/>
        </w:rPr>
        <w:t>围：本项目实行两轮报价，第一轮为响应性报价，第二轮为磋商后报价（也是最后报价），必要时可进行第三轮报价。投标报价含本采购文件要求、合同履约需要及施工过程中所产生的全部费用。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rPr>
          <w:rFonts w:ascii="宋体" w:hAnsi="宋体"/>
          <w:b/>
          <w:sz w:val="24"/>
          <w:szCs w:val="24"/>
        </w:rPr>
      </w:pPr>
      <w:r>
        <w:rPr>
          <w:rFonts w:hint="eastAsia" w:ascii="宋体" w:hAnsi="宋体"/>
          <w:b/>
          <w:sz w:val="24"/>
          <w:szCs w:val="24"/>
        </w:rPr>
        <w:t>3.响应文件的密封、签署、盖章要求等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3.2电子版响应文件编制要求：提供PDF格式和word格式电子文档一份，内容必须一致，在电子文档上标明供应商全称。（电子文档须使用U盘）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rPr>
        <w:t>3.4响应文件的密封。供应商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w:t>
      </w:r>
      <w:r>
        <w:rPr>
          <w:rFonts w:hint="eastAsia" w:ascii="宋体" w:hAnsi="宋体"/>
          <w:sz w:val="24"/>
          <w:szCs w:val="24"/>
          <w:lang w:eastAsia="zh-CN"/>
        </w:rPr>
        <w:t>磋商</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3.5供应商按上述规定进行密封和标记后，将响应文件按照</w:t>
      </w:r>
      <w:r>
        <w:rPr>
          <w:rFonts w:hint="eastAsia" w:ascii="宋体" w:hAnsi="宋体"/>
          <w:sz w:val="24"/>
          <w:szCs w:val="24"/>
          <w:lang w:eastAsia="zh-CN"/>
        </w:rPr>
        <w:t>磋商</w:t>
      </w:r>
      <w:r>
        <w:rPr>
          <w:rFonts w:hint="eastAsia" w:ascii="宋体" w:hAnsi="宋体"/>
          <w:sz w:val="24"/>
          <w:szCs w:val="24"/>
        </w:rPr>
        <w:t>文件的要求送达指定地点。如果未按上述规定进行密封和标记，采购代理机构对误投或提前启封概不负责。</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：1、供应商在响应文件及相关书面文件中的单位公章（包括印章、公章等）均指与供应商名称全称一致的标准公章，不得使用其他形式（如带有“专用章”、“财务章”、“业务章”等）的印章。</w:t>
      </w:r>
    </w:p>
    <w:p>
      <w:pPr>
        <w:pStyle w:val="23"/>
        <w:ind w:firstLine="480" w:firstLineChars="200"/>
      </w:pPr>
      <w:r>
        <w:rPr>
          <w:rFonts w:hint="eastAsia" w:ascii="宋体" w:hAnsi="宋体"/>
          <w:sz w:val="24"/>
          <w:szCs w:val="24"/>
        </w:rPr>
        <w:t>2、供应商应单独密封、单独递交一份《开标一览表》，用于唱标时使用。</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供应商在提交响应文件的同时，应按供应商须知前附表规定的金额、开户银行、行号、开户单位、账号和磋商文件本章“报名须知”规定的投标保证金缴纳要求递交投标保证金，并作为其响应文件的组成部分。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（2）中标后，无正当理由不与磋商人签订合同；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（3）在签订合同时，向磋商人提出附加条件；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（4）不按照磋商文件要求提交履约保证金；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（5）要求修改、补充和撤销响应文件的实质性内容；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（6）要求更改磋商文件和成交结果公告的实质性内容；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（7）法律法规和磋商文件规定的其他情形。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w:t>
      </w:r>
      <w:r>
        <w:rPr>
          <w:rFonts w:hint="eastAsia" w:ascii="宋体" w:hAnsi="宋体"/>
          <w:sz w:val="24"/>
          <w:szCs w:val="24"/>
          <w:lang w:val="en-US" w:eastAsia="zh-CN"/>
        </w:rPr>
        <w:t>鄂尔多斯市金博工程项目管理有限公司</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在提交响应文件截止时间后到磋商文件规定的投标有效期终止之前，供应商不得补充、修改、替代或者撤回其响应文件。</w:t>
      </w:r>
    </w:p>
    <w:p>
      <w:pPr>
        <w:spacing w:line="360" w:lineRule="auto"/>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在磋商文件要求提交响应文件的截止时间之后送达或没有将《开标一览表》单独密封、单独递交的响应文件，为无效响应文件，采购单位或采购代理机构将拒收。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磋商文件规定供应商提交样品的，样品属于响应文件的组成部分。样品的生产、运输、安装、保全等一切费用由供应商自理。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8.2评标结束后，成交供应商与采购人共同清点、检查和密封样品，由成交供应商送至采购人指定地点封存。未中标供应商将样品自行带回。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开标时间与提交响应文件截止时间为同一时间；开标地点为磋商文件规定的地点。邀请所有供应商的法定代表人或其授权委托人准时参加。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val="en-US" w:eastAsia="zh-CN"/>
        </w:rPr>
        <w:t>鄂尔多斯市金博工程项目管理有限公司</w:t>
      </w:r>
      <w:r>
        <w:rPr>
          <w:rFonts w:hint="eastAsia" w:ascii="宋体" w:hAnsi="宋体"/>
          <w:sz w:val="24"/>
          <w:szCs w:val="24"/>
        </w:rPr>
        <w:t>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（6）开标结束，响应文件移交磋商小组。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供应商代表对开标过程和开标记录有疑义，以及认为采购人、采购代理机构相关工作人员有需要回避的情形的，应当场提出询问或者回避申请，开标会议结束后不再接受相关询问、质疑或者回避申请。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1.磋商小组</w:t>
      </w:r>
    </w:p>
    <w:p>
      <w:pPr>
        <w:spacing w:line="360" w:lineRule="auto"/>
        <w:ind w:firstLine="480" w:firstLineChars="200"/>
        <w:rPr>
          <w:rFonts w:ascii="宋体" w:hAnsi="宋体"/>
          <w:sz w:val="24"/>
          <w:szCs w:val="24"/>
        </w:rPr>
      </w:pPr>
      <w:r>
        <w:rPr>
          <w:rFonts w:hint="eastAsia" w:ascii="宋体" w:hAnsi="宋体"/>
          <w:sz w:val="24"/>
          <w:szCs w:val="24"/>
        </w:rPr>
        <w:t>1.1磋商小组由采购人代表和评审专家共3人以上单数组成，其中评审专家人数不得少于磋商小组成员总数的2/3。</w:t>
      </w:r>
    </w:p>
    <w:p>
      <w:pPr>
        <w:spacing w:line="360" w:lineRule="auto"/>
        <w:ind w:firstLine="480" w:firstLineChars="200"/>
        <w:rPr>
          <w:rFonts w:ascii="宋体" w:hAnsi="宋体"/>
          <w:sz w:val="24"/>
          <w:szCs w:val="24"/>
        </w:rPr>
      </w:pPr>
      <w:r>
        <w:rPr>
          <w:rFonts w:hint="eastAsia" w:ascii="宋体" w:hAnsi="宋体"/>
          <w:sz w:val="24"/>
          <w:szCs w:val="24"/>
        </w:rPr>
        <w:t>1.2磋商小组成员有下列情形之一的，应当回避：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2.1评标活动遵循公平、公正、科学和择优的原则，以磋商文件和响应文件为评标的基本依据，并按照磋商文件规定的评标方法和评标标准进行评标。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2.2具体评标事项由磋商小组负责，并按磋商文件的规定办法进行评审。</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sz w:val="24"/>
          <w:szCs w:val="24"/>
        </w:rPr>
      </w:pP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sz w:val="24"/>
          <w:szCs w:val="24"/>
        </w:rPr>
      </w:pPr>
      <w:r>
        <w:rPr>
          <w:rFonts w:hint="eastAsia" w:ascii="宋体" w:hAnsi="宋体"/>
          <w:sz w:val="24"/>
          <w:szCs w:val="24"/>
        </w:rPr>
        <w:t>3.1磋商小组不接受供应商主动提出的澄清、说明或补正。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3.2磋商小组对供应商提交的澄清、说明或补正有疑问的，可以要求供应商进一步澄清、说明或补正。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详见第六章评审表。经磋商小组认定，凡其中有一项不合格的，按无效投标处理。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（5）法律、法规以及磋商文件规定其他情形。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磋商小组按照磋商文件确定的评标方法、步骤、标准，对响应文件进行评审。评标结束后，对供应商的评审名次进行排序，确定成交供应商或者推荐成交候选人。</w:t>
      </w:r>
    </w:p>
    <w:p>
      <w:pPr>
        <w:spacing w:line="360" w:lineRule="auto"/>
        <w:rPr>
          <w:rFonts w:ascii="宋体" w:hAnsi="宋体"/>
          <w:b/>
          <w:sz w:val="24"/>
          <w:szCs w:val="24"/>
        </w:rPr>
      </w:pPr>
      <w:r>
        <w:rPr>
          <w:rFonts w:hint="eastAsia" w:ascii="宋体" w:hAnsi="宋体"/>
          <w:b/>
          <w:sz w:val="24"/>
          <w:szCs w:val="24"/>
        </w:rPr>
        <w:t>8.成交结果公告</w:t>
      </w:r>
    </w:p>
    <w:p>
      <w:pPr>
        <w:spacing w:line="360" w:lineRule="auto"/>
        <w:ind w:firstLine="480" w:firstLineChars="200"/>
        <w:rPr>
          <w:rFonts w:ascii="宋体" w:hAnsi="宋体"/>
          <w:sz w:val="24"/>
          <w:szCs w:val="24"/>
        </w:rPr>
      </w:pPr>
      <w:r>
        <w:rPr>
          <w:rFonts w:hint="eastAsia" w:ascii="宋体" w:hAnsi="宋体"/>
          <w:sz w:val="24"/>
          <w:szCs w:val="24"/>
        </w:rPr>
        <w:t>7.1成交供应商确定后，</w:t>
      </w:r>
      <w:r>
        <w:rPr>
          <w:rFonts w:hint="eastAsia" w:ascii="宋体" w:hAnsi="宋体"/>
          <w:sz w:val="24"/>
          <w:szCs w:val="24"/>
          <w:lang w:val="en-US" w:eastAsia="zh-CN"/>
        </w:rPr>
        <w:t>鄂尔多斯市金博工程项目管理有限公司</w:t>
      </w:r>
      <w:r>
        <w:rPr>
          <w:rFonts w:hint="eastAsia" w:ascii="宋体" w:hAnsi="宋体"/>
          <w:sz w:val="24"/>
          <w:szCs w:val="24"/>
        </w:rPr>
        <w:t>将在内蒙古自治区政府采购网、内蒙古自治区公共资源交易网、鄂尔多斯市政府采购网和鄂尔多斯市公共资源交易网、鄂托克前旗人民政府网上发布成交结果公告，同时将成交结果以公告形式通知未中标的供应商，成交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7.2成交供应商须将成交货物报价明细表（WORD格式电子版，格式下载地址：鄂尔多斯市公共资源交易网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w:t>
      </w:r>
      <w:r>
        <w:rPr>
          <w:rFonts w:hint="eastAsia" w:ascii="宋体" w:hAnsi="宋体"/>
          <w:sz w:val="24"/>
          <w:szCs w:val="24"/>
          <w:lang w:val="en-US" w:eastAsia="zh-CN"/>
        </w:rPr>
        <w:t>鄂尔多斯市金博工程项目管理有限公司</w:t>
      </w:r>
      <w:r>
        <w:rPr>
          <w:rFonts w:hint="eastAsia" w:ascii="宋体" w:hAnsi="宋体"/>
          <w:sz w:val="24"/>
          <w:szCs w:val="24"/>
        </w:rPr>
        <w:t>工作人员邮箱内（</w:t>
      </w:r>
      <w:r>
        <w:fldChar w:fldCharType="begin"/>
      </w:r>
      <w:r>
        <w:instrText xml:space="preserve"> HYPERLINK "mailto:youj_0722@163.com" </w:instrText>
      </w:r>
      <w:r>
        <w:fldChar w:fldCharType="separate"/>
      </w:r>
      <w:r>
        <w:rPr>
          <w:rFonts w:hint="eastAsia"/>
          <w:lang w:eastAsia="zh-CN"/>
        </w:rPr>
        <w:t>117826335</w:t>
      </w:r>
      <w:r>
        <w:rPr>
          <w:rFonts w:hint="eastAsia"/>
        </w:rPr>
        <w:t>@qq.com</w:t>
      </w:r>
      <w:r>
        <w:rPr>
          <w:rFonts w:hint="eastAsia"/>
        </w:rPr>
        <w:fldChar w:fldCharType="end"/>
      </w:r>
      <w:r>
        <w:rPr>
          <w:rFonts w:hint="eastAsia" w:ascii="宋体" w:hAnsi="宋体"/>
          <w:sz w:val="24"/>
          <w:szCs w:val="24"/>
        </w:rPr>
        <w:t>，联系人</w:t>
      </w:r>
      <w:r>
        <w:rPr>
          <w:rFonts w:hint="eastAsia" w:ascii="宋体" w:hAnsi="宋体"/>
          <w:sz w:val="24"/>
          <w:szCs w:val="24"/>
          <w:lang w:val="en-US" w:eastAsia="zh-CN"/>
        </w:rPr>
        <w:t>林晓伟</w:t>
      </w:r>
      <w:r>
        <w:rPr>
          <w:rFonts w:hint="eastAsia" w:ascii="宋体" w:hAnsi="宋体"/>
          <w:sz w:val="24"/>
          <w:szCs w:val="24"/>
        </w:rPr>
        <w:t>，联系电话</w:t>
      </w:r>
      <w:r>
        <w:rPr>
          <w:rFonts w:hint="eastAsia" w:ascii="宋体" w:hAnsi="宋体"/>
          <w:sz w:val="24"/>
          <w:szCs w:val="24"/>
          <w:lang w:eastAsia="zh-CN"/>
        </w:rPr>
        <w:t>18947706825</w:t>
      </w:r>
      <w:r>
        <w:rPr>
          <w:rFonts w:hint="eastAsia" w:ascii="宋体" w:hAnsi="宋体"/>
          <w:sz w:val="24"/>
          <w:szCs w:val="24"/>
        </w:rPr>
        <w:t>），并在邮件标题注明项目名称及中标单位名称，否则不予发布成交结果公告。</w:t>
      </w:r>
    </w:p>
    <w:p>
      <w:pPr>
        <w:spacing w:line="360" w:lineRule="auto"/>
        <w:rPr>
          <w:rFonts w:ascii="宋体" w:hAnsi="宋体"/>
          <w:b/>
          <w:sz w:val="24"/>
          <w:szCs w:val="24"/>
        </w:rPr>
      </w:pPr>
      <w:r>
        <w:rPr>
          <w:rFonts w:hint="eastAsia" w:ascii="宋体" w:hAnsi="宋体"/>
          <w:b/>
          <w:sz w:val="24"/>
          <w:szCs w:val="24"/>
        </w:rPr>
        <w:t>9.成交通知书发放</w:t>
      </w:r>
    </w:p>
    <w:p>
      <w:pPr>
        <w:spacing w:line="360" w:lineRule="auto"/>
        <w:ind w:firstLine="480" w:firstLineChars="200"/>
        <w:rPr>
          <w:rFonts w:ascii="宋体" w:hAnsi="宋体"/>
          <w:sz w:val="24"/>
          <w:szCs w:val="24"/>
        </w:rPr>
      </w:pPr>
      <w:r>
        <w:rPr>
          <w:rFonts w:hint="eastAsia" w:ascii="宋体" w:hAnsi="宋体"/>
          <w:sz w:val="24"/>
          <w:szCs w:val="24"/>
          <w:lang w:val="en-US" w:eastAsia="zh-CN"/>
        </w:rPr>
        <w:t>鄂尔多斯市金博工程项目管理有限公司</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，成交通知书对采购人和中标供应商具有同等法律效力。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成交通知书发出后，采购人不得违法改变成交结果，成交供应商无正当理由不得放弃中标。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val="en-US" w:eastAsia="zh-CN"/>
        </w:rPr>
        <w:t>鄂尔多斯市金博工程项目管理有限公司</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ascii="宋体" w:hAnsi="宋体" w:cs="宋体"/>
          <w:sz w:val="24"/>
          <w:szCs w:val="24"/>
          <w:lang w:eastAsia="zh-CN"/>
        </w:rPr>
        <w:t>采购代理机构</w:t>
      </w:r>
      <w:r>
        <w:rPr>
          <w:rFonts w:hint="eastAsia" w:ascii="宋体" w:hAnsi="宋体" w:cs="宋体"/>
          <w:sz w:val="24"/>
          <w:szCs w:val="24"/>
        </w:rPr>
        <w:t>提出询问，采购人或</w:t>
      </w:r>
      <w:r>
        <w:rPr>
          <w:rFonts w:hint="eastAsia" w:ascii="宋体" w:hAnsi="宋体" w:cs="宋体"/>
          <w:sz w:val="24"/>
          <w:szCs w:val="24"/>
          <w:lang w:eastAsia="zh-CN"/>
        </w:rPr>
        <w:t>采购代理机构</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w:t>
      </w:r>
      <w:r>
        <w:rPr>
          <w:rFonts w:hint="eastAsia" w:ascii="宋体" w:hAnsi="宋体" w:cs="宋体"/>
          <w:color w:val="000000"/>
          <w:kern w:val="0"/>
          <w:sz w:val="24"/>
          <w:szCs w:val="24"/>
          <w:lang w:eastAsia="zh-CN"/>
        </w:rPr>
        <w:t>采购代理机构</w:t>
      </w:r>
      <w:r>
        <w:rPr>
          <w:rFonts w:hint="eastAsia" w:ascii="宋体" w:hAnsi="宋体" w:cs="宋体"/>
          <w:color w:val="000000"/>
          <w:kern w:val="0"/>
          <w:sz w:val="24"/>
          <w:szCs w:val="24"/>
        </w:rPr>
        <w:t>委托授权范围的，</w:t>
      </w:r>
      <w:r>
        <w:rPr>
          <w:rFonts w:hint="eastAsia" w:ascii="宋体" w:hAnsi="宋体" w:cs="宋体"/>
          <w:color w:val="000000"/>
          <w:kern w:val="0"/>
          <w:sz w:val="24"/>
          <w:szCs w:val="24"/>
          <w:lang w:eastAsia="zh-CN"/>
        </w:rPr>
        <w:t>采购代理机构</w:t>
      </w:r>
      <w:r>
        <w:rPr>
          <w:rFonts w:hint="eastAsia" w:ascii="宋体" w:hAnsi="宋体" w:cs="宋体"/>
          <w:color w:val="000000"/>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sz w:val="24"/>
          <w:szCs w:val="24"/>
          <w:lang w:val="en-US" w:eastAsia="zh-CN"/>
        </w:rPr>
        <w:t>鄂尔多斯市金博工程项目管理有限公司</w:t>
      </w:r>
      <w:r>
        <w:rPr>
          <w:rFonts w:hint="eastAsia" w:ascii="宋体" w:hAnsi="宋体" w:cs="宋体"/>
          <w:kern w:val="0"/>
          <w:sz w:val="24"/>
          <w:szCs w:val="24"/>
        </w:rPr>
        <w:t>，正式受理后方可生效，否则，为无效询问。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2.4为了使提出的质疑事项在规定时间内得到有效答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ascii="宋体" w:hAnsi="宋体"/>
          <w:sz w:val="24"/>
          <w:szCs w:val="24"/>
          <w:lang w:val="en-US" w:eastAsia="zh-CN"/>
        </w:rPr>
        <w:t>鄂尔多斯市金博工程项目管理有限公司</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）非供应商提出的质疑；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（2）无质疑函件或质疑函件缺少供应商法人印章、供应商法定代表人签字、有效授权书和联系方式之一的质疑；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val="en-US" w:eastAsia="zh-CN"/>
        </w:rPr>
        <w:t>鄂尔多斯市金博工程项目管理有限公司</w:t>
      </w:r>
      <w:r>
        <w:rPr>
          <w:rFonts w:hint="eastAsia" w:ascii="宋体" w:hAnsi="宋体"/>
          <w:sz w:val="24"/>
          <w:szCs w:val="24"/>
        </w:rPr>
        <w:t>的答复不满意或者采购人、</w:t>
      </w:r>
      <w:r>
        <w:rPr>
          <w:rFonts w:hint="eastAsia" w:ascii="宋体" w:hAnsi="宋体"/>
          <w:sz w:val="24"/>
          <w:szCs w:val="24"/>
          <w:lang w:val="en-US" w:eastAsia="zh-CN"/>
        </w:rPr>
        <w:t>鄂尔多斯市金博工程项目管理有限公司</w:t>
      </w:r>
      <w:r>
        <w:rPr>
          <w:rFonts w:hint="eastAsia" w:ascii="宋体" w:hAnsi="宋体"/>
          <w:sz w:val="24"/>
          <w:szCs w:val="24"/>
        </w:rPr>
        <w:t>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bookmarkStart w:id="2" w:name="_Toc447030613"/>
      <w:bookmarkStart w:id="3" w:name="_Toc266431157"/>
      <w:r>
        <w:rPr>
          <w:rFonts w:ascii="宋体" w:hAnsi="宋体" w:cs="宋体"/>
          <w:bCs/>
          <w:color w:val="000000"/>
          <w:sz w:val="24"/>
          <w:szCs w:val="24"/>
        </w:rPr>
        <w:br w:type="page"/>
      </w:r>
    </w:p>
    <w:p>
      <w:pPr>
        <w:pStyle w:val="25"/>
        <w:spacing w:line="360" w:lineRule="auto"/>
        <w:rPr>
          <w:rFonts w:ascii="宋体" w:hAnsi="宋体" w:eastAsia="宋体" w:cs="宋体"/>
          <w:bCs w:val="0"/>
          <w:color w:val="000000"/>
          <w:sz w:val="24"/>
          <w:szCs w:val="24"/>
        </w:rPr>
      </w:pPr>
      <w:bookmarkStart w:id="4" w:name="_Toc497408602"/>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1.1采购人应当自成交通知书发出之日起30日内，按照磋商文件和成交供应商响应文件的规定，与成交供应商签订书面合同。所签订的合同不得对磋商文件确定的事项和成交供应商响应文件作实质性修改。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1.2政府采购合同应当包括采购人与成交供应商的名称和住所、标的、数量、质量、价款或者报酬、履行期限及地点和方式、验收要求、违约责任、解决争议的方法等内容。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1.3采购人与成交供应商应当根据合同的约定依法履行合同义务。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val="en-US" w:eastAsia="zh-CN"/>
        </w:rPr>
        <w:t>鄂尔多斯市金博工程项目管理有限公司</w:t>
      </w:r>
      <w:r>
        <w:rPr>
          <w:rFonts w:hint="eastAsia" w:ascii="宋体" w:hAnsi="宋体"/>
          <w:sz w:val="24"/>
          <w:szCs w:val="24"/>
        </w:rPr>
        <w:t>（联系人：</w:t>
      </w:r>
      <w:r>
        <w:rPr>
          <w:rFonts w:hint="eastAsia" w:ascii="宋体" w:hAnsi="宋体"/>
          <w:sz w:val="24"/>
          <w:szCs w:val="24"/>
          <w:lang w:val="en-US" w:eastAsia="zh-CN"/>
        </w:rPr>
        <w:t>林晓伟</w:t>
      </w:r>
      <w:r>
        <w:rPr>
          <w:rFonts w:hint="eastAsia" w:ascii="宋体" w:hAnsi="宋体"/>
          <w:sz w:val="24"/>
          <w:szCs w:val="24"/>
        </w:rPr>
        <w:t>，联系电话：</w:t>
      </w:r>
      <w:r>
        <w:rPr>
          <w:rFonts w:hint="eastAsia" w:ascii="宋体" w:hAnsi="宋体"/>
          <w:sz w:val="24"/>
          <w:szCs w:val="24"/>
          <w:lang w:eastAsia="zh-CN"/>
        </w:rPr>
        <w:t>18947706825</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2.1具体格式见本磋商文件后附拟签订的《合同文本》（部分合同条款），响应文件中可以不提供《合同文本》。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w:t>
      </w:r>
      <w:r>
        <w:rPr>
          <w:rFonts w:hint="eastAsia" w:ascii="宋体" w:hAnsi="宋体"/>
          <w:sz w:val="24"/>
          <w:szCs w:val="24"/>
          <w:lang w:val="en-US" w:eastAsia="zh-CN"/>
        </w:rPr>
        <w:t>林</w:t>
      </w:r>
      <w:r>
        <w:rPr>
          <w:rFonts w:hint="eastAsia" w:ascii="宋体" w:hAnsi="宋体"/>
          <w:sz w:val="24"/>
          <w:szCs w:val="24"/>
        </w:rPr>
        <w:t>先生，联系电话：</w:t>
      </w:r>
      <w:r>
        <w:rPr>
          <w:rFonts w:hint="eastAsia" w:ascii="宋体" w:hAnsi="宋体"/>
          <w:sz w:val="24"/>
          <w:szCs w:val="24"/>
          <w:lang w:eastAsia="zh-CN"/>
        </w:rPr>
        <w:t>18947706825</w:t>
      </w:r>
      <w:r>
        <w:rPr>
          <w:rFonts w:hint="eastAsia" w:ascii="宋体" w:hAnsi="宋体"/>
          <w:sz w:val="24"/>
          <w:szCs w:val="24"/>
        </w:rPr>
        <w:t xml:space="preserve"> ）存档。逾期未验收或未按时交回验收单，将按照相关法律法规做出相应处罚。</w:t>
      </w:r>
    </w:p>
    <w:p>
      <w:pPr>
        <w:jc w:val="both"/>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ascii="宋体" w:hAnsi="宋体"/>
          <w:b/>
          <w:bCs/>
          <w:color w:val="000000"/>
          <w:kern w:val="44"/>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宋体" w:hAnsi="宋体"/>
          <w:sz w:val="24"/>
          <w:szCs w:val="24"/>
          <w:u w:val="single"/>
          <w:lang w:eastAsia="zh-CN"/>
        </w:rPr>
        <w:t>鄂托克前旗农牧业综合开发中心</w:t>
      </w:r>
    </w:p>
    <w:p>
      <w:pPr>
        <w:rPr>
          <w:rFonts w:hint="default"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rPr>
        <w:t>地址（详细地址）：</w:t>
      </w:r>
      <w:r>
        <w:rPr>
          <w:rFonts w:hint="eastAsia" w:asciiTheme="minorEastAsia" w:hAnsiTheme="minorEastAsia" w:eastAsiaTheme="minorEastAsia"/>
          <w:b w:val="0"/>
          <w:bCs/>
          <w:sz w:val="24"/>
          <w:szCs w:val="24"/>
          <w:u w:val="single"/>
          <w:lang w:val="en-US" w:eastAsia="zh-CN"/>
        </w:rPr>
        <w:t>鄂托克前旗敖勒召其镇</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val="0"/>
          <w:bCs/>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十二五以来高标准农田建设评估及上图入库工作项目</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鄂财购</w:t>
      </w:r>
      <w:r>
        <w:rPr>
          <w:rFonts w:hint="eastAsia" w:asciiTheme="minorEastAsia" w:hAnsiTheme="minorEastAsia" w:eastAsiaTheme="minorEastAsia"/>
          <w:sz w:val="24"/>
          <w:szCs w:val="24"/>
          <w:u w:val="single"/>
          <w:lang w:val="en-US" w:eastAsia="zh-CN"/>
        </w:rPr>
        <w:t>准</w:t>
      </w:r>
      <w:r>
        <w:rPr>
          <w:rFonts w:hint="eastAsia" w:asciiTheme="minorEastAsia" w:hAnsiTheme="minorEastAsia" w:eastAsiaTheme="minorEastAsia"/>
          <w:sz w:val="24"/>
          <w:szCs w:val="24"/>
          <w:u w:val="single"/>
        </w:rPr>
        <w:t>字（电子）[2020]QQ</w:t>
      </w:r>
      <w:r>
        <w:rPr>
          <w:rFonts w:hint="eastAsia" w:asciiTheme="minorEastAsia" w:hAnsiTheme="minorEastAsia" w:eastAsiaTheme="minorEastAsia"/>
          <w:sz w:val="24"/>
          <w:szCs w:val="24"/>
          <w:u w:val="single"/>
          <w:lang w:val="en-US" w:eastAsia="zh-CN"/>
        </w:rPr>
        <w:t>00002</w:t>
      </w:r>
      <w:r>
        <w:rPr>
          <w:rFonts w:hint="eastAsia" w:asciiTheme="minorEastAsia" w:hAnsiTheme="minorEastAsia" w:eastAsiaTheme="minorEastAsia"/>
          <w:sz w:val="24"/>
          <w:szCs w:val="24"/>
          <w:u w:val="single"/>
        </w:rPr>
        <w:t>号</w:t>
      </w:r>
      <w:r>
        <w:rPr>
          <w:rFonts w:hint="eastAsia" w:asciiTheme="minorEastAsia" w:hAnsiTheme="minorEastAsia" w:eastAsiaTheme="minorEastAsia"/>
          <w:sz w:val="24"/>
          <w:szCs w:val="24"/>
          <w:u w:val="none"/>
        </w:rPr>
        <w:t>）</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3、磋商文件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二、本合同所提供的服务以磋商文件、响应文件要求的相关服务要求为主。后附主要服务内容清单。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***（见磋商文件第四章）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1、由甲乙双方及第三方（如有）按照磋商文件、响应文件及合同要求，一同对服务内容验收并签字确认。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乙方应按磋商文件、响应文件中做出的书面说明或承诺提供服务。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合同文本一式五份，采购单位、供应商、政府采购监管部门、市采购代理机构、国库支付执行机构各一份，自双方签订之日起生效。</w:t>
      </w:r>
    </w:p>
    <w:p>
      <w:pPr>
        <w:numPr>
          <w:ilvl w:val="0"/>
          <w:numId w:val="0"/>
        </w:numPr>
        <w:spacing w:line="15" w:lineRule="atLeast"/>
        <w:ind w:firstLine="720" w:firstLineChars="300"/>
        <w:jc w:val="left"/>
      </w:pPr>
      <w:r>
        <w:rPr>
          <w:rFonts w:hint="eastAsia" w:asciiTheme="minorEastAsia" w:hAnsiTheme="minorEastAsia" w:eastAsiaTheme="minorEastAsia"/>
          <w:sz w:val="24"/>
          <w:szCs w:val="24"/>
          <w:lang w:val="en-US" w:eastAsia="zh-CN"/>
        </w:rPr>
        <w:t>十三、</w:t>
      </w:r>
      <w:r>
        <w:rPr>
          <w:rFonts w:asciiTheme="minorEastAsia" w:hAnsiTheme="minorEastAsia" w:eastAsiaTheme="minorEastAsia"/>
          <w:sz w:val="24"/>
          <w:szCs w:val="24"/>
        </w:rPr>
        <w:t>合同未尽事宜，双方另行签订补充协议，补充协议是合同的组成部分。</w:t>
      </w:r>
    </w:p>
    <w:p>
      <w:pPr>
        <w:pStyle w:val="23"/>
      </w:pP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center"/>
        <w:outlineLvl w:val="0"/>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outlineLvl w:val="0"/>
        <w:rPr>
          <w:rFonts w:ascii="宋体" w:hAnsi="宋体"/>
          <w:b/>
          <w:bCs/>
          <w:color w:val="000000" w:themeColor="text1"/>
          <w:kern w:val="44"/>
          <w:sz w:val="24"/>
          <w:szCs w:val="24"/>
          <w:lang w:val="zh-CN"/>
          <w14:textFill>
            <w14:solidFill>
              <w14:schemeClr w14:val="tx1"/>
            </w14:solidFill>
          </w14:textFill>
        </w:rPr>
      </w:pPr>
      <w:bookmarkStart w:id="5" w:name="_Toc497408603"/>
      <w:r>
        <w:rPr>
          <w:rFonts w:hint="eastAsia" w:ascii="宋体" w:hAnsi="宋体"/>
          <w:b/>
          <w:bCs/>
          <w:color w:val="000000" w:themeColor="text1"/>
          <w:kern w:val="44"/>
          <w:sz w:val="24"/>
          <w:szCs w:val="24"/>
          <w:lang w:val="zh-CN"/>
          <w14:textFill>
            <w14:solidFill>
              <w14:schemeClr w14:val="tx1"/>
            </w14:solidFill>
          </w14:textFill>
        </w:rPr>
        <w:t>第四章 磋商内容与技术</w:t>
      </w:r>
      <w:r>
        <w:rPr>
          <w:rFonts w:hint="eastAsia" w:ascii="宋体" w:hAnsi="宋体"/>
          <w:b/>
          <w:bCs/>
          <w:color w:val="000000" w:themeColor="text1"/>
          <w:kern w:val="44"/>
          <w:sz w:val="24"/>
          <w:szCs w:val="24"/>
          <w:lang w:val="en-US" w:eastAsia="zh-CN"/>
          <w14:textFill>
            <w14:solidFill>
              <w14:schemeClr w14:val="tx1"/>
            </w14:solidFill>
          </w14:textFill>
        </w:rPr>
        <w:t xml:space="preserve">  </w:t>
      </w:r>
      <w:r>
        <w:rPr>
          <w:rFonts w:hint="eastAsia" w:ascii="宋体" w:hAnsi="宋体"/>
          <w:b/>
          <w:bCs/>
          <w:color w:val="000000" w:themeColor="text1"/>
          <w:kern w:val="44"/>
          <w:sz w:val="24"/>
          <w:szCs w:val="24"/>
          <w:lang w:val="zh-CN"/>
          <w14:textFill>
            <w14:solidFill>
              <w14:schemeClr w14:val="tx1"/>
            </w14:solidFill>
          </w14:textFill>
        </w:rPr>
        <w:t>要求</w:t>
      </w:r>
      <w:bookmarkEnd w:id="5"/>
    </w:p>
    <w:p>
      <w:pPr>
        <w:jc w:val="left"/>
        <w:rPr>
          <w:rFonts w:hAnsi="宋体"/>
          <w:color w:val="000000" w:themeColor="text1"/>
          <w:sz w:val="24"/>
          <w:szCs w:val="24"/>
          <w14:textFill>
            <w14:solidFill>
              <w14:schemeClr w14:val="tx1"/>
            </w14:solidFill>
          </w14:textFill>
        </w:rPr>
      </w:pPr>
      <w:r>
        <w:rPr>
          <w:rFonts w:hint="eastAsia" w:ascii="宋体" w:hAnsi="宋体"/>
          <w:b/>
          <w:bCs/>
          <w:color w:val="000000" w:themeColor="text1"/>
          <w:kern w:val="44"/>
          <w:sz w:val="24"/>
          <w:szCs w:val="24"/>
          <w:lang w:val="zh-CN"/>
          <w14:textFill>
            <w14:solidFill>
              <w14:schemeClr w14:val="tx1"/>
            </w14:solidFill>
          </w14:textFill>
        </w:rPr>
        <w:t>一.主要商务要求</w:t>
      </w:r>
    </w:p>
    <w:tbl>
      <w:tblPr>
        <w:tblStyle w:val="27"/>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9"/>
              <w:ind w:firstLine="0" w:firstLineChars="0"/>
              <w:jc w:val="center"/>
              <w:rPr>
                <w:rFonts w:ascii="宋体" w:hAnsi="宋体"/>
                <w:color w:val="000000" w:themeColor="text1"/>
                <w:sz w:val="24"/>
                <w:szCs w:val="24"/>
                <w14:textFill>
                  <w14:solidFill>
                    <w14:schemeClr w14:val="tx1"/>
                  </w14:solidFill>
                </w14:textFill>
              </w:rPr>
            </w:pPr>
            <w:bookmarkStart w:id="6" w:name="_Toc491862079"/>
            <w:r>
              <w:rPr>
                <w:rFonts w:hint="eastAsia" w:ascii="宋体" w:hAnsi="宋体"/>
                <w:color w:val="000000" w:themeColor="text1"/>
                <w:sz w:val="24"/>
                <w:szCs w:val="24"/>
                <w14:textFill>
                  <w14:solidFill>
                    <w14:schemeClr w14:val="tx1"/>
                  </w14:solidFill>
                </w14:textFill>
              </w:rPr>
              <w:t xml:space="preserve">   主要商务条款</w:t>
            </w:r>
            <w:bookmarkEnd w:id="6"/>
          </w:p>
        </w:tc>
        <w:tc>
          <w:tcPr>
            <w:tcW w:w="6873" w:type="dxa"/>
            <w:vAlign w:val="center"/>
          </w:tcPr>
          <w:p>
            <w:pPr>
              <w:pStyle w:val="49"/>
              <w:ind w:firstLine="0" w:firstLineChars="0"/>
              <w:jc w:val="center"/>
              <w:rPr>
                <w:rFonts w:ascii="宋体" w:hAnsi="宋体"/>
                <w:color w:val="000000" w:themeColor="text1"/>
                <w:sz w:val="24"/>
                <w:szCs w:val="24"/>
                <w14:textFill>
                  <w14:solidFill>
                    <w14:schemeClr w14:val="tx1"/>
                  </w14:solidFill>
                </w14:textFill>
              </w:rPr>
            </w:pPr>
            <w:bookmarkStart w:id="7" w:name="_Toc491862080"/>
            <w:r>
              <w:rPr>
                <w:rFonts w:hint="eastAsia" w:ascii="宋体" w:hAnsi="宋体"/>
                <w:color w:val="000000" w:themeColor="text1"/>
                <w:sz w:val="24"/>
                <w:szCs w:val="24"/>
                <w14:textFill>
                  <w14:solidFill>
                    <w14:schemeClr w14:val="tx1"/>
                  </w14:solidFill>
                </w14:textFill>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9"/>
              <w:ind w:firstLine="0" w:firstLineChars="0"/>
              <w:jc w:val="center"/>
              <w:rPr>
                <w:rFonts w:ascii="宋体" w:hAnsi="宋体"/>
                <w:color w:val="000000" w:themeColor="text1"/>
                <w:sz w:val="24"/>
                <w:szCs w:val="24"/>
                <w14:textFill>
                  <w14:solidFill>
                    <w14:schemeClr w14:val="tx1"/>
                  </w14:solidFill>
                </w14:textFill>
              </w:rPr>
            </w:pPr>
            <w:bookmarkStart w:id="8" w:name="_Toc491862082"/>
            <w:r>
              <w:rPr>
                <w:rFonts w:hint="eastAsia" w:ascii="宋体" w:hAnsi="宋体"/>
                <w:color w:val="000000" w:themeColor="text1"/>
                <w:sz w:val="24"/>
                <w:szCs w:val="24"/>
                <w14:textFill>
                  <w14:solidFill>
                    <w14:schemeClr w14:val="tx1"/>
                  </w14:solidFill>
                </w14:textFill>
              </w:rPr>
              <w:t xml:space="preserve">  采购预算</w:t>
            </w:r>
            <w:bookmarkEnd w:id="8"/>
          </w:p>
        </w:tc>
        <w:tc>
          <w:tcPr>
            <w:tcW w:w="6873" w:type="dxa"/>
            <w:vAlign w:val="center"/>
          </w:tcPr>
          <w:p>
            <w:pPr>
              <w:rPr>
                <w:rFonts w:hint="eastAsia" w:ascii="宋体" w:hAnsi="宋体"/>
                <w:color w:val="auto"/>
                <w:sz w:val="24"/>
                <w:szCs w:val="24"/>
                <w:lang w:val="en-US" w:eastAsia="zh-CN"/>
              </w:rPr>
            </w:pPr>
            <w:bookmarkStart w:id="9" w:name="_Toc491862083"/>
            <w:r>
              <w:rPr>
                <w:rFonts w:hint="eastAsia" w:ascii="宋体" w:hAnsi="宋体"/>
                <w:color w:val="auto"/>
                <w:sz w:val="24"/>
                <w:szCs w:val="24"/>
                <w:lang w:val="en-US" w:eastAsia="zh-CN"/>
              </w:rPr>
              <w:t>总预算为</w:t>
            </w:r>
            <w:r>
              <w:rPr>
                <w:rFonts w:hint="eastAsia" w:ascii="宋体" w:hAnsi="宋体"/>
                <w:color w:val="auto"/>
                <w:sz w:val="24"/>
                <w:szCs w:val="24"/>
                <w:lang w:eastAsia="zh-CN"/>
              </w:rPr>
              <w:t>601060</w:t>
            </w:r>
            <w:r>
              <w:rPr>
                <w:rFonts w:ascii="宋体" w:hAnsi="宋体"/>
                <w:color w:val="auto"/>
                <w:sz w:val="24"/>
                <w:szCs w:val="24"/>
              </w:rPr>
              <w:t>.00</w:t>
            </w:r>
            <w:r>
              <w:rPr>
                <w:rFonts w:hint="eastAsia" w:ascii="宋体" w:hAnsi="宋体"/>
                <w:color w:val="auto"/>
                <w:sz w:val="24"/>
                <w:szCs w:val="24"/>
              </w:rPr>
              <w:t>元</w:t>
            </w:r>
            <w:bookmarkEnd w:id="9"/>
            <w:r>
              <w:rPr>
                <w:rFonts w:hint="eastAsia" w:ascii="宋体" w:hAnsi="宋体"/>
                <w:color w:val="auto"/>
                <w:sz w:val="24"/>
                <w:szCs w:val="24"/>
                <w:lang w:eastAsia="zh-CN"/>
              </w:rPr>
              <w:t>，</w:t>
            </w:r>
            <w:r>
              <w:rPr>
                <w:rFonts w:hint="eastAsia" w:ascii="宋体" w:hAnsi="宋体"/>
                <w:color w:val="auto"/>
                <w:sz w:val="24"/>
                <w:szCs w:val="24"/>
                <w:lang w:val="en-US" w:eastAsia="zh-CN"/>
              </w:rPr>
              <w:t>其中：</w:t>
            </w:r>
          </w:p>
          <w:p>
            <w:pPr>
              <w:numPr>
                <w:ilvl w:val="0"/>
                <w:numId w:val="2"/>
              </w:numPr>
              <w:rPr>
                <w:rFonts w:hint="eastAsia" w:ascii="宋体" w:hAnsi="宋体"/>
                <w:color w:val="auto"/>
                <w:sz w:val="24"/>
                <w:szCs w:val="24"/>
                <w:lang w:val="en-US" w:eastAsia="zh-CN"/>
              </w:rPr>
            </w:pPr>
            <w:r>
              <w:rPr>
                <w:rFonts w:hint="eastAsia" w:ascii="宋体" w:hAnsi="宋体"/>
                <w:color w:val="auto"/>
                <w:sz w:val="24"/>
                <w:szCs w:val="24"/>
                <w:lang w:eastAsia="zh-CN"/>
              </w:rPr>
              <w:t>“十二五”以来各类农田建设项目实地勘察评价及上图入库：</w:t>
            </w:r>
            <w:r>
              <w:rPr>
                <w:rFonts w:hint="eastAsia" w:ascii="宋体" w:hAnsi="宋体"/>
                <w:color w:val="auto"/>
                <w:sz w:val="24"/>
                <w:szCs w:val="24"/>
                <w:lang w:val="en-US" w:eastAsia="zh-CN"/>
              </w:rPr>
              <w:t>495460.00元</w:t>
            </w:r>
          </w:p>
          <w:p>
            <w:pPr>
              <w:numPr>
                <w:ilvl w:val="0"/>
                <w:numId w:val="0"/>
              </w:num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三年（</w:t>
            </w:r>
            <w:r>
              <w:rPr>
                <w:rFonts w:hint="eastAsia" w:ascii="宋体" w:hAnsi="宋体"/>
                <w:color w:val="auto"/>
                <w:sz w:val="24"/>
                <w:szCs w:val="24"/>
                <w:lang w:val="en-US" w:eastAsia="zh-CN"/>
              </w:rPr>
              <w:t>2020-2022</w:t>
            </w:r>
            <w:r>
              <w:rPr>
                <w:rFonts w:hint="eastAsia" w:ascii="宋体" w:hAnsi="宋体"/>
                <w:color w:val="auto"/>
                <w:sz w:val="24"/>
                <w:szCs w:val="24"/>
                <w:lang w:eastAsia="zh-CN"/>
              </w:rPr>
              <w:t>）规划工作：</w:t>
            </w:r>
            <w:r>
              <w:rPr>
                <w:rFonts w:hint="eastAsia" w:ascii="宋体" w:hAnsi="宋体"/>
                <w:color w:val="auto"/>
                <w:sz w:val="24"/>
                <w:szCs w:val="24"/>
                <w:lang w:val="en-US" w:eastAsia="zh-CN"/>
              </w:rPr>
              <w:t>105600.00元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spacing w:line="360" w:lineRule="auto"/>
              <w:ind w:right="-140" w:rightChars="-50"/>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服务期</w:t>
            </w:r>
          </w:p>
        </w:tc>
        <w:tc>
          <w:tcPr>
            <w:tcW w:w="6873" w:type="dxa"/>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年</w:t>
            </w:r>
            <w:r>
              <w:rPr>
                <w:rFonts w:hint="eastAsia" w:ascii="宋体" w:hAnsi="宋体"/>
                <w:color w:val="auto"/>
                <w:sz w:val="24"/>
                <w:szCs w:val="24"/>
                <w:lang w:val="en-US" w:eastAsia="zh-CN"/>
              </w:rPr>
              <w:t>4</w:t>
            </w:r>
            <w:r>
              <w:rPr>
                <w:rFonts w:hint="eastAsia" w:ascii="宋体" w:hAnsi="宋体"/>
                <w:color w:val="auto"/>
                <w:sz w:val="24"/>
                <w:szCs w:val="24"/>
                <w:lang w:eastAsia="zh-CN"/>
              </w:rPr>
              <w:t>月1</w:t>
            </w:r>
            <w:r>
              <w:rPr>
                <w:rFonts w:hint="eastAsia" w:ascii="宋体" w:hAnsi="宋体"/>
                <w:color w:val="auto"/>
                <w:sz w:val="24"/>
                <w:szCs w:val="24"/>
                <w:lang w:val="en-US" w:eastAsia="zh-CN"/>
              </w:rPr>
              <w:t>5</w:t>
            </w:r>
            <w:r>
              <w:rPr>
                <w:rFonts w:hint="eastAsia" w:ascii="宋体" w:hAnsi="宋体"/>
                <w:color w:val="auto"/>
                <w:sz w:val="24"/>
                <w:szCs w:val="24"/>
                <w:lang w:eastAsia="zh-CN"/>
              </w:rPr>
              <w:t>日至202</w:t>
            </w:r>
            <w:r>
              <w:rPr>
                <w:rFonts w:hint="eastAsia" w:ascii="宋体" w:hAnsi="宋体"/>
                <w:color w:val="auto"/>
                <w:sz w:val="24"/>
                <w:szCs w:val="24"/>
                <w:lang w:val="en-US" w:eastAsia="zh-CN"/>
              </w:rPr>
              <w:t>0</w:t>
            </w:r>
            <w:r>
              <w:rPr>
                <w:rFonts w:hint="eastAsia" w:ascii="宋体" w:hAnsi="宋体"/>
                <w:color w:val="auto"/>
                <w:sz w:val="24"/>
                <w:szCs w:val="24"/>
                <w:lang w:eastAsia="zh-CN"/>
              </w:rPr>
              <w:t>年</w:t>
            </w:r>
            <w:r>
              <w:rPr>
                <w:rFonts w:hint="eastAsia" w:ascii="宋体" w:hAnsi="宋体"/>
                <w:color w:val="auto"/>
                <w:sz w:val="24"/>
                <w:szCs w:val="24"/>
                <w:lang w:val="en-US" w:eastAsia="zh-CN"/>
              </w:rPr>
              <w:t>6</w:t>
            </w:r>
            <w:r>
              <w:rPr>
                <w:rFonts w:hint="eastAsia" w:ascii="宋体" w:hAnsi="宋体"/>
                <w:color w:val="auto"/>
                <w:sz w:val="24"/>
                <w:szCs w:val="24"/>
                <w:lang w:eastAsia="zh-CN"/>
              </w:rPr>
              <w:t>月</w:t>
            </w:r>
            <w:r>
              <w:rPr>
                <w:rFonts w:hint="eastAsia" w:ascii="宋体" w:hAnsi="宋体"/>
                <w:color w:val="auto"/>
                <w:sz w:val="24"/>
                <w:szCs w:val="24"/>
                <w:lang w:val="en-US" w:eastAsia="zh-CN"/>
              </w:rPr>
              <w:t>15</w:t>
            </w:r>
            <w:r>
              <w:rPr>
                <w:rFonts w:hint="eastAsia" w:ascii="宋体" w:hAnsi="宋体"/>
                <w:color w:val="auto"/>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spacing w:line="360" w:lineRule="auto"/>
              <w:ind w:right="-140" w:rightChars="-50"/>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服务内容</w:t>
            </w:r>
          </w:p>
        </w:tc>
        <w:tc>
          <w:tcPr>
            <w:tcW w:w="6873" w:type="dxa"/>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“十二五”以来各类农田建设项目实地勘察评价及上图入库和三年（</w:t>
            </w:r>
            <w:r>
              <w:rPr>
                <w:rFonts w:hint="eastAsia" w:ascii="宋体" w:hAnsi="宋体"/>
                <w:color w:val="auto"/>
                <w:sz w:val="24"/>
                <w:szCs w:val="24"/>
                <w:lang w:val="en-US" w:eastAsia="zh-CN"/>
              </w:rPr>
              <w:t>2020-2022</w:t>
            </w:r>
            <w:r>
              <w:rPr>
                <w:rFonts w:hint="eastAsia" w:ascii="宋体" w:hAnsi="宋体"/>
                <w:color w:val="auto"/>
                <w:sz w:val="24"/>
                <w:szCs w:val="24"/>
                <w:lang w:eastAsia="zh-CN"/>
              </w:rPr>
              <w:t>）规划工作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9"/>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服务</w:t>
            </w:r>
            <w:r>
              <w:rPr>
                <w:rFonts w:hint="eastAsia" w:ascii="宋体" w:hAnsi="宋体"/>
                <w:color w:val="000000" w:themeColor="text1"/>
                <w:sz w:val="24"/>
                <w:szCs w:val="24"/>
                <w14:textFill>
                  <w14:solidFill>
                    <w14:schemeClr w14:val="tx1"/>
                  </w14:solidFill>
                </w14:textFill>
              </w:rPr>
              <w:t>地点</w:t>
            </w:r>
          </w:p>
        </w:tc>
        <w:tc>
          <w:tcPr>
            <w:tcW w:w="6873" w:type="dxa"/>
            <w:vAlign w:val="center"/>
          </w:tcPr>
          <w:p>
            <w:pPr>
              <w:pStyle w:val="49"/>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9"/>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投标有效期</w:t>
            </w:r>
          </w:p>
        </w:tc>
        <w:tc>
          <w:tcPr>
            <w:tcW w:w="6873" w:type="dxa"/>
            <w:vAlign w:val="center"/>
          </w:tcPr>
          <w:p>
            <w:pPr>
              <w:pStyle w:val="49"/>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从提交响应文件的截止之日起</w:t>
            </w:r>
            <w:r>
              <w:rPr>
                <w:rFonts w:hint="eastAsia" w:ascii="宋体" w:hAnsi="宋体"/>
                <w:color w:val="000000" w:themeColor="text1"/>
                <w:sz w:val="24"/>
                <w:szCs w:val="24"/>
                <w:u w:val="single"/>
                <w14:textFill>
                  <w14:solidFill>
                    <w14:schemeClr w14:val="tx1"/>
                  </w14:solidFill>
                </w14:textFill>
              </w:rPr>
              <w:t>90</w:t>
            </w:r>
            <w:r>
              <w:rPr>
                <w:rFonts w:hint="eastAsia" w:ascii="宋体" w:hAnsi="宋体"/>
                <w:color w:val="000000" w:themeColor="text1"/>
                <w:sz w:val="24"/>
                <w:szCs w:val="24"/>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9"/>
              <w:ind w:firstLine="0" w:firstLineChars="0"/>
              <w:jc w:val="center"/>
              <w:rPr>
                <w:rFonts w:ascii="宋体" w:hAnsi="宋体"/>
                <w:color w:val="000000" w:themeColor="text1"/>
                <w:sz w:val="24"/>
                <w:szCs w:val="24"/>
                <w14:textFill>
                  <w14:solidFill>
                    <w14:schemeClr w14:val="tx1"/>
                  </w14:solidFill>
                </w14:textFill>
              </w:rPr>
            </w:pPr>
            <w:bookmarkStart w:id="10" w:name="_Toc491862095"/>
            <w:r>
              <w:rPr>
                <w:rFonts w:hint="eastAsia" w:ascii="宋体" w:hAnsi="宋体"/>
                <w:color w:val="000000" w:themeColor="text1"/>
                <w:sz w:val="24"/>
                <w:szCs w:val="24"/>
                <w14:textFill>
                  <w14:solidFill>
                    <w14:schemeClr w14:val="tx1"/>
                  </w14:solidFill>
                </w14:textFill>
              </w:rPr>
              <w:t>付款方式</w:t>
            </w:r>
            <w:bookmarkEnd w:id="10"/>
          </w:p>
        </w:tc>
        <w:tc>
          <w:tcPr>
            <w:tcW w:w="6873" w:type="dxa"/>
            <w:vAlign w:val="center"/>
          </w:tcPr>
          <w:p>
            <w:pPr>
              <w:pStyle w:val="49"/>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国库集中支付（合同中另行约定）</w:t>
            </w:r>
          </w:p>
        </w:tc>
      </w:tr>
    </w:tbl>
    <w:p>
      <w:pPr>
        <w:numPr>
          <w:ilvl w:val="0"/>
          <w:numId w:val="3"/>
        </w:numPr>
        <w:spacing w:line="360" w:lineRule="auto"/>
        <w:jc w:val="left"/>
        <w:rPr>
          <w:rFonts w:ascii="宋体" w:hAnsi="宋体"/>
          <w:b/>
          <w:bCs/>
          <w:color w:val="000000"/>
          <w:kern w:val="44"/>
          <w:sz w:val="24"/>
          <w:szCs w:val="24"/>
        </w:rPr>
      </w:pPr>
      <w:r>
        <w:rPr>
          <w:rFonts w:hint="eastAsia" w:hAnsi="宋体"/>
          <w:b/>
          <w:sz w:val="24"/>
          <w:szCs w:val="24"/>
        </w:rPr>
        <w:t>技术标准与要求：</w:t>
      </w:r>
      <w:bookmarkStart w:id="11" w:name="_Toc497408604"/>
      <w:bookmarkStart w:id="12" w:name="_Toc494546014"/>
    </w:p>
    <w:p>
      <w:pPr>
        <w:pStyle w:val="23"/>
        <w:spacing w:line="360" w:lineRule="auto"/>
        <w:jc w:val="center"/>
        <w:rPr>
          <w:rFonts w:hint="eastAsia"/>
          <w:sz w:val="24"/>
          <w:szCs w:val="18"/>
        </w:rPr>
      </w:pPr>
      <w:bookmarkStart w:id="13" w:name="_Toc2916_WPSOffice_Level2"/>
      <w:bookmarkStart w:id="14" w:name="_Toc513015433"/>
      <w:bookmarkStart w:id="15" w:name="_Toc19989"/>
      <w:bookmarkStart w:id="16" w:name="_Toc4802_WPSOffice_Level2"/>
      <w:bookmarkStart w:id="17" w:name="_Toc10219"/>
      <w:r>
        <w:rPr>
          <w:rFonts w:hint="eastAsia"/>
          <w:sz w:val="24"/>
          <w:szCs w:val="18"/>
          <w:lang w:eastAsia="zh-CN"/>
        </w:rPr>
        <w:t>一、</w:t>
      </w:r>
      <w:r>
        <w:rPr>
          <w:rFonts w:hint="eastAsia"/>
          <w:sz w:val="24"/>
          <w:szCs w:val="18"/>
        </w:rPr>
        <w:t>项目基本情况</w:t>
      </w:r>
      <w:bookmarkEnd w:id="13"/>
      <w:bookmarkEnd w:id="14"/>
      <w:bookmarkEnd w:id="15"/>
      <w:bookmarkEnd w:id="16"/>
    </w:p>
    <w:p>
      <w:pPr>
        <w:pStyle w:val="23"/>
        <w:spacing w:line="360" w:lineRule="auto"/>
        <w:rPr>
          <w:rFonts w:hint="eastAsia"/>
          <w:sz w:val="24"/>
          <w:szCs w:val="18"/>
        </w:rPr>
      </w:pPr>
      <w:r>
        <w:rPr>
          <w:rFonts w:hint="eastAsia"/>
          <w:sz w:val="24"/>
          <w:szCs w:val="18"/>
        </w:rPr>
        <w:t>1</w:t>
      </w:r>
      <w:r>
        <w:rPr>
          <w:rFonts w:hint="eastAsia"/>
          <w:sz w:val="24"/>
          <w:szCs w:val="18"/>
          <w:lang w:eastAsia="zh-CN"/>
        </w:rPr>
        <w:t>.</w:t>
      </w:r>
      <w:r>
        <w:rPr>
          <w:rFonts w:hint="eastAsia"/>
          <w:sz w:val="24"/>
          <w:szCs w:val="18"/>
        </w:rPr>
        <w:t>项目名称</w:t>
      </w:r>
    </w:p>
    <w:p>
      <w:pPr>
        <w:pStyle w:val="23"/>
        <w:spacing w:line="360" w:lineRule="auto"/>
        <w:ind w:firstLine="480" w:firstLineChars="200"/>
        <w:rPr>
          <w:rFonts w:hint="eastAsia"/>
          <w:sz w:val="24"/>
          <w:szCs w:val="18"/>
        </w:rPr>
      </w:pPr>
      <w:r>
        <w:rPr>
          <w:rFonts w:hint="eastAsia"/>
          <w:sz w:val="24"/>
          <w:szCs w:val="18"/>
        </w:rPr>
        <w:t>鄂托克</w:t>
      </w:r>
      <w:r>
        <w:rPr>
          <w:rFonts w:hint="eastAsia"/>
          <w:sz w:val="24"/>
          <w:szCs w:val="18"/>
          <w:lang w:val="zh-CN" w:eastAsia="zh-CN"/>
        </w:rPr>
        <w:t>前旗“十二五"</w:t>
      </w:r>
      <w:r>
        <w:rPr>
          <w:rFonts w:hint="eastAsia"/>
          <w:sz w:val="24"/>
          <w:szCs w:val="18"/>
        </w:rPr>
        <w:t>以来高标准农田建设评估及上图入库工作</w:t>
      </w:r>
      <w:r>
        <w:rPr>
          <w:rFonts w:hint="eastAsia"/>
          <w:sz w:val="24"/>
          <w:szCs w:val="18"/>
          <w:lang w:eastAsia="zh-CN"/>
        </w:rPr>
        <w:t>（</w:t>
      </w:r>
      <w:r>
        <w:rPr>
          <w:rFonts w:hint="eastAsia"/>
          <w:sz w:val="24"/>
          <w:szCs w:val="18"/>
          <w:lang w:val="en-US" w:eastAsia="zh-CN"/>
        </w:rPr>
        <w:t>2011-2018</w:t>
      </w:r>
      <w:r>
        <w:rPr>
          <w:rFonts w:hint="eastAsia"/>
          <w:sz w:val="24"/>
          <w:szCs w:val="18"/>
          <w:lang w:eastAsia="zh-CN"/>
        </w:rPr>
        <w:t>）</w:t>
      </w:r>
      <w:r>
        <w:rPr>
          <w:rFonts w:hint="eastAsia"/>
          <w:sz w:val="24"/>
          <w:szCs w:val="18"/>
        </w:rPr>
        <w:t>（以下简称“本项目”或“项目”）。</w:t>
      </w:r>
    </w:p>
    <w:p>
      <w:pPr>
        <w:pStyle w:val="23"/>
        <w:spacing w:line="360" w:lineRule="auto"/>
        <w:rPr>
          <w:rFonts w:hint="eastAsia"/>
          <w:sz w:val="24"/>
          <w:szCs w:val="18"/>
        </w:rPr>
      </w:pPr>
      <w:r>
        <w:rPr>
          <w:rFonts w:hint="eastAsia"/>
          <w:sz w:val="24"/>
          <w:szCs w:val="18"/>
        </w:rPr>
        <w:t>2</w:t>
      </w:r>
      <w:r>
        <w:rPr>
          <w:rFonts w:hint="eastAsia"/>
          <w:sz w:val="24"/>
          <w:szCs w:val="18"/>
          <w:lang w:val="en-US" w:eastAsia="zh-CN"/>
        </w:rPr>
        <w:t>.</w:t>
      </w:r>
      <w:r>
        <w:rPr>
          <w:rFonts w:hint="eastAsia"/>
          <w:sz w:val="24"/>
          <w:szCs w:val="18"/>
        </w:rPr>
        <w:t>类型</w:t>
      </w:r>
    </w:p>
    <w:p>
      <w:pPr>
        <w:pStyle w:val="23"/>
        <w:spacing w:line="360" w:lineRule="auto"/>
        <w:rPr>
          <w:rFonts w:hint="eastAsia"/>
          <w:sz w:val="24"/>
          <w:szCs w:val="18"/>
        </w:rPr>
      </w:pPr>
      <w:r>
        <w:rPr>
          <w:rFonts w:hint="eastAsia"/>
          <w:sz w:val="24"/>
          <w:szCs w:val="18"/>
        </w:rPr>
        <w:t xml:space="preserve">  </w:t>
      </w:r>
      <w:r>
        <w:rPr>
          <w:rFonts w:hint="eastAsia"/>
          <w:sz w:val="24"/>
          <w:szCs w:val="18"/>
          <w:lang w:val="en-US" w:eastAsia="zh-CN"/>
        </w:rPr>
        <w:t xml:space="preserve">  </w:t>
      </w:r>
      <w:r>
        <w:rPr>
          <w:rFonts w:hint="eastAsia"/>
          <w:sz w:val="24"/>
          <w:szCs w:val="18"/>
        </w:rPr>
        <w:t>存量。</w:t>
      </w:r>
    </w:p>
    <w:p>
      <w:pPr>
        <w:pStyle w:val="23"/>
        <w:spacing w:line="360" w:lineRule="auto"/>
        <w:rPr>
          <w:rFonts w:hint="eastAsia"/>
          <w:sz w:val="24"/>
          <w:szCs w:val="18"/>
        </w:rPr>
      </w:pPr>
      <w:r>
        <w:rPr>
          <w:rFonts w:hint="eastAsia"/>
          <w:sz w:val="24"/>
          <w:szCs w:val="18"/>
        </w:rPr>
        <w:t>3</w:t>
      </w:r>
      <w:r>
        <w:rPr>
          <w:rFonts w:hint="eastAsia"/>
          <w:sz w:val="24"/>
          <w:szCs w:val="18"/>
          <w:lang w:val="en-US" w:eastAsia="zh-CN"/>
        </w:rPr>
        <w:t>.</w:t>
      </w:r>
      <w:r>
        <w:rPr>
          <w:rFonts w:hint="eastAsia"/>
          <w:sz w:val="24"/>
          <w:szCs w:val="18"/>
        </w:rPr>
        <w:t>行业</w:t>
      </w:r>
    </w:p>
    <w:p>
      <w:pPr>
        <w:pStyle w:val="23"/>
        <w:spacing w:line="360" w:lineRule="auto"/>
        <w:rPr>
          <w:rFonts w:hint="eastAsia"/>
          <w:sz w:val="24"/>
          <w:szCs w:val="18"/>
        </w:rPr>
      </w:pPr>
      <w:r>
        <w:rPr>
          <w:rFonts w:hint="eastAsia"/>
          <w:sz w:val="24"/>
          <w:szCs w:val="18"/>
        </w:rPr>
        <w:t xml:space="preserve">  </w:t>
      </w:r>
      <w:r>
        <w:rPr>
          <w:rFonts w:hint="eastAsia"/>
          <w:sz w:val="24"/>
          <w:szCs w:val="18"/>
          <w:lang w:val="en-US" w:eastAsia="zh-CN"/>
        </w:rPr>
        <w:t xml:space="preserve">  </w:t>
      </w:r>
      <w:r>
        <w:rPr>
          <w:rFonts w:hint="eastAsia"/>
          <w:sz w:val="24"/>
          <w:szCs w:val="18"/>
        </w:rPr>
        <w:t>农林和水利。</w:t>
      </w:r>
    </w:p>
    <w:p>
      <w:pPr>
        <w:pStyle w:val="23"/>
        <w:spacing w:line="360" w:lineRule="auto"/>
        <w:rPr>
          <w:rFonts w:hint="eastAsia"/>
          <w:sz w:val="24"/>
          <w:szCs w:val="18"/>
        </w:rPr>
      </w:pPr>
      <w:r>
        <w:rPr>
          <w:rFonts w:hint="eastAsia"/>
          <w:sz w:val="24"/>
          <w:szCs w:val="18"/>
        </w:rPr>
        <w:t>4</w:t>
      </w:r>
      <w:r>
        <w:rPr>
          <w:rFonts w:hint="eastAsia"/>
          <w:sz w:val="24"/>
          <w:szCs w:val="18"/>
          <w:lang w:val="en-US" w:eastAsia="zh-CN"/>
        </w:rPr>
        <w:t>.</w:t>
      </w:r>
      <w:r>
        <w:rPr>
          <w:rFonts w:hint="eastAsia"/>
          <w:sz w:val="24"/>
          <w:szCs w:val="18"/>
        </w:rPr>
        <w:t>地点</w:t>
      </w:r>
    </w:p>
    <w:p>
      <w:pPr>
        <w:pStyle w:val="23"/>
        <w:spacing w:line="360" w:lineRule="auto"/>
        <w:rPr>
          <w:rFonts w:hint="eastAsia"/>
          <w:sz w:val="24"/>
          <w:szCs w:val="18"/>
        </w:rPr>
      </w:pPr>
      <w:r>
        <w:rPr>
          <w:rFonts w:hint="eastAsia"/>
          <w:sz w:val="24"/>
          <w:szCs w:val="18"/>
        </w:rPr>
        <w:t xml:space="preserve">  </w:t>
      </w:r>
      <w:r>
        <w:rPr>
          <w:rFonts w:hint="eastAsia"/>
          <w:sz w:val="24"/>
          <w:szCs w:val="18"/>
          <w:lang w:val="en-US" w:eastAsia="zh-CN"/>
        </w:rPr>
        <w:t xml:space="preserve">  </w:t>
      </w:r>
      <w:r>
        <w:rPr>
          <w:rFonts w:hint="eastAsia"/>
          <w:sz w:val="24"/>
          <w:szCs w:val="18"/>
        </w:rPr>
        <w:t>鄂托克前旗</w:t>
      </w:r>
      <w:r>
        <w:rPr>
          <w:rFonts w:hint="eastAsia"/>
          <w:sz w:val="24"/>
          <w:szCs w:val="18"/>
          <w:lang w:eastAsia="zh-CN"/>
        </w:rPr>
        <w:t>全境</w:t>
      </w:r>
      <w:r>
        <w:rPr>
          <w:rFonts w:hint="eastAsia"/>
          <w:sz w:val="24"/>
          <w:szCs w:val="18"/>
        </w:rPr>
        <w:t>。</w:t>
      </w:r>
    </w:p>
    <w:p>
      <w:pPr>
        <w:pStyle w:val="23"/>
        <w:spacing w:line="360" w:lineRule="auto"/>
        <w:rPr>
          <w:rFonts w:hint="eastAsia"/>
          <w:sz w:val="24"/>
          <w:szCs w:val="18"/>
        </w:rPr>
      </w:pPr>
      <w:r>
        <w:rPr>
          <w:rFonts w:hint="eastAsia"/>
          <w:sz w:val="24"/>
          <w:szCs w:val="18"/>
        </w:rPr>
        <w:t>5</w:t>
      </w:r>
      <w:r>
        <w:rPr>
          <w:rFonts w:hint="eastAsia"/>
          <w:sz w:val="24"/>
          <w:szCs w:val="18"/>
          <w:lang w:val="en-US" w:eastAsia="zh-CN"/>
        </w:rPr>
        <w:t>.</w:t>
      </w:r>
      <w:r>
        <w:rPr>
          <w:rFonts w:hint="eastAsia"/>
          <w:sz w:val="24"/>
          <w:szCs w:val="18"/>
        </w:rPr>
        <w:t>购买主体</w:t>
      </w:r>
    </w:p>
    <w:p>
      <w:pPr>
        <w:pStyle w:val="23"/>
        <w:spacing w:line="360" w:lineRule="auto"/>
        <w:ind w:firstLine="480" w:firstLineChars="200"/>
        <w:rPr>
          <w:rFonts w:hint="eastAsia"/>
          <w:sz w:val="24"/>
          <w:szCs w:val="18"/>
        </w:rPr>
      </w:pPr>
      <w:r>
        <w:rPr>
          <w:rFonts w:hint="eastAsia"/>
          <w:sz w:val="24"/>
          <w:szCs w:val="18"/>
        </w:rPr>
        <w:t>鄂托克前旗</w:t>
      </w:r>
      <w:r>
        <w:rPr>
          <w:rFonts w:hint="eastAsia"/>
          <w:sz w:val="24"/>
          <w:szCs w:val="18"/>
          <w:lang w:eastAsia="zh-CN"/>
        </w:rPr>
        <w:t>农牧业综合开发中心</w:t>
      </w:r>
      <w:r>
        <w:rPr>
          <w:rFonts w:hint="eastAsia"/>
          <w:sz w:val="24"/>
          <w:szCs w:val="18"/>
        </w:rPr>
        <w:t>。</w:t>
      </w:r>
    </w:p>
    <w:p>
      <w:pPr>
        <w:pStyle w:val="23"/>
        <w:spacing w:line="360" w:lineRule="auto"/>
        <w:rPr>
          <w:rFonts w:hint="eastAsia"/>
          <w:sz w:val="24"/>
          <w:szCs w:val="18"/>
        </w:rPr>
      </w:pPr>
      <w:r>
        <w:rPr>
          <w:rFonts w:hint="eastAsia"/>
          <w:sz w:val="24"/>
          <w:szCs w:val="18"/>
        </w:rPr>
        <w:t>6</w:t>
      </w:r>
      <w:r>
        <w:rPr>
          <w:rFonts w:hint="eastAsia"/>
          <w:sz w:val="24"/>
          <w:szCs w:val="18"/>
          <w:lang w:val="en-US" w:eastAsia="zh-CN"/>
        </w:rPr>
        <w:t>.</w:t>
      </w:r>
      <w:r>
        <w:rPr>
          <w:rFonts w:hint="eastAsia"/>
          <w:sz w:val="24"/>
          <w:szCs w:val="18"/>
        </w:rPr>
        <w:t>联系人</w:t>
      </w:r>
    </w:p>
    <w:p>
      <w:pPr>
        <w:pStyle w:val="23"/>
        <w:spacing w:line="360" w:lineRule="auto"/>
        <w:ind w:firstLine="480" w:firstLineChars="200"/>
        <w:rPr>
          <w:rFonts w:hint="default"/>
          <w:sz w:val="24"/>
          <w:szCs w:val="18"/>
          <w:lang w:val="en-US" w:eastAsia="zh-CN"/>
        </w:rPr>
      </w:pPr>
      <w:r>
        <w:rPr>
          <w:rFonts w:hint="eastAsia"/>
          <w:sz w:val="24"/>
          <w:szCs w:val="18"/>
          <w:lang w:val="en-US" w:eastAsia="zh-CN"/>
        </w:rPr>
        <w:t>袁海强</w:t>
      </w:r>
      <w:r>
        <w:rPr>
          <w:rFonts w:hint="eastAsia"/>
          <w:sz w:val="24"/>
          <w:szCs w:val="18"/>
        </w:rPr>
        <w:t xml:space="preserve">  </w:t>
      </w:r>
      <w:r>
        <w:rPr>
          <w:rFonts w:hint="eastAsia"/>
          <w:sz w:val="24"/>
          <w:szCs w:val="18"/>
          <w:lang w:val="en-US" w:eastAsia="zh-CN"/>
        </w:rPr>
        <w:t>13634776638</w:t>
      </w:r>
    </w:p>
    <w:p>
      <w:pPr>
        <w:pStyle w:val="23"/>
        <w:spacing w:line="360" w:lineRule="auto"/>
        <w:rPr>
          <w:rFonts w:hint="eastAsia"/>
          <w:sz w:val="24"/>
          <w:szCs w:val="18"/>
        </w:rPr>
      </w:pPr>
      <w:r>
        <w:rPr>
          <w:rFonts w:hint="eastAsia"/>
          <w:sz w:val="24"/>
          <w:szCs w:val="18"/>
        </w:rPr>
        <w:t>7</w:t>
      </w:r>
      <w:r>
        <w:rPr>
          <w:rFonts w:hint="eastAsia"/>
          <w:sz w:val="24"/>
          <w:szCs w:val="18"/>
          <w:lang w:val="en-US" w:eastAsia="zh-CN"/>
        </w:rPr>
        <w:t>.</w:t>
      </w:r>
      <w:r>
        <w:rPr>
          <w:rFonts w:hint="eastAsia"/>
          <w:sz w:val="24"/>
          <w:szCs w:val="18"/>
        </w:rPr>
        <w:t>购买内容</w:t>
      </w:r>
    </w:p>
    <w:p>
      <w:pPr>
        <w:pStyle w:val="23"/>
        <w:spacing w:line="360" w:lineRule="auto"/>
        <w:ind w:firstLine="480" w:firstLineChars="200"/>
        <w:rPr>
          <w:rFonts w:hint="eastAsia"/>
          <w:sz w:val="24"/>
          <w:szCs w:val="18"/>
        </w:rPr>
      </w:pPr>
      <w:r>
        <w:rPr>
          <w:rFonts w:hint="eastAsia"/>
          <w:sz w:val="24"/>
          <w:szCs w:val="18"/>
        </w:rPr>
        <w:t>本项目的购买服务内容主要</w:t>
      </w:r>
      <w:r>
        <w:rPr>
          <w:rFonts w:hint="eastAsia"/>
          <w:sz w:val="24"/>
          <w:szCs w:val="18"/>
          <w:lang w:eastAsia="zh-CN"/>
        </w:rPr>
        <w:t>包括“十二五”以来各类农田建设项目实地勘察评价及上图入库和三年（</w:t>
      </w:r>
      <w:r>
        <w:rPr>
          <w:rFonts w:hint="eastAsia"/>
          <w:sz w:val="24"/>
          <w:szCs w:val="18"/>
          <w:lang w:val="en-US" w:eastAsia="zh-CN"/>
        </w:rPr>
        <w:t>2020-2022</w:t>
      </w:r>
      <w:r>
        <w:rPr>
          <w:rFonts w:hint="eastAsia"/>
          <w:sz w:val="24"/>
          <w:szCs w:val="18"/>
          <w:lang w:eastAsia="zh-CN"/>
        </w:rPr>
        <w:t>）规划工作</w:t>
      </w:r>
      <w:r>
        <w:rPr>
          <w:rFonts w:hint="eastAsia"/>
          <w:sz w:val="24"/>
          <w:szCs w:val="18"/>
        </w:rPr>
        <w:t>。</w:t>
      </w:r>
    </w:p>
    <w:p>
      <w:pPr>
        <w:pStyle w:val="23"/>
        <w:spacing w:line="360" w:lineRule="auto"/>
        <w:rPr>
          <w:rFonts w:hint="eastAsia"/>
          <w:sz w:val="24"/>
          <w:szCs w:val="18"/>
        </w:rPr>
      </w:pPr>
      <w:r>
        <w:rPr>
          <w:rFonts w:hint="eastAsia"/>
          <w:sz w:val="24"/>
          <w:szCs w:val="18"/>
        </w:rPr>
        <w:t>8</w:t>
      </w:r>
      <w:r>
        <w:rPr>
          <w:rFonts w:hint="eastAsia"/>
          <w:sz w:val="24"/>
          <w:szCs w:val="18"/>
          <w:lang w:val="en-US" w:eastAsia="zh-CN"/>
        </w:rPr>
        <w:t>.</w:t>
      </w:r>
      <w:r>
        <w:rPr>
          <w:rFonts w:hint="eastAsia"/>
          <w:sz w:val="24"/>
          <w:szCs w:val="18"/>
        </w:rPr>
        <w:t>购买方式</w:t>
      </w:r>
    </w:p>
    <w:p>
      <w:pPr>
        <w:pStyle w:val="23"/>
        <w:spacing w:line="360" w:lineRule="auto"/>
        <w:ind w:firstLine="480" w:firstLineChars="200"/>
        <w:rPr>
          <w:rFonts w:hint="eastAsia"/>
          <w:sz w:val="24"/>
          <w:szCs w:val="18"/>
        </w:rPr>
      </w:pPr>
      <w:r>
        <w:rPr>
          <w:rFonts w:hint="eastAsia"/>
          <w:sz w:val="24"/>
          <w:szCs w:val="18"/>
        </w:rPr>
        <w:t>竞争性磋商。</w:t>
      </w:r>
    </w:p>
    <w:p>
      <w:pPr>
        <w:pStyle w:val="23"/>
        <w:spacing w:line="360" w:lineRule="auto"/>
        <w:rPr>
          <w:rFonts w:hint="eastAsia"/>
          <w:sz w:val="24"/>
          <w:szCs w:val="18"/>
        </w:rPr>
      </w:pPr>
      <w:r>
        <w:rPr>
          <w:rFonts w:hint="eastAsia"/>
          <w:sz w:val="24"/>
          <w:szCs w:val="18"/>
        </w:rPr>
        <w:t>9</w:t>
      </w:r>
      <w:r>
        <w:rPr>
          <w:rFonts w:hint="eastAsia"/>
          <w:sz w:val="24"/>
          <w:szCs w:val="18"/>
          <w:lang w:val="en-US" w:eastAsia="zh-CN"/>
        </w:rPr>
        <w:t>.</w:t>
      </w:r>
      <w:r>
        <w:rPr>
          <w:rFonts w:hint="eastAsia"/>
          <w:sz w:val="24"/>
          <w:szCs w:val="18"/>
        </w:rPr>
        <w:t>承接主体的资格</w:t>
      </w:r>
    </w:p>
    <w:p>
      <w:pPr>
        <w:pStyle w:val="23"/>
        <w:spacing w:line="360" w:lineRule="auto"/>
        <w:ind w:firstLine="480" w:firstLineChars="200"/>
        <w:rPr>
          <w:rFonts w:hint="eastAsia"/>
          <w:sz w:val="24"/>
          <w:szCs w:val="18"/>
        </w:rPr>
      </w:pPr>
      <w:r>
        <w:rPr>
          <w:rFonts w:hint="eastAsia"/>
          <w:sz w:val="24"/>
          <w:szCs w:val="18"/>
        </w:rPr>
        <w:t>承接主体应当符合《农业农村部关于开展“十二五</w:t>
      </w:r>
      <w:r>
        <w:rPr>
          <w:rFonts w:hint="eastAsia"/>
          <w:sz w:val="24"/>
          <w:szCs w:val="18"/>
          <w:lang w:val="zh-CN" w:eastAsia="zh-CN"/>
        </w:rPr>
        <w:t>”以来</w:t>
      </w:r>
      <w:r>
        <w:rPr>
          <w:rFonts w:hint="eastAsia"/>
          <w:sz w:val="24"/>
          <w:szCs w:val="18"/>
        </w:rPr>
        <w:t>髙标准农田建设评估工作的通知》（农建发〔2019</w:t>
      </w:r>
      <w:r>
        <w:rPr>
          <w:rFonts w:hint="eastAsia"/>
          <w:sz w:val="24"/>
          <w:szCs w:val="18"/>
          <w:lang w:val="en-US" w:eastAsia="zh-CN"/>
        </w:rPr>
        <w:t>〕</w:t>
      </w:r>
      <w:r>
        <w:rPr>
          <w:rFonts w:hint="eastAsia"/>
          <w:sz w:val="24"/>
          <w:szCs w:val="18"/>
        </w:rPr>
        <w:t>4号）《关于印发</w:t>
      </w:r>
      <w:r>
        <w:rPr>
          <w:rFonts w:hint="eastAsia"/>
          <w:sz w:val="24"/>
          <w:szCs w:val="18"/>
          <w:lang w:val="zh-CN" w:eastAsia="zh-CN"/>
        </w:rPr>
        <w:t>“十</w:t>
      </w:r>
      <w:r>
        <w:rPr>
          <w:rFonts w:hint="eastAsia"/>
          <w:sz w:val="24"/>
          <w:szCs w:val="18"/>
        </w:rPr>
        <w:t>二五”以来髙标准农田建设上图入库工作指南等补充文件的函》（农建（监管）〔2019</w:t>
      </w:r>
      <w:r>
        <w:rPr>
          <w:rFonts w:hint="eastAsia"/>
          <w:sz w:val="24"/>
          <w:szCs w:val="18"/>
          <w:lang w:val="en-US" w:eastAsia="zh-CN"/>
        </w:rPr>
        <w:t>〕</w:t>
      </w:r>
      <w:r>
        <w:rPr>
          <w:rFonts w:hint="eastAsia"/>
          <w:sz w:val="24"/>
          <w:szCs w:val="18"/>
        </w:rPr>
        <w:t>23号）和《内蒙古自治区农牧厅关于印发内蒙古自治区关于开展</w:t>
      </w:r>
      <w:r>
        <w:rPr>
          <w:rFonts w:hint="eastAsia"/>
          <w:sz w:val="24"/>
          <w:szCs w:val="18"/>
          <w:lang w:val="zh-CN" w:eastAsia="zh-CN"/>
        </w:rPr>
        <w:t>“十二</w:t>
      </w:r>
      <w:r>
        <w:rPr>
          <w:rFonts w:hint="eastAsia"/>
          <w:sz w:val="24"/>
          <w:szCs w:val="18"/>
        </w:rPr>
        <w:t>五”以来髙标准农田建设评估工作方案的通知》（内农牧建发〔2019</w:t>
      </w:r>
      <w:r>
        <w:rPr>
          <w:rFonts w:hint="eastAsia"/>
          <w:sz w:val="24"/>
          <w:szCs w:val="18"/>
          <w:lang w:val="en-US" w:eastAsia="zh-CN"/>
        </w:rPr>
        <w:t>〕</w:t>
      </w:r>
      <w:r>
        <w:rPr>
          <w:rFonts w:hint="eastAsia"/>
          <w:sz w:val="24"/>
          <w:szCs w:val="18"/>
        </w:rPr>
        <w:t>311号）</w:t>
      </w:r>
      <w:r>
        <w:rPr>
          <w:rFonts w:hint="eastAsia"/>
          <w:sz w:val="24"/>
          <w:szCs w:val="18"/>
          <w:lang w:eastAsia="zh-CN"/>
        </w:rPr>
        <w:t>及《</w:t>
      </w:r>
      <w:bookmarkStart w:id="18" w:name="bookmark6"/>
      <w:bookmarkStart w:id="19" w:name="bookmark7"/>
      <w:bookmarkStart w:id="20" w:name="bookmark8"/>
      <w:r>
        <w:rPr>
          <w:rFonts w:hint="eastAsia"/>
          <w:sz w:val="24"/>
          <w:szCs w:val="18"/>
        </w:rPr>
        <w:t>鄂尔多斯市关于开展</w:t>
      </w:r>
      <w:r>
        <w:rPr>
          <w:rFonts w:hint="eastAsia"/>
          <w:sz w:val="24"/>
          <w:szCs w:val="18"/>
          <w:lang w:val="zh-CN" w:eastAsia="zh-CN"/>
        </w:rPr>
        <w:t>“十二五"</w:t>
      </w:r>
      <w:r>
        <w:rPr>
          <w:rFonts w:hint="eastAsia"/>
          <w:sz w:val="24"/>
          <w:szCs w:val="18"/>
        </w:rPr>
        <w:t>以来高标准农田建设评估及上图入库工作方案</w:t>
      </w:r>
      <w:bookmarkEnd w:id="18"/>
      <w:bookmarkEnd w:id="19"/>
      <w:bookmarkEnd w:id="20"/>
      <w:r>
        <w:rPr>
          <w:rFonts w:hint="eastAsia"/>
          <w:sz w:val="24"/>
          <w:szCs w:val="18"/>
          <w:lang w:eastAsia="zh-CN"/>
        </w:rPr>
        <w:t>》（鄂农牧发</w:t>
      </w:r>
      <w:r>
        <w:rPr>
          <w:rFonts w:hint="eastAsia"/>
          <w:sz w:val="24"/>
          <w:szCs w:val="18"/>
          <w:lang w:val="en-US" w:eastAsia="zh-CN"/>
        </w:rPr>
        <w:t>〔2019〕221号</w:t>
      </w:r>
      <w:r>
        <w:rPr>
          <w:rFonts w:hint="eastAsia"/>
          <w:sz w:val="24"/>
          <w:szCs w:val="18"/>
          <w:lang w:eastAsia="zh-CN"/>
        </w:rPr>
        <w:t>）</w:t>
      </w:r>
      <w:r>
        <w:rPr>
          <w:rFonts w:hint="eastAsia"/>
          <w:sz w:val="24"/>
          <w:szCs w:val="18"/>
          <w:lang w:val="en-US" w:eastAsia="zh-CN"/>
        </w:rPr>
        <w:t>等文件要求，且同时具备农林水利乙级资质</w:t>
      </w:r>
      <w:r>
        <w:rPr>
          <w:rFonts w:hint="eastAsia"/>
          <w:sz w:val="24"/>
          <w:szCs w:val="18"/>
        </w:rPr>
        <w:t>。</w:t>
      </w:r>
    </w:p>
    <w:p>
      <w:pPr>
        <w:pStyle w:val="23"/>
        <w:spacing w:line="360" w:lineRule="auto"/>
        <w:rPr>
          <w:rFonts w:hint="eastAsia"/>
          <w:sz w:val="24"/>
          <w:szCs w:val="18"/>
        </w:rPr>
      </w:pPr>
      <w:r>
        <w:rPr>
          <w:rFonts w:hint="eastAsia"/>
          <w:sz w:val="24"/>
          <w:szCs w:val="18"/>
        </w:rPr>
        <w:t>10</w:t>
      </w:r>
      <w:r>
        <w:rPr>
          <w:rFonts w:hint="eastAsia"/>
          <w:sz w:val="24"/>
          <w:szCs w:val="18"/>
          <w:lang w:val="en-US" w:eastAsia="zh-CN"/>
        </w:rPr>
        <w:t>.</w:t>
      </w:r>
      <w:r>
        <w:rPr>
          <w:rFonts w:hint="eastAsia"/>
          <w:sz w:val="24"/>
          <w:szCs w:val="18"/>
        </w:rPr>
        <w:t>服务期限</w:t>
      </w:r>
    </w:p>
    <w:p>
      <w:pPr>
        <w:pStyle w:val="23"/>
        <w:spacing w:line="360" w:lineRule="auto"/>
        <w:ind w:firstLine="480" w:firstLineChars="200"/>
        <w:rPr>
          <w:rFonts w:hint="eastAsia"/>
          <w:sz w:val="24"/>
          <w:szCs w:val="18"/>
        </w:rPr>
      </w:pPr>
      <w:r>
        <w:rPr>
          <w:rFonts w:hint="eastAsia"/>
          <w:sz w:val="24"/>
          <w:szCs w:val="18"/>
        </w:rPr>
        <w:t>本次购买服务期限</w:t>
      </w:r>
      <w:r>
        <w:rPr>
          <w:rFonts w:hint="eastAsia"/>
          <w:sz w:val="24"/>
          <w:szCs w:val="18"/>
          <w:lang w:eastAsia="zh-CN"/>
        </w:rPr>
        <w:t>为</w:t>
      </w:r>
      <w:r>
        <w:rPr>
          <w:rFonts w:hint="eastAsia"/>
          <w:color w:val="FF0000"/>
          <w:sz w:val="24"/>
          <w:szCs w:val="18"/>
        </w:rPr>
        <w:t>自20</w:t>
      </w:r>
      <w:r>
        <w:rPr>
          <w:rFonts w:hint="eastAsia"/>
          <w:color w:val="FF0000"/>
          <w:sz w:val="24"/>
          <w:szCs w:val="18"/>
          <w:lang w:val="en-US" w:eastAsia="zh-CN"/>
        </w:rPr>
        <w:t>20</w:t>
      </w:r>
      <w:r>
        <w:rPr>
          <w:rFonts w:hint="eastAsia"/>
          <w:color w:val="FF0000"/>
          <w:sz w:val="24"/>
          <w:szCs w:val="18"/>
        </w:rPr>
        <w:t>年</w:t>
      </w:r>
      <w:r>
        <w:rPr>
          <w:rFonts w:hint="eastAsia"/>
          <w:color w:val="FF0000"/>
          <w:sz w:val="24"/>
          <w:szCs w:val="18"/>
          <w:lang w:val="en-US" w:eastAsia="zh-CN"/>
        </w:rPr>
        <w:t>4</w:t>
      </w:r>
      <w:r>
        <w:rPr>
          <w:rFonts w:hint="eastAsia"/>
          <w:color w:val="FF0000"/>
          <w:sz w:val="24"/>
          <w:szCs w:val="18"/>
        </w:rPr>
        <w:t>月1</w:t>
      </w:r>
      <w:r>
        <w:rPr>
          <w:rFonts w:hint="eastAsia"/>
          <w:color w:val="FF0000"/>
          <w:sz w:val="24"/>
          <w:szCs w:val="18"/>
          <w:lang w:val="en-US" w:eastAsia="zh-CN"/>
        </w:rPr>
        <w:t>5</w:t>
      </w:r>
      <w:r>
        <w:rPr>
          <w:rFonts w:hint="eastAsia"/>
          <w:color w:val="FF0000"/>
          <w:sz w:val="24"/>
          <w:szCs w:val="18"/>
        </w:rPr>
        <w:t>日起，至202</w:t>
      </w:r>
      <w:r>
        <w:rPr>
          <w:rFonts w:hint="eastAsia"/>
          <w:color w:val="FF0000"/>
          <w:sz w:val="24"/>
          <w:szCs w:val="18"/>
          <w:lang w:val="en-US" w:eastAsia="zh-CN"/>
        </w:rPr>
        <w:t>0</w:t>
      </w:r>
      <w:r>
        <w:rPr>
          <w:rFonts w:hint="eastAsia"/>
          <w:color w:val="FF0000"/>
          <w:sz w:val="24"/>
          <w:szCs w:val="18"/>
        </w:rPr>
        <w:t>年</w:t>
      </w:r>
      <w:r>
        <w:rPr>
          <w:rFonts w:hint="eastAsia"/>
          <w:color w:val="FF0000"/>
          <w:sz w:val="24"/>
          <w:szCs w:val="18"/>
          <w:lang w:val="en-US" w:eastAsia="zh-CN"/>
        </w:rPr>
        <w:t>6</w:t>
      </w:r>
      <w:r>
        <w:rPr>
          <w:rFonts w:hint="eastAsia"/>
          <w:color w:val="FF0000"/>
          <w:sz w:val="24"/>
          <w:szCs w:val="18"/>
        </w:rPr>
        <w:t>月</w:t>
      </w:r>
      <w:r>
        <w:rPr>
          <w:rFonts w:hint="eastAsia"/>
          <w:color w:val="FF0000"/>
          <w:sz w:val="24"/>
          <w:szCs w:val="18"/>
          <w:lang w:val="en-US" w:eastAsia="zh-CN"/>
        </w:rPr>
        <w:t>15</w:t>
      </w:r>
      <w:r>
        <w:rPr>
          <w:rFonts w:hint="eastAsia"/>
          <w:color w:val="FF0000"/>
          <w:sz w:val="24"/>
          <w:szCs w:val="18"/>
        </w:rPr>
        <w:t>日</w:t>
      </w:r>
      <w:r>
        <w:rPr>
          <w:rFonts w:hint="eastAsia"/>
          <w:sz w:val="24"/>
          <w:szCs w:val="18"/>
          <w:lang w:eastAsia="zh-CN"/>
        </w:rPr>
        <w:t>全部完成全旗所有上图入库及评估和三年规划工作且要符合国家、自治区和市农牧局有关文件要求</w:t>
      </w:r>
      <w:r>
        <w:rPr>
          <w:rFonts w:hint="eastAsia"/>
          <w:sz w:val="24"/>
          <w:szCs w:val="18"/>
        </w:rPr>
        <w:t>。</w:t>
      </w:r>
    </w:p>
    <w:p>
      <w:pPr>
        <w:pStyle w:val="23"/>
        <w:spacing w:line="360" w:lineRule="auto"/>
        <w:rPr>
          <w:rFonts w:hint="eastAsia"/>
          <w:sz w:val="24"/>
          <w:szCs w:val="18"/>
        </w:rPr>
      </w:pPr>
      <w:r>
        <w:rPr>
          <w:rFonts w:hint="eastAsia"/>
          <w:sz w:val="24"/>
          <w:szCs w:val="18"/>
        </w:rPr>
        <w:t>11</w:t>
      </w:r>
      <w:r>
        <w:rPr>
          <w:rFonts w:hint="eastAsia"/>
          <w:sz w:val="24"/>
          <w:szCs w:val="18"/>
          <w:lang w:val="en-US" w:eastAsia="zh-CN"/>
        </w:rPr>
        <w:t>.</w:t>
      </w:r>
      <w:r>
        <w:rPr>
          <w:rFonts w:hint="eastAsia"/>
          <w:sz w:val="24"/>
          <w:szCs w:val="18"/>
        </w:rPr>
        <w:t>预算安排与成本核算</w:t>
      </w:r>
    </w:p>
    <w:p>
      <w:pPr>
        <w:pStyle w:val="23"/>
        <w:spacing w:line="360" w:lineRule="auto"/>
        <w:ind w:firstLine="480" w:firstLineChars="200"/>
        <w:rPr>
          <w:rFonts w:hint="eastAsia"/>
          <w:sz w:val="24"/>
          <w:szCs w:val="18"/>
        </w:rPr>
      </w:pPr>
      <w:r>
        <w:rPr>
          <w:rFonts w:hint="eastAsia"/>
          <w:sz w:val="24"/>
          <w:szCs w:val="18"/>
        </w:rPr>
        <w:t>本项目所需的资金，来源于</w:t>
      </w:r>
      <w:r>
        <w:rPr>
          <w:rFonts w:hint="eastAsia"/>
          <w:sz w:val="24"/>
          <w:szCs w:val="18"/>
          <w:lang w:val="en-US" w:eastAsia="zh-CN"/>
        </w:rPr>
        <w:t>政府购买服务支付资金</w:t>
      </w:r>
      <w:r>
        <w:rPr>
          <w:rFonts w:hint="eastAsia"/>
          <w:sz w:val="24"/>
          <w:szCs w:val="18"/>
        </w:rPr>
        <w:t>，从</w:t>
      </w:r>
      <w:r>
        <w:rPr>
          <w:rFonts w:hint="eastAsia"/>
          <w:sz w:val="24"/>
          <w:szCs w:val="18"/>
          <w:lang w:val="en-US" w:eastAsia="zh-CN"/>
        </w:rPr>
        <w:t>该项资金中</w:t>
      </w:r>
      <w:r>
        <w:rPr>
          <w:rFonts w:hint="eastAsia"/>
          <w:sz w:val="24"/>
          <w:szCs w:val="18"/>
        </w:rPr>
        <w:t>统筹安排。</w:t>
      </w:r>
    </w:p>
    <w:p>
      <w:pPr>
        <w:pStyle w:val="23"/>
        <w:spacing w:line="360" w:lineRule="auto"/>
        <w:ind w:firstLine="480" w:firstLineChars="200"/>
        <w:rPr>
          <w:rFonts w:hint="eastAsia"/>
          <w:sz w:val="24"/>
          <w:szCs w:val="18"/>
        </w:rPr>
      </w:pPr>
      <w:r>
        <w:rPr>
          <w:rFonts w:hint="eastAsia"/>
          <w:sz w:val="24"/>
          <w:szCs w:val="18"/>
        </w:rPr>
        <w:t>本项目所需的资金初步预算为</w:t>
      </w:r>
      <w:r>
        <w:rPr>
          <w:rFonts w:hint="eastAsia"/>
          <w:sz w:val="24"/>
          <w:szCs w:val="18"/>
          <w:lang w:val="en-US" w:eastAsia="zh-CN"/>
        </w:rPr>
        <w:t>601060元</w:t>
      </w:r>
      <w:r>
        <w:rPr>
          <w:rFonts w:hint="eastAsia"/>
          <w:sz w:val="24"/>
          <w:szCs w:val="18"/>
        </w:rPr>
        <w:t>。项目成本具体核算见第五章。</w:t>
      </w:r>
    </w:p>
    <w:p>
      <w:pPr>
        <w:pStyle w:val="23"/>
        <w:spacing w:line="360" w:lineRule="auto"/>
        <w:rPr>
          <w:rFonts w:hint="eastAsia"/>
          <w:sz w:val="24"/>
          <w:szCs w:val="18"/>
        </w:rPr>
      </w:pPr>
      <w:r>
        <w:rPr>
          <w:rFonts w:hint="eastAsia"/>
          <w:sz w:val="24"/>
          <w:szCs w:val="18"/>
        </w:rPr>
        <w:t>12</w:t>
      </w:r>
      <w:r>
        <w:rPr>
          <w:rFonts w:hint="eastAsia"/>
          <w:sz w:val="24"/>
          <w:szCs w:val="18"/>
          <w:lang w:val="en-US" w:eastAsia="zh-CN"/>
        </w:rPr>
        <w:t>.</w:t>
      </w:r>
      <w:r>
        <w:rPr>
          <w:rFonts w:hint="eastAsia"/>
          <w:sz w:val="24"/>
          <w:szCs w:val="18"/>
        </w:rPr>
        <w:t>项目进度</w:t>
      </w:r>
    </w:p>
    <w:p>
      <w:pPr>
        <w:pStyle w:val="23"/>
        <w:spacing w:line="360" w:lineRule="auto"/>
        <w:ind w:firstLine="480" w:firstLineChars="200"/>
        <w:rPr>
          <w:rFonts w:hint="eastAsia"/>
          <w:sz w:val="24"/>
          <w:szCs w:val="18"/>
        </w:rPr>
      </w:pPr>
      <w:r>
        <w:rPr>
          <w:rFonts w:hint="eastAsia"/>
          <w:sz w:val="24"/>
          <w:szCs w:val="18"/>
        </w:rPr>
        <w:t>目前项目处于</w:t>
      </w:r>
      <w:r>
        <w:rPr>
          <w:rFonts w:hint="eastAsia"/>
          <w:sz w:val="24"/>
          <w:szCs w:val="18"/>
          <w:lang w:eastAsia="zh-CN"/>
        </w:rPr>
        <w:t>收集各类项目资料</w:t>
      </w:r>
      <w:r>
        <w:rPr>
          <w:rFonts w:hint="eastAsia"/>
          <w:sz w:val="24"/>
          <w:szCs w:val="18"/>
        </w:rPr>
        <w:t>阶段，待实施方案、申请计划与部门预算经鄂托克前旗财政主管部门审核通过，即进入采购阶段。</w:t>
      </w:r>
    </w:p>
    <w:p>
      <w:pPr>
        <w:pStyle w:val="23"/>
        <w:spacing w:line="360" w:lineRule="auto"/>
        <w:jc w:val="center"/>
        <w:rPr>
          <w:rFonts w:hint="eastAsia"/>
          <w:sz w:val="24"/>
          <w:szCs w:val="18"/>
        </w:rPr>
      </w:pPr>
      <w:bookmarkStart w:id="21" w:name="_Toc29354"/>
      <w:bookmarkStart w:id="22" w:name="_Toc513015434"/>
      <w:bookmarkStart w:id="23" w:name="_Toc3302_WPSOffice_Level2"/>
      <w:bookmarkStart w:id="24" w:name="_Toc5393_WPSOffice_Level2"/>
      <w:r>
        <w:rPr>
          <w:rFonts w:hint="eastAsia"/>
          <w:sz w:val="24"/>
          <w:szCs w:val="18"/>
          <w:lang w:eastAsia="zh-CN"/>
        </w:rPr>
        <w:t>二、</w:t>
      </w:r>
      <w:r>
        <w:rPr>
          <w:rFonts w:hint="eastAsia"/>
          <w:sz w:val="24"/>
          <w:szCs w:val="18"/>
        </w:rPr>
        <w:t>项目必要性分析</w:t>
      </w:r>
      <w:bookmarkEnd w:id="21"/>
      <w:bookmarkEnd w:id="22"/>
      <w:bookmarkEnd w:id="23"/>
      <w:bookmarkEnd w:id="24"/>
    </w:p>
    <w:p>
      <w:pPr>
        <w:pStyle w:val="23"/>
        <w:spacing w:line="360" w:lineRule="auto"/>
        <w:ind w:firstLine="480" w:firstLineChars="200"/>
        <w:rPr>
          <w:rFonts w:hint="eastAsia"/>
          <w:sz w:val="24"/>
          <w:szCs w:val="18"/>
        </w:rPr>
      </w:pPr>
      <w:r>
        <w:rPr>
          <w:rFonts w:hint="eastAsia"/>
          <w:sz w:val="24"/>
          <w:szCs w:val="18"/>
          <w:lang w:val="en-US" w:eastAsia="zh-CN"/>
        </w:rPr>
        <w:t>1.项目要求及意义：根据各级部门文件要求，本项目包含空间地理信息技术、卫星遥感影像等现代信息化手段，以及检查髙标准农田建设面积、质量和管护利用等情况并全面准确上图入库，涉及包括农业、水利、地理信息等专业知识和多种软件操作。为了在上级部门要求的周期内高质量完成高标准农田上图入库及评估和三年规划工作，</w:t>
      </w:r>
      <w:r>
        <w:rPr>
          <w:rFonts w:hint="eastAsia"/>
          <w:sz w:val="24"/>
          <w:szCs w:val="18"/>
        </w:rPr>
        <w:t>采用政府购买服务模式实施</w:t>
      </w:r>
      <w:r>
        <w:rPr>
          <w:rFonts w:hint="eastAsia"/>
          <w:sz w:val="24"/>
          <w:szCs w:val="18"/>
          <w:lang w:eastAsia="zh-CN"/>
        </w:rPr>
        <w:t>，</w:t>
      </w:r>
      <w:r>
        <w:rPr>
          <w:rFonts w:hint="eastAsia"/>
          <w:sz w:val="24"/>
          <w:szCs w:val="18"/>
        </w:rPr>
        <w:t>经研究决定采用该种方式实施本项目</w:t>
      </w:r>
      <w:r>
        <w:rPr>
          <w:rFonts w:hint="eastAsia"/>
          <w:sz w:val="24"/>
          <w:szCs w:val="18"/>
          <w:lang w:eastAsia="zh-CN"/>
        </w:rPr>
        <w:t>。项目实施后将</w:t>
      </w:r>
      <w:r>
        <w:rPr>
          <w:rFonts w:hint="eastAsia"/>
          <w:sz w:val="24"/>
          <w:szCs w:val="18"/>
        </w:rPr>
        <w:t>全面摸清“十二五”以来髙标准农田建设数量、质量（符合、基本符合和需要提质改造）和后续管护利用情况，并全面准确上图入库，解决</w:t>
      </w:r>
      <w:r>
        <w:rPr>
          <w:rFonts w:hint="eastAsia"/>
          <w:sz w:val="24"/>
          <w:szCs w:val="18"/>
          <w:lang w:val="zh-CN" w:eastAsia="zh-CN"/>
        </w:rPr>
        <w:t>“三</w:t>
      </w:r>
      <w:r>
        <w:rPr>
          <w:rFonts w:hint="eastAsia"/>
          <w:sz w:val="24"/>
          <w:szCs w:val="18"/>
        </w:rPr>
        <w:t>不清”问题，实现髙标准农田建设“底数清、位置准、情况明”目标。为进一步</w:t>
      </w:r>
      <w:r>
        <w:rPr>
          <w:rFonts w:hint="eastAsia"/>
          <w:sz w:val="24"/>
          <w:szCs w:val="18"/>
          <w:lang w:val="en-US" w:eastAsia="zh-CN"/>
        </w:rPr>
        <w:t>做好髙标准农田建设管理工作夯实基础。</w:t>
      </w:r>
    </w:p>
    <w:p>
      <w:pPr>
        <w:pStyle w:val="23"/>
        <w:spacing w:line="360" w:lineRule="auto"/>
        <w:ind w:firstLine="480" w:firstLineChars="200"/>
        <w:rPr>
          <w:rFonts w:hint="eastAsia"/>
          <w:sz w:val="24"/>
          <w:szCs w:val="18"/>
        </w:rPr>
      </w:pPr>
      <w:r>
        <w:rPr>
          <w:rFonts w:hint="eastAsia"/>
          <w:sz w:val="24"/>
          <w:szCs w:val="18"/>
          <w:lang w:val="en-US" w:eastAsia="zh-CN"/>
        </w:rPr>
        <w:t>2.</w:t>
      </w:r>
      <w:r>
        <w:rPr>
          <w:rFonts w:hint="eastAsia"/>
          <w:sz w:val="24"/>
          <w:szCs w:val="18"/>
        </w:rPr>
        <w:t>政府购买服务模式实施本项目，将通过下列方式提升服务质量和效率：</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w:t>
      </w:r>
      <w:r>
        <w:rPr>
          <w:rFonts w:hint="eastAsia"/>
          <w:sz w:val="24"/>
          <w:szCs w:val="18"/>
          <w:lang w:eastAsia="zh-CN"/>
        </w:rPr>
        <w:t>）</w:t>
      </w:r>
      <w:r>
        <w:rPr>
          <w:rFonts w:hint="eastAsia"/>
          <w:sz w:val="24"/>
          <w:szCs w:val="18"/>
        </w:rPr>
        <w:t>绩效考核机制：通过制定详细的绩效考核方案，确定绩效考核方式、考核主体、考核指标体系、评分标准等，保证项目进入服务期后，进行定期绩效考核，对项目进行全过程监督；</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2</w:t>
      </w:r>
      <w:r>
        <w:rPr>
          <w:rFonts w:hint="eastAsia"/>
          <w:sz w:val="24"/>
          <w:szCs w:val="18"/>
          <w:lang w:eastAsia="zh-CN"/>
        </w:rPr>
        <w:t>）</w:t>
      </w:r>
      <w:r>
        <w:rPr>
          <w:rFonts w:hint="eastAsia"/>
          <w:sz w:val="24"/>
          <w:szCs w:val="18"/>
        </w:rPr>
        <w:t>“按效付费”机制：根据绩效考核评分结果对应的支付比例，向承接主体支付服务费，承接主体提供服务未达到约定标准的，将扣除相应服务费，形成激励相容，促使承接主体创新服务管理方式、提高质量和效率；</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3</w:t>
      </w:r>
      <w:r>
        <w:rPr>
          <w:rFonts w:hint="eastAsia"/>
          <w:sz w:val="24"/>
          <w:szCs w:val="18"/>
          <w:lang w:eastAsia="zh-CN"/>
        </w:rPr>
        <w:t>）</w:t>
      </w:r>
      <w:r>
        <w:rPr>
          <w:rFonts w:hint="eastAsia"/>
          <w:sz w:val="24"/>
          <w:szCs w:val="18"/>
        </w:rPr>
        <w:t>全过程多层次监督机制：通过政府购买服务模式的实施，购买主体实现了职能转换，由过去的“供应者”转变为“监督者”，形成由购买主体、财政部门、第三方专业机构等多部门共同参与的监督体系，更好地提升服务水平和质量。</w:t>
      </w:r>
    </w:p>
    <w:p>
      <w:pPr>
        <w:pStyle w:val="23"/>
        <w:spacing w:line="360" w:lineRule="auto"/>
        <w:rPr>
          <w:rFonts w:hint="eastAsia"/>
          <w:sz w:val="24"/>
          <w:szCs w:val="18"/>
        </w:rPr>
      </w:pPr>
      <w:r>
        <w:rPr>
          <w:rFonts w:hint="eastAsia"/>
          <w:sz w:val="24"/>
          <w:szCs w:val="18"/>
        </w:rPr>
        <w:t>政府购买服务本身就是加强公共服务的一种积极信号，通过公平公正的采购程序选择承接主体，对承接主体的资格、资质、能力、经验进行严格把控，择优选择最适合项目运营的承接主体提供服务，促进社会力量提高竞争能力，激励社会力量提供更优质、更高效的全方位一体化服务。</w:t>
      </w:r>
    </w:p>
    <w:p>
      <w:pPr>
        <w:pStyle w:val="23"/>
        <w:spacing w:line="360" w:lineRule="auto"/>
        <w:ind w:firstLine="480" w:firstLineChars="200"/>
        <w:rPr>
          <w:rFonts w:hint="eastAsia"/>
          <w:sz w:val="24"/>
          <w:szCs w:val="18"/>
        </w:rPr>
      </w:pPr>
      <w:r>
        <w:rPr>
          <w:rFonts w:hint="eastAsia"/>
          <w:sz w:val="24"/>
          <w:szCs w:val="18"/>
        </w:rPr>
        <w:t>通过政府购买公共服务模式选取合适社会力量，由专业的人来做专业的事，对于推进公共服务领域改革，推动政府职能转变，整合利用社会资源，增强公众参与意识，激发市场活力，提高公共服务水平和效率，都具有重要意义。</w:t>
      </w:r>
    </w:p>
    <w:p>
      <w:pPr>
        <w:pStyle w:val="23"/>
        <w:spacing w:line="360" w:lineRule="auto"/>
        <w:ind w:firstLine="480" w:firstLineChars="200"/>
        <w:rPr>
          <w:rFonts w:hint="eastAsia"/>
          <w:sz w:val="24"/>
          <w:szCs w:val="18"/>
        </w:rPr>
      </w:pPr>
      <w:r>
        <w:rPr>
          <w:rFonts w:hint="eastAsia"/>
          <w:sz w:val="24"/>
          <w:szCs w:val="18"/>
        </w:rPr>
        <w:t>采用政府购买服务模式运作本项目，可以借助专业的社会力量降低服务成本。其一，本项目通过公平、公正、公开的法定程序，选择社会力量承担服务的过程是一个竞争的过程，同等质量、价低者得，同等价格、质优者得，通过竞争可以适当降低采购成本；其二，本项目中，鄂托克前旗</w:t>
      </w:r>
      <w:r>
        <w:rPr>
          <w:rFonts w:hint="eastAsia"/>
          <w:sz w:val="24"/>
          <w:szCs w:val="18"/>
          <w:lang w:eastAsia="zh-CN"/>
        </w:rPr>
        <w:t>农牧业综合开发中心</w:t>
      </w:r>
      <w:r>
        <w:rPr>
          <w:rFonts w:hint="eastAsia"/>
          <w:sz w:val="24"/>
          <w:szCs w:val="18"/>
        </w:rPr>
        <w:t>对于合同的履行，服务的内容、成本、效率和社会影响等情况进行合理评价，且服务费的支付与绩效考核挂钩，有助于降低成本、提高服务质量。</w:t>
      </w:r>
    </w:p>
    <w:p>
      <w:pPr>
        <w:pStyle w:val="23"/>
        <w:spacing w:line="360" w:lineRule="auto"/>
        <w:jc w:val="center"/>
        <w:rPr>
          <w:rFonts w:hint="eastAsia"/>
          <w:sz w:val="24"/>
          <w:szCs w:val="18"/>
        </w:rPr>
      </w:pPr>
      <w:bookmarkStart w:id="25" w:name="_Toc513015435"/>
      <w:bookmarkStart w:id="26" w:name="_Toc17035_WPSOffice_Level2"/>
      <w:bookmarkStart w:id="27" w:name="_Toc1088"/>
      <w:bookmarkStart w:id="28" w:name="_Toc21010_WPSOffice_Level2"/>
      <w:r>
        <w:rPr>
          <w:rFonts w:hint="eastAsia"/>
          <w:sz w:val="24"/>
          <w:szCs w:val="18"/>
          <w:lang w:eastAsia="zh-CN"/>
        </w:rPr>
        <w:t>三、</w:t>
      </w:r>
      <w:r>
        <w:rPr>
          <w:rFonts w:hint="eastAsia"/>
          <w:sz w:val="24"/>
          <w:szCs w:val="18"/>
        </w:rPr>
        <w:t>项目可行性分析</w:t>
      </w:r>
      <w:bookmarkEnd w:id="25"/>
      <w:bookmarkEnd w:id="26"/>
      <w:bookmarkEnd w:id="27"/>
      <w:bookmarkEnd w:id="28"/>
    </w:p>
    <w:p>
      <w:pPr>
        <w:pStyle w:val="23"/>
        <w:spacing w:line="360" w:lineRule="auto"/>
        <w:ind w:firstLine="480" w:firstLineChars="200"/>
        <w:rPr>
          <w:rFonts w:hint="eastAsia"/>
          <w:sz w:val="24"/>
          <w:szCs w:val="18"/>
        </w:rPr>
      </w:pPr>
      <w:r>
        <w:rPr>
          <w:rFonts w:hint="eastAsia"/>
          <w:sz w:val="24"/>
          <w:szCs w:val="18"/>
          <w:lang w:val="en-US" w:eastAsia="zh-CN"/>
        </w:rPr>
        <w:t>1.政策导向分析。</w:t>
      </w:r>
      <w:r>
        <w:rPr>
          <w:rFonts w:hint="eastAsia"/>
          <w:sz w:val="24"/>
          <w:szCs w:val="18"/>
        </w:rPr>
        <w:t>采用政府购买服务模式实施本项目，符合国家政策导向</w:t>
      </w:r>
      <w:r>
        <w:rPr>
          <w:rFonts w:hint="eastAsia"/>
          <w:sz w:val="24"/>
          <w:szCs w:val="18"/>
          <w:lang w:eastAsia="zh-CN"/>
        </w:rPr>
        <w:t>。</w:t>
      </w:r>
      <w:r>
        <w:rPr>
          <w:rFonts w:hint="eastAsia"/>
          <w:sz w:val="24"/>
          <w:szCs w:val="18"/>
        </w:rPr>
        <w:t>《政府购买服务管理办法（暂行）》（财综〔2014〕96号）</w:t>
      </w:r>
      <w:r>
        <w:rPr>
          <w:rFonts w:hint="eastAsia"/>
          <w:sz w:val="24"/>
          <w:szCs w:val="18"/>
          <w:lang w:eastAsia="zh-CN"/>
        </w:rPr>
        <w:t>第三章第十二条</w:t>
      </w:r>
      <w:r>
        <w:rPr>
          <w:rFonts w:hint="eastAsia"/>
          <w:sz w:val="24"/>
          <w:szCs w:val="18"/>
        </w:rPr>
        <w:t>明确：</w:t>
      </w:r>
      <w:r>
        <w:rPr>
          <w:rFonts w:hint="eastAsia"/>
          <w:sz w:val="24"/>
          <w:szCs w:val="18"/>
          <w:lang w:eastAsia="zh-CN"/>
        </w:rPr>
        <w:t>政府新增或临时性、阶段性的服务事项，适合社会力量承担的，应当按照政府购买方式进行。第十四条第一款明确</w:t>
      </w:r>
      <w:r>
        <w:rPr>
          <w:rFonts w:hint="eastAsia"/>
          <w:sz w:val="24"/>
          <w:szCs w:val="18"/>
        </w:rPr>
        <w:t>除法律法规另有规定外，应将公共教育、劳动就业、人才服务、社会保险、环境治理、城市维护</w:t>
      </w:r>
      <w:r>
        <w:rPr>
          <w:rFonts w:hint="eastAsia"/>
          <w:sz w:val="24"/>
          <w:szCs w:val="18"/>
          <w:lang w:eastAsia="zh-CN"/>
        </w:rPr>
        <w:t>、三农服务</w:t>
      </w:r>
      <w:r>
        <w:rPr>
          <w:rFonts w:hint="eastAsia"/>
          <w:sz w:val="24"/>
          <w:szCs w:val="18"/>
        </w:rPr>
        <w:t>等领域适宜由社会力量承担的基本公共服务纳入政府购买服务指导性目录。</w:t>
      </w:r>
    </w:p>
    <w:p>
      <w:pPr>
        <w:pStyle w:val="23"/>
        <w:spacing w:line="360" w:lineRule="auto"/>
        <w:ind w:firstLine="480" w:firstLineChars="200"/>
        <w:rPr>
          <w:rFonts w:hint="eastAsia"/>
          <w:sz w:val="24"/>
          <w:szCs w:val="18"/>
        </w:rPr>
      </w:pPr>
      <w:r>
        <w:rPr>
          <w:rFonts w:hint="eastAsia"/>
          <w:sz w:val="24"/>
          <w:szCs w:val="18"/>
        </w:rPr>
        <w:t>《鄂尔多斯市人民政府办公厅关于印发&lt;政府向社会力量购买服务实施方案&gt;的通知》（鄂府办发〔2015〕65号）附件为“鄂尔多斯市政府向社会组织购买服务指导性目录”，目录中包含</w:t>
      </w:r>
      <w:r>
        <w:rPr>
          <w:rFonts w:hint="eastAsia"/>
          <w:sz w:val="24"/>
          <w:szCs w:val="18"/>
          <w:lang w:eastAsia="zh-CN"/>
        </w:rPr>
        <w:t>规划评价</w:t>
      </w:r>
      <w:r>
        <w:rPr>
          <w:rFonts w:hint="eastAsia"/>
          <w:sz w:val="24"/>
          <w:szCs w:val="18"/>
        </w:rPr>
        <w:t>类项目。本项目应为</w:t>
      </w:r>
      <w:r>
        <w:rPr>
          <w:rFonts w:hint="eastAsia"/>
          <w:sz w:val="24"/>
          <w:szCs w:val="18"/>
          <w:lang w:eastAsia="zh-CN"/>
        </w:rPr>
        <w:t>技术咨询</w:t>
      </w:r>
      <w:r>
        <w:rPr>
          <w:rFonts w:hint="eastAsia"/>
          <w:sz w:val="24"/>
          <w:szCs w:val="18"/>
        </w:rPr>
        <w:t>类项目中的</w:t>
      </w:r>
      <w:r>
        <w:rPr>
          <w:rFonts w:hint="eastAsia"/>
          <w:sz w:val="24"/>
          <w:szCs w:val="18"/>
          <w:lang w:eastAsia="zh-CN"/>
        </w:rPr>
        <w:t>评价分析</w:t>
      </w:r>
      <w:r>
        <w:rPr>
          <w:rFonts w:hint="eastAsia"/>
          <w:sz w:val="24"/>
          <w:szCs w:val="18"/>
        </w:rPr>
        <w:t>项目，在当地政府购买服务指导性目录中，可以采用政府购买服务方式实施。</w:t>
      </w:r>
    </w:p>
    <w:p>
      <w:pPr>
        <w:pStyle w:val="23"/>
        <w:spacing w:line="360" w:lineRule="auto"/>
        <w:ind w:firstLine="480" w:firstLineChars="200"/>
        <w:rPr>
          <w:rFonts w:hint="eastAsia"/>
          <w:sz w:val="24"/>
          <w:szCs w:val="18"/>
        </w:rPr>
      </w:pPr>
      <w:r>
        <w:rPr>
          <w:rFonts w:hint="eastAsia"/>
          <w:sz w:val="24"/>
          <w:szCs w:val="18"/>
          <w:lang w:val="en-US" w:eastAsia="zh-CN"/>
        </w:rPr>
        <w:t>2.</w:t>
      </w:r>
      <w:r>
        <w:rPr>
          <w:rFonts w:hint="eastAsia"/>
          <w:sz w:val="24"/>
          <w:szCs w:val="18"/>
        </w:rPr>
        <w:t>承接主体竞争性分析</w:t>
      </w:r>
    </w:p>
    <w:p>
      <w:pPr>
        <w:pStyle w:val="23"/>
        <w:spacing w:line="360" w:lineRule="auto"/>
        <w:ind w:firstLine="480" w:firstLineChars="200"/>
        <w:rPr>
          <w:rFonts w:hint="eastAsia"/>
          <w:sz w:val="24"/>
          <w:szCs w:val="18"/>
        </w:rPr>
      </w:pPr>
      <w:r>
        <w:rPr>
          <w:rFonts w:hint="eastAsia"/>
          <w:sz w:val="24"/>
          <w:szCs w:val="18"/>
        </w:rPr>
        <w:t>本项目对承接主体主要提出下列要求：</w:t>
      </w:r>
    </w:p>
    <w:p>
      <w:pPr>
        <w:pStyle w:val="23"/>
        <w:spacing w:line="360" w:lineRule="auto"/>
        <w:ind w:firstLine="480" w:firstLineChars="200"/>
        <w:rPr>
          <w:rFonts w:hint="eastAsia"/>
          <w:sz w:val="24"/>
          <w:szCs w:val="18"/>
        </w:rPr>
      </w:pPr>
      <w:r>
        <w:rPr>
          <w:rFonts w:hint="eastAsia"/>
          <w:sz w:val="24"/>
          <w:szCs w:val="18"/>
        </w:rPr>
        <w:t>（1）专业性要求：本项目要求承接主体具备</w:t>
      </w:r>
      <w:r>
        <w:rPr>
          <w:rFonts w:hint="eastAsia"/>
          <w:sz w:val="24"/>
          <w:szCs w:val="18"/>
          <w:lang w:eastAsia="zh-CN"/>
        </w:rPr>
        <w:t>农林水利</w:t>
      </w:r>
      <w:r>
        <w:rPr>
          <w:rFonts w:hint="eastAsia"/>
          <w:sz w:val="24"/>
          <w:szCs w:val="18"/>
        </w:rPr>
        <w:t>专业能力，准确把握</w:t>
      </w:r>
      <w:r>
        <w:rPr>
          <w:rFonts w:hint="eastAsia"/>
          <w:sz w:val="24"/>
          <w:szCs w:val="18"/>
          <w:lang w:eastAsia="zh-CN"/>
        </w:rPr>
        <w:t>高标准农田上图入库及三年规划文件要求</w:t>
      </w:r>
      <w:r>
        <w:rPr>
          <w:rFonts w:hint="eastAsia"/>
          <w:sz w:val="24"/>
          <w:szCs w:val="18"/>
        </w:rPr>
        <w:t>，根据</w:t>
      </w:r>
      <w:r>
        <w:rPr>
          <w:rFonts w:hint="eastAsia"/>
          <w:sz w:val="24"/>
          <w:szCs w:val="18"/>
          <w:lang w:eastAsia="zh-CN"/>
        </w:rPr>
        <w:t>要求按时准确完成评价分析工作</w:t>
      </w:r>
      <w:r>
        <w:rPr>
          <w:rFonts w:hint="eastAsia"/>
          <w:sz w:val="24"/>
          <w:szCs w:val="18"/>
        </w:rPr>
        <w:t>；</w:t>
      </w:r>
    </w:p>
    <w:p>
      <w:pPr>
        <w:pStyle w:val="23"/>
        <w:spacing w:line="360" w:lineRule="auto"/>
        <w:ind w:firstLine="480" w:firstLineChars="200"/>
        <w:rPr>
          <w:rFonts w:hint="eastAsia"/>
          <w:sz w:val="24"/>
          <w:szCs w:val="18"/>
          <w:lang w:eastAsia="zh-CN"/>
        </w:rPr>
      </w:pPr>
      <w:r>
        <w:rPr>
          <w:rFonts w:hint="eastAsia"/>
          <w:sz w:val="24"/>
          <w:szCs w:val="18"/>
        </w:rPr>
        <w:t>（2）规模要求：本项目要求承接主体的规模与</w:t>
      </w:r>
      <w:r>
        <w:rPr>
          <w:rFonts w:hint="eastAsia"/>
          <w:sz w:val="24"/>
          <w:szCs w:val="18"/>
          <w:lang w:eastAsia="zh-CN"/>
        </w:rPr>
        <w:t>全旗“十二五”以来农田建设</w:t>
      </w:r>
      <w:r>
        <w:rPr>
          <w:rFonts w:hint="eastAsia"/>
          <w:sz w:val="24"/>
          <w:szCs w:val="18"/>
        </w:rPr>
        <w:t>规模相适应</w:t>
      </w:r>
      <w:r>
        <w:rPr>
          <w:rFonts w:hint="eastAsia"/>
          <w:sz w:val="24"/>
          <w:szCs w:val="18"/>
          <w:lang w:eastAsia="zh-CN"/>
        </w:rPr>
        <w:t>。</w:t>
      </w:r>
    </w:p>
    <w:p>
      <w:pPr>
        <w:pStyle w:val="23"/>
        <w:spacing w:line="360" w:lineRule="auto"/>
        <w:ind w:firstLine="480" w:firstLineChars="200"/>
        <w:rPr>
          <w:rFonts w:hint="eastAsia"/>
          <w:sz w:val="24"/>
          <w:szCs w:val="18"/>
        </w:rPr>
      </w:pPr>
      <w:r>
        <w:rPr>
          <w:rFonts w:hint="eastAsia"/>
          <w:sz w:val="24"/>
          <w:szCs w:val="18"/>
        </w:rPr>
        <w:t>项目进入采购阶段前，应当进行充足的市场调查，对相关社会力量的能力、资质、经验、规模进行考察了解，与本级财政主管政府采购的部门商榷并确认采用适当的采购方式，选择适合承接主体。</w:t>
      </w:r>
    </w:p>
    <w:p>
      <w:pPr>
        <w:pStyle w:val="23"/>
        <w:spacing w:line="360" w:lineRule="auto"/>
        <w:ind w:firstLine="480" w:firstLineChars="200"/>
        <w:rPr>
          <w:rFonts w:hint="eastAsia"/>
          <w:sz w:val="24"/>
          <w:szCs w:val="18"/>
        </w:rPr>
      </w:pPr>
      <w:r>
        <w:rPr>
          <w:rFonts w:hint="eastAsia"/>
          <w:sz w:val="24"/>
          <w:szCs w:val="18"/>
          <w:lang w:val="en-US" w:eastAsia="zh-CN"/>
        </w:rPr>
        <w:t>3.</w:t>
      </w:r>
      <w:r>
        <w:rPr>
          <w:rFonts w:hint="eastAsia"/>
          <w:sz w:val="24"/>
          <w:szCs w:val="18"/>
        </w:rPr>
        <w:t>本项目目前具备的实施条件</w:t>
      </w:r>
    </w:p>
    <w:p>
      <w:pPr>
        <w:pStyle w:val="23"/>
        <w:spacing w:line="360" w:lineRule="auto"/>
        <w:ind w:firstLine="480" w:firstLineChars="200"/>
        <w:rPr>
          <w:rFonts w:hint="eastAsia"/>
          <w:sz w:val="24"/>
          <w:szCs w:val="18"/>
        </w:rPr>
      </w:pPr>
      <w:r>
        <w:rPr>
          <w:rFonts w:hint="eastAsia"/>
          <w:sz w:val="24"/>
          <w:szCs w:val="18"/>
        </w:rPr>
        <w:t>2016年鄂尔多斯市财政局下发了《鄂尔多斯市财政局关于印发鄂尔多斯市政府向社会力量购买服务流程规范政府购买服务项目实施方案编制指引项目合同范本的通知》（鄂财综发〔2016〕139号），此通知主要印发了三个文件：《鄂尔多斯市政府向社会力量购买服务流程规范》、《鄂尔多斯市政府购买服务项目实施方案编制指引》、《鄂尔多斯市政府向社会力量购买服务项目合同范本》。本通知将鄂尔多斯市各类政府购买服务从服务内容、业务板块、操作流程、合同签订等方面都有了明确的规定，更加有利于承接主体工作的开展。</w:t>
      </w:r>
    </w:p>
    <w:p>
      <w:pPr>
        <w:pStyle w:val="23"/>
        <w:spacing w:line="360" w:lineRule="auto"/>
        <w:ind w:firstLine="480" w:firstLineChars="200"/>
        <w:rPr>
          <w:rFonts w:hint="eastAsia"/>
          <w:sz w:val="24"/>
          <w:szCs w:val="18"/>
        </w:rPr>
      </w:pPr>
      <w:r>
        <w:rPr>
          <w:rFonts w:hint="eastAsia"/>
          <w:sz w:val="24"/>
          <w:szCs w:val="18"/>
        </w:rPr>
        <w:t>目前，项目处于准备阶段，待项目</w:t>
      </w:r>
      <w:r>
        <w:rPr>
          <w:rFonts w:hint="eastAsia"/>
          <w:sz w:val="24"/>
          <w:szCs w:val="18"/>
          <w:lang w:eastAsia="zh-CN"/>
        </w:rPr>
        <w:t>资金</w:t>
      </w:r>
      <w:r>
        <w:rPr>
          <w:rFonts w:hint="eastAsia"/>
          <w:sz w:val="24"/>
          <w:szCs w:val="18"/>
        </w:rPr>
        <w:t>申请</w:t>
      </w:r>
      <w:r>
        <w:rPr>
          <w:rFonts w:hint="eastAsia"/>
          <w:sz w:val="24"/>
          <w:szCs w:val="18"/>
          <w:lang w:eastAsia="zh-CN"/>
        </w:rPr>
        <w:t>计划</w:t>
      </w:r>
      <w:r>
        <w:rPr>
          <w:rFonts w:hint="eastAsia"/>
          <w:sz w:val="24"/>
          <w:szCs w:val="18"/>
        </w:rPr>
        <w:t>与部门预算提交鄂托克前旗财政主管部门审核通过，并与鄂托克前旗财政主管部门主管政府采购的相关部门商定采购方式后，即可进入采购阶段。</w:t>
      </w:r>
    </w:p>
    <w:p>
      <w:pPr>
        <w:pStyle w:val="23"/>
        <w:spacing w:line="360" w:lineRule="auto"/>
        <w:ind w:firstLine="480" w:firstLineChars="200"/>
        <w:rPr>
          <w:rFonts w:hint="eastAsia"/>
          <w:sz w:val="24"/>
          <w:szCs w:val="18"/>
        </w:rPr>
      </w:pPr>
      <w:bookmarkStart w:id="29" w:name="_Toc513015436"/>
      <w:bookmarkStart w:id="30" w:name="_Toc13291_WPSOffice_Level2"/>
      <w:bookmarkStart w:id="31" w:name="_Toc11250"/>
      <w:bookmarkStart w:id="32" w:name="_Toc23581_WPSOffice_Level2"/>
      <w:r>
        <w:rPr>
          <w:rFonts w:hint="eastAsia"/>
          <w:sz w:val="24"/>
          <w:szCs w:val="18"/>
          <w:lang w:val="en-US" w:eastAsia="zh-CN"/>
        </w:rPr>
        <w:t>4.</w:t>
      </w:r>
      <w:r>
        <w:rPr>
          <w:rFonts w:hint="eastAsia"/>
          <w:sz w:val="24"/>
          <w:szCs w:val="18"/>
        </w:rPr>
        <w:t>结论</w:t>
      </w:r>
      <w:bookmarkEnd w:id="29"/>
      <w:bookmarkEnd w:id="30"/>
      <w:bookmarkEnd w:id="31"/>
      <w:bookmarkEnd w:id="32"/>
    </w:p>
    <w:p>
      <w:pPr>
        <w:pStyle w:val="23"/>
        <w:spacing w:line="360" w:lineRule="auto"/>
        <w:ind w:firstLine="480" w:firstLineChars="200"/>
        <w:rPr>
          <w:rFonts w:hint="eastAsia"/>
          <w:sz w:val="24"/>
          <w:szCs w:val="18"/>
        </w:rPr>
      </w:pPr>
      <w:r>
        <w:rPr>
          <w:rFonts w:hint="eastAsia"/>
          <w:sz w:val="24"/>
          <w:szCs w:val="18"/>
        </w:rPr>
        <w:t>本项目</w:t>
      </w:r>
      <w:r>
        <w:rPr>
          <w:rFonts w:hint="eastAsia"/>
          <w:sz w:val="24"/>
          <w:szCs w:val="18"/>
          <w:lang w:eastAsia="zh-CN"/>
        </w:rPr>
        <w:t>涉及全旗四个镇约</w:t>
      </w:r>
      <w:r>
        <w:rPr>
          <w:rFonts w:hint="eastAsia"/>
          <w:sz w:val="24"/>
          <w:szCs w:val="18"/>
          <w:lang w:val="en-US" w:eastAsia="zh-CN"/>
        </w:rPr>
        <w:t>36万亩农田</w:t>
      </w:r>
      <w:r>
        <w:rPr>
          <w:rFonts w:hint="eastAsia"/>
          <w:sz w:val="24"/>
          <w:szCs w:val="18"/>
        </w:rPr>
        <w:t>，由鄂前旗</w:t>
      </w:r>
      <w:r>
        <w:rPr>
          <w:rFonts w:hint="eastAsia"/>
          <w:sz w:val="24"/>
          <w:szCs w:val="18"/>
          <w:lang w:eastAsia="zh-CN"/>
        </w:rPr>
        <w:t>农牧业综合开发中心</w:t>
      </w:r>
      <w:r>
        <w:rPr>
          <w:rFonts w:hint="eastAsia"/>
          <w:sz w:val="24"/>
          <w:szCs w:val="18"/>
        </w:rPr>
        <w:t>作为购买主体，向社会力量购买</w:t>
      </w:r>
      <w:r>
        <w:rPr>
          <w:rFonts w:hint="eastAsia"/>
          <w:sz w:val="24"/>
          <w:szCs w:val="18"/>
          <w:lang w:eastAsia="zh-CN"/>
        </w:rPr>
        <w:t>上图入库、评价分析及三年规划（</w:t>
      </w:r>
      <w:r>
        <w:rPr>
          <w:rFonts w:hint="eastAsia"/>
          <w:sz w:val="24"/>
          <w:szCs w:val="18"/>
          <w:lang w:val="en-US" w:eastAsia="zh-CN"/>
        </w:rPr>
        <w:t>2020-2022</w:t>
      </w:r>
      <w:r>
        <w:rPr>
          <w:rFonts w:hint="eastAsia"/>
          <w:sz w:val="24"/>
          <w:szCs w:val="18"/>
          <w:lang w:eastAsia="zh-CN"/>
        </w:rPr>
        <w:t>）</w:t>
      </w:r>
      <w:r>
        <w:rPr>
          <w:rFonts w:hint="eastAsia"/>
          <w:sz w:val="24"/>
          <w:szCs w:val="18"/>
        </w:rPr>
        <w:t>服务。本项目所需资金初步预算每年</w:t>
      </w:r>
      <w:r>
        <w:rPr>
          <w:rFonts w:hint="eastAsia"/>
          <w:sz w:val="24"/>
          <w:szCs w:val="18"/>
          <w:lang w:val="en-US" w:eastAsia="zh-CN"/>
        </w:rPr>
        <w:t>601060</w:t>
      </w:r>
      <w:r>
        <w:rPr>
          <w:rFonts w:hint="eastAsia"/>
          <w:sz w:val="24"/>
          <w:szCs w:val="18"/>
        </w:rPr>
        <w:t>元</w:t>
      </w:r>
      <w:r>
        <w:rPr>
          <w:rFonts w:hint="eastAsia"/>
          <w:sz w:val="24"/>
          <w:szCs w:val="18"/>
          <w:lang w:eastAsia="zh-CN"/>
        </w:rPr>
        <w:t>，</w:t>
      </w:r>
      <w:r>
        <w:rPr>
          <w:rFonts w:hint="eastAsia"/>
          <w:sz w:val="24"/>
          <w:szCs w:val="18"/>
        </w:rPr>
        <w:t>列入</w:t>
      </w:r>
      <w:r>
        <w:rPr>
          <w:rFonts w:hint="eastAsia"/>
          <w:sz w:val="24"/>
          <w:szCs w:val="18"/>
          <w:lang w:val="en-US" w:eastAsia="zh-CN"/>
        </w:rPr>
        <w:t>鄂托克前旗政府购买服务支付资金</w:t>
      </w:r>
      <w:r>
        <w:rPr>
          <w:rFonts w:hint="eastAsia"/>
          <w:sz w:val="24"/>
          <w:szCs w:val="18"/>
        </w:rPr>
        <w:t>，从</w:t>
      </w:r>
      <w:r>
        <w:rPr>
          <w:rFonts w:hint="eastAsia"/>
          <w:sz w:val="24"/>
          <w:szCs w:val="18"/>
          <w:lang w:val="en-US" w:eastAsia="zh-CN"/>
        </w:rPr>
        <w:t>该项资金中</w:t>
      </w:r>
      <w:r>
        <w:rPr>
          <w:rFonts w:hint="eastAsia"/>
          <w:sz w:val="24"/>
          <w:szCs w:val="18"/>
        </w:rPr>
        <w:t>统筹安排。本项目采用政府购买服务模式实施必要可行、合理合规。在购买服务全过程中，项目将严格按照国家、地方相关政策法规的要求实施，保证我</w:t>
      </w:r>
      <w:r>
        <w:rPr>
          <w:rFonts w:hint="eastAsia"/>
          <w:sz w:val="24"/>
          <w:szCs w:val="18"/>
          <w:lang w:eastAsia="zh-CN"/>
        </w:rPr>
        <w:t>旗上图入库评价分析及三年规划</w:t>
      </w:r>
      <w:r>
        <w:rPr>
          <w:rFonts w:hint="eastAsia"/>
          <w:sz w:val="24"/>
          <w:szCs w:val="18"/>
        </w:rPr>
        <w:t>工作的顺利</w:t>
      </w:r>
      <w:r>
        <w:rPr>
          <w:rFonts w:hint="eastAsia"/>
          <w:sz w:val="24"/>
          <w:szCs w:val="18"/>
          <w:lang w:eastAsia="zh-CN"/>
        </w:rPr>
        <w:t>完成</w:t>
      </w:r>
      <w:r>
        <w:rPr>
          <w:rFonts w:hint="eastAsia"/>
          <w:sz w:val="24"/>
          <w:szCs w:val="18"/>
        </w:rPr>
        <w:t>。</w:t>
      </w:r>
      <w:bookmarkStart w:id="33" w:name="_Toc3831_WPSOffice_Level2"/>
      <w:bookmarkStart w:id="34" w:name="_Toc11229_WPSOffice_Level2"/>
      <w:bookmarkStart w:id="35" w:name="_Toc513015437"/>
      <w:bookmarkStart w:id="36" w:name="_Toc20525"/>
    </w:p>
    <w:p>
      <w:pPr>
        <w:pStyle w:val="23"/>
        <w:spacing w:line="360" w:lineRule="auto"/>
        <w:ind w:firstLine="480" w:firstLineChars="200"/>
        <w:rPr>
          <w:rFonts w:hint="eastAsia"/>
          <w:sz w:val="24"/>
          <w:szCs w:val="18"/>
        </w:rPr>
      </w:pPr>
      <w:r>
        <w:rPr>
          <w:rFonts w:hint="eastAsia"/>
          <w:sz w:val="24"/>
          <w:szCs w:val="18"/>
          <w:lang w:val="en-US" w:eastAsia="zh-CN"/>
        </w:rPr>
        <w:t>5.</w:t>
      </w:r>
      <w:r>
        <w:rPr>
          <w:rFonts w:hint="eastAsia"/>
          <w:sz w:val="24"/>
          <w:szCs w:val="18"/>
        </w:rPr>
        <w:t>支持性文件</w:t>
      </w:r>
      <w:bookmarkEnd w:id="33"/>
      <w:bookmarkEnd w:id="34"/>
      <w:bookmarkEnd w:id="35"/>
      <w:bookmarkEnd w:id="36"/>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w:t>
      </w:r>
      <w:r>
        <w:rPr>
          <w:rFonts w:hint="eastAsia"/>
          <w:sz w:val="24"/>
          <w:szCs w:val="18"/>
          <w:lang w:eastAsia="zh-CN"/>
        </w:rPr>
        <w:t>）</w:t>
      </w:r>
      <w:r>
        <w:rPr>
          <w:rFonts w:hint="eastAsia"/>
          <w:sz w:val="24"/>
          <w:szCs w:val="18"/>
        </w:rPr>
        <w:t>《中华人民共和国政府采购法》（中华人民共和国主席令第68号）</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2</w:t>
      </w:r>
      <w:r>
        <w:rPr>
          <w:rFonts w:hint="eastAsia"/>
          <w:sz w:val="24"/>
          <w:szCs w:val="18"/>
          <w:lang w:eastAsia="zh-CN"/>
        </w:rPr>
        <w:t>）</w:t>
      </w:r>
      <w:r>
        <w:rPr>
          <w:rFonts w:hint="eastAsia"/>
          <w:sz w:val="24"/>
          <w:szCs w:val="18"/>
        </w:rPr>
        <w:t>《中华人民共和国政府采购法实施条例》（中华人民共和国国务院令第658号）</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3</w:t>
      </w:r>
      <w:r>
        <w:rPr>
          <w:rFonts w:hint="eastAsia"/>
          <w:sz w:val="24"/>
          <w:szCs w:val="18"/>
          <w:lang w:eastAsia="zh-CN"/>
        </w:rPr>
        <w:t>）</w:t>
      </w:r>
      <w:r>
        <w:rPr>
          <w:rFonts w:hint="eastAsia"/>
          <w:sz w:val="24"/>
          <w:szCs w:val="18"/>
        </w:rPr>
        <w:t>《中华人民共和国政府信息公开条例》（中华人民共和国国务院令第492号）</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4</w:t>
      </w:r>
      <w:r>
        <w:rPr>
          <w:rFonts w:hint="eastAsia"/>
          <w:sz w:val="24"/>
          <w:szCs w:val="18"/>
          <w:lang w:eastAsia="zh-CN"/>
        </w:rPr>
        <w:t>）</w:t>
      </w:r>
      <w:r>
        <w:rPr>
          <w:rFonts w:hint="eastAsia"/>
          <w:sz w:val="24"/>
          <w:szCs w:val="18"/>
        </w:rPr>
        <w:t>《关于政府向社会力量购买服务的指导意见》（国办发〔2013〕96号）</w:t>
      </w:r>
    </w:p>
    <w:p>
      <w:pPr>
        <w:pStyle w:val="23"/>
        <w:spacing w:line="360" w:lineRule="auto"/>
        <w:ind w:firstLine="480" w:firstLineChars="200"/>
        <w:rPr>
          <w:rFonts w:hint="eastAsia"/>
          <w:sz w:val="24"/>
          <w:szCs w:val="18"/>
          <w:lang w:val="en-US" w:eastAsia="zh-CN"/>
        </w:rPr>
      </w:pPr>
      <w:r>
        <w:rPr>
          <w:rFonts w:hint="eastAsia"/>
          <w:sz w:val="24"/>
          <w:szCs w:val="18"/>
          <w:lang w:eastAsia="zh-CN"/>
        </w:rPr>
        <w:t>（</w:t>
      </w:r>
      <w:r>
        <w:rPr>
          <w:rFonts w:hint="eastAsia"/>
          <w:sz w:val="24"/>
          <w:szCs w:val="18"/>
          <w:lang w:val="en-US" w:eastAsia="zh-CN"/>
        </w:rPr>
        <w:t>5</w:t>
      </w:r>
      <w:r>
        <w:rPr>
          <w:rFonts w:hint="eastAsia"/>
          <w:sz w:val="24"/>
          <w:szCs w:val="18"/>
          <w:lang w:eastAsia="zh-CN"/>
        </w:rPr>
        <w:t>）</w:t>
      </w:r>
      <w:r>
        <w:rPr>
          <w:rFonts w:hint="eastAsia"/>
          <w:sz w:val="24"/>
          <w:szCs w:val="18"/>
          <w:lang w:val="en-US" w:eastAsia="zh-CN"/>
        </w:rPr>
        <w:t>《农 业农村部关于开展“十二五</w:t>
      </w:r>
      <w:r>
        <w:rPr>
          <w:rFonts w:hint="eastAsia"/>
          <w:sz w:val="24"/>
          <w:szCs w:val="18"/>
          <w:lang w:val="zh-CN" w:eastAsia="zh-CN"/>
        </w:rPr>
        <w:t>”以来</w:t>
      </w:r>
      <w:r>
        <w:rPr>
          <w:rFonts w:hint="eastAsia"/>
          <w:sz w:val="24"/>
          <w:szCs w:val="18"/>
          <w:lang w:val="en-US" w:eastAsia="zh-CN"/>
        </w:rPr>
        <w:t>髙标准农田建设评估工作的 通知》（农建发〔2019〕4号）</w:t>
      </w:r>
    </w:p>
    <w:p>
      <w:pPr>
        <w:pStyle w:val="23"/>
        <w:spacing w:line="360" w:lineRule="auto"/>
        <w:ind w:firstLine="480" w:firstLineChars="200"/>
        <w:rPr>
          <w:rFonts w:hint="eastAsia"/>
          <w:sz w:val="24"/>
          <w:szCs w:val="18"/>
          <w:lang w:val="en-US" w:eastAsia="zh-CN"/>
        </w:rPr>
      </w:pPr>
      <w:r>
        <w:rPr>
          <w:rFonts w:hint="eastAsia"/>
          <w:sz w:val="24"/>
          <w:szCs w:val="18"/>
          <w:lang w:val="en-US" w:eastAsia="zh-CN"/>
        </w:rPr>
        <w:t>（6）《关于印发</w:t>
      </w:r>
      <w:r>
        <w:rPr>
          <w:rFonts w:hint="eastAsia"/>
          <w:sz w:val="24"/>
          <w:szCs w:val="18"/>
          <w:lang w:val="zh-CN" w:eastAsia="zh-CN"/>
        </w:rPr>
        <w:t>“十</w:t>
      </w:r>
      <w:r>
        <w:rPr>
          <w:rFonts w:hint="eastAsia"/>
          <w:sz w:val="24"/>
          <w:szCs w:val="18"/>
          <w:lang w:val="en-US" w:eastAsia="zh-CN"/>
        </w:rPr>
        <w:t>二五”以来髙标 准农田建设上图入库工作指南等补充文件的函》（农建（监管）〔2019〕23号）</w:t>
      </w:r>
    </w:p>
    <w:p>
      <w:pPr>
        <w:pStyle w:val="23"/>
        <w:spacing w:line="360" w:lineRule="auto"/>
        <w:ind w:firstLine="480" w:firstLineChars="200"/>
        <w:rPr>
          <w:rFonts w:hint="eastAsia"/>
          <w:sz w:val="24"/>
          <w:szCs w:val="18"/>
          <w:lang w:val="en-US" w:eastAsia="zh-CN"/>
        </w:rPr>
      </w:pPr>
      <w:r>
        <w:rPr>
          <w:rFonts w:hint="eastAsia"/>
          <w:sz w:val="24"/>
          <w:szCs w:val="18"/>
          <w:lang w:val="en-US" w:eastAsia="zh-CN"/>
        </w:rPr>
        <w:t>（7）《内蒙古自治区农牧厅关于印发内蒙古自治区关于开展</w:t>
      </w:r>
      <w:r>
        <w:rPr>
          <w:rFonts w:hint="eastAsia"/>
          <w:sz w:val="24"/>
          <w:szCs w:val="18"/>
          <w:lang w:val="zh-CN" w:eastAsia="zh-CN"/>
        </w:rPr>
        <w:t>“十二</w:t>
      </w:r>
      <w:r>
        <w:rPr>
          <w:rFonts w:hint="eastAsia"/>
          <w:sz w:val="24"/>
          <w:szCs w:val="18"/>
          <w:lang w:val="en-US" w:eastAsia="zh-CN"/>
        </w:rPr>
        <w:t>五”以来髙标准农田建设评估工作方案的通知》（内农牧建发〔2019〕311号）</w:t>
      </w:r>
      <w:bookmarkStart w:id="37" w:name="bookmark5"/>
      <w:bookmarkStart w:id="38" w:name="bookmark3"/>
      <w:bookmarkStart w:id="39" w:name="bookmark4"/>
    </w:p>
    <w:p>
      <w:pPr>
        <w:pStyle w:val="23"/>
        <w:spacing w:line="360" w:lineRule="auto"/>
        <w:ind w:firstLine="480" w:firstLineChars="200"/>
        <w:rPr>
          <w:rFonts w:hint="eastAsia"/>
          <w:sz w:val="24"/>
          <w:szCs w:val="18"/>
          <w:lang w:val="en-US" w:eastAsia="zh-CN"/>
        </w:rPr>
      </w:pPr>
      <w:r>
        <w:rPr>
          <w:rFonts w:hint="eastAsia"/>
          <w:sz w:val="24"/>
          <w:szCs w:val="18"/>
          <w:lang w:val="en-US" w:eastAsia="zh-CN"/>
        </w:rPr>
        <w:t>（8）《鄂尔多斯市农牧局关于印发〈鄂尔多斯市关于开展</w:t>
      </w:r>
      <w:r>
        <w:rPr>
          <w:rFonts w:hint="eastAsia"/>
          <w:sz w:val="24"/>
          <w:szCs w:val="18"/>
          <w:lang w:val="zh-CN" w:eastAsia="zh-CN"/>
        </w:rPr>
        <w:t>“十</w:t>
      </w:r>
      <w:r>
        <w:rPr>
          <w:rFonts w:hint="eastAsia"/>
          <w:sz w:val="24"/>
          <w:szCs w:val="18"/>
          <w:lang w:val="en-US" w:eastAsia="zh-CN"/>
        </w:rPr>
        <w:t>二五”以来高标准农田建设评估及上图入库工作方案〉的通知》</w:t>
      </w:r>
      <w:bookmarkEnd w:id="37"/>
      <w:bookmarkEnd w:id="38"/>
      <w:bookmarkEnd w:id="39"/>
      <w:r>
        <w:rPr>
          <w:rFonts w:hint="eastAsia"/>
          <w:sz w:val="24"/>
          <w:szCs w:val="18"/>
          <w:lang w:val="en-US" w:eastAsia="zh-CN"/>
        </w:rPr>
        <w:t>（鄂农牧发（2019）221号）</w:t>
      </w:r>
    </w:p>
    <w:p>
      <w:pPr>
        <w:pStyle w:val="23"/>
        <w:spacing w:line="360" w:lineRule="auto"/>
        <w:ind w:firstLine="480" w:firstLineChars="200"/>
        <w:rPr>
          <w:rFonts w:hint="eastAsia"/>
          <w:sz w:val="24"/>
          <w:szCs w:val="18"/>
        </w:rPr>
      </w:pPr>
      <w:r>
        <w:rPr>
          <w:rFonts w:hint="eastAsia"/>
          <w:sz w:val="24"/>
          <w:szCs w:val="18"/>
          <w:lang w:val="en-US" w:eastAsia="zh-CN"/>
        </w:rPr>
        <w:t>（9）</w:t>
      </w:r>
      <w:r>
        <w:rPr>
          <w:rFonts w:hint="eastAsia"/>
          <w:sz w:val="24"/>
          <w:szCs w:val="18"/>
        </w:rPr>
        <w:t>《政府购买服务管理办法（暂行）》（财综〔2014〕96号）</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10</w:t>
      </w:r>
      <w:r>
        <w:rPr>
          <w:rFonts w:hint="eastAsia"/>
          <w:sz w:val="24"/>
          <w:szCs w:val="18"/>
          <w:lang w:eastAsia="zh-CN"/>
        </w:rPr>
        <w:t>）</w:t>
      </w:r>
      <w:r>
        <w:rPr>
          <w:rFonts w:hint="eastAsia"/>
          <w:sz w:val="24"/>
          <w:szCs w:val="18"/>
        </w:rPr>
        <w:t>《政府采购竞争性磋商采购方式管理暂行办法》（财库〔2014〕214号）</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11</w:t>
      </w:r>
      <w:r>
        <w:rPr>
          <w:rFonts w:hint="eastAsia"/>
          <w:sz w:val="24"/>
          <w:szCs w:val="18"/>
          <w:lang w:eastAsia="zh-CN"/>
        </w:rPr>
        <w:t>）</w:t>
      </w:r>
      <w:r>
        <w:rPr>
          <w:rFonts w:hint="eastAsia"/>
          <w:sz w:val="24"/>
          <w:szCs w:val="18"/>
        </w:rPr>
        <w:t>《内蒙古自治区政府向社会力量购买服务管理办法》（内政办发〔2015〕154号）</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12</w:t>
      </w:r>
      <w:r>
        <w:rPr>
          <w:rFonts w:hint="eastAsia"/>
          <w:sz w:val="24"/>
          <w:szCs w:val="18"/>
          <w:lang w:eastAsia="zh-CN"/>
        </w:rPr>
        <w:t>）</w:t>
      </w:r>
      <w:r>
        <w:rPr>
          <w:rFonts w:hint="eastAsia"/>
          <w:sz w:val="24"/>
          <w:szCs w:val="18"/>
        </w:rPr>
        <w:t>《鄂尔多斯市人民政府办公厅关于印发&lt;政府向社会力量购买服务实施方案&gt;的通知》（鄂府办发〔2015〕65号）</w:t>
      </w:r>
    </w:p>
    <w:bookmarkEnd w:id="17"/>
    <w:p>
      <w:pPr>
        <w:pStyle w:val="23"/>
        <w:spacing w:line="360" w:lineRule="auto"/>
        <w:jc w:val="center"/>
        <w:rPr>
          <w:rFonts w:hint="eastAsia"/>
          <w:sz w:val="24"/>
          <w:szCs w:val="18"/>
          <w:lang w:val="en-US" w:eastAsia="zh-CN"/>
        </w:rPr>
      </w:pPr>
      <w:r>
        <w:rPr>
          <w:rFonts w:hint="eastAsia"/>
          <w:sz w:val="24"/>
          <w:szCs w:val="18"/>
          <w:lang w:val="en-US" w:eastAsia="zh-CN"/>
        </w:rPr>
        <w:t>四、购买主体</w:t>
      </w:r>
    </w:p>
    <w:p>
      <w:pPr>
        <w:pStyle w:val="23"/>
        <w:spacing w:line="360" w:lineRule="auto"/>
        <w:ind w:firstLine="480" w:firstLineChars="200"/>
        <w:rPr>
          <w:rFonts w:hint="default"/>
          <w:sz w:val="24"/>
          <w:szCs w:val="18"/>
          <w:lang w:val="en-US" w:eastAsia="zh-CN"/>
        </w:rPr>
      </w:pPr>
      <w:r>
        <w:rPr>
          <w:rFonts w:hint="eastAsia"/>
          <w:sz w:val="24"/>
          <w:szCs w:val="18"/>
          <w:lang w:val="en-US" w:eastAsia="zh-CN"/>
        </w:rPr>
        <w:t>鄂托克前旗农牧业综合开发中心</w:t>
      </w:r>
    </w:p>
    <w:p>
      <w:pPr>
        <w:pStyle w:val="23"/>
        <w:spacing w:line="360" w:lineRule="auto"/>
        <w:jc w:val="center"/>
        <w:rPr>
          <w:rFonts w:hint="eastAsia"/>
          <w:sz w:val="24"/>
          <w:szCs w:val="18"/>
        </w:rPr>
      </w:pPr>
      <w:bookmarkStart w:id="40" w:name="_Toc23140"/>
      <w:bookmarkStart w:id="41" w:name="_Toc29650_WPSOffice_Level2"/>
      <w:bookmarkStart w:id="42" w:name="_Toc513015442"/>
      <w:bookmarkStart w:id="43" w:name="_Toc663_WPSOffice_Level2"/>
      <w:r>
        <w:rPr>
          <w:rFonts w:hint="eastAsia"/>
          <w:sz w:val="24"/>
          <w:szCs w:val="18"/>
          <w:lang w:eastAsia="zh-CN"/>
        </w:rPr>
        <w:t>五、购买</w:t>
      </w:r>
      <w:r>
        <w:rPr>
          <w:rFonts w:hint="eastAsia"/>
          <w:sz w:val="24"/>
          <w:szCs w:val="18"/>
        </w:rPr>
        <w:t>内容质量标准</w:t>
      </w:r>
      <w:bookmarkEnd w:id="40"/>
      <w:bookmarkEnd w:id="41"/>
      <w:bookmarkEnd w:id="42"/>
      <w:bookmarkEnd w:id="43"/>
    </w:p>
    <w:p>
      <w:pPr>
        <w:pStyle w:val="23"/>
        <w:spacing w:line="360" w:lineRule="auto"/>
        <w:rPr>
          <w:rFonts w:hint="eastAsia"/>
          <w:sz w:val="24"/>
          <w:szCs w:val="18"/>
        </w:rPr>
      </w:pPr>
      <w:r>
        <w:rPr>
          <w:rFonts w:hint="eastAsia"/>
          <w:sz w:val="24"/>
          <w:szCs w:val="18"/>
          <w:lang w:eastAsia="zh-CN"/>
        </w:rPr>
        <w:t>（一）</w:t>
      </w:r>
      <w:r>
        <w:rPr>
          <w:rFonts w:hint="eastAsia"/>
          <w:sz w:val="24"/>
          <w:szCs w:val="18"/>
        </w:rPr>
        <w:t>项目购买内容</w:t>
      </w:r>
    </w:p>
    <w:p>
      <w:pPr>
        <w:pStyle w:val="23"/>
        <w:spacing w:line="360" w:lineRule="auto"/>
        <w:ind w:firstLine="480" w:firstLineChars="200"/>
        <w:rPr>
          <w:rFonts w:hint="eastAsia"/>
          <w:sz w:val="24"/>
          <w:szCs w:val="18"/>
        </w:rPr>
      </w:pPr>
      <w:r>
        <w:rPr>
          <w:rFonts w:hint="eastAsia"/>
          <w:sz w:val="24"/>
          <w:szCs w:val="18"/>
        </w:rPr>
        <w:t>鄂托克前旗</w:t>
      </w:r>
      <w:r>
        <w:rPr>
          <w:rFonts w:hint="eastAsia"/>
          <w:sz w:val="24"/>
          <w:szCs w:val="18"/>
          <w:lang w:eastAsia="zh-CN"/>
        </w:rPr>
        <w:t>“十二五”以来高标准农田建设项目上图入库及三年规划</w:t>
      </w:r>
      <w:r>
        <w:rPr>
          <w:rFonts w:hint="eastAsia"/>
          <w:sz w:val="24"/>
          <w:szCs w:val="18"/>
        </w:rPr>
        <w:t>服务按工作内容划分具体包括：</w:t>
      </w:r>
    </w:p>
    <w:p>
      <w:pPr>
        <w:pStyle w:val="23"/>
        <w:spacing w:line="360" w:lineRule="auto"/>
        <w:ind w:firstLine="480" w:firstLineChars="200"/>
        <w:rPr>
          <w:rFonts w:hint="eastAsia"/>
          <w:sz w:val="24"/>
          <w:szCs w:val="18"/>
          <w:lang w:eastAsia="zh-CN"/>
        </w:rPr>
      </w:pPr>
      <w:r>
        <w:rPr>
          <w:rFonts w:hint="eastAsia"/>
          <w:sz w:val="24"/>
          <w:szCs w:val="18"/>
          <w:lang w:val="en-US" w:eastAsia="zh-CN"/>
        </w:rPr>
        <w:t>1.</w:t>
      </w:r>
      <w:r>
        <w:rPr>
          <w:rFonts w:hint="eastAsia"/>
          <w:sz w:val="24"/>
          <w:szCs w:val="18"/>
          <w:lang w:eastAsia="zh-CN"/>
        </w:rPr>
        <w:t>对照历年自然资源、水利、财政、发改和农牧等部门十二五以来实施的农田建设项目资料进行现场清查及评估分析。</w:t>
      </w:r>
    </w:p>
    <w:p>
      <w:pPr>
        <w:pStyle w:val="23"/>
        <w:spacing w:line="360" w:lineRule="auto"/>
        <w:ind w:firstLine="480" w:firstLineChars="200"/>
        <w:rPr>
          <w:rFonts w:hint="eastAsia"/>
          <w:sz w:val="24"/>
          <w:szCs w:val="18"/>
          <w:lang w:eastAsia="zh-CN"/>
        </w:rPr>
      </w:pPr>
      <w:r>
        <w:rPr>
          <w:rFonts w:hint="eastAsia"/>
          <w:sz w:val="24"/>
          <w:szCs w:val="18"/>
          <w:lang w:val="en-US" w:eastAsia="zh-CN"/>
        </w:rPr>
        <w:t>2.</w:t>
      </w:r>
      <w:r>
        <w:rPr>
          <w:rFonts w:hint="eastAsia"/>
          <w:sz w:val="24"/>
          <w:szCs w:val="18"/>
          <w:lang w:eastAsia="zh-CN"/>
        </w:rPr>
        <w:t>按照相关文件要求对项目信息进行完善和上图入库，形成数据包并通过光盘汇交上报。</w:t>
      </w:r>
    </w:p>
    <w:p>
      <w:pPr>
        <w:pStyle w:val="23"/>
        <w:spacing w:line="360" w:lineRule="auto"/>
        <w:ind w:firstLine="480" w:firstLineChars="200"/>
        <w:rPr>
          <w:rFonts w:hint="eastAsia"/>
          <w:sz w:val="24"/>
          <w:szCs w:val="18"/>
          <w:lang w:eastAsia="zh-CN"/>
        </w:rPr>
      </w:pPr>
      <w:r>
        <w:rPr>
          <w:rFonts w:hint="eastAsia"/>
          <w:sz w:val="24"/>
          <w:szCs w:val="18"/>
          <w:lang w:val="en-US" w:eastAsia="zh-CN"/>
        </w:rPr>
        <w:t>3.</w:t>
      </w:r>
      <w:r>
        <w:rPr>
          <w:rFonts w:hint="eastAsia"/>
          <w:sz w:val="24"/>
          <w:szCs w:val="18"/>
          <w:lang w:eastAsia="zh-CN"/>
        </w:rPr>
        <w:t>通过评估分析和上图入库，以国土二次调查图（</w:t>
      </w:r>
      <w:r>
        <w:rPr>
          <w:rFonts w:hint="eastAsia"/>
          <w:sz w:val="24"/>
          <w:szCs w:val="18"/>
          <w:lang w:val="en-US" w:eastAsia="zh-CN"/>
        </w:rPr>
        <w:t>或三次调查图，为最新数据</w:t>
      </w:r>
      <w:r>
        <w:rPr>
          <w:rFonts w:hint="eastAsia"/>
          <w:sz w:val="24"/>
          <w:szCs w:val="18"/>
          <w:lang w:eastAsia="zh-CN"/>
        </w:rPr>
        <w:t>）为依据，作出未来三年全旗高标准农田建设规划。</w:t>
      </w:r>
    </w:p>
    <w:p>
      <w:pPr>
        <w:pStyle w:val="23"/>
        <w:spacing w:line="360" w:lineRule="auto"/>
        <w:ind w:firstLine="480" w:firstLineChars="200"/>
        <w:rPr>
          <w:rFonts w:hint="eastAsia"/>
          <w:sz w:val="24"/>
          <w:szCs w:val="18"/>
        </w:rPr>
      </w:pPr>
      <w:r>
        <w:rPr>
          <w:rFonts w:hint="eastAsia"/>
          <w:sz w:val="24"/>
          <w:szCs w:val="18"/>
        </w:rPr>
        <w:t>自20</w:t>
      </w:r>
      <w:r>
        <w:rPr>
          <w:rFonts w:hint="eastAsia"/>
          <w:sz w:val="24"/>
          <w:szCs w:val="18"/>
          <w:lang w:val="en-US" w:eastAsia="zh-CN"/>
        </w:rPr>
        <w:t>20</w:t>
      </w:r>
      <w:r>
        <w:rPr>
          <w:rFonts w:hint="eastAsia"/>
          <w:sz w:val="24"/>
          <w:szCs w:val="18"/>
        </w:rPr>
        <w:t>年</w:t>
      </w:r>
      <w:r>
        <w:rPr>
          <w:rFonts w:hint="eastAsia"/>
          <w:sz w:val="24"/>
          <w:szCs w:val="18"/>
          <w:lang w:val="en-US" w:eastAsia="zh-CN"/>
        </w:rPr>
        <w:t>4</w:t>
      </w:r>
      <w:r>
        <w:rPr>
          <w:rFonts w:hint="eastAsia"/>
          <w:sz w:val="24"/>
          <w:szCs w:val="18"/>
        </w:rPr>
        <w:t>月</w:t>
      </w:r>
      <w:r>
        <w:rPr>
          <w:rFonts w:hint="eastAsia"/>
          <w:sz w:val="24"/>
          <w:szCs w:val="18"/>
          <w:lang w:val="en-US" w:eastAsia="zh-CN"/>
        </w:rPr>
        <w:t>15</w:t>
      </w:r>
      <w:r>
        <w:rPr>
          <w:rFonts w:hint="eastAsia"/>
          <w:sz w:val="24"/>
          <w:szCs w:val="18"/>
        </w:rPr>
        <w:t>日起，至202</w:t>
      </w:r>
      <w:r>
        <w:rPr>
          <w:rFonts w:hint="eastAsia"/>
          <w:sz w:val="24"/>
          <w:szCs w:val="18"/>
          <w:lang w:val="en-US" w:eastAsia="zh-CN"/>
        </w:rPr>
        <w:t>0</w:t>
      </w:r>
      <w:r>
        <w:rPr>
          <w:rFonts w:hint="eastAsia"/>
          <w:sz w:val="24"/>
          <w:szCs w:val="18"/>
        </w:rPr>
        <w:t>年</w:t>
      </w:r>
      <w:r>
        <w:rPr>
          <w:rFonts w:hint="eastAsia"/>
          <w:sz w:val="24"/>
          <w:szCs w:val="18"/>
          <w:lang w:val="en-US" w:eastAsia="zh-CN"/>
        </w:rPr>
        <w:t>6</w:t>
      </w:r>
      <w:r>
        <w:rPr>
          <w:rFonts w:hint="eastAsia"/>
          <w:sz w:val="24"/>
          <w:szCs w:val="18"/>
        </w:rPr>
        <w:t>月</w:t>
      </w:r>
      <w:r>
        <w:rPr>
          <w:rFonts w:hint="eastAsia"/>
          <w:sz w:val="24"/>
          <w:szCs w:val="18"/>
          <w:lang w:val="en-US" w:eastAsia="zh-CN"/>
        </w:rPr>
        <w:t>15</w:t>
      </w:r>
      <w:r>
        <w:rPr>
          <w:rFonts w:hint="eastAsia"/>
          <w:sz w:val="24"/>
          <w:szCs w:val="18"/>
        </w:rPr>
        <w:t>日止。</w:t>
      </w:r>
    </w:p>
    <w:p>
      <w:pPr>
        <w:pStyle w:val="23"/>
        <w:spacing w:line="360" w:lineRule="auto"/>
        <w:rPr>
          <w:rFonts w:hint="eastAsia"/>
          <w:sz w:val="24"/>
          <w:szCs w:val="18"/>
        </w:rPr>
      </w:pPr>
      <w:r>
        <w:rPr>
          <w:rFonts w:hint="eastAsia"/>
          <w:sz w:val="24"/>
          <w:szCs w:val="18"/>
        </w:rPr>
        <w:t>购买内容合规性</w:t>
      </w:r>
    </w:p>
    <w:p>
      <w:pPr>
        <w:pStyle w:val="23"/>
        <w:spacing w:line="360" w:lineRule="auto"/>
        <w:ind w:firstLine="480" w:firstLineChars="200"/>
        <w:rPr>
          <w:rFonts w:hint="eastAsia"/>
          <w:sz w:val="24"/>
          <w:szCs w:val="18"/>
        </w:rPr>
      </w:pPr>
      <w:r>
        <w:rPr>
          <w:rFonts w:hint="eastAsia"/>
          <w:sz w:val="24"/>
          <w:szCs w:val="18"/>
        </w:rPr>
        <w:t>1.鄂托克前旗</w:t>
      </w:r>
      <w:r>
        <w:rPr>
          <w:rFonts w:hint="eastAsia"/>
          <w:sz w:val="24"/>
          <w:szCs w:val="18"/>
          <w:lang w:eastAsia="zh-CN"/>
        </w:rPr>
        <w:t>“十二五”以来高标准农田上图入库及三年规划</w:t>
      </w:r>
      <w:r>
        <w:rPr>
          <w:rFonts w:hint="eastAsia"/>
          <w:sz w:val="24"/>
          <w:szCs w:val="18"/>
        </w:rPr>
        <w:t>服务在“鄂尔多斯市政府向社会购买服务指导性目录”中，属于</w:t>
      </w:r>
      <w:r>
        <w:rPr>
          <w:rFonts w:hint="eastAsia"/>
          <w:sz w:val="24"/>
          <w:szCs w:val="18"/>
          <w:lang w:val="en-US" w:eastAsia="zh-CN"/>
        </w:rPr>
        <w:t>公共服务事项服务三农（牧）类</w:t>
      </w:r>
      <w:r>
        <w:rPr>
          <w:rFonts w:hint="eastAsia"/>
          <w:sz w:val="24"/>
          <w:szCs w:val="18"/>
        </w:rPr>
        <w:t>，符合相关规定。</w:t>
      </w:r>
    </w:p>
    <w:p>
      <w:pPr>
        <w:pStyle w:val="23"/>
        <w:spacing w:line="360" w:lineRule="auto"/>
        <w:ind w:firstLine="480" w:firstLineChars="200"/>
        <w:rPr>
          <w:rFonts w:hint="eastAsia"/>
          <w:sz w:val="24"/>
          <w:szCs w:val="18"/>
        </w:rPr>
      </w:pPr>
      <w:r>
        <w:rPr>
          <w:rFonts w:hint="eastAsia"/>
          <w:sz w:val="24"/>
          <w:szCs w:val="18"/>
        </w:rPr>
        <w:t>2.政府向社会力量购买服务的内容为适合采取市场化的方式提供，社会力量能够承担的公共服务，具有显著的公共性和公益性。</w:t>
      </w:r>
      <w:r>
        <w:rPr>
          <w:rFonts w:hint="eastAsia"/>
          <w:sz w:val="24"/>
          <w:szCs w:val="18"/>
          <w:lang w:eastAsia="zh-CN"/>
        </w:rPr>
        <w:t>且符合本项目的要求的专业性和实效性。</w:t>
      </w:r>
      <w:r>
        <w:rPr>
          <w:rFonts w:hint="eastAsia"/>
          <w:sz w:val="24"/>
          <w:szCs w:val="18"/>
        </w:rPr>
        <w:t>因此，本项目是可以购买的服务类项目。</w:t>
      </w:r>
    </w:p>
    <w:p>
      <w:pPr>
        <w:pStyle w:val="23"/>
        <w:spacing w:line="360" w:lineRule="auto"/>
        <w:rPr>
          <w:rFonts w:hint="eastAsia"/>
          <w:sz w:val="24"/>
          <w:szCs w:val="18"/>
        </w:rPr>
      </w:pPr>
      <w:r>
        <w:rPr>
          <w:rFonts w:hint="eastAsia"/>
          <w:sz w:val="24"/>
          <w:szCs w:val="18"/>
          <w:lang w:eastAsia="zh-CN"/>
        </w:rPr>
        <w:t>（三）</w:t>
      </w:r>
      <w:r>
        <w:rPr>
          <w:rFonts w:hint="eastAsia"/>
          <w:sz w:val="24"/>
          <w:szCs w:val="18"/>
        </w:rPr>
        <w:t>受益对象范围分析</w:t>
      </w:r>
    </w:p>
    <w:p>
      <w:pPr>
        <w:pStyle w:val="23"/>
        <w:spacing w:line="360" w:lineRule="auto"/>
        <w:ind w:firstLine="480" w:firstLineChars="200"/>
        <w:rPr>
          <w:rFonts w:hint="eastAsia"/>
          <w:sz w:val="24"/>
          <w:szCs w:val="18"/>
        </w:rPr>
      </w:pPr>
      <w:r>
        <w:rPr>
          <w:rFonts w:hint="eastAsia"/>
          <w:sz w:val="24"/>
          <w:szCs w:val="18"/>
        </w:rPr>
        <w:t>本项目</w:t>
      </w:r>
      <w:r>
        <w:rPr>
          <w:rFonts w:hint="eastAsia"/>
          <w:sz w:val="24"/>
          <w:szCs w:val="18"/>
          <w:lang w:eastAsia="zh-CN"/>
        </w:rPr>
        <w:t>旨在全面摸清我旗农田建设情况并上报农业农村部统一上图入库，实现全国“一张图”提供数据，同时为我旗今后农田建设及项目争取提供有力可靠数据。</w:t>
      </w:r>
      <w:r>
        <w:rPr>
          <w:rFonts w:hint="eastAsia"/>
          <w:sz w:val="24"/>
          <w:szCs w:val="18"/>
        </w:rPr>
        <w:t>受益</w:t>
      </w:r>
      <w:r>
        <w:rPr>
          <w:rFonts w:hint="eastAsia"/>
          <w:sz w:val="24"/>
          <w:szCs w:val="18"/>
          <w:lang w:eastAsia="zh-CN"/>
        </w:rPr>
        <w:t>范围涉及全旗群众</w:t>
      </w:r>
      <w:r>
        <w:rPr>
          <w:rFonts w:hint="eastAsia"/>
          <w:sz w:val="24"/>
          <w:szCs w:val="18"/>
        </w:rPr>
        <w:t>。</w:t>
      </w:r>
      <w:r>
        <w:rPr>
          <w:rFonts w:hint="eastAsia"/>
          <w:sz w:val="24"/>
          <w:szCs w:val="18"/>
          <w:lang w:eastAsia="zh-CN"/>
        </w:rPr>
        <w:t>对实施“乡村振兴战略”，</w:t>
      </w:r>
      <w:r>
        <w:rPr>
          <w:rFonts w:hint="eastAsia"/>
          <w:sz w:val="24"/>
          <w:szCs w:val="18"/>
        </w:rPr>
        <w:t>提高人民生活质量</w:t>
      </w:r>
      <w:r>
        <w:rPr>
          <w:rFonts w:hint="eastAsia"/>
          <w:sz w:val="24"/>
          <w:szCs w:val="18"/>
          <w:lang w:eastAsia="zh-CN"/>
        </w:rPr>
        <w:t>和全旗规划提供科学准确数据</w:t>
      </w:r>
      <w:r>
        <w:rPr>
          <w:rFonts w:hint="eastAsia"/>
          <w:sz w:val="24"/>
          <w:szCs w:val="18"/>
        </w:rPr>
        <w:t>。</w:t>
      </w:r>
    </w:p>
    <w:p>
      <w:pPr>
        <w:pStyle w:val="23"/>
        <w:spacing w:line="360" w:lineRule="auto"/>
        <w:rPr>
          <w:rFonts w:hint="eastAsia"/>
          <w:sz w:val="24"/>
          <w:szCs w:val="18"/>
        </w:rPr>
      </w:pPr>
      <w:r>
        <w:rPr>
          <w:rFonts w:hint="eastAsia"/>
          <w:sz w:val="24"/>
          <w:szCs w:val="18"/>
          <w:lang w:eastAsia="zh-CN"/>
        </w:rPr>
        <w:t>（四）</w:t>
      </w:r>
      <w:r>
        <w:rPr>
          <w:rFonts w:hint="eastAsia"/>
          <w:sz w:val="24"/>
          <w:szCs w:val="18"/>
        </w:rPr>
        <w:t>服务质量标准及要求</w:t>
      </w:r>
    </w:p>
    <w:p>
      <w:pPr>
        <w:pStyle w:val="23"/>
        <w:spacing w:line="360" w:lineRule="auto"/>
        <w:ind w:firstLine="480" w:firstLineChars="200"/>
        <w:rPr>
          <w:rFonts w:hint="eastAsia"/>
          <w:sz w:val="24"/>
          <w:szCs w:val="18"/>
        </w:rPr>
      </w:pPr>
      <w:r>
        <w:rPr>
          <w:rFonts w:hint="eastAsia"/>
          <w:sz w:val="24"/>
          <w:szCs w:val="18"/>
        </w:rPr>
        <w:t>本项目承接主体应当严格按照国家、自治区相关</w:t>
      </w:r>
      <w:r>
        <w:rPr>
          <w:rFonts w:hint="eastAsia"/>
          <w:sz w:val="24"/>
          <w:szCs w:val="18"/>
          <w:lang w:eastAsia="zh-CN"/>
        </w:rPr>
        <w:t>文件精神</w:t>
      </w:r>
      <w:r>
        <w:rPr>
          <w:rFonts w:hint="eastAsia"/>
          <w:sz w:val="24"/>
          <w:szCs w:val="18"/>
        </w:rPr>
        <w:t>履行服务的相关工作，保证服务工作的</w:t>
      </w:r>
      <w:r>
        <w:rPr>
          <w:rFonts w:hint="eastAsia"/>
          <w:sz w:val="24"/>
          <w:szCs w:val="18"/>
          <w:lang w:eastAsia="zh-CN"/>
        </w:rPr>
        <w:t>高质量按时完成</w:t>
      </w:r>
      <w:r>
        <w:rPr>
          <w:rFonts w:hint="eastAsia"/>
          <w:sz w:val="24"/>
          <w:szCs w:val="18"/>
        </w:rPr>
        <w:t>。</w:t>
      </w:r>
    </w:p>
    <w:p>
      <w:pPr>
        <w:pStyle w:val="23"/>
        <w:spacing w:line="360" w:lineRule="auto"/>
        <w:rPr>
          <w:rFonts w:hint="eastAsia"/>
          <w:sz w:val="24"/>
          <w:szCs w:val="18"/>
        </w:rPr>
      </w:pPr>
      <w:r>
        <w:rPr>
          <w:rFonts w:hint="eastAsia"/>
          <w:sz w:val="24"/>
          <w:szCs w:val="18"/>
        </w:rPr>
        <w:t>根据项目内需要提供的不同服务，确定相应具体标准及要求如下：</w:t>
      </w:r>
    </w:p>
    <w:p>
      <w:pPr>
        <w:pStyle w:val="23"/>
        <w:spacing w:line="360" w:lineRule="auto"/>
        <w:ind w:firstLine="480" w:firstLineChars="200"/>
        <w:rPr>
          <w:rFonts w:hint="eastAsia"/>
          <w:sz w:val="24"/>
          <w:szCs w:val="18"/>
        </w:rPr>
      </w:pPr>
      <w:bookmarkStart w:id="44" w:name="_Toc8768_WPSOffice_Level2"/>
      <w:bookmarkStart w:id="45" w:name="_Toc1985_WPSOffice_Level2"/>
      <w:bookmarkStart w:id="46" w:name="_Toc513015443"/>
      <w:bookmarkStart w:id="47" w:name="_Toc26748"/>
      <w:r>
        <w:rPr>
          <w:rFonts w:hint="eastAsia"/>
          <w:sz w:val="24"/>
          <w:szCs w:val="18"/>
        </w:rPr>
        <w:t>与自然资源部门对接运用共享最新土地利用现状数据，并应用农业农村部开发的“髙标准农田建设上图入库及数据质量检验管理软件”(以下简称“上图入库管理软件”)进行上图入库工作，工作流程如下：</w:t>
      </w:r>
    </w:p>
    <w:p>
      <w:pPr>
        <w:pStyle w:val="23"/>
        <w:spacing w:line="360" w:lineRule="auto"/>
        <w:ind w:firstLine="480" w:firstLineChars="200"/>
        <w:rPr>
          <w:rFonts w:hint="eastAsia"/>
          <w:sz w:val="24"/>
          <w:szCs w:val="18"/>
        </w:rPr>
      </w:pPr>
      <w:bookmarkStart w:id="48" w:name="bookmark12"/>
      <w:r>
        <w:rPr>
          <w:rFonts w:hint="eastAsia"/>
          <w:sz w:val="24"/>
          <w:szCs w:val="18"/>
        </w:rPr>
        <w:t>1</w:t>
      </w:r>
      <w:bookmarkEnd w:id="48"/>
      <w:r>
        <w:rPr>
          <w:rFonts w:hint="eastAsia"/>
          <w:sz w:val="24"/>
          <w:szCs w:val="18"/>
          <w:lang w:val="en-US" w:eastAsia="zh-CN"/>
        </w:rPr>
        <w:t>.</w:t>
      </w:r>
      <w:r>
        <w:rPr>
          <w:rFonts w:hint="eastAsia"/>
          <w:sz w:val="24"/>
          <w:szCs w:val="18"/>
        </w:rPr>
        <w:t>整理资料数据。根据项目批复文件、验收文件等，结合清理检查现场工作底稿，核实髙标准农田建设项目名称、建设地点、建设规模、髙标准农田建设面积、建成髙标准农田质量等级等信息。</w:t>
      </w:r>
    </w:p>
    <w:p>
      <w:pPr>
        <w:pStyle w:val="23"/>
        <w:spacing w:line="360" w:lineRule="auto"/>
        <w:ind w:firstLine="480" w:firstLineChars="200"/>
        <w:rPr>
          <w:rFonts w:hint="eastAsia"/>
          <w:sz w:val="24"/>
          <w:szCs w:val="18"/>
        </w:rPr>
      </w:pPr>
      <w:bookmarkStart w:id="49" w:name="bookmark13"/>
      <w:r>
        <w:rPr>
          <w:rFonts w:hint="eastAsia"/>
          <w:sz w:val="24"/>
          <w:szCs w:val="18"/>
        </w:rPr>
        <w:t>2</w:t>
      </w:r>
      <w:bookmarkEnd w:id="49"/>
      <w:r>
        <w:rPr>
          <w:rFonts w:hint="eastAsia"/>
          <w:sz w:val="24"/>
          <w:szCs w:val="18"/>
          <w:lang w:val="en-US" w:eastAsia="zh-CN"/>
        </w:rPr>
        <w:t>.</w:t>
      </w:r>
      <w:r>
        <w:rPr>
          <w:rFonts w:hint="eastAsia"/>
          <w:sz w:val="24"/>
          <w:szCs w:val="18"/>
        </w:rPr>
        <w:t>统一工作底图。登录上图入库管理软件，将与旗区自然资源部门共享的最新土地利用现状数据导入，作为髙标准农田建设项目上图入库的“统一工作底图”。</w:t>
      </w:r>
    </w:p>
    <w:p>
      <w:pPr>
        <w:pStyle w:val="23"/>
        <w:spacing w:line="360" w:lineRule="auto"/>
        <w:ind w:firstLine="480" w:firstLineChars="200"/>
        <w:rPr>
          <w:rFonts w:hint="eastAsia"/>
          <w:sz w:val="24"/>
          <w:szCs w:val="18"/>
        </w:rPr>
      </w:pPr>
      <w:bookmarkStart w:id="50" w:name="bookmark14"/>
      <w:r>
        <w:rPr>
          <w:rFonts w:hint="eastAsia"/>
          <w:sz w:val="24"/>
          <w:szCs w:val="18"/>
        </w:rPr>
        <w:t>3</w:t>
      </w:r>
      <w:bookmarkEnd w:id="50"/>
      <w:r>
        <w:rPr>
          <w:rFonts w:hint="eastAsia"/>
          <w:sz w:val="24"/>
          <w:szCs w:val="18"/>
          <w:lang w:val="en-US" w:eastAsia="zh-CN"/>
        </w:rPr>
        <w:t>.</w:t>
      </w:r>
      <w:r>
        <w:rPr>
          <w:rFonts w:hint="eastAsia"/>
          <w:sz w:val="24"/>
          <w:szCs w:val="18"/>
        </w:rPr>
        <w:t>填报项目表单数据。根据髙标准农田建设项目是否入库情况，按照整理汇总的项目数据，在上图入库管理软件中逐项填报项目表单信息。</w:t>
      </w:r>
    </w:p>
    <w:p>
      <w:pPr>
        <w:pStyle w:val="23"/>
        <w:spacing w:line="360" w:lineRule="auto"/>
        <w:ind w:firstLine="480" w:firstLineChars="200"/>
        <w:rPr>
          <w:rFonts w:hint="eastAsia"/>
          <w:sz w:val="24"/>
          <w:szCs w:val="18"/>
        </w:rPr>
      </w:pPr>
      <w:bookmarkStart w:id="51" w:name="bookmark15"/>
      <w:r>
        <w:rPr>
          <w:rFonts w:hint="eastAsia"/>
          <w:sz w:val="24"/>
          <w:szCs w:val="18"/>
        </w:rPr>
        <w:t>4</w:t>
      </w:r>
      <w:bookmarkEnd w:id="51"/>
      <w:r>
        <w:rPr>
          <w:rFonts w:hint="eastAsia"/>
          <w:sz w:val="24"/>
          <w:szCs w:val="18"/>
          <w:lang w:val="en-US" w:eastAsia="zh-CN"/>
        </w:rPr>
        <w:t>.</w:t>
      </w:r>
      <w:r>
        <w:rPr>
          <w:rFonts w:hint="eastAsia"/>
          <w:sz w:val="24"/>
          <w:szCs w:val="18"/>
        </w:rPr>
        <w:t>选择以下方式标绘项目区和髙标准农田地块范围界线。</w:t>
      </w:r>
    </w:p>
    <w:p>
      <w:pPr>
        <w:pStyle w:val="23"/>
        <w:spacing w:line="360" w:lineRule="auto"/>
        <w:rPr>
          <w:rFonts w:hint="eastAsia"/>
          <w:sz w:val="24"/>
          <w:szCs w:val="18"/>
        </w:rPr>
      </w:pPr>
      <w:bookmarkStart w:id="52" w:name="bookmark16"/>
      <w:bookmarkEnd w:id="52"/>
      <w:r>
        <w:rPr>
          <w:rFonts w:hint="eastAsia"/>
          <w:sz w:val="24"/>
          <w:szCs w:val="18"/>
          <w:lang w:eastAsia="zh-CN"/>
        </w:rPr>
        <w:t>（</w:t>
      </w:r>
      <w:r>
        <w:rPr>
          <w:rFonts w:hint="eastAsia"/>
          <w:sz w:val="24"/>
          <w:szCs w:val="18"/>
          <w:lang w:val="en-US" w:eastAsia="zh-CN"/>
        </w:rPr>
        <w:t>1</w:t>
      </w:r>
      <w:r>
        <w:rPr>
          <w:rFonts w:hint="eastAsia"/>
          <w:sz w:val="24"/>
          <w:szCs w:val="18"/>
          <w:lang w:eastAsia="zh-CN"/>
        </w:rPr>
        <w:t>）</w:t>
      </w:r>
      <w:r>
        <w:rPr>
          <w:rFonts w:hint="eastAsia"/>
          <w:sz w:val="24"/>
          <w:szCs w:val="18"/>
        </w:rPr>
        <w:t>直接标绘项目区范围。根据项目示意图、项目位置说明等，直接在上图入库管理软件上将项目区标绘在数据底图相应位置，并根据数据库中相关地类图斑范围确定项目区范围界线。</w:t>
      </w:r>
      <w:bookmarkStart w:id="53" w:name="bookmark17"/>
      <w:bookmarkEnd w:id="53"/>
    </w:p>
    <w:p>
      <w:pPr>
        <w:pStyle w:val="23"/>
        <w:spacing w:line="360" w:lineRule="auto"/>
        <w:rPr>
          <w:rFonts w:hint="eastAsia"/>
          <w:sz w:val="24"/>
          <w:szCs w:val="18"/>
        </w:rPr>
      </w:pPr>
      <w:r>
        <w:rPr>
          <w:rFonts w:hint="eastAsia"/>
          <w:sz w:val="24"/>
          <w:szCs w:val="18"/>
          <w:lang w:eastAsia="zh-CN"/>
        </w:rPr>
        <w:t>（</w:t>
      </w:r>
      <w:r>
        <w:rPr>
          <w:rFonts w:hint="eastAsia"/>
          <w:sz w:val="24"/>
          <w:szCs w:val="18"/>
          <w:lang w:val="en-US" w:eastAsia="zh-CN"/>
        </w:rPr>
        <w:t>2</w:t>
      </w:r>
      <w:r>
        <w:rPr>
          <w:rFonts w:hint="eastAsia"/>
          <w:sz w:val="24"/>
          <w:szCs w:val="18"/>
          <w:lang w:eastAsia="zh-CN"/>
        </w:rPr>
        <w:t>）</w:t>
      </w:r>
      <w:r>
        <w:rPr>
          <w:rFonts w:hint="eastAsia"/>
          <w:sz w:val="24"/>
          <w:szCs w:val="18"/>
        </w:rPr>
        <w:t>纸质图纸标绘项目区范围。扫描项目纸质规划图，并进行几何纠正和矢量化，将项目区范围与最新土地利用现状数据中地类图斑层套合，完成项目区标绘。</w:t>
      </w:r>
    </w:p>
    <w:p>
      <w:pPr>
        <w:pStyle w:val="23"/>
        <w:spacing w:line="360" w:lineRule="auto"/>
        <w:rPr>
          <w:rFonts w:hint="eastAsia"/>
          <w:sz w:val="24"/>
          <w:szCs w:val="18"/>
        </w:rPr>
      </w:pPr>
      <w:bookmarkStart w:id="54" w:name="bookmark18"/>
      <w:bookmarkEnd w:id="54"/>
      <w:r>
        <w:rPr>
          <w:rFonts w:hint="eastAsia"/>
          <w:sz w:val="24"/>
          <w:szCs w:val="18"/>
          <w:lang w:eastAsia="zh-CN"/>
        </w:rPr>
        <w:t>（</w:t>
      </w:r>
      <w:r>
        <w:rPr>
          <w:rFonts w:hint="eastAsia"/>
          <w:sz w:val="24"/>
          <w:szCs w:val="18"/>
          <w:lang w:val="en-US" w:eastAsia="zh-CN"/>
        </w:rPr>
        <w:t>3</w:t>
      </w:r>
      <w:r>
        <w:rPr>
          <w:rFonts w:hint="eastAsia"/>
          <w:sz w:val="24"/>
          <w:szCs w:val="18"/>
          <w:lang w:eastAsia="zh-CN"/>
        </w:rPr>
        <w:t>）</w:t>
      </w:r>
      <w:r>
        <w:rPr>
          <w:rFonts w:hint="eastAsia"/>
          <w:sz w:val="24"/>
          <w:szCs w:val="18"/>
        </w:rPr>
        <w:t>遥感影像标绘项目区范围。将配准后项目区遥感影像图矢量化，与最新土地利用现状数据中地类图斑层套 合，将项目区范围落到土地利用现状图上。</w:t>
      </w:r>
    </w:p>
    <w:p>
      <w:pPr>
        <w:pStyle w:val="23"/>
        <w:spacing w:line="360" w:lineRule="auto"/>
        <w:rPr>
          <w:rFonts w:hint="eastAsia"/>
          <w:sz w:val="24"/>
          <w:szCs w:val="18"/>
        </w:rPr>
      </w:pPr>
      <w:bookmarkStart w:id="55" w:name="bookmark19"/>
      <w:bookmarkEnd w:id="55"/>
      <w:r>
        <w:rPr>
          <w:rFonts w:hint="eastAsia"/>
          <w:sz w:val="24"/>
          <w:szCs w:val="18"/>
          <w:lang w:eastAsia="zh-CN"/>
        </w:rPr>
        <w:t>（</w:t>
      </w:r>
      <w:r>
        <w:rPr>
          <w:rFonts w:hint="eastAsia"/>
          <w:sz w:val="24"/>
          <w:szCs w:val="18"/>
          <w:lang w:val="en-US" w:eastAsia="zh-CN"/>
        </w:rPr>
        <w:t>4</w:t>
      </w:r>
      <w:r>
        <w:rPr>
          <w:rFonts w:hint="eastAsia"/>
          <w:sz w:val="24"/>
          <w:szCs w:val="18"/>
          <w:lang w:eastAsia="zh-CN"/>
        </w:rPr>
        <w:t>）</w:t>
      </w:r>
      <w:r>
        <w:rPr>
          <w:rFonts w:hint="eastAsia"/>
          <w:sz w:val="24"/>
          <w:szCs w:val="18"/>
        </w:rPr>
        <w:t>规划图数据导入标绘项目区范围。对于项目有规划图矢量数据的，可直接导入数据，与最新土地利用现状数据中地类图斑套合，将项目区范围落到土地利用现状图上。</w:t>
      </w:r>
    </w:p>
    <w:p>
      <w:pPr>
        <w:pStyle w:val="23"/>
        <w:spacing w:line="360" w:lineRule="auto"/>
        <w:rPr>
          <w:rFonts w:hint="eastAsia"/>
          <w:sz w:val="24"/>
          <w:szCs w:val="18"/>
        </w:rPr>
      </w:pPr>
      <w:bookmarkStart w:id="56" w:name="bookmark20"/>
      <w:bookmarkEnd w:id="56"/>
      <w:r>
        <w:rPr>
          <w:rFonts w:hint="eastAsia"/>
          <w:sz w:val="24"/>
          <w:szCs w:val="18"/>
          <w:lang w:eastAsia="zh-CN"/>
        </w:rPr>
        <w:t>（</w:t>
      </w:r>
      <w:r>
        <w:rPr>
          <w:rFonts w:hint="eastAsia"/>
          <w:sz w:val="24"/>
          <w:szCs w:val="18"/>
          <w:lang w:val="en-US" w:eastAsia="zh-CN"/>
        </w:rPr>
        <w:t>5</w:t>
      </w:r>
      <w:r>
        <w:rPr>
          <w:rFonts w:hint="eastAsia"/>
          <w:sz w:val="24"/>
          <w:szCs w:val="18"/>
          <w:lang w:eastAsia="zh-CN"/>
        </w:rPr>
        <w:t>）</w:t>
      </w:r>
      <w:r>
        <w:rPr>
          <w:rFonts w:hint="eastAsia"/>
          <w:sz w:val="24"/>
          <w:szCs w:val="18"/>
        </w:rPr>
        <w:t>标绘髙标准农田建设范围。在前述标绘项目区范围界线的基础上，将项目区内建成髙标准农田的具体地块 与最新土地利用现状数据中的耕地图斑套合，标绘在土地 利用现状图上。</w:t>
      </w:r>
    </w:p>
    <w:p>
      <w:pPr>
        <w:pStyle w:val="23"/>
        <w:spacing w:line="360" w:lineRule="auto"/>
        <w:ind w:firstLine="480" w:firstLineChars="200"/>
        <w:rPr>
          <w:rFonts w:hint="eastAsia"/>
          <w:sz w:val="24"/>
          <w:szCs w:val="18"/>
        </w:rPr>
      </w:pPr>
      <w:bookmarkStart w:id="57" w:name="bookmark21"/>
      <w:r>
        <w:rPr>
          <w:rFonts w:hint="eastAsia"/>
          <w:sz w:val="24"/>
          <w:szCs w:val="18"/>
        </w:rPr>
        <w:t>5</w:t>
      </w:r>
      <w:bookmarkEnd w:id="57"/>
      <w:r>
        <w:rPr>
          <w:rFonts w:hint="eastAsia"/>
          <w:sz w:val="24"/>
          <w:szCs w:val="18"/>
          <w:lang w:val="en-US" w:eastAsia="zh-CN"/>
        </w:rPr>
        <w:t>.</w:t>
      </w:r>
      <w:r>
        <w:rPr>
          <w:rFonts w:hint="eastAsia"/>
          <w:sz w:val="24"/>
          <w:szCs w:val="18"/>
        </w:rPr>
        <w:t>制作项目区、髙标准农田建设拐点坐标。</w:t>
      </w:r>
    </w:p>
    <w:p>
      <w:pPr>
        <w:pStyle w:val="23"/>
        <w:spacing w:line="360" w:lineRule="auto"/>
        <w:ind w:firstLine="480" w:firstLineChars="200"/>
        <w:rPr>
          <w:rFonts w:hint="eastAsia"/>
          <w:sz w:val="24"/>
          <w:szCs w:val="18"/>
        </w:rPr>
      </w:pPr>
      <w:r>
        <w:rPr>
          <w:rFonts w:hint="eastAsia"/>
          <w:sz w:val="24"/>
          <w:szCs w:val="18"/>
        </w:rPr>
        <w:t>将标绘的项目区、髙标准农田建设范围矢量化，确定相应的位置坐标，计算形成项目区和髙标准农田建设面积。需要注意的是，已入库需要补充完善信息项目，项目区和髙标准农田建设面积应与原入库数据一致，如有不同的，应在数据结构表中“备注”栏进行说明。</w:t>
      </w:r>
    </w:p>
    <w:p>
      <w:pPr>
        <w:pStyle w:val="23"/>
        <w:spacing w:line="360" w:lineRule="auto"/>
        <w:ind w:firstLine="480" w:firstLineChars="200"/>
        <w:rPr>
          <w:rFonts w:hint="eastAsia"/>
          <w:sz w:val="24"/>
          <w:szCs w:val="18"/>
        </w:rPr>
      </w:pPr>
      <w:bookmarkStart w:id="58" w:name="bookmark22"/>
      <w:r>
        <w:rPr>
          <w:rFonts w:hint="eastAsia"/>
          <w:sz w:val="24"/>
          <w:szCs w:val="18"/>
        </w:rPr>
        <w:t>6</w:t>
      </w:r>
      <w:bookmarkEnd w:id="58"/>
      <w:r>
        <w:rPr>
          <w:rFonts w:hint="eastAsia"/>
          <w:sz w:val="24"/>
          <w:szCs w:val="18"/>
          <w:lang w:val="en-US" w:eastAsia="zh-CN"/>
        </w:rPr>
        <w:t>.</w:t>
      </w:r>
      <w:r>
        <w:rPr>
          <w:rFonts w:hint="eastAsia"/>
          <w:sz w:val="24"/>
          <w:szCs w:val="18"/>
        </w:rPr>
        <w:t>统一汇交项目信息。在完成全部髙标准农田建设项目上图入库后，应按照数据汇交要求，以数据包形式，通过光盘将上图入库信息汇交上报。</w:t>
      </w:r>
    </w:p>
    <w:p>
      <w:pPr>
        <w:pStyle w:val="23"/>
        <w:spacing w:line="360" w:lineRule="auto"/>
        <w:ind w:firstLine="480" w:firstLineChars="200"/>
        <w:rPr>
          <w:rFonts w:hint="eastAsia"/>
          <w:sz w:val="24"/>
          <w:szCs w:val="18"/>
        </w:rPr>
      </w:pPr>
      <w:bookmarkStart w:id="59" w:name="bookmark23"/>
      <w:r>
        <w:rPr>
          <w:rFonts w:hint="eastAsia"/>
          <w:sz w:val="24"/>
          <w:szCs w:val="18"/>
        </w:rPr>
        <w:t>7</w:t>
      </w:r>
      <w:bookmarkEnd w:id="59"/>
      <w:r>
        <w:rPr>
          <w:rFonts w:hint="eastAsia"/>
          <w:sz w:val="24"/>
          <w:szCs w:val="18"/>
          <w:lang w:val="en-US" w:eastAsia="zh-CN"/>
        </w:rPr>
        <w:t>.</w:t>
      </w:r>
      <w:r>
        <w:rPr>
          <w:rFonts w:hint="eastAsia"/>
          <w:sz w:val="24"/>
          <w:szCs w:val="18"/>
        </w:rPr>
        <w:t>对于未能与自然资源部门共享最新土地利用现状数据，或是内业无法确认项目区、髙标准农田建设范围的，要实地开展拐点坐标补测，并按规定的数据格式要求，将拐点坐标测量成果导入上图入库管理软件。</w:t>
      </w: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sz w:val="24"/>
          <w:szCs w:val="18"/>
        </w:rPr>
      </w:pPr>
    </w:p>
    <w:p>
      <w:pPr>
        <w:pStyle w:val="23"/>
        <w:spacing w:line="360" w:lineRule="auto"/>
        <w:rPr>
          <w:rFonts w:hint="eastAsia"/>
          <w:sz w:val="24"/>
          <w:szCs w:val="18"/>
        </w:rPr>
      </w:pPr>
      <w:r>
        <w:rPr>
          <w:rFonts w:hint="eastAsia"/>
          <w:sz w:val="24"/>
          <w:szCs w:val="18"/>
        </w:rPr>
        <w:t>高标准农田建设上图入库工作流程图</w:t>
      </w:r>
    </w:p>
    <w:p>
      <w:pPr>
        <w:pStyle w:val="23"/>
        <w:spacing w:line="360" w:lineRule="auto"/>
        <w:rPr>
          <w:sz w:val="24"/>
          <w:szCs w:val="18"/>
        </w:rPr>
      </w:pPr>
      <w:r>
        <w:rPr>
          <w:sz w:val="24"/>
          <w:szCs w:val="18"/>
        </w:rPr>
        <w:drawing>
          <wp:inline distT="0" distB="0" distL="114300" distR="114300">
            <wp:extent cx="5132705" cy="5139055"/>
            <wp:effectExtent l="0" t="0" r="10795" b="444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5132705" cy="5139055"/>
                    </a:xfrm>
                    <a:prstGeom prst="rect">
                      <a:avLst/>
                    </a:prstGeom>
                    <a:noFill/>
                    <a:ln>
                      <a:noFill/>
                    </a:ln>
                  </pic:spPr>
                </pic:pic>
              </a:graphicData>
            </a:graphic>
          </wp:inline>
        </w:drawing>
      </w:r>
    </w:p>
    <w:p>
      <w:pPr>
        <w:pStyle w:val="23"/>
        <w:spacing w:line="360" w:lineRule="auto"/>
        <w:ind w:firstLine="480" w:firstLineChars="200"/>
        <w:rPr>
          <w:rFonts w:hint="eastAsia"/>
          <w:sz w:val="24"/>
          <w:szCs w:val="18"/>
        </w:rPr>
      </w:pPr>
      <w:r>
        <w:rPr>
          <w:rFonts w:hint="eastAsia"/>
          <w:sz w:val="24"/>
          <w:szCs w:val="18"/>
        </w:rPr>
        <w:t>根据</w:t>
      </w:r>
      <w:r>
        <w:rPr>
          <w:rFonts w:hint="eastAsia"/>
          <w:sz w:val="24"/>
          <w:szCs w:val="18"/>
          <w:lang w:val="zh-CN" w:eastAsia="zh-CN"/>
        </w:rPr>
        <w:t>“十</w:t>
      </w:r>
      <w:r>
        <w:rPr>
          <w:rFonts w:hint="eastAsia"/>
          <w:sz w:val="24"/>
          <w:szCs w:val="18"/>
        </w:rPr>
        <w:t>二五”以来髙标准农田建设评估工作总体安排，结合髙标准农田建设上图入库工作要求，对上图入库数据汇交及质量参照《关于印发</w:t>
      </w:r>
      <w:r>
        <w:rPr>
          <w:rFonts w:hint="eastAsia"/>
          <w:sz w:val="24"/>
          <w:szCs w:val="18"/>
          <w:lang w:val="zh-CN" w:eastAsia="zh-CN"/>
        </w:rPr>
        <w:t>〈“十</w:t>
      </w:r>
      <w:r>
        <w:rPr>
          <w:rFonts w:hint="eastAsia"/>
          <w:sz w:val="24"/>
          <w:szCs w:val="18"/>
        </w:rPr>
        <w:t>二五”以来髙标准农田建设上图入库工作</w:t>
      </w:r>
      <w:r>
        <w:rPr>
          <w:rFonts w:hint="eastAsia"/>
          <w:sz w:val="24"/>
          <w:szCs w:val="18"/>
          <w:lang w:val="zh-CN" w:eastAsia="zh-CN"/>
        </w:rPr>
        <w:t>指南〉</w:t>
      </w:r>
      <w:r>
        <w:rPr>
          <w:rFonts w:hint="eastAsia"/>
          <w:sz w:val="24"/>
          <w:szCs w:val="18"/>
        </w:rPr>
        <w:t>等补充文件的函》（农建（监管）〔2019</w:t>
      </w:r>
      <w:r>
        <w:rPr>
          <w:rFonts w:hint="eastAsia"/>
          <w:sz w:val="24"/>
          <w:szCs w:val="18"/>
          <w:lang w:val="en-US" w:eastAsia="zh-CN"/>
        </w:rPr>
        <w:t>〕</w:t>
      </w:r>
      <w:r>
        <w:rPr>
          <w:rFonts w:hint="eastAsia"/>
          <w:sz w:val="24"/>
          <w:szCs w:val="18"/>
        </w:rPr>
        <w:t>23号）的要求。</w:t>
      </w:r>
    </w:p>
    <w:p>
      <w:pPr>
        <w:pStyle w:val="23"/>
        <w:spacing w:line="360" w:lineRule="auto"/>
        <w:ind w:firstLine="480" w:firstLineChars="200"/>
        <w:rPr>
          <w:rFonts w:hint="eastAsia"/>
          <w:sz w:val="24"/>
          <w:szCs w:val="18"/>
        </w:rPr>
      </w:pPr>
      <w:r>
        <w:rPr>
          <w:rFonts w:hint="eastAsia"/>
          <w:sz w:val="24"/>
          <w:szCs w:val="18"/>
        </w:rPr>
        <w:t>对高标准农田建设疑似问题项目进行实地核查。农牧部门会同</w:t>
      </w:r>
      <w:r>
        <w:rPr>
          <w:rFonts w:hint="eastAsia"/>
          <w:sz w:val="24"/>
          <w:szCs w:val="18"/>
          <w:lang w:eastAsia="zh-CN"/>
        </w:rPr>
        <w:t>项目建设部门和承接主体</w:t>
      </w:r>
      <w:r>
        <w:rPr>
          <w:rFonts w:hint="eastAsia"/>
          <w:sz w:val="24"/>
          <w:szCs w:val="18"/>
        </w:rPr>
        <w:t>根据农业农村部下发的疑似问题项目清单（建设区域重叠、存在非耕地地类等疑似问题）和待扣除面积统计情况，还要组织开展</w:t>
      </w:r>
      <w:r>
        <w:rPr>
          <w:rFonts w:hint="eastAsia"/>
          <w:sz w:val="24"/>
          <w:szCs w:val="18"/>
          <w:lang w:val="zh-CN" w:eastAsia="zh-CN"/>
        </w:rPr>
        <w:t>“十</w:t>
      </w:r>
      <w:r>
        <w:rPr>
          <w:rFonts w:hint="eastAsia"/>
          <w:sz w:val="24"/>
          <w:szCs w:val="18"/>
        </w:rPr>
        <w:t>二五”以来髙标准农田建设项目实地核查工作。</w:t>
      </w:r>
    </w:p>
    <w:p>
      <w:pPr>
        <w:pStyle w:val="23"/>
        <w:spacing w:line="360" w:lineRule="auto"/>
        <w:rPr>
          <w:rFonts w:hint="eastAsia"/>
          <w:sz w:val="24"/>
          <w:szCs w:val="18"/>
        </w:rPr>
      </w:pPr>
      <w:r>
        <w:rPr>
          <w:rFonts w:hint="eastAsia"/>
          <w:sz w:val="24"/>
          <w:szCs w:val="18"/>
        </w:rPr>
        <w:t>对存在问题的高标准农田建设项目进行数据修正。根据髙标准农田建设疑似问题项目实地核查成果，就待扣面积情况与上级农牧部门逐一进行对接，根据对接情况对</w:t>
      </w:r>
      <w:r>
        <w:rPr>
          <w:rFonts w:hint="eastAsia"/>
          <w:sz w:val="24"/>
          <w:szCs w:val="18"/>
          <w:lang w:val="zh-CN" w:eastAsia="zh-CN"/>
        </w:rPr>
        <w:t>“十</w:t>
      </w:r>
      <w:r>
        <w:rPr>
          <w:rFonts w:hint="eastAsia"/>
          <w:sz w:val="24"/>
          <w:szCs w:val="18"/>
        </w:rPr>
        <w:t>二五”以来髙标准农田建设上图入库数据进行修正。</w:t>
      </w:r>
    </w:p>
    <w:p>
      <w:pPr>
        <w:pStyle w:val="23"/>
        <w:spacing w:line="360" w:lineRule="auto"/>
        <w:ind w:firstLine="480" w:firstLineChars="200"/>
        <w:rPr>
          <w:rFonts w:hint="eastAsia"/>
          <w:sz w:val="24"/>
          <w:szCs w:val="18"/>
        </w:rPr>
      </w:pPr>
      <w:r>
        <w:rPr>
          <w:rFonts w:hint="eastAsia"/>
          <w:sz w:val="24"/>
          <w:szCs w:val="18"/>
        </w:rPr>
        <w:t>同步做好新建项目规划工作。做好“十二五</w:t>
      </w:r>
      <w:r>
        <w:rPr>
          <w:rFonts w:hint="eastAsia"/>
          <w:sz w:val="24"/>
          <w:szCs w:val="18"/>
          <w:lang w:val="zh-CN" w:eastAsia="zh-CN"/>
        </w:rPr>
        <w:t>”期间</w:t>
      </w:r>
      <w:r>
        <w:rPr>
          <w:rFonts w:hint="eastAsia"/>
          <w:sz w:val="24"/>
          <w:szCs w:val="18"/>
        </w:rPr>
        <w:t>核查评估及上图入库的同时，要同步做好</w:t>
      </w:r>
      <w:r>
        <w:rPr>
          <w:rFonts w:hint="eastAsia"/>
          <w:sz w:val="24"/>
          <w:szCs w:val="18"/>
          <w:lang w:val="en-US" w:eastAsia="en-US"/>
        </w:rPr>
        <w:t>2020-2022</w:t>
      </w:r>
      <w:r>
        <w:rPr>
          <w:rFonts w:hint="eastAsia"/>
          <w:sz w:val="24"/>
          <w:szCs w:val="18"/>
        </w:rPr>
        <w:t>年髙标准农田新建项目的规划工作（具体指今后三年具备做髙标准农田项目地块入库）。</w:t>
      </w:r>
    </w:p>
    <w:p>
      <w:pPr>
        <w:pStyle w:val="23"/>
        <w:spacing w:line="360" w:lineRule="auto"/>
        <w:jc w:val="center"/>
        <w:rPr>
          <w:rFonts w:hint="eastAsia"/>
          <w:sz w:val="24"/>
          <w:szCs w:val="18"/>
        </w:rPr>
      </w:pPr>
      <w:r>
        <w:rPr>
          <w:rFonts w:hint="eastAsia"/>
          <w:sz w:val="24"/>
          <w:szCs w:val="18"/>
          <w:lang w:eastAsia="zh-CN"/>
        </w:rPr>
        <w:t>六、</w:t>
      </w:r>
      <w:r>
        <w:rPr>
          <w:rFonts w:hint="eastAsia"/>
          <w:sz w:val="24"/>
          <w:szCs w:val="18"/>
        </w:rPr>
        <w:t>承接主体</w:t>
      </w:r>
      <w:bookmarkEnd w:id="44"/>
      <w:bookmarkEnd w:id="45"/>
      <w:bookmarkEnd w:id="46"/>
      <w:bookmarkEnd w:id="47"/>
    </w:p>
    <w:p>
      <w:pPr>
        <w:pStyle w:val="23"/>
        <w:spacing w:line="360" w:lineRule="auto"/>
        <w:ind w:firstLine="480" w:firstLineChars="200"/>
        <w:rPr>
          <w:rFonts w:hint="eastAsia"/>
          <w:sz w:val="24"/>
          <w:szCs w:val="18"/>
        </w:rPr>
      </w:pPr>
      <w:r>
        <w:rPr>
          <w:rFonts w:hint="eastAsia"/>
          <w:sz w:val="24"/>
          <w:szCs w:val="18"/>
        </w:rPr>
        <w:t>根据国务院办公厅《关于政府向社会力量购买服务的指导意见》（国办发〔2013〕96号）的规定，承接政府购买服务的主体包括依法在民政部门登记成立或经国务院批准免于登记的社会组织，以及依法在工商管理或行业主管部门登记成立的企业、机构等社会力量。</w:t>
      </w:r>
    </w:p>
    <w:p>
      <w:pPr>
        <w:pStyle w:val="23"/>
        <w:spacing w:line="360" w:lineRule="auto"/>
        <w:rPr>
          <w:rFonts w:hint="eastAsia"/>
          <w:sz w:val="24"/>
          <w:szCs w:val="18"/>
        </w:rPr>
      </w:pPr>
      <w:r>
        <w:rPr>
          <w:rFonts w:hint="eastAsia"/>
          <w:sz w:val="24"/>
          <w:szCs w:val="18"/>
        </w:rPr>
        <w:t>根据《内蒙古自治区人民政府办公厅关于印发政府向社会力量购买服务管理办法的通知》（内政办发〔2015〕154号）第二章第七条的规定，“承接政府购买服务的主体，包括在登记管理部门登记或经国务院批准免予登记的社会组织、按事业单位分类改革应划入公益二类或转为企业的事业单位，以及依法在工商管理或行业主管部门登记成立的企业、机构等社会力量。”另外，本办法第四条指出：“机构编制管理部门负责编制符合作为公共服务承接主体的事业单位名录”、“民政部门负责研究建立作为政府购买服务承接主体的社会组织的资格认定、评估、监管体系”、“工商管理部门负责对承接政府购买服务的企业进行登记管理”，因此，通过上述各部门资格认定或审核的机构，均可作为政府购买服务项目的承接主体。</w:t>
      </w:r>
      <w:bookmarkStart w:id="60" w:name="_Toc513015445"/>
      <w:bookmarkStart w:id="61" w:name="_Toc20330_WPSOffice_Level2"/>
      <w:bookmarkStart w:id="62" w:name="_Toc26468"/>
      <w:bookmarkStart w:id="63" w:name="_Toc18968_WPSOffice_Level2"/>
    </w:p>
    <w:bookmarkEnd w:id="60"/>
    <w:bookmarkEnd w:id="61"/>
    <w:bookmarkEnd w:id="62"/>
    <w:bookmarkEnd w:id="63"/>
    <w:p>
      <w:pPr>
        <w:pStyle w:val="23"/>
        <w:spacing w:line="360" w:lineRule="auto"/>
        <w:rPr>
          <w:rFonts w:hint="eastAsia"/>
          <w:sz w:val="24"/>
          <w:szCs w:val="18"/>
        </w:rPr>
      </w:pPr>
      <w:r>
        <w:rPr>
          <w:rFonts w:hint="eastAsia"/>
          <w:sz w:val="24"/>
          <w:szCs w:val="18"/>
        </w:rPr>
        <w:t>承接主体应具备的具体条件</w:t>
      </w:r>
    </w:p>
    <w:p>
      <w:pPr>
        <w:pStyle w:val="23"/>
        <w:spacing w:line="360" w:lineRule="auto"/>
        <w:ind w:firstLine="480" w:firstLineChars="200"/>
        <w:rPr>
          <w:rFonts w:hint="eastAsia"/>
          <w:sz w:val="24"/>
          <w:szCs w:val="18"/>
        </w:rPr>
      </w:pPr>
      <w:r>
        <w:rPr>
          <w:rFonts w:hint="eastAsia"/>
          <w:sz w:val="24"/>
          <w:szCs w:val="18"/>
        </w:rPr>
        <w:t>本项目具</w:t>
      </w:r>
      <w:r>
        <w:rPr>
          <w:rFonts w:hint="eastAsia"/>
          <w:sz w:val="24"/>
          <w:szCs w:val="18"/>
          <w:lang w:eastAsia="zh-CN"/>
        </w:rPr>
        <w:t>有专业性和时效性强</w:t>
      </w:r>
      <w:r>
        <w:rPr>
          <w:rFonts w:hint="eastAsia"/>
          <w:sz w:val="24"/>
          <w:szCs w:val="18"/>
        </w:rPr>
        <w:t>，旨在</w:t>
      </w:r>
      <w:r>
        <w:rPr>
          <w:rFonts w:hint="eastAsia"/>
          <w:sz w:val="24"/>
          <w:szCs w:val="18"/>
          <w:lang w:eastAsia="zh-CN"/>
        </w:rPr>
        <w:t>摸清十二五以来农田建设情况并上报农业农村部</w:t>
      </w:r>
      <w:r>
        <w:rPr>
          <w:rFonts w:hint="eastAsia"/>
          <w:sz w:val="24"/>
          <w:szCs w:val="18"/>
        </w:rPr>
        <w:t>。因此，项目对承接主体的要求较高，除上述基本条件外，初步设计本项目承接主体应具备的其他条件主要包括：</w:t>
      </w:r>
    </w:p>
    <w:p>
      <w:pPr>
        <w:pStyle w:val="23"/>
        <w:spacing w:line="360" w:lineRule="auto"/>
        <w:ind w:firstLine="480" w:firstLineChars="200"/>
        <w:rPr>
          <w:rFonts w:hint="eastAsia"/>
          <w:sz w:val="24"/>
          <w:szCs w:val="18"/>
        </w:rPr>
      </w:pPr>
      <w:r>
        <w:rPr>
          <w:rFonts w:hint="eastAsia"/>
          <w:sz w:val="24"/>
          <w:szCs w:val="18"/>
        </w:rPr>
        <w:t>具有良好的企业内部结构及管理制度。</w:t>
      </w:r>
    </w:p>
    <w:p>
      <w:pPr>
        <w:pStyle w:val="23"/>
        <w:spacing w:line="360" w:lineRule="auto"/>
        <w:ind w:firstLine="480" w:firstLineChars="200"/>
        <w:rPr>
          <w:rFonts w:hint="eastAsia"/>
          <w:sz w:val="24"/>
          <w:szCs w:val="18"/>
        </w:rPr>
      </w:pPr>
      <w:r>
        <w:rPr>
          <w:rFonts w:hint="eastAsia"/>
          <w:sz w:val="24"/>
          <w:szCs w:val="18"/>
        </w:rPr>
        <w:t>具有本项目相应数量、具备相应专业技术职称的技术人员，以及现场管理人员和现场操作人员；</w:t>
      </w:r>
    </w:p>
    <w:p>
      <w:pPr>
        <w:pStyle w:val="23"/>
        <w:spacing w:line="360" w:lineRule="auto"/>
        <w:ind w:firstLine="480" w:firstLineChars="200"/>
        <w:rPr>
          <w:rFonts w:hint="eastAsia"/>
          <w:sz w:val="24"/>
          <w:szCs w:val="18"/>
        </w:rPr>
      </w:pPr>
      <w:r>
        <w:rPr>
          <w:rFonts w:hint="eastAsia"/>
          <w:sz w:val="24"/>
          <w:szCs w:val="18"/>
        </w:rPr>
        <w:t>具有</w:t>
      </w:r>
      <w:r>
        <w:rPr>
          <w:rFonts w:hint="eastAsia"/>
          <w:sz w:val="24"/>
          <w:szCs w:val="18"/>
          <w:lang w:eastAsia="zh-CN"/>
        </w:rPr>
        <w:t>高标准农田上图入库实践经验</w:t>
      </w:r>
      <w:r>
        <w:rPr>
          <w:rFonts w:hint="eastAsia"/>
          <w:sz w:val="24"/>
          <w:szCs w:val="18"/>
        </w:rPr>
        <w:t>；</w:t>
      </w:r>
    </w:p>
    <w:p>
      <w:pPr>
        <w:pStyle w:val="23"/>
        <w:spacing w:line="360" w:lineRule="auto"/>
        <w:ind w:firstLine="480" w:firstLineChars="200"/>
        <w:rPr>
          <w:rFonts w:hint="eastAsia"/>
          <w:sz w:val="24"/>
          <w:szCs w:val="18"/>
        </w:rPr>
      </w:pPr>
      <w:r>
        <w:rPr>
          <w:rFonts w:hint="eastAsia"/>
          <w:sz w:val="24"/>
          <w:szCs w:val="18"/>
        </w:rPr>
        <w:t>近三年承接过同类政府购买服务项目，且在绩效考核中考核结果为优秀或者良好者优先；</w:t>
      </w:r>
    </w:p>
    <w:p>
      <w:pPr>
        <w:pStyle w:val="23"/>
        <w:spacing w:line="360" w:lineRule="auto"/>
        <w:ind w:firstLine="480" w:firstLineChars="200"/>
        <w:rPr>
          <w:rFonts w:hint="eastAsia"/>
          <w:sz w:val="24"/>
          <w:szCs w:val="18"/>
        </w:rPr>
      </w:pPr>
      <w:r>
        <w:rPr>
          <w:rFonts w:hint="eastAsia"/>
          <w:sz w:val="24"/>
          <w:szCs w:val="18"/>
        </w:rPr>
        <w:t>有近三年的纳税证明（如承接主体成立未满三年，提供从设立之日起的纳税证明）；</w:t>
      </w:r>
    </w:p>
    <w:p>
      <w:pPr>
        <w:pStyle w:val="23"/>
        <w:spacing w:line="360" w:lineRule="auto"/>
        <w:ind w:firstLine="480" w:firstLineChars="200"/>
        <w:rPr>
          <w:rFonts w:hint="eastAsia"/>
          <w:sz w:val="24"/>
          <w:szCs w:val="18"/>
        </w:rPr>
      </w:pPr>
      <w:r>
        <w:rPr>
          <w:rFonts w:hint="eastAsia"/>
          <w:sz w:val="24"/>
          <w:szCs w:val="18"/>
        </w:rPr>
        <w:t>具有完整的项目</w:t>
      </w:r>
      <w:r>
        <w:rPr>
          <w:rFonts w:hint="eastAsia"/>
          <w:sz w:val="24"/>
          <w:szCs w:val="18"/>
          <w:lang w:eastAsia="zh-CN"/>
        </w:rPr>
        <w:t>实施</w:t>
      </w:r>
      <w:r>
        <w:rPr>
          <w:rFonts w:hint="eastAsia"/>
          <w:sz w:val="24"/>
          <w:szCs w:val="18"/>
        </w:rPr>
        <w:t>方案，包括但不限于管理人员及操作人员管理及培训方案、处理质量保证管理方案、安全管理方案、工艺优化升级方案等；</w:t>
      </w:r>
    </w:p>
    <w:p>
      <w:pPr>
        <w:pStyle w:val="23"/>
        <w:spacing w:line="360" w:lineRule="auto"/>
        <w:ind w:firstLine="480" w:firstLineChars="200"/>
        <w:rPr>
          <w:rFonts w:hint="eastAsia"/>
          <w:sz w:val="24"/>
          <w:szCs w:val="18"/>
        </w:rPr>
      </w:pPr>
      <w:r>
        <w:rPr>
          <w:rFonts w:hint="eastAsia"/>
          <w:sz w:val="24"/>
          <w:szCs w:val="18"/>
        </w:rPr>
        <w:t>近三年来在生产经营活动中无重大违法记录者优先，且能够提供有效的声明材料（如承接主体成立未满三年，从承接主体成立之日起算）；</w:t>
      </w:r>
    </w:p>
    <w:p>
      <w:pPr>
        <w:pStyle w:val="23"/>
        <w:spacing w:line="360" w:lineRule="auto"/>
        <w:ind w:firstLine="480" w:firstLineChars="200"/>
        <w:rPr>
          <w:rFonts w:hint="eastAsia"/>
          <w:sz w:val="24"/>
          <w:szCs w:val="18"/>
        </w:rPr>
      </w:pPr>
      <w:r>
        <w:rPr>
          <w:rFonts w:hint="eastAsia"/>
          <w:sz w:val="24"/>
          <w:szCs w:val="18"/>
        </w:rPr>
        <w:t>近三年的政府采购项目中无不良记录。</w:t>
      </w:r>
    </w:p>
    <w:p>
      <w:pPr>
        <w:pStyle w:val="23"/>
        <w:spacing w:line="360" w:lineRule="auto"/>
        <w:rPr>
          <w:rFonts w:hint="eastAsia"/>
          <w:sz w:val="24"/>
          <w:szCs w:val="18"/>
          <w:lang w:eastAsia="zh-CN"/>
        </w:rPr>
      </w:pPr>
      <w:r>
        <w:rPr>
          <w:rFonts w:hint="eastAsia"/>
          <w:sz w:val="24"/>
          <w:szCs w:val="18"/>
          <w:lang w:val="en-US" w:eastAsia="zh-CN"/>
        </w:rPr>
        <w:t>七、</w:t>
      </w:r>
      <w:r>
        <w:rPr>
          <w:rFonts w:hint="eastAsia"/>
          <w:sz w:val="24"/>
          <w:szCs w:val="18"/>
          <w:lang w:eastAsia="zh-CN"/>
        </w:rPr>
        <w:t>购买方式及程序</w:t>
      </w:r>
    </w:p>
    <w:p>
      <w:pPr>
        <w:pStyle w:val="23"/>
        <w:spacing w:line="360" w:lineRule="auto"/>
        <w:ind w:firstLine="480" w:firstLineChars="200"/>
        <w:rPr>
          <w:rFonts w:hint="eastAsia"/>
          <w:sz w:val="24"/>
          <w:szCs w:val="18"/>
          <w:lang w:val="en-US" w:eastAsia="zh-CN"/>
        </w:rPr>
      </w:pPr>
      <w:r>
        <w:rPr>
          <w:rFonts w:hint="eastAsia"/>
          <w:sz w:val="24"/>
          <w:szCs w:val="18"/>
          <w:lang w:val="en-US" w:eastAsia="zh-CN"/>
        </w:rPr>
        <w:t>根据《政府采购竞争性磋商采购方式管理暂行办法》（财库〔2014〕214号）文件中第三条规定符合下列情形的项目，可以采用竞争性磋商方式开展采购：</w:t>
      </w:r>
      <w:r>
        <w:rPr>
          <w:rFonts w:hint="eastAsia"/>
          <w:sz w:val="24"/>
          <w:szCs w:val="18"/>
          <w:lang w:val="en-US" w:eastAsia="zh-CN"/>
        </w:rPr>
        <w:br w:type="textWrapping"/>
      </w:r>
      <w:r>
        <w:rPr>
          <w:rFonts w:hint="eastAsia"/>
          <w:sz w:val="24"/>
          <w:szCs w:val="18"/>
          <w:lang w:val="en-US" w:eastAsia="zh-CN"/>
        </w:rPr>
        <w:t>　　（一）政府购买服务项目；</w:t>
      </w:r>
      <w:r>
        <w:rPr>
          <w:rFonts w:hint="eastAsia"/>
          <w:sz w:val="24"/>
          <w:szCs w:val="18"/>
          <w:lang w:val="en-US" w:eastAsia="zh-CN"/>
        </w:rPr>
        <w:br w:type="textWrapping"/>
      </w:r>
      <w:r>
        <w:rPr>
          <w:rFonts w:hint="eastAsia"/>
          <w:sz w:val="24"/>
          <w:szCs w:val="18"/>
          <w:lang w:val="en-US" w:eastAsia="zh-CN"/>
        </w:rPr>
        <w:t>　　（二）技术复杂或者性质特殊，不能确定详细规格或者具体要求的；</w:t>
      </w:r>
      <w:r>
        <w:rPr>
          <w:rFonts w:hint="eastAsia"/>
          <w:sz w:val="24"/>
          <w:szCs w:val="18"/>
          <w:lang w:val="en-US" w:eastAsia="zh-CN"/>
        </w:rPr>
        <w:br w:type="textWrapping"/>
      </w:r>
      <w:r>
        <w:rPr>
          <w:rFonts w:hint="eastAsia"/>
          <w:sz w:val="24"/>
          <w:szCs w:val="18"/>
          <w:lang w:val="en-US" w:eastAsia="zh-CN"/>
        </w:rPr>
        <w:t>　　（三）因艺术品采购、专利、专有技术或者服务的时间、数量事先不能确定等原因不能事先计算出价格总额的；</w:t>
      </w:r>
      <w:r>
        <w:rPr>
          <w:rFonts w:hint="eastAsia"/>
          <w:sz w:val="24"/>
          <w:szCs w:val="18"/>
          <w:lang w:val="en-US" w:eastAsia="zh-CN"/>
        </w:rPr>
        <w:br w:type="textWrapping"/>
      </w:r>
      <w:r>
        <w:rPr>
          <w:rFonts w:hint="eastAsia"/>
          <w:sz w:val="24"/>
          <w:szCs w:val="18"/>
          <w:lang w:val="en-US" w:eastAsia="zh-CN"/>
        </w:rPr>
        <w:t>　　（四）市场竞争不充分的科研项目，以及需要扶持的科技成果转化项目；</w:t>
      </w:r>
      <w:r>
        <w:rPr>
          <w:rFonts w:hint="eastAsia"/>
          <w:sz w:val="24"/>
          <w:szCs w:val="18"/>
          <w:lang w:val="en-US" w:eastAsia="zh-CN"/>
        </w:rPr>
        <w:br w:type="textWrapping"/>
      </w:r>
      <w:r>
        <w:rPr>
          <w:rFonts w:hint="eastAsia"/>
          <w:sz w:val="24"/>
          <w:szCs w:val="18"/>
          <w:lang w:val="en-US" w:eastAsia="zh-CN"/>
        </w:rPr>
        <w:t>　　（五）按照招标投标法及其实施条例必须进行招标的工程建设项目以外的工程建设项目。</w:t>
      </w:r>
    </w:p>
    <w:p>
      <w:pPr>
        <w:pStyle w:val="23"/>
        <w:spacing w:line="360" w:lineRule="auto"/>
        <w:ind w:firstLine="480" w:firstLineChars="200"/>
        <w:rPr>
          <w:rFonts w:hint="eastAsia"/>
          <w:sz w:val="24"/>
          <w:szCs w:val="18"/>
          <w:lang w:val="en-US" w:eastAsia="zh-CN"/>
        </w:rPr>
      </w:pPr>
      <w:r>
        <w:rPr>
          <w:rFonts w:hint="eastAsia"/>
          <w:sz w:val="24"/>
          <w:szCs w:val="18"/>
          <w:lang w:val="en-US" w:eastAsia="zh-CN"/>
        </w:rPr>
        <w:t>因本次高标准农田建设评估工作涉及项目时间跨度大（2011-2018年），各项目完成情况类型多样，技术较为复杂（包括耕地质量评价、地理勘察及信息录入等综合性分析），需要结合现场实际情况和工程现状情况进行评估，包括大量的外业调查工作；</w:t>
      </w:r>
    </w:p>
    <w:p>
      <w:pPr>
        <w:pStyle w:val="23"/>
        <w:spacing w:line="360" w:lineRule="auto"/>
        <w:ind w:firstLine="480" w:firstLineChars="200"/>
        <w:rPr>
          <w:sz w:val="24"/>
          <w:szCs w:val="18"/>
        </w:rPr>
      </w:pPr>
      <w:r>
        <w:rPr>
          <w:rFonts w:hint="eastAsia"/>
          <w:sz w:val="24"/>
          <w:szCs w:val="18"/>
          <w:lang w:val="en-US" w:eastAsia="zh-CN"/>
        </w:rPr>
        <w:t>本项目时间紧，省（自治区）市级主管部门要求在2月底完成此次项目，为了在上级部门要求的周期内完成上图入库工作，为缩短公示及采购周期，因此采用竞争性磋商方式进行政府采购相关程序。</w:t>
      </w:r>
    </w:p>
    <w:p>
      <w:pPr>
        <w:pStyle w:val="23"/>
        <w:spacing w:line="360" w:lineRule="auto"/>
        <w:jc w:val="center"/>
        <w:rPr>
          <w:rFonts w:hint="eastAsia"/>
          <w:sz w:val="24"/>
          <w:szCs w:val="18"/>
        </w:rPr>
      </w:pPr>
      <w:bookmarkStart w:id="64" w:name="_Toc513015447"/>
      <w:bookmarkStart w:id="65" w:name="_Toc10431"/>
      <w:bookmarkStart w:id="66" w:name="_Toc511199152"/>
      <w:r>
        <w:rPr>
          <w:rFonts w:hint="eastAsia"/>
          <w:sz w:val="24"/>
          <w:szCs w:val="18"/>
          <w:lang w:eastAsia="zh-CN"/>
        </w:rPr>
        <w:t>八、</w:t>
      </w:r>
      <w:r>
        <w:rPr>
          <w:rFonts w:hint="eastAsia"/>
          <w:sz w:val="24"/>
          <w:szCs w:val="18"/>
        </w:rPr>
        <w:t>项目合同</w:t>
      </w:r>
      <w:r>
        <w:rPr>
          <w:rFonts w:hint="eastAsia"/>
          <w:sz w:val="24"/>
          <w:szCs w:val="18"/>
          <w:lang w:eastAsia="zh-CN"/>
        </w:rPr>
        <w:t>签订与</w:t>
      </w:r>
      <w:r>
        <w:rPr>
          <w:rFonts w:hint="eastAsia"/>
          <w:sz w:val="24"/>
          <w:szCs w:val="18"/>
        </w:rPr>
        <w:t>管理</w:t>
      </w:r>
      <w:bookmarkEnd w:id="64"/>
      <w:bookmarkEnd w:id="65"/>
      <w:bookmarkEnd w:id="66"/>
    </w:p>
    <w:p>
      <w:pPr>
        <w:pStyle w:val="23"/>
        <w:spacing w:line="360" w:lineRule="auto"/>
        <w:ind w:firstLine="480" w:firstLineChars="200"/>
        <w:rPr>
          <w:rFonts w:hint="eastAsia"/>
          <w:sz w:val="24"/>
          <w:szCs w:val="18"/>
        </w:rPr>
      </w:pPr>
      <w:bookmarkStart w:id="67" w:name="_Toc511199154"/>
      <w:bookmarkStart w:id="68" w:name="_Toc28573"/>
      <w:r>
        <w:rPr>
          <w:rFonts w:hint="eastAsia"/>
          <w:sz w:val="24"/>
          <w:szCs w:val="18"/>
        </w:rPr>
        <w:t>政府购买服务项目合同的签订、管理、备案等程序适用《中华人民共和国政府采购法》、《中华人民共和国政府采购法实施条例》等政府采购相关规定以及购买服务项目的相关规定。</w:t>
      </w:r>
    </w:p>
    <w:p>
      <w:pPr>
        <w:pStyle w:val="23"/>
        <w:spacing w:line="360" w:lineRule="auto"/>
        <w:rPr>
          <w:rFonts w:hint="eastAsia"/>
          <w:sz w:val="24"/>
          <w:szCs w:val="18"/>
        </w:rPr>
      </w:pPr>
      <w:bookmarkStart w:id="69" w:name="_Toc1706_WPSOffice_Level1"/>
      <w:bookmarkStart w:id="70" w:name="_Toc28256_WPSOffice_Level1"/>
      <w:bookmarkStart w:id="71" w:name="_Toc18810"/>
      <w:bookmarkStart w:id="72" w:name="_Toc513015448"/>
      <w:r>
        <w:rPr>
          <w:rFonts w:hint="eastAsia"/>
          <w:sz w:val="24"/>
          <w:szCs w:val="18"/>
          <w:lang w:val="en-US" w:eastAsia="zh-CN"/>
        </w:rPr>
        <w:t>（一）</w:t>
      </w:r>
      <w:r>
        <w:rPr>
          <w:rFonts w:hint="eastAsia"/>
          <w:sz w:val="24"/>
          <w:szCs w:val="18"/>
        </w:rPr>
        <w:t>合同签订</w:t>
      </w:r>
      <w:bookmarkEnd w:id="69"/>
      <w:bookmarkEnd w:id="70"/>
      <w:bookmarkEnd w:id="71"/>
      <w:bookmarkEnd w:id="72"/>
    </w:p>
    <w:p>
      <w:pPr>
        <w:pStyle w:val="23"/>
        <w:spacing w:line="360" w:lineRule="auto"/>
        <w:ind w:firstLine="480" w:firstLineChars="200"/>
        <w:rPr>
          <w:rFonts w:hint="eastAsia"/>
          <w:sz w:val="24"/>
          <w:szCs w:val="18"/>
        </w:rPr>
      </w:pPr>
      <w:r>
        <w:rPr>
          <w:rFonts w:hint="eastAsia"/>
          <w:sz w:val="24"/>
          <w:szCs w:val="18"/>
        </w:rPr>
        <w:t>确定本项目承接主体后，购买主体应与其签订政府购买服务合同，双方的权利和义务，应当按照平等、自愿的原则约定。根据《政府采购竞争性磋商采购方式管理暂行办法》（财库〔2014〕214号）第三十条规定：“采购人与成交供应商应当在成交通知书发出之日起30日内，按照磋商文件确定的合同文本以及采购标的、采购金额、采购数量、技术和服务要求等事项签订政府采购合同。</w:t>
      </w:r>
    </w:p>
    <w:p>
      <w:pPr>
        <w:pStyle w:val="23"/>
        <w:spacing w:line="360" w:lineRule="auto"/>
        <w:rPr>
          <w:rFonts w:hint="eastAsia"/>
          <w:sz w:val="24"/>
          <w:szCs w:val="18"/>
        </w:rPr>
      </w:pPr>
      <w:bookmarkStart w:id="73" w:name="_Toc26629_WPSOffice_Level1"/>
      <w:bookmarkStart w:id="74" w:name="_Toc32320"/>
      <w:bookmarkStart w:id="75" w:name="_Toc20773_WPSOffice_Level1"/>
      <w:bookmarkStart w:id="76" w:name="_Toc513015449"/>
      <w:r>
        <w:rPr>
          <w:rFonts w:hint="eastAsia"/>
          <w:sz w:val="24"/>
          <w:szCs w:val="18"/>
          <w:lang w:val="en-US" w:eastAsia="zh-CN"/>
        </w:rPr>
        <w:t>（二）</w:t>
      </w:r>
      <w:r>
        <w:rPr>
          <w:rFonts w:hint="eastAsia"/>
          <w:sz w:val="24"/>
          <w:szCs w:val="18"/>
        </w:rPr>
        <w:t>合同备案</w:t>
      </w:r>
      <w:bookmarkEnd w:id="73"/>
      <w:bookmarkEnd w:id="74"/>
      <w:bookmarkEnd w:id="75"/>
      <w:bookmarkEnd w:id="76"/>
    </w:p>
    <w:p>
      <w:pPr>
        <w:pStyle w:val="23"/>
        <w:spacing w:line="360" w:lineRule="auto"/>
        <w:ind w:firstLine="480" w:firstLineChars="200"/>
        <w:rPr>
          <w:rFonts w:hint="eastAsia"/>
          <w:sz w:val="24"/>
          <w:szCs w:val="18"/>
        </w:rPr>
      </w:pPr>
      <w:r>
        <w:rPr>
          <w:rFonts w:hint="eastAsia"/>
          <w:sz w:val="24"/>
          <w:szCs w:val="18"/>
        </w:rPr>
        <w:t>政府购买服务合同签订后，应根据政府采购相关规定进行备案。《中华人民共和国政府采购法》第四十七条规定：“政府采购项目的采购合同自签订之日起七个工作日内，采购人应当将合同副本报同级政府采购监督管理部门和有关部门备案。”</w:t>
      </w:r>
    </w:p>
    <w:p>
      <w:pPr>
        <w:pStyle w:val="23"/>
        <w:spacing w:line="360" w:lineRule="auto"/>
        <w:rPr>
          <w:rFonts w:hint="eastAsia"/>
          <w:sz w:val="24"/>
          <w:szCs w:val="18"/>
        </w:rPr>
      </w:pPr>
      <w:r>
        <w:rPr>
          <w:rFonts w:hint="eastAsia"/>
          <w:sz w:val="24"/>
          <w:szCs w:val="18"/>
        </w:rPr>
        <w:t>对于政府购买服务项目，鄂前期</w:t>
      </w:r>
      <w:r>
        <w:rPr>
          <w:rFonts w:hint="eastAsia"/>
          <w:sz w:val="24"/>
          <w:szCs w:val="18"/>
          <w:lang w:eastAsia="zh-CN"/>
        </w:rPr>
        <w:t>农牧业综合开发中心</w:t>
      </w:r>
      <w:r>
        <w:rPr>
          <w:rFonts w:hint="eastAsia"/>
          <w:sz w:val="24"/>
          <w:szCs w:val="18"/>
        </w:rPr>
        <w:t>应在法律规定的期限内，将合同副本报同级政府采购监督管理部门备案，同时向同级财政部门备案，作为拨付资金的依据。</w:t>
      </w:r>
    </w:p>
    <w:p>
      <w:pPr>
        <w:pStyle w:val="23"/>
        <w:spacing w:line="360" w:lineRule="auto"/>
        <w:rPr>
          <w:rFonts w:hint="eastAsia"/>
          <w:sz w:val="24"/>
          <w:szCs w:val="18"/>
        </w:rPr>
      </w:pPr>
      <w:bookmarkStart w:id="77" w:name="_Toc2308_WPSOffice_Level1"/>
      <w:bookmarkStart w:id="78" w:name="_Toc10745"/>
      <w:bookmarkStart w:id="79" w:name="_Toc29251_WPSOffice_Level1"/>
      <w:bookmarkStart w:id="80" w:name="_Toc513015450"/>
      <w:r>
        <w:rPr>
          <w:rFonts w:hint="eastAsia"/>
          <w:sz w:val="24"/>
          <w:szCs w:val="18"/>
          <w:lang w:val="en-US" w:eastAsia="zh-CN"/>
        </w:rPr>
        <w:t>（三）</w:t>
      </w:r>
      <w:r>
        <w:rPr>
          <w:rFonts w:hint="eastAsia"/>
          <w:sz w:val="24"/>
          <w:szCs w:val="18"/>
        </w:rPr>
        <w:t>合同的主要条款</w:t>
      </w:r>
      <w:bookmarkEnd w:id="77"/>
      <w:bookmarkEnd w:id="78"/>
      <w:bookmarkEnd w:id="79"/>
      <w:bookmarkEnd w:id="80"/>
    </w:p>
    <w:p>
      <w:pPr>
        <w:pStyle w:val="23"/>
        <w:spacing w:line="360" w:lineRule="auto"/>
        <w:ind w:firstLine="480" w:firstLineChars="200"/>
        <w:rPr>
          <w:rFonts w:hint="eastAsia"/>
          <w:sz w:val="24"/>
          <w:szCs w:val="18"/>
        </w:rPr>
      </w:pPr>
      <w:bookmarkStart w:id="81" w:name="_Toc17718_WPSOffice_Level2"/>
      <w:bookmarkStart w:id="82" w:name="_Toc4708_WPSOffice_Level2"/>
      <w:r>
        <w:rPr>
          <w:rFonts w:hint="eastAsia"/>
          <w:sz w:val="24"/>
          <w:szCs w:val="18"/>
          <w:lang w:val="en-US" w:eastAsia="zh-CN"/>
        </w:rPr>
        <w:t>1.</w:t>
      </w:r>
      <w:r>
        <w:rPr>
          <w:rFonts w:hint="eastAsia"/>
          <w:sz w:val="24"/>
          <w:szCs w:val="18"/>
        </w:rPr>
        <w:t>合作方式</w:t>
      </w:r>
      <w:bookmarkEnd w:id="81"/>
      <w:bookmarkEnd w:id="82"/>
    </w:p>
    <w:p>
      <w:pPr>
        <w:pStyle w:val="23"/>
        <w:spacing w:line="360" w:lineRule="auto"/>
        <w:ind w:firstLine="480" w:firstLineChars="200"/>
        <w:rPr>
          <w:rFonts w:hint="eastAsia"/>
          <w:sz w:val="24"/>
          <w:szCs w:val="18"/>
        </w:rPr>
      </w:pPr>
      <w:r>
        <w:rPr>
          <w:rFonts w:hint="eastAsia"/>
          <w:sz w:val="24"/>
          <w:szCs w:val="18"/>
        </w:rPr>
        <w:t>鄂前期</w:t>
      </w:r>
      <w:r>
        <w:rPr>
          <w:rFonts w:hint="eastAsia"/>
          <w:sz w:val="24"/>
          <w:szCs w:val="18"/>
          <w:lang w:eastAsia="zh-CN"/>
        </w:rPr>
        <w:t>农牧业综合开发中心</w:t>
      </w:r>
      <w:r>
        <w:rPr>
          <w:rFonts w:hint="eastAsia"/>
          <w:sz w:val="24"/>
          <w:szCs w:val="18"/>
        </w:rPr>
        <w:t>通过公开、公平的采购程序，选取适格社会力量承接</w:t>
      </w:r>
      <w:r>
        <w:rPr>
          <w:rFonts w:hint="eastAsia"/>
          <w:sz w:val="24"/>
          <w:szCs w:val="18"/>
          <w:lang w:eastAsia="zh-CN"/>
        </w:rPr>
        <w:t>本次</w:t>
      </w:r>
      <w:r>
        <w:rPr>
          <w:rFonts w:hint="eastAsia"/>
          <w:sz w:val="24"/>
          <w:szCs w:val="18"/>
        </w:rPr>
        <w:t>服务</w:t>
      </w:r>
      <w:r>
        <w:rPr>
          <w:rFonts w:hint="eastAsia"/>
          <w:sz w:val="24"/>
          <w:szCs w:val="18"/>
          <w:lang w:eastAsia="zh-CN"/>
        </w:rPr>
        <w:t>项目</w:t>
      </w:r>
      <w:r>
        <w:rPr>
          <w:rFonts w:hint="eastAsia"/>
          <w:sz w:val="24"/>
          <w:szCs w:val="18"/>
        </w:rPr>
        <w:t>。在购买服务期限内，由中选承接主体负责</w:t>
      </w:r>
      <w:r>
        <w:rPr>
          <w:rFonts w:hint="eastAsia"/>
          <w:sz w:val="24"/>
          <w:szCs w:val="18"/>
          <w:lang w:eastAsia="zh-CN"/>
        </w:rPr>
        <w:t>上图入库及规划</w:t>
      </w:r>
      <w:r>
        <w:rPr>
          <w:rFonts w:hint="eastAsia"/>
          <w:sz w:val="24"/>
          <w:szCs w:val="18"/>
        </w:rPr>
        <w:t>服务；鄂前期</w:t>
      </w:r>
      <w:r>
        <w:rPr>
          <w:rFonts w:hint="eastAsia"/>
          <w:sz w:val="24"/>
          <w:szCs w:val="18"/>
          <w:lang w:eastAsia="zh-CN"/>
        </w:rPr>
        <w:t>农牧业综合开发中心</w:t>
      </w:r>
      <w:r>
        <w:rPr>
          <w:rFonts w:hint="eastAsia"/>
          <w:sz w:val="24"/>
          <w:szCs w:val="18"/>
        </w:rPr>
        <w:t>在服务期内，对承接主体</w:t>
      </w:r>
      <w:r>
        <w:rPr>
          <w:rFonts w:hint="eastAsia"/>
          <w:sz w:val="24"/>
          <w:szCs w:val="18"/>
          <w:lang w:eastAsia="zh-CN"/>
        </w:rPr>
        <w:t>按照合同和相关文件要求履行服务条款检查核对及提出优化方案</w:t>
      </w:r>
      <w:r>
        <w:rPr>
          <w:rFonts w:hint="eastAsia"/>
          <w:sz w:val="24"/>
          <w:szCs w:val="18"/>
        </w:rPr>
        <w:t>，并依据</w:t>
      </w:r>
      <w:r>
        <w:rPr>
          <w:rFonts w:hint="eastAsia"/>
          <w:sz w:val="24"/>
          <w:szCs w:val="18"/>
          <w:lang w:eastAsia="zh-CN"/>
        </w:rPr>
        <w:t>服务进度和质量时效</w:t>
      </w:r>
      <w:r>
        <w:rPr>
          <w:rFonts w:hint="eastAsia"/>
          <w:sz w:val="24"/>
          <w:szCs w:val="18"/>
        </w:rPr>
        <w:t>向承接主体支付服务费。</w:t>
      </w:r>
    </w:p>
    <w:p>
      <w:pPr>
        <w:pStyle w:val="23"/>
        <w:spacing w:line="360" w:lineRule="auto"/>
        <w:ind w:firstLine="480" w:firstLineChars="200"/>
        <w:rPr>
          <w:rFonts w:hint="eastAsia"/>
          <w:sz w:val="24"/>
          <w:szCs w:val="18"/>
        </w:rPr>
      </w:pPr>
      <w:bookmarkStart w:id="83" w:name="_Toc4085_WPSOffice_Level2"/>
      <w:bookmarkStart w:id="84" w:name="_Toc19583_WPSOffice_Level2"/>
      <w:r>
        <w:rPr>
          <w:rFonts w:hint="eastAsia"/>
          <w:sz w:val="24"/>
          <w:szCs w:val="18"/>
          <w:lang w:val="en-US" w:eastAsia="zh-CN"/>
        </w:rPr>
        <w:t>2.</w:t>
      </w:r>
      <w:r>
        <w:rPr>
          <w:rFonts w:hint="eastAsia"/>
          <w:sz w:val="24"/>
          <w:szCs w:val="18"/>
        </w:rPr>
        <w:t>购买服务的质量标准</w:t>
      </w:r>
      <w:bookmarkEnd w:id="83"/>
      <w:bookmarkEnd w:id="84"/>
    </w:p>
    <w:p>
      <w:pPr>
        <w:pStyle w:val="23"/>
        <w:spacing w:line="360" w:lineRule="auto"/>
        <w:ind w:firstLine="480" w:firstLineChars="200"/>
        <w:rPr>
          <w:rFonts w:hint="eastAsia"/>
          <w:sz w:val="24"/>
          <w:szCs w:val="18"/>
        </w:rPr>
      </w:pPr>
      <w:r>
        <w:rPr>
          <w:rFonts w:hint="eastAsia"/>
          <w:sz w:val="24"/>
          <w:szCs w:val="18"/>
        </w:rPr>
        <w:t>在合作期内，承接主体就本项目提供的服务应当达到的质量标准主要包含：</w:t>
      </w:r>
    </w:p>
    <w:p>
      <w:pPr>
        <w:pStyle w:val="23"/>
        <w:spacing w:line="360" w:lineRule="auto"/>
        <w:rPr>
          <w:rFonts w:hint="eastAsia"/>
          <w:sz w:val="24"/>
          <w:szCs w:val="18"/>
        </w:rPr>
      </w:pPr>
      <w:r>
        <w:rPr>
          <w:rFonts w:hint="eastAsia"/>
          <w:sz w:val="24"/>
          <w:szCs w:val="18"/>
        </w:rPr>
        <w:t>（1）</w:t>
      </w:r>
      <w:r>
        <w:rPr>
          <w:rFonts w:hint="eastAsia"/>
          <w:sz w:val="24"/>
          <w:szCs w:val="18"/>
          <w:lang w:eastAsia="zh-CN"/>
        </w:rPr>
        <w:t>应当按照购买方提供的相关文件要求</w:t>
      </w:r>
      <w:r>
        <w:rPr>
          <w:rFonts w:hint="eastAsia"/>
          <w:sz w:val="24"/>
          <w:szCs w:val="18"/>
        </w:rPr>
        <w:t>，提供优质服务；</w:t>
      </w:r>
    </w:p>
    <w:p>
      <w:pPr>
        <w:pStyle w:val="23"/>
        <w:spacing w:line="360" w:lineRule="auto"/>
        <w:rPr>
          <w:rFonts w:hint="eastAsia"/>
          <w:sz w:val="24"/>
          <w:szCs w:val="18"/>
        </w:rPr>
      </w:pPr>
      <w:r>
        <w:rPr>
          <w:rFonts w:hint="eastAsia"/>
          <w:sz w:val="24"/>
          <w:szCs w:val="18"/>
        </w:rPr>
        <w:t>（2）应当</w:t>
      </w:r>
      <w:r>
        <w:rPr>
          <w:rFonts w:hint="eastAsia"/>
          <w:sz w:val="24"/>
          <w:szCs w:val="18"/>
          <w:lang w:eastAsia="zh-CN"/>
        </w:rPr>
        <w:t>按照规定时间高质量完成本次服务工作</w:t>
      </w:r>
      <w:r>
        <w:rPr>
          <w:rFonts w:hint="eastAsia"/>
          <w:sz w:val="24"/>
          <w:szCs w:val="18"/>
        </w:rPr>
        <w:t>；</w:t>
      </w:r>
    </w:p>
    <w:p>
      <w:pPr>
        <w:pStyle w:val="23"/>
        <w:spacing w:line="360" w:lineRule="auto"/>
        <w:rPr>
          <w:rFonts w:hint="eastAsia"/>
          <w:sz w:val="24"/>
          <w:szCs w:val="18"/>
        </w:rPr>
      </w:pPr>
      <w:r>
        <w:rPr>
          <w:rFonts w:hint="eastAsia"/>
          <w:sz w:val="24"/>
          <w:szCs w:val="18"/>
        </w:rPr>
        <w:t>（</w:t>
      </w:r>
      <w:r>
        <w:rPr>
          <w:rFonts w:hint="eastAsia"/>
          <w:sz w:val="24"/>
          <w:szCs w:val="18"/>
          <w:lang w:val="en-US" w:eastAsia="zh-CN"/>
        </w:rPr>
        <w:t>3</w:t>
      </w:r>
      <w:r>
        <w:rPr>
          <w:rFonts w:hint="eastAsia"/>
          <w:sz w:val="24"/>
          <w:szCs w:val="18"/>
        </w:rPr>
        <w:t>）应</w:t>
      </w:r>
      <w:r>
        <w:rPr>
          <w:rFonts w:hint="eastAsia"/>
          <w:sz w:val="24"/>
          <w:szCs w:val="18"/>
          <w:lang w:eastAsia="zh-CN"/>
        </w:rPr>
        <w:t>当结合本次项目制定</w:t>
      </w:r>
      <w:r>
        <w:rPr>
          <w:rFonts w:hint="eastAsia"/>
          <w:sz w:val="24"/>
          <w:szCs w:val="18"/>
        </w:rPr>
        <w:t>各项管理制度</w:t>
      </w:r>
      <w:r>
        <w:rPr>
          <w:rFonts w:hint="eastAsia"/>
          <w:sz w:val="24"/>
          <w:szCs w:val="18"/>
          <w:lang w:eastAsia="zh-CN"/>
        </w:rPr>
        <w:t>和进度计划</w:t>
      </w:r>
      <w:r>
        <w:rPr>
          <w:rFonts w:hint="eastAsia"/>
          <w:sz w:val="24"/>
          <w:szCs w:val="18"/>
        </w:rPr>
        <w:t>，做到各部门人员分工明确、专业素质达标、工作流程清晰、奖惩得当，确保项目实施过程中各类事宜均有据可依，井然有序；</w:t>
      </w:r>
    </w:p>
    <w:p>
      <w:pPr>
        <w:pStyle w:val="23"/>
        <w:spacing w:line="360" w:lineRule="auto"/>
        <w:rPr>
          <w:rFonts w:hint="eastAsia"/>
          <w:sz w:val="24"/>
          <w:szCs w:val="18"/>
        </w:rPr>
      </w:pPr>
      <w:r>
        <w:rPr>
          <w:rFonts w:hint="eastAsia"/>
          <w:sz w:val="24"/>
          <w:szCs w:val="18"/>
        </w:rPr>
        <w:t>具体服务质量标准以购买主体与承接主体签订的政府购买服务合同约定为主。</w:t>
      </w:r>
    </w:p>
    <w:p>
      <w:pPr>
        <w:pStyle w:val="23"/>
        <w:spacing w:line="360" w:lineRule="auto"/>
        <w:ind w:firstLine="480" w:firstLineChars="200"/>
        <w:rPr>
          <w:rFonts w:hint="eastAsia"/>
          <w:sz w:val="24"/>
          <w:szCs w:val="18"/>
        </w:rPr>
      </w:pPr>
      <w:bookmarkStart w:id="85" w:name="_Toc31714_WPSOffice_Level2"/>
      <w:bookmarkStart w:id="86" w:name="_Toc280_WPSOffice_Level2"/>
      <w:r>
        <w:rPr>
          <w:rFonts w:hint="eastAsia"/>
          <w:sz w:val="24"/>
          <w:szCs w:val="18"/>
          <w:lang w:val="en-US" w:eastAsia="zh-CN"/>
        </w:rPr>
        <w:t>3.</w:t>
      </w:r>
      <w:r>
        <w:rPr>
          <w:rFonts w:hint="eastAsia"/>
          <w:sz w:val="24"/>
          <w:szCs w:val="18"/>
        </w:rPr>
        <w:t>双方权利义务</w:t>
      </w:r>
      <w:bookmarkEnd w:id="85"/>
      <w:bookmarkEnd w:id="86"/>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w:t>
      </w:r>
      <w:r>
        <w:rPr>
          <w:rFonts w:hint="eastAsia"/>
          <w:sz w:val="24"/>
          <w:szCs w:val="18"/>
          <w:lang w:eastAsia="zh-CN"/>
        </w:rPr>
        <w:t>）</w:t>
      </w:r>
      <w:r>
        <w:rPr>
          <w:rFonts w:hint="eastAsia"/>
          <w:sz w:val="24"/>
          <w:szCs w:val="18"/>
        </w:rPr>
        <w:t>购买主体的权利义务包括但不限于：</w:t>
      </w:r>
    </w:p>
    <w:p>
      <w:pPr>
        <w:pStyle w:val="23"/>
        <w:spacing w:line="360" w:lineRule="auto"/>
        <w:rPr>
          <w:rFonts w:hint="eastAsia"/>
          <w:sz w:val="24"/>
          <w:szCs w:val="18"/>
        </w:rPr>
      </w:pPr>
      <w:r>
        <w:rPr>
          <w:rFonts w:hint="eastAsia"/>
          <w:sz w:val="24"/>
          <w:szCs w:val="18"/>
        </w:rPr>
        <w:t>①购买主体应当按照政府购买服务合同的约定向承接主体支付服务费；</w:t>
      </w:r>
    </w:p>
    <w:p>
      <w:pPr>
        <w:pStyle w:val="23"/>
        <w:spacing w:line="360" w:lineRule="auto"/>
        <w:rPr>
          <w:rFonts w:hint="eastAsia"/>
          <w:sz w:val="24"/>
          <w:szCs w:val="18"/>
        </w:rPr>
      </w:pPr>
      <w:r>
        <w:rPr>
          <w:rFonts w:hint="eastAsia"/>
          <w:sz w:val="24"/>
          <w:szCs w:val="18"/>
        </w:rPr>
        <w:t>②购买主体应当对承接主体的业务协调、机构管理、制度建设等工作提供协助；</w:t>
      </w:r>
    </w:p>
    <w:p>
      <w:pPr>
        <w:pStyle w:val="23"/>
        <w:spacing w:line="360" w:lineRule="auto"/>
        <w:rPr>
          <w:rFonts w:hint="eastAsia"/>
          <w:sz w:val="24"/>
          <w:szCs w:val="18"/>
        </w:rPr>
      </w:pPr>
      <w:r>
        <w:rPr>
          <w:rFonts w:hint="eastAsia"/>
          <w:sz w:val="24"/>
          <w:szCs w:val="18"/>
        </w:rPr>
        <w:t>③购买主体有权</w:t>
      </w:r>
      <w:r>
        <w:rPr>
          <w:rFonts w:hint="eastAsia"/>
          <w:sz w:val="24"/>
          <w:szCs w:val="18"/>
          <w:lang w:eastAsia="zh-CN"/>
        </w:rPr>
        <w:t>按照文件要求</w:t>
      </w:r>
      <w:r>
        <w:rPr>
          <w:rFonts w:hint="eastAsia"/>
          <w:sz w:val="24"/>
          <w:szCs w:val="18"/>
        </w:rPr>
        <w:t>制定项目服务质量标准</w:t>
      </w:r>
      <w:r>
        <w:rPr>
          <w:rFonts w:hint="eastAsia"/>
          <w:sz w:val="24"/>
          <w:szCs w:val="18"/>
          <w:lang w:eastAsia="zh-CN"/>
        </w:rPr>
        <w:t>和时效等</w:t>
      </w:r>
      <w:r>
        <w:rPr>
          <w:rFonts w:hint="eastAsia"/>
          <w:sz w:val="24"/>
          <w:szCs w:val="18"/>
        </w:rPr>
        <w:t>指标，对项目</w:t>
      </w:r>
      <w:r>
        <w:rPr>
          <w:rFonts w:hint="eastAsia"/>
          <w:sz w:val="24"/>
          <w:szCs w:val="18"/>
          <w:lang w:eastAsia="zh-CN"/>
        </w:rPr>
        <w:t>服务进行</w:t>
      </w:r>
      <w:r>
        <w:rPr>
          <w:rFonts w:hint="eastAsia"/>
          <w:sz w:val="24"/>
          <w:szCs w:val="18"/>
        </w:rPr>
        <w:t>全过程进行监督</w:t>
      </w:r>
      <w:r>
        <w:rPr>
          <w:rFonts w:hint="eastAsia"/>
          <w:sz w:val="24"/>
          <w:szCs w:val="18"/>
          <w:lang w:eastAsia="zh-CN"/>
        </w:rPr>
        <w:t>提出修改完善意见建议</w:t>
      </w:r>
      <w:r>
        <w:rPr>
          <w:rFonts w:hint="eastAsia"/>
          <w:sz w:val="24"/>
          <w:szCs w:val="18"/>
        </w:rPr>
        <w:t>；</w:t>
      </w:r>
    </w:p>
    <w:p>
      <w:pPr>
        <w:pStyle w:val="23"/>
        <w:spacing w:line="360" w:lineRule="auto"/>
        <w:ind w:firstLine="480" w:firstLineChars="200"/>
        <w:rPr>
          <w:rFonts w:hint="eastAsia"/>
          <w:sz w:val="24"/>
          <w:szCs w:val="18"/>
        </w:rPr>
      </w:pPr>
      <w:r>
        <w:rPr>
          <w:rFonts w:hint="eastAsia"/>
          <w:sz w:val="24"/>
          <w:szCs w:val="18"/>
        </w:rPr>
        <w:t>（4）由于承接主体自身原因，导致</w:t>
      </w:r>
      <w:r>
        <w:rPr>
          <w:rFonts w:hint="eastAsia"/>
          <w:sz w:val="24"/>
          <w:szCs w:val="18"/>
          <w:lang w:eastAsia="zh-CN"/>
        </w:rPr>
        <w:t>服务中断或无法进行时</w:t>
      </w:r>
      <w:r>
        <w:rPr>
          <w:rFonts w:hint="eastAsia"/>
          <w:sz w:val="24"/>
          <w:szCs w:val="18"/>
        </w:rPr>
        <w:t>，购买主体有权单方解除合同，并要求承接主体赔偿损失。</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2</w:t>
      </w:r>
      <w:r>
        <w:rPr>
          <w:rFonts w:hint="eastAsia"/>
          <w:sz w:val="24"/>
          <w:szCs w:val="18"/>
          <w:lang w:eastAsia="zh-CN"/>
        </w:rPr>
        <w:t>）</w:t>
      </w:r>
      <w:r>
        <w:rPr>
          <w:rFonts w:hint="eastAsia"/>
          <w:sz w:val="24"/>
          <w:szCs w:val="18"/>
        </w:rPr>
        <w:t>承接主体的权利义务包括但不限于：</w:t>
      </w:r>
    </w:p>
    <w:p>
      <w:pPr>
        <w:pStyle w:val="23"/>
        <w:spacing w:line="360" w:lineRule="auto"/>
        <w:rPr>
          <w:rFonts w:hint="eastAsia"/>
          <w:sz w:val="24"/>
          <w:szCs w:val="18"/>
        </w:rPr>
      </w:pPr>
      <w:r>
        <w:rPr>
          <w:rFonts w:hint="eastAsia"/>
          <w:sz w:val="24"/>
          <w:szCs w:val="18"/>
        </w:rPr>
        <w:t>①承接主体应当在合同约定的期限内提供服务，逾期提供服务的，应当支付违约金或损失赔偿</w:t>
      </w:r>
      <w:r>
        <w:rPr>
          <w:rFonts w:hint="eastAsia"/>
          <w:sz w:val="24"/>
          <w:szCs w:val="18"/>
          <w:lang w:eastAsia="zh-CN"/>
        </w:rPr>
        <w:t>（因客观原因不能按期完成的另行协商）</w:t>
      </w:r>
      <w:r>
        <w:rPr>
          <w:rFonts w:hint="eastAsia"/>
          <w:sz w:val="24"/>
          <w:szCs w:val="18"/>
        </w:rPr>
        <w:t>；</w:t>
      </w:r>
    </w:p>
    <w:p>
      <w:pPr>
        <w:pStyle w:val="23"/>
        <w:spacing w:line="360" w:lineRule="auto"/>
        <w:rPr>
          <w:rFonts w:hint="eastAsia"/>
          <w:sz w:val="24"/>
          <w:szCs w:val="18"/>
        </w:rPr>
      </w:pPr>
      <w:r>
        <w:rPr>
          <w:rFonts w:hint="eastAsia"/>
          <w:sz w:val="24"/>
          <w:szCs w:val="18"/>
        </w:rPr>
        <w:t>②承接主体应当根据相关法律法规、项目采购文件以及政府购买服务合同及其附件的规定按质按量提供服务；</w:t>
      </w:r>
    </w:p>
    <w:p>
      <w:pPr>
        <w:pStyle w:val="23"/>
        <w:spacing w:line="360" w:lineRule="auto"/>
        <w:rPr>
          <w:rFonts w:hint="eastAsia"/>
          <w:sz w:val="24"/>
          <w:szCs w:val="18"/>
        </w:rPr>
      </w:pPr>
      <w:r>
        <w:rPr>
          <w:rFonts w:hint="eastAsia"/>
          <w:sz w:val="24"/>
          <w:szCs w:val="18"/>
        </w:rPr>
        <w:t>③因购买主体违约造成的损失，有权要求购买主体支付违约金并赔偿损失</w:t>
      </w:r>
      <w:r>
        <w:rPr>
          <w:rFonts w:hint="eastAsia"/>
          <w:sz w:val="24"/>
          <w:szCs w:val="18"/>
          <w:lang w:eastAsia="zh-CN"/>
        </w:rPr>
        <w:t>（因客观原因可另行协商）</w:t>
      </w:r>
      <w:r>
        <w:rPr>
          <w:rFonts w:hint="eastAsia"/>
          <w:sz w:val="24"/>
          <w:szCs w:val="18"/>
        </w:rPr>
        <w:t>。</w:t>
      </w:r>
    </w:p>
    <w:p>
      <w:pPr>
        <w:pStyle w:val="23"/>
        <w:spacing w:line="360" w:lineRule="auto"/>
        <w:ind w:firstLine="480" w:firstLineChars="200"/>
        <w:rPr>
          <w:rFonts w:hint="eastAsia"/>
          <w:sz w:val="24"/>
          <w:szCs w:val="18"/>
        </w:rPr>
      </w:pPr>
      <w:bookmarkStart w:id="87" w:name="_Toc18673_WPSOffice_Level2"/>
      <w:bookmarkStart w:id="88" w:name="_Toc16109_WPSOffice_Level2"/>
      <w:r>
        <w:rPr>
          <w:rFonts w:hint="eastAsia"/>
          <w:sz w:val="24"/>
          <w:szCs w:val="18"/>
          <w:lang w:eastAsia="zh-CN"/>
        </w:rPr>
        <w:t>（</w:t>
      </w:r>
      <w:r>
        <w:rPr>
          <w:rFonts w:hint="eastAsia"/>
          <w:sz w:val="24"/>
          <w:szCs w:val="18"/>
          <w:lang w:val="en-US" w:eastAsia="zh-CN"/>
        </w:rPr>
        <w:t>4</w:t>
      </w:r>
      <w:r>
        <w:rPr>
          <w:rFonts w:hint="eastAsia"/>
          <w:sz w:val="24"/>
          <w:szCs w:val="18"/>
          <w:lang w:eastAsia="zh-CN"/>
        </w:rPr>
        <w:t>）</w:t>
      </w:r>
      <w:r>
        <w:rPr>
          <w:rFonts w:hint="eastAsia"/>
          <w:sz w:val="24"/>
          <w:szCs w:val="18"/>
        </w:rPr>
        <w:t>保密条款</w:t>
      </w:r>
      <w:bookmarkEnd w:id="87"/>
      <w:bookmarkEnd w:id="88"/>
    </w:p>
    <w:p>
      <w:pPr>
        <w:pStyle w:val="23"/>
        <w:spacing w:line="360" w:lineRule="auto"/>
        <w:rPr>
          <w:rFonts w:hint="eastAsia"/>
          <w:sz w:val="24"/>
          <w:szCs w:val="18"/>
        </w:rPr>
      </w:pPr>
      <w:r>
        <w:rPr>
          <w:rFonts w:hint="eastAsia"/>
          <w:sz w:val="24"/>
          <w:szCs w:val="18"/>
        </w:rPr>
        <w:t xml:space="preserve">    承接主体对购买主体提供的资料负有保密义务，未经购买主体的同意，不得向项目无关单位和个人提供有关资料。购买主体有义务保护承接主体的知识产权，未经承接主体同意，购买主体不得将其成果文件及资料向第三方转让或用于本合同以外的项目。</w:t>
      </w:r>
    </w:p>
    <w:p>
      <w:pPr>
        <w:pStyle w:val="23"/>
        <w:spacing w:line="360" w:lineRule="auto"/>
        <w:ind w:firstLine="480" w:firstLineChars="200"/>
        <w:rPr>
          <w:rFonts w:hint="eastAsia"/>
          <w:sz w:val="24"/>
          <w:szCs w:val="18"/>
        </w:rPr>
      </w:pPr>
      <w:bookmarkStart w:id="89" w:name="_Toc26070_WPSOffice_Level2"/>
      <w:bookmarkStart w:id="90" w:name="_Toc30919_WPSOffice_Level2"/>
      <w:r>
        <w:rPr>
          <w:rFonts w:hint="eastAsia"/>
          <w:sz w:val="24"/>
          <w:szCs w:val="18"/>
          <w:lang w:eastAsia="zh-CN"/>
        </w:rPr>
        <w:t>（</w:t>
      </w:r>
      <w:r>
        <w:rPr>
          <w:rFonts w:hint="eastAsia"/>
          <w:sz w:val="24"/>
          <w:szCs w:val="18"/>
          <w:lang w:val="en-US" w:eastAsia="zh-CN"/>
        </w:rPr>
        <w:t>5</w:t>
      </w:r>
      <w:r>
        <w:rPr>
          <w:rFonts w:hint="eastAsia"/>
          <w:sz w:val="24"/>
          <w:szCs w:val="18"/>
          <w:lang w:eastAsia="zh-CN"/>
        </w:rPr>
        <w:t>）</w:t>
      </w:r>
      <w:r>
        <w:rPr>
          <w:rFonts w:hint="eastAsia"/>
          <w:sz w:val="24"/>
          <w:szCs w:val="18"/>
        </w:rPr>
        <w:t>不可抗力</w:t>
      </w:r>
      <w:bookmarkEnd w:id="89"/>
      <w:bookmarkEnd w:id="90"/>
    </w:p>
    <w:p>
      <w:pPr>
        <w:pStyle w:val="23"/>
        <w:spacing w:line="360" w:lineRule="auto"/>
        <w:rPr>
          <w:rFonts w:hint="eastAsia"/>
          <w:sz w:val="24"/>
          <w:szCs w:val="18"/>
        </w:rPr>
      </w:pPr>
      <w:r>
        <w:rPr>
          <w:rFonts w:hint="eastAsia"/>
          <w:sz w:val="24"/>
          <w:szCs w:val="18"/>
        </w:rPr>
        <w:t>任何一方由于不可抗力原因不能履行合同时，应在不可抗力事件结束后1日内向对方通报，以减轻可能给对方造成的损失，在取得有关机构的不可抗力证明或双方谅解确</w:t>
      </w:r>
      <w:r>
        <w:rPr>
          <w:rFonts w:hint="eastAsia"/>
          <w:sz w:val="24"/>
          <w:szCs w:val="18"/>
          <w:lang w:val="en-US" w:eastAsia="zh-CN"/>
        </w:rPr>
        <w:t>认</w:t>
      </w:r>
      <w:r>
        <w:rPr>
          <w:rFonts w:hint="eastAsia"/>
          <w:sz w:val="24"/>
          <w:szCs w:val="18"/>
        </w:rPr>
        <w:t>后，允许延期履行或修订合同，并根据情况可部分或全部免于承担违约责任。</w:t>
      </w:r>
    </w:p>
    <w:p>
      <w:pPr>
        <w:pStyle w:val="23"/>
        <w:spacing w:line="360" w:lineRule="auto"/>
        <w:ind w:firstLine="480" w:firstLineChars="200"/>
        <w:rPr>
          <w:rFonts w:hint="eastAsia"/>
          <w:sz w:val="24"/>
          <w:szCs w:val="18"/>
        </w:rPr>
      </w:pPr>
      <w:bookmarkStart w:id="91" w:name="_Toc22613_WPSOffice_Level2"/>
      <w:bookmarkStart w:id="92" w:name="_Toc24044_WPSOffice_Level2"/>
      <w:r>
        <w:rPr>
          <w:rFonts w:hint="eastAsia"/>
          <w:sz w:val="24"/>
          <w:szCs w:val="18"/>
          <w:lang w:eastAsia="zh-CN"/>
        </w:rPr>
        <w:t>（</w:t>
      </w:r>
      <w:r>
        <w:rPr>
          <w:rFonts w:hint="eastAsia"/>
          <w:sz w:val="24"/>
          <w:szCs w:val="18"/>
          <w:lang w:val="en-US" w:eastAsia="zh-CN"/>
        </w:rPr>
        <w:t>6</w:t>
      </w:r>
      <w:r>
        <w:rPr>
          <w:rFonts w:hint="eastAsia"/>
          <w:sz w:val="24"/>
          <w:szCs w:val="18"/>
          <w:lang w:eastAsia="zh-CN"/>
        </w:rPr>
        <w:t>）</w:t>
      </w:r>
      <w:r>
        <w:rPr>
          <w:rFonts w:hint="eastAsia"/>
          <w:sz w:val="24"/>
          <w:szCs w:val="18"/>
        </w:rPr>
        <w:t>合同的终止</w:t>
      </w:r>
      <w:bookmarkEnd w:id="91"/>
      <w:bookmarkEnd w:id="92"/>
    </w:p>
    <w:p>
      <w:pPr>
        <w:pStyle w:val="23"/>
        <w:spacing w:line="360" w:lineRule="auto"/>
        <w:rPr>
          <w:rFonts w:hint="eastAsia"/>
          <w:sz w:val="24"/>
          <w:szCs w:val="18"/>
        </w:rPr>
      </w:pPr>
      <w:r>
        <w:rPr>
          <w:rFonts w:hint="eastAsia"/>
          <w:sz w:val="24"/>
          <w:szCs w:val="18"/>
        </w:rPr>
        <w:t xml:space="preserve">    本项目政府购买服务合同终止的情形包括：合同期满，双方未续签的；承接主体不能按照合同约定提供服务，致使合同无法继续履行的；合同双方协商提前终止合同。</w:t>
      </w:r>
    </w:p>
    <w:p>
      <w:pPr>
        <w:pStyle w:val="23"/>
        <w:spacing w:line="360" w:lineRule="auto"/>
        <w:ind w:firstLine="480" w:firstLineChars="200"/>
        <w:rPr>
          <w:rFonts w:hint="eastAsia"/>
          <w:sz w:val="24"/>
          <w:szCs w:val="18"/>
        </w:rPr>
      </w:pPr>
      <w:bookmarkStart w:id="93" w:name="_Toc7399_WPSOffice_Level2"/>
      <w:bookmarkStart w:id="94" w:name="_Toc14442_WPSOffice_Level2"/>
      <w:r>
        <w:rPr>
          <w:rFonts w:hint="eastAsia"/>
          <w:sz w:val="24"/>
          <w:szCs w:val="18"/>
          <w:lang w:eastAsia="zh-CN"/>
        </w:rPr>
        <w:t>（</w:t>
      </w:r>
      <w:r>
        <w:rPr>
          <w:rFonts w:hint="eastAsia"/>
          <w:sz w:val="24"/>
          <w:szCs w:val="18"/>
          <w:lang w:val="en-US" w:eastAsia="zh-CN"/>
        </w:rPr>
        <w:t>7</w:t>
      </w:r>
      <w:r>
        <w:rPr>
          <w:rFonts w:hint="eastAsia"/>
          <w:sz w:val="24"/>
          <w:szCs w:val="18"/>
          <w:lang w:eastAsia="zh-CN"/>
        </w:rPr>
        <w:t>）</w:t>
      </w:r>
      <w:r>
        <w:rPr>
          <w:rFonts w:hint="eastAsia"/>
          <w:sz w:val="24"/>
          <w:szCs w:val="18"/>
        </w:rPr>
        <w:t>争议的解决</w:t>
      </w:r>
      <w:bookmarkEnd w:id="93"/>
      <w:bookmarkEnd w:id="94"/>
    </w:p>
    <w:p>
      <w:pPr>
        <w:pStyle w:val="23"/>
        <w:spacing w:line="360" w:lineRule="auto"/>
        <w:rPr>
          <w:rFonts w:hint="eastAsia"/>
          <w:sz w:val="24"/>
          <w:szCs w:val="18"/>
        </w:rPr>
      </w:pPr>
      <w:r>
        <w:rPr>
          <w:rFonts w:hint="eastAsia"/>
          <w:sz w:val="24"/>
          <w:szCs w:val="18"/>
        </w:rPr>
        <w:t xml:space="preserve">    本合同履行过程中发生的任何争议，如双方不能通过友好协商解决，任何一方可向合同签订地人民法院提起诉讼。</w:t>
      </w:r>
    </w:p>
    <w:p>
      <w:pPr>
        <w:pStyle w:val="23"/>
        <w:spacing w:line="360" w:lineRule="auto"/>
        <w:jc w:val="center"/>
        <w:rPr>
          <w:rFonts w:hint="eastAsia"/>
          <w:sz w:val="24"/>
          <w:szCs w:val="18"/>
        </w:rPr>
      </w:pPr>
      <w:bookmarkStart w:id="95" w:name="_Toc25481_WPSOffice_Level2"/>
      <w:bookmarkStart w:id="96" w:name="_Toc6611_WPSOffice_Level2"/>
      <w:r>
        <w:rPr>
          <w:rFonts w:hint="eastAsia"/>
          <w:sz w:val="24"/>
          <w:szCs w:val="18"/>
          <w:lang w:eastAsia="zh-CN"/>
        </w:rPr>
        <w:t>九、</w:t>
      </w:r>
      <w:r>
        <w:rPr>
          <w:rFonts w:hint="eastAsia"/>
          <w:sz w:val="24"/>
          <w:szCs w:val="18"/>
        </w:rPr>
        <w:t>资金支付</w:t>
      </w:r>
      <w:bookmarkEnd w:id="95"/>
      <w:bookmarkEnd w:id="96"/>
    </w:p>
    <w:p>
      <w:pPr>
        <w:pStyle w:val="23"/>
        <w:spacing w:line="360" w:lineRule="auto"/>
        <w:ind w:firstLine="480" w:firstLineChars="200"/>
        <w:rPr>
          <w:rFonts w:hint="eastAsia"/>
          <w:sz w:val="24"/>
          <w:szCs w:val="18"/>
        </w:rPr>
      </w:pPr>
      <w:r>
        <w:rPr>
          <w:rFonts w:hint="eastAsia"/>
          <w:sz w:val="24"/>
          <w:szCs w:val="18"/>
        </w:rPr>
        <w:t>1.付款方式</w:t>
      </w:r>
    </w:p>
    <w:p>
      <w:pPr>
        <w:pStyle w:val="23"/>
        <w:spacing w:line="360" w:lineRule="auto"/>
        <w:ind w:firstLine="480" w:firstLineChars="200"/>
        <w:rPr>
          <w:rFonts w:hint="eastAsia"/>
          <w:sz w:val="24"/>
          <w:szCs w:val="18"/>
        </w:rPr>
      </w:pPr>
      <w:r>
        <w:rPr>
          <w:rFonts w:hint="eastAsia"/>
          <w:sz w:val="24"/>
          <w:szCs w:val="18"/>
        </w:rPr>
        <w:t>本政府购买服务项目的付款方式为国库直接支付。</w:t>
      </w:r>
    </w:p>
    <w:p>
      <w:pPr>
        <w:pStyle w:val="23"/>
        <w:spacing w:line="360" w:lineRule="auto"/>
        <w:ind w:firstLine="480" w:firstLineChars="200"/>
        <w:rPr>
          <w:rFonts w:hint="eastAsia"/>
          <w:sz w:val="24"/>
          <w:szCs w:val="18"/>
        </w:rPr>
      </w:pPr>
      <w:r>
        <w:rPr>
          <w:rFonts w:hint="eastAsia"/>
          <w:sz w:val="24"/>
          <w:szCs w:val="18"/>
        </w:rPr>
        <w:t>2.付款时间</w:t>
      </w:r>
    </w:p>
    <w:p>
      <w:pPr>
        <w:pStyle w:val="23"/>
        <w:spacing w:line="360" w:lineRule="auto"/>
        <w:ind w:firstLine="480" w:firstLineChars="200"/>
        <w:rPr>
          <w:rFonts w:hint="eastAsia"/>
          <w:sz w:val="24"/>
          <w:szCs w:val="18"/>
        </w:rPr>
      </w:pPr>
      <w:r>
        <w:rPr>
          <w:rFonts w:hint="eastAsia"/>
          <w:sz w:val="24"/>
          <w:szCs w:val="18"/>
        </w:rPr>
        <w:t>本项目服务费支付分为两部分，</w:t>
      </w:r>
      <w:r>
        <w:rPr>
          <w:rFonts w:hint="eastAsia"/>
          <w:sz w:val="24"/>
          <w:szCs w:val="18"/>
          <w:lang w:eastAsia="zh-CN"/>
        </w:rPr>
        <w:t>上图入库及分析评估为</w:t>
      </w:r>
      <w:r>
        <w:rPr>
          <w:rFonts w:hint="eastAsia"/>
          <w:sz w:val="24"/>
          <w:szCs w:val="18"/>
          <w:lang w:val="en-US" w:eastAsia="zh-CN"/>
        </w:rPr>
        <w:t>49.5万元，三年规划为10.5万元。</w:t>
      </w:r>
      <w:r>
        <w:rPr>
          <w:rFonts w:hint="eastAsia"/>
          <w:sz w:val="24"/>
          <w:szCs w:val="18"/>
        </w:rPr>
        <w:t>具体安排如下：</w:t>
      </w:r>
    </w:p>
    <w:p>
      <w:pPr>
        <w:pStyle w:val="23"/>
        <w:spacing w:line="360" w:lineRule="auto"/>
        <w:ind w:firstLine="480" w:firstLineChars="200"/>
        <w:rPr>
          <w:rFonts w:hint="eastAsia"/>
          <w:sz w:val="24"/>
          <w:szCs w:val="18"/>
        </w:rPr>
      </w:pPr>
      <w:r>
        <w:rPr>
          <w:rFonts w:hint="eastAsia"/>
          <w:sz w:val="24"/>
          <w:szCs w:val="18"/>
        </w:rPr>
        <w:t>（1）</w:t>
      </w:r>
      <w:r>
        <w:rPr>
          <w:rFonts w:hint="eastAsia"/>
          <w:sz w:val="24"/>
          <w:szCs w:val="18"/>
          <w:lang w:eastAsia="zh-CN"/>
        </w:rPr>
        <w:t>上图入库及分析评估</w:t>
      </w:r>
      <w:r>
        <w:rPr>
          <w:rFonts w:hint="eastAsia"/>
          <w:sz w:val="24"/>
          <w:szCs w:val="18"/>
        </w:rPr>
        <w:t>：购买主体根据</w:t>
      </w:r>
      <w:r>
        <w:rPr>
          <w:rFonts w:hint="eastAsia"/>
          <w:sz w:val="24"/>
          <w:szCs w:val="18"/>
          <w:lang w:eastAsia="zh-CN"/>
        </w:rPr>
        <w:t>进度和财政拨付情况</w:t>
      </w:r>
      <w:r>
        <w:rPr>
          <w:rFonts w:hint="eastAsia"/>
          <w:sz w:val="24"/>
          <w:szCs w:val="18"/>
        </w:rPr>
        <w:t>，向承接主体支付服务费，</w:t>
      </w:r>
      <w:r>
        <w:rPr>
          <w:rFonts w:hint="eastAsia"/>
          <w:sz w:val="24"/>
          <w:szCs w:val="18"/>
          <w:lang w:eastAsia="zh-CN"/>
        </w:rPr>
        <w:t>服务通过市级主管部门审核通过后申请财政拨款进行支付</w:t>
      </w:r>
      <w:r>
        <w:rPr>
          <w:rFonts w:hint="eastAsia"/>
          <w:sz w:val="24"/>
          <w:szCs w:val="18"/>
        </w:rPr>
        <w:t>。</w:t>
      </w:r>
    </w:p>
    <w:p>
      <w:pPr>
        <w:pStyle w:val="23"/>
        <w:spacing w:line="360" w:lineRule="auto"/>
        <w:ind w:firstLine="480" w:firstLineChars="200"/>
        <w:rPr>
          <w:rFonts w:hint="eastAsia"/>
          <w:sz w:val="24"/>
          <w:szCs w:val="18"/>
        </w:rPr>
      </w:pPr>
      <w:r>
        <w:rPr>
          <w:rFonts w:hint="eastAsia"/>
          <w:sz w:val="24"/>
          <w:szCs w:val="18"/>
        </w:rPr>
        <w:t>（2）</w:t>
      </w:r>
      <w:r>
        <w:rPr>
          <w:rFonts w:hint="eastAsia"/>
          <w:sz w:val="24"/>
          <w:szCs w:val="18"/>
          <w:lang w:eastAsia="zh-CN"/>
        </w:rPr>
        <w:t>三年规划</w:t>
      </w:r>
      <w:r>
        <w:rPr>
          <w:rFonts w:hint="eastAsia"/>
          <w:sz w:val="24"/>
          <w:szCs w:val="18"/>
        </w:rPr>
        <w:t>：购买主体</w:t>
      </w:r>
      <w:r>
        <w:rPr>
          <w:rFonts w:hint="eastAsia"/>
          <w:sz w:val="24"/>
          <w:szCs w:val="18"/>
          <w:lang w:eastAsia="zh-CN"/>
        </w:rPr>
        <w:t>通过专家评审并提交政府审核后</w:t>
      </w:r>
      <w:r>
        <w:rPr>
          <w:rFonts w:hint="eastAsia"/>
          <w:sz w:val="24"/>
          <w:szCs w:val="18"/>
        </w:rPr>
        <w:t>，</w:t>
      </w:r>
      <w:r>
        <w:rPr>
          <w:rFonts w:hint="eastAsia"/>
          <w:sz w:val="24"/>
          <w:szCs w:val="18"/>
          <w:lang w:eastAsia="zh-CN"/>
        </w:rPr>
        <w:t>按照财政拨款情况</w:t>
      </w:r>
      <w:r>
        <w:rPr>
          <w:rFonts w:hint="eastAsia"/>
          <w:sz w:val="24"/>
          <w:szCs w:val="18"/>
        </w:rPr>
        <w:t>向承接主体支付服务费。</w:t>
      </w:r>
    </w:p>
    <w:p>
      <w:pPr>
        <w:pStyle w:val="23"/>
        <w:spacing w:line="360" w:lineRule="auto"/>
        <w:jc w:val="center"/>
        <w:rPr>
          <w:rFonts w:hint="eastAsia"/>
          <w:sz w:val="24"/>
          <w:szCs w:val="18"/>
          <w:lang w:eastAsia="zh-CN"/>
        </w:rPr>
      </w:pPr>
      <w:r>
        <w:rPr>
          <w:rFonts w:hint="eastAsia"/>
          <w:sz w:val="24"/>
          <w:szCs w:val="18"/>
          <w:lang w:eastAsia="zh-CN"/>
        </w:rPr>
        <w:t>十、监督检查</w:t>
      </w:r>
    </w:p>
    <w:p>
      <w:pPr>
        <w:pStyle w:val="23"/>
        <w:spacing w:line="360" w:lineRule="auto"/>
        <w:ind w:firstLine="480" w:firstLineChars="200"/>
        <w:rPr>
          <w:rFonts w:hint="eastAsia"/>
          <w:sz w:val="24"/>
          <w:szCs w:val="18"/>
        </w:rPr>
      </w:pPr>
      <w:r>
        <w:rPr>
          <w:rFonts w:hint="eastAsia"/>
          <w:sz w:val="24"/>
          <w:szCs w:val="18"/>
        </w:rPr>
        <w:t>《内蒙古自治区政府向社会力量购买服务管理办法》（内政办发〔2015〕154号）指出，“政府购买服务工作应建立政府统一领导，财政部门牵头，机构编制、民政、工商、审计及行业主管部门协同，职能部门履职，监督部门保障的工作分工机制，规范有序地开展工作。”政府购买服务项目既涉及公众服务，也涉及财政支付，既要维护人民群众的利益，也要保障国有资金的合理使用，因此，应当建立健全政府购买服务项目监督检查机制，对项目进行全过程的跟踪、监管，保证项目的有序实施。</w:t>
      </w:r>
    </w:p>
    <w:p>
      <w:pPr>
        <w:pStyle w:val="23"/>
        <w:spacing w:line="360" w:lineRule="auto"/>
        <w:rPr>
          <w:rFonts w:hint="eastAsia"/>
          <w:sz w:val="24"/>
          <w:szCs w:val="18"/>
        </w:rPr>
      </w:pPr>
      <w:r>
        <w:rPr>
          <w:rFonts w:hint="eastAsia"/>
          <w:sz w:val="24"/>
          <w:szCs w:val="18"/>
        </w:rPr>
        <w:t>本项目的监管方式主要包括：履约监管</w:t>
      </w:r>
      <w:r>
        <w:rPr>
          <w:rFonts w:hint="eastAsia"/>
          <w:sz w:val="24"/>
          <w:szCs w:val="18"/>
          <w:lang w:eastAsia="zh-CN"/>
        </w:rPr>
        <w:t>、</w:t>
      </w:r>
      <w:r>
        <w:rPr>
          <w:rFonts w:hint="eastAsia"/>
          <w:sz w:val="24"/>
          <w:szCs w:val="18"/>
        </w:rPr>
        <w:t>行政监管。每种方式对应不同的监管主体和监管内容，下文将进行具体说明。</w:t>
      </w:r>
    </w:p>
    <w:p>
      <w:pPr>
        <w:pStyle w:val="23"/>
        <w:spacing w:line="360" w:lineRule="auto"/>
        <w:ind w:firstLine="480" w:firstLineChars="200"/>
        <w:rPr>
          <w:rFonts w:hint="eastAsia"/>
          <w:sz w:val="24"/>
          <w:szCs w:val="18"/>
        </w:rPr>
      </w:pPr>
      <w:bookmarkStart w:id="97" w:name="_Toc513015463"/>
      <w:bookmarkStart w:id="98" w:name="_Toc30097_WPSOffice_Level2"/>
      <w:bookmarkStart w:id="99" w:name="_Toc29066"/>
      <w:bookmarkStart w:id="100" w:name="_Toc6982_WPSOffice_Level2"/>
      <w:r>
        <w:rPr>
          <w:rFonts w:hint="eastAsia"/>
          <w:sz w:val="24"/>
          <w:szCs w:val="18"/>
          <w:lang w:val="en-US" w:eastAsia="zh-CN"/>
        </w:rPr>
        <w:t>1.</w:t>
      </w:r>
      <w:r>
        <w:rPr>
          <w:rFonts w:hint="eastAsia"/>
          <w:sz w:val="24"/>
          <w:szCs w:val="18"/>
        </w:rPr>
        <w:t>履约监管</w:t>
      </w:r>
      <w:bookmarkEnd w:id="97"/>
      <w:bookmarkEnd w:id="98"/>
      <w:bookmarkEnd w:id="99"/>
      <w:bookmarkEnd w:id="100"/>
    </w:p>
    <w:p>
      <w:pPr>
        <w:pStyle w:val="23"/>
        <w:spacing w:line="360" w:lineRule="auto"/>
        <w:rPr>
          <w:rFonts w:hint="eastAsia"/>
          <w:sz w:val="24"/>
          <w:szCs w:val="18"/>
          <w:lang w:eastAsia="zh-CN"/>
        </w:rPr>
      </w:pPr>
      <w:r>
        <w:rPr>
          <w:rFonts w:hint="eastAsia"/>
          <w:sz w:val="24"/>
          <w:szCs w:val="18"/>
        </w:rPr>
        <w:t xml:space="preserve">    履约监管也称项目监管，是指对承接主体提供服务的内容、质量、效率等进行的监管。本项目的承接主体应当根据项目实施方案、采购文件、政府购买服务合同以及国家、地方相关政策法规、质量标准的要求，向鄂托克前旗</w:t>
      </w:r>
      <w:r>
        <w:rPr>
          <w:rFonts w:hint="eastAsia"/>
          <w:sz w:val="24"/>
          <w:szCs w:val="18"/>
          <w:lang w:eastAsia="zh-CN"/>
        </w:rPr>
        <w:t>农牧业综合开发中心提供</w:t>
      </w:r>
      <w:r>
        <w:rPr>
          <w:rFonts w:hint="eastAsia"/>
          <w:sz w:val="24"/>
          <w:szCs w:val="18"/>
        </w:rPr>
        <w:t>服务。履约监管方式主要通过政府购买服务合同中的违约条款、绩效条款、终止条款等相关内容对项目产生监督作用</w:t>
      </w:r>
      <w:r>
        <w:rPr>
          <w:rFonts w:hint="eastAsia"/>
          <w:sz w:val="24"/>
          <w:szCs w:val="18"/>
          <w:lang w:eastAsia="zh-CN"/>
        </w:rPr>
        <w:t>。</w:t>
      </w:r>
    </w:p>
    <w:p>
      <w:pPr>
        <w:pStyle w:val="23"/>
        <w:spacing w:line="360" w:lineRule="auto"/>
        <w:ind w:firstLine="480" w:firstLineChars="200"/>
        <w:rPr>
          <w:rFonts w:hint="eastAsia"/>
          <w:sz w:val="24"/>
          <w:szCs w:val="18"/>
        </w:rPr>
      </w:pPr>
      <w:r>
        <w:rPr>
          <w:rFonts w:hint="eastAsia"/>
          <w:sz w:val="24"/>
          <w:szCs w:val="18"/>
          <w:lang w:val="en-US" w:eastAsia="zh-CN"/>
        </w:rPr>
        <w:t>2.</w:t>
      </w:r>
      <w:r>
        <w:rPr>
          <w:rFonts w:hint="eastAsia"/>
          <w:sz w:val="24"/>
          <w:szCs w:val="18"/>
        </w:rPr>
        <w:t>监管主体</w:t>
      </w:r>
    </w:p>
    <w:p>
      <w:pPr>
        <w:pStyle w:val="23"/>
        <w:spacing w:line="360" w:lineRule="auto"/>
        <w:ind w:firstLine="480" w:firstLineChars="200"/>
        <w:rPr>
          <w:rFonts w:hint="eastAsia"/>
          <w:sz w:val="24"/>
          <w:szCs w:val="18"/>
        </w:rPr>
      </w:pPr>
      <w:r>
        <w:rPr>
          <w:rFonts w:hint="eastAsia"/>
          <w:sz w:val="24"/>
          <w:szCs w:val="18"/>
        </w:rPr>
        <w:t>本项目履约监管的主体为</w:t>
      </w:r>
      <w:r>
        <w:rPr>
          <w:rFonts w:hint="eastAsia"/>
          <w:sz w:val="24"/>
          <w:szCs w:val="18"/>
          <w:lang w:eastAsia="zh-CN"/>
        </w:rPr>
        <w:t>鄂托克前旗农牧业综合开发中心</w:t>
      </w:r>
      <w:r>
        <w:rPr>
          <w:rFonts w:hint="eastAsia"/>
          <w:sz w:val="24"/>
          <w:szCs w:val="18"/>
        </w:rPr>
        <w:t>，其他监督机构为鄂托克前旗财政局以及鄂托克前旗</w:t>
      </w:r>
      <w:r>
        <w:rPr>
          <w:rFonts w:hint="eastAsia"/>
          <w:sz w:val="24"/>
          <w:szCs w:val="18"/>
          <w:lang w:eastAsia="zh-CN"/>
        </w:rPr>
        <w:t>审计局</w:t>
      </w:r>
      <w:r>
        <w:rPr>
          <w:rFonts w:hint="eastAsia"/>
          <w:sz w:val="24"/>
          <w:szCs w:val="18"/>
        </w:rPr>
        <w:t>。鄂托克前旗</w:t>
      </w:r>
      <w:r>
        <w:rPr>
          <w:rFonts w:hint="eastAsia"/>
          <w:sz w:val="24"/>
          <w:szCs w:val="18"/>
          <w:lang w:eastAsia="zh-CN"/>
        </w:rPr>
        <w:t>农牧业综合开发中心</w:t>
      </w:r>
      <w:r>
        <w:rPr>
          <w:rFonts w:hint="eastAsia"/>
          <w:sz w:val="24"/>
          <w:szCs w:val="18"/>
        </w:rPr>
        <w:t>作为服务相关工作的负责单位。同时作为本项目的购买主体，其所承担的主要角色即为“监督者”，应当对承接主体提供服务的质量、效率进行监督管理，保证</w:t>
      </w:r>
      <w:r>
        <w:rPr>
          <w:rFonts w:hint="eastAsia"/>
          <w:sz w:val="24"/>
          <w:szCs w:val="18"/>
          <w:lang w:eastAsia="zh-CN"/>
        </w:rPr>
        <w:t>各项</w:t>
      </w:r>
      <w:r>
        <w:rPr>
          <w:rFonts w:hint="eastAsia"/>
          <w:sz w:val="24"/>
          <w:szCs w:val="18"/>
        </w:rPr>
        <w:t>工作的顺利进行</w:t>
      </w:r>
      <w:r>
        <w:rPr>
          <w:rFonts w:hint="eastAsia"/>
          <w:sz w:val="24"/>
          <w:szCs w:val="18"/>
          <w:lang w:eastAsia="zh-CN"/>
        </w:rPr>
        <w:t>按时高质量完成</w:t>
      </w:r>
      <w:r>
        <w:rPr>
          <w:rFonts w:hint="eastAsia"/>
          <w:sz w:val="24"/>
          <w:szCs w:val="18"/>
        </w:rPr>
        <w:t>。</w:t>
      </w:r>
    </w:p>
    <w:p>
      <w:pPr>
        <w:pStyle w:val="23"/>
        <w:spacing w:line="360" w:lineRule="auto"/>
        <w:ind w:firstLine="480" w:firstLineChars="200"/>
        <w:rPr>
          <w:rFonts w:hint="eastAsia"/>
          <w:sz w:val="24"/>
          <w:szCs w:val="18"/>
        </w:rPr>
      </w:pPr>
      <w:r>
        <w:rPr>
          <w:rFonts w:hint="eastAsia"/>
          <w:sz w:val="24"/>
          <w:szCs w:val="18"/>
          <w:lang w:val="en-US" w:eastAsia="zh-CN"/>
        </w:rPr>
        <w:t>3.</w:t>
      </w:r>
      <w:r>
        <w:rPr>
          <w:rFonts w:hint="eastAsia"/>
          <w:sz w:val="24"/>
          <w:szCs w:val="18"/>
        </w:rPr>
        <w:t>监管内容</w:t>
      </w:r>
    </w:p>
    <w:p>
      <w:pPr>
        <w:pStyle w:val="23"/>
        <w:spacing w:line="360" w:lineRule="auto"/>
        <w:ind w:firstLine="480" w:firstLineChars="200"/>
        <w:rPr>
          <w:rFonts w:hint="eastAsia"/>
          <w:sz w:val="24"/>
          <w:szCs w:val="18"/>
        </w:rPr>
      </w:pPr>
      <w:r>
        <w:rPr>
          <w:rFonts w:hint="eastAsia"/>
          <w:sz w:val="24"/>
          <w:szCs w:val="18"/>
        </w:rPr>
        <w:t>履约监管的内容为承接主体是否按照</w:t>
      </w:r>
      <w:r>
        <w:rPr>
          <w:rFonts w:hint="eastAsia"/>
          <w:sz w:val="24"/>
          <w:szCs w:val="18"/>
          <w:lang w:eastAsia="zh-CN"/>
        </w:rPr>
        <w:t>各级文件要求和</w:t>
      </w:r>
      <w:r>
        <w:rPr>
          <w:rFonts w:hint="eastAsia"/>
          <w:sz w:val="24"/>
          <w:szCs w:val="18"/>
        </w:rPr>
        <w:t>实施方案、政府购买服务合同、国家和地区相关标准提供服务。具体包括下列几方面：</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1</w:t>
      </w:r>
      <w:r>
        <w:rPr>
          <w:rFonts w:hint="eastAsia"/>
          <w:sz w:val="24"/>
          <w:szCs w:val="18"/>
          <w:lang w:eastAsia="zh-CN"/>
        </w:rPr>
        <w:t>）</w:t>
      </w:r>
      <w:r>
        <w:rPr>
          <w:rFonts w:hint="eastAsia"/>
          <w:sz w:val="24"/>
          <w:szCs w:val="18"/>
        </w:rPr>
        <w:t>服务提供内容</w:t>
      </w:r>
    </w:p>
    <w:p>
      <w:pPr>
        <w:pStyle w:val="23"/>
        <w:spacing w:line="360" w:lineRule="auto"/>
        <w:rPr>
          <w:rFonts w:hint="eastAsia"/>
          <w:sz w:val="24"/>
          <w:szCs w:val="18"/>
        </w:rPr>
      </w:pPr>
      <w:r>
        <w:rPr>
          <w:rFonts w:hint="eastAsia"/>
          <w:sz w:val="24"/>
          <w:szCs w:val="18"/>
        </w:rPr>
        <w:t xml:space="preserve">    主要考察承接主体是否按照第</w:t>
      </w:r>
      <w:r>
        <w:rPr>
          <w:rFonts w:hint="eastAsia"/>
          <w:sz w:val="24"/>
          <w:szCs w:val="18"/>
          <w:lang w:eastAsia="zh-CN"/>
        </w:rPr>
        <w:t>二</w:t>
      </w:r>
      <w:r>
        <w:rPr>
          <w:rFonts w:hint="eastAsia"/>
          <w:sz w:val="24"/>
          <w:szCs w:val="18"/>
        </w:rPr>
        <w:t>章所述的购买内容提供全面服务。承接主体提供服务存在缺少、遗漏的，将根据合同约定，相应减少服务费或向购买主体支付违约金。</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2</w:t>
      </w:r>
      <w:r>
        <w:rPr>
          <w:rFonts w:hint="eastAsia"/>
          <w:sz w:val="24"/>
          <w:szCs w:val="18"/>
          <w:lang w:eastAsia="zh-CN"/>
        </w:rPr>
        <w:t>）</w:t>
      </w:r>
      <w:r>
        <w:rPr>
          <w:rFonts w:hint="eastAsia"/>
          <w:sz w:val="24"/>
          <w:szCs w:val="18"/>
        </w:rPr>
        <w:t>服务提供效率</w:t>
      </w:r>
    </w:p>
    <w:p>
      <w:pPr>
        <w:pStyle w:val="23"/>
        <w:spacing w:line="360" w:lineRule="auto"/>
        <w:ind w:firstLine="480" w:firstLineChars="200"/>
        <w:rPr>
          <w:rFonts w:hint="eastAsia"/>
          <w:sz w:val="24"/>
          <w:szCs w:val="18"/>
        </w:rPr>
      </w:pPr>
      <w:r>
        <w:rPr>
          <w:rFonts w:hint="eastAsia"/>
          <w:sz w:val="24"/>
          <w:szCs w:val="18"/>
        </w:rPr>
        <w:t>主要考察承接主体是否在合同约定的时间内完成各项服务。本项目主要考察的内容有：</w:t>
      </w:r>
      <w:r>
        <w:rPr>
          <w:rFonts w:hint="eastAsia"/>
          <w:sz w:val="24"/>
          <w:szCs w:val="18"/>
          <w:lang w:val="en-US" w:eastAsia="zh-CN"/>
        </w:rPr>
        <w:t>①</w:t>
      </w:r>
      <w:r>
        <w:rPr>
          <w:rFonts w:hint="eastAsia"/>
          <w:sz w:val="24"/>
          <w:szCs w:val="18"/>
          <w:lang w:eastAsia="zh-CN"/>
        </w:rPr>
        <w:t>上图入库及分析评估</w:t>
      </w:r>
      <w:r>
        <w:rPr>
          <w:rFonts w:hint="eastAsia"/>
          <w:sz w:val="24"/>
          <w:szCs w:val="18"/>
        </w:rPr>
        <w:t>工作的完善及准确性；</w:t>
      </w:r>
      <w:r>
        <w:rPr>
          <w:rFonts w:hint="eastAsia"/>
          <w:sz w:val="24"/>
          <w:szCs w:val="18"/>
          <w:lang w:val="en-US" w:eastAsia="zh-CN"/>
        </w:rPr>
        <w:t>②</w:t>
      </w:r>
      <w:r>
        <w:rPr>
          <w:rFonts w:hint="eastAsia"/>
          <w:sz w:val="24"/>
          <w:szCs w:val="18"/>
          <w:lang w:eastAsia="zh-CN"/>
        </w:rPr>
        <w:t>三年规划的科学性和可行性</w:t>
      </w:r>
      <w:r>
        <w:rPr>
          <w:rFonts w:hint="eastAsia"/>
          <w:sz w:val="24"/>
          <w:szCs w:val="18"/>
        </w:rPr>
        <w:t>。</w:t>
      </w:r>
    </w:p>
    <w:p>
      <w:pPr>
        <w:pStyle w:val="23"/>
        <w:spacing w:line="360" w:lineRule="auto"/>
        <w:rPr>
          <w:rFonts w:hint="eastAsia"/>
          <w:sz w:val="24"/>
          <w:szCs w:val="18"/>
          <w:lang w:eastAsia="zh-CN"/>
        </w:rPr>
      </w:pPr>
      <w:r>
        <w:rPr>
          <w:rFonts w:hint="eastAsia"/>
          <w:sz w:val="24"/>
          <w:szCs w:val="18"/>
        </w:rPr>
        <w:t>另外，承接主体提供各项服务均应在规定时间内完成</w:t>
      </w:r>
      <w:r>
        <w:rPr>
          <w:rFonts w:hint="eastAsia"/>
          <w:sz w:val="24"/>
          <w:szCs w:val="18"/>
          <w:lang w:eastAsia="zh-CN"/>
        </w:rPr>
        <w:t>。</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3</w:t>
      </w:r>
      <w:r>
        <w:rPr>
          <w:rFonts w:hint="eastAsia"/>
          <w:sz w:val="24"/>
          <w:szCs w:val="18"/>
          <w:lang w:eastAsia="zh-CN"/>
        </w:rPr>
        <w:t>）</w:t>
      </w:r>
      <w:r>
        <w:rPr>
          <w:rFonts w:hint="eastAsia"/>
          <w:sz w:val="24"/>
          <w:szCs w:val="18"/>
        </w:rPr>
        <w:t>服务提供质量</w:t>
      </w:r>
    </w:p>
    <w:p>
      <w:pPr>
        <w:pStyle w:val="23"/>
        <w:spacing w:line="360" w:lineRule="auto"/>
        <w:ind w:firstLine="480" w:firstLineChars="200"/>
        <w:rPr>
          <w:rFonts w:hint="eastAsia"/>
          <w:sz w:val="24"/>
          <w:szCs w:val="18"/>
        </w:rPr>
      </w:pPr>
      <w:r>
        <w:rPr>
          <w:rFonts w:hint="eastAsia"/>
          <w:sz w:val="24"/>
          <w:szCs w:val="18"/>
        </w:rPr>
        <w:t>主要考察承接主体是否按照合同约定的标准提供各项服务。本项目提供服务质量标准主要包含以下几方面：</w:t>
      </w:r>
      <w:r>
        <w:rPr>
          <w:rFonts w:hint="eastAsia"/>
          <w:sz w:val="24"/>
          <w:szCs w:val="18"/>
          <w:lang w:val="en-US" w:eastAsia="zh-CN"/>
        </w:rPr>
        <w:t>①</w:t>
      </w:r>
      <w:r>
        <w:rPr>
          <w:rFonts w:hint="eastAsia"/>
          <w:sz w:val="24"/>
          <w:szCs w:val="18"/>
          <w:lang w:eastAsia="zh-CN"/>
        </w:rPr>
        <w:t>是否符合项目各项要求</w:t>
      </w:r>
      <w:r>
        <w:rPr>
          <w:rFonts w:hint="eastAsia"/>
          <w:sz w:val="24"/>
          <w:szCs w:val="18"/>
        </w:rPr>
        <w:t>；</w:t>
      </w:r>
      <w:r>
        <w:rPr>
          <w:rFonts w:hint="eastAsia"/>
          <w:sz w:val="24"/>
          <w:szCs w:val="18"/>
          <w:lang w:val="en-US" w:eastAsia="zh-CN"/>
        </w:rPr>
        <w:t>②</w:t>
      </w:r>
      <w:r>
        <w:rPr>
          <w:rFonts w:hint="eastAsia"/>
          <w:sz w:val="24"/>
          <w:szCs w:val="18"/>
          <w:lang w:eastAsia="zh-CN"/>
        </w:rPr>
        <w:t>是否全面完成各项服务工作，无遗漏地块，不缺项</w:t>
      </w:r>
      <w:r>
        <w:rPr>
          <w:rFonts w:hint="eastAsia"/>
          <w:sz w:val="24"/>
          <w:szCs w:val="18"/>
        </w:rPr>
        <w:t>。</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4</w:t>
      </w:r>
      <w:r>
        <w:rPr>
          <w:rFonts w:hint="eastAsia"/>
          <w:sz w:val="24"/>
          <w:szCs w:val="18"/>
          <w:lang w:eastAsia="zh-CN"/>
        </w:rPr>
        <w:t>）</w:t>
      </w:r>
      <w:r>
        <w:rPr>
          <w:rFonts w:hint="eastAsia"/>
          <w:sz w:val="24"/>
          <w:szCs w:val="18"/>
        </w:rPr>
        <w:t>政府采购管理</w:t>
      </w:r>
    </w:p>
    <w:p>
      <w:pPr>
        <w:pStyle w:val="23"/>
        <w:spacing w:line="360" w:lineRule="auto"/>
        <w:rPr>
          <w:rFonts w:hint="eastAsia"/>
          <w:sz w:val="24"/>
          <w:szCs w:val="18"/>
        </w:rPr>
      </w:pPr>
      <w:r>
        <w:rPr>
          <w:rFonts w:hint="eastAsia"/>
          <w:sz w:val="24"/>
          <w:szCs w:val="18"/>
        </w:rPr>
        <w:t xml:space="preserve">    鄂托克前旗财政局主管政府采购的部门应当对项目的采购过程进行监督，确保项目采购方式的正确选择，确保采购过程的公正公开。鄂托克前旗财政局主管政府采购的部门应当监督购买主体及时公布采购公告、采购结果、合同公示等内容，保证项目采购程序的合法进行。</w:t>
      </w:r>
    </w:p>
    <w:p>
      <w:pPr>
        <w:pStyle w:val="23"/>
        <w:spacing w:line="360" w:lineRule="auto"/>
        <w:ind w:firstLine="480" w:firstLineChars="200"/>
        <w:rPr>
          <w:rFonts w:hint="eastAsia"/>
          <w:sz w:val="24"/>
          <w:szCs w:val="18"/>
        </w:rPr>
      </w:pPr>
      <w:r>
        <w:rPr>
          <w:rFonts w:hint="eastAsia"/>
          <w:sz w:val="24"/>
          <w:szCs w:val="18"/>
        </w:rPr>
        <w:t>资金规范管理</w:t>
      </w:r>
    </w:p>
    <w:p>
      <w:pPr>
        <w:pStyle w:val="23"/>
        <w:spacing w:line="360" w:lineRule="auto"/>
        <w:ind w:firstLine="480" w:firstLineChars="200"/>
        <w:rPr>
          <w:rFonts w:hint="eastAsia"/>
          <w:sz w:val="24"/>
          <w:szCs w:val="18"/>
        </w:rPr>
      </w:pPr>
      <w:r>
        <w:rPr>
          <w:rFonts w:hint="eastAsia"/>
          <w:sz w:val="24"/>
          <w:szCs w:val="18"/>
        </w:rPr>
        <w:t>鄂托克前旗财政局、鄂托克前旗</w:t>
      </w:r>
      <w:r>
        <w:rPr>
          <w:rFonts w:hint="eastAsia"/>
          <w:sz w:val="24"/>
          <w:szCs w:val="18"/>
          <w:lang w:eastAsia="zh-CN"/>
        </w:rPr>
        <w:t>审计局</w:t>
      </w:r>
      <w:r>
        <w:rPr>
          <w:rFonts w:hint="eastAsia"/>
          <w:sz w:val="24"/>
          <w:szCs w:val="18"/>
        </w:rPr>
        <w:t>应当加强对本项目的监督、审计，确保政府购买服务资金规范管理和合理使用，对截留、挪用和滞留资金以及其他违反内政办发〔2015〕154号文规定的行为，依照《中华人民共和国政府采购法》、《财政违法行为处罚处分条例》等法律法规有关规定追究法律责任；涉嫌犯罪的，依法移交司法机关处理。</w:t>
      </w:r>
    </w:p>
    <w:p>
      <w:pPr>
        <w:pStyle w:val="23"/>
        <w:spacing w:line="360" w:lineRule="auto"/>
        <w:ind w:firstLine="480" w:firstLineChars="200"/>
        <w:rPr>
          <w:rFonts w:hint="eastAsia"/>
          <w:sz w:val="24"/>
          <w:szCs w:val="18"/>
        </w:rPr>
      </w:pPr>
      <w:r>
        <w:rPr>
          <w:rFonts w:hint="eastAsia"/>
          <w:sz w:val="24"/>
          <w:szCs w:val="18"/>
          <w:lang w:eastAsia="zh-CN"/>
        </w:rPr>
        <w:t>（</w:t>
      </w:r>
      <w:r>
        <w:rPr>
          <w:rFonts w:hint="eastAsia"/>
          <w:sz w:val="24"/>
          <w:szCs w:val="18"/>
          <w:lang w:val="en-US" w:eastAsia="zh-CN"/>
        </w:rPr>
        <w:t>6</w:t>
      </w:r>
      <w:r>
        <w:rPr>
          <w:rFonts w:hint="eastAsia"/>
          <w:sz w:val="24"/>
          <w:szCs w:val="18"/>
          <w:lang w:eastAsia="zh-CN"/>
        </w:rPr>
        <w:t>）</w:t>
      </w:r>
      <w:r>
        <w:rPr>
          <w:rFonts w:hint="eastAsia"/>
          <w:sz w:val="24"/>
          <w:szCs w:val="18"/>
        </w:rPr>
        <w:t>信用记录</w:t>
      </w:r>
    </w:p>
    <w:p>
      <w:pPr>
        <w:pStyle w:val="23"/>
        <w:spacing w:line="360" w:lineRule="auto"/>
        <w:ind w:firstLine="480" w:firstLineChars="200"/>
        <w:rPr>
          <w:rFonts w:hint="eastAsia"/>
          <w:sz w:val="24"/>
          <w:szCs w:val="18"/>
        </w:rPr>
      </w:pPr>
      <w:r>
        <w:rPr>
          <w:rFonts w:hint="eastAsia"/>
          <w:sz w:val="24"/>
          <w:szCs w:val="18"/>
        </w:rPr>
        <w:t>鄂托克前旗财政局主管政府采购的部门</w:t>
      </w:r>
      <w:r>
        <w:rPr>
          <w:rFonts w:hint="eastAsia"/>
          <w:sz w:val="24"/>
          <w:szCs w:val="18"/>
          <w:lang w:eastAsia="zh-CN"/>
        </w:rPr>
        <w:t>和农牧业综合开发中心</w:t>
      </w:r>
      <w:r>
        <w:rPr>
          <w:rFonts w:hint="eastAsia"/>
          <w:sz w:val="24"/>
          <w:szCs w:val="18"/>
        </w:rPr>
        <w:t>应当根据职责分工，将承接主体承接政府购买服务行为信用记录纳入信用记录，对弄虚作假、冒领财政资金以及有其他违法违规行为的承接主体，依法给予行政处罚，并列入政府购买服务黑名单。</w:t>
      </w:r>
    </w:p>
    <w:p>
      <w:pPr>
        <w:pStyle w:val="23"/>
        <w:spacing w:line="360" w:lineRule="auto"/>
        <w:rPr>
          <w:rFonts w:hint="eastAsia"/>
          <w:sz w:val="24"/>
          <w:szCs w:val="18"/>
        </w:rPr>
      </w:pPr>
      <w:r>
        <w:rPr>
          <w:rFonts w:hint="eastAsia"/>
          <w:sz w:val="24"/>
          <w:szCs w:val="18"/>
        </w:rPr>
        <w:t>承接主体未按合同约定的质量标准完成上述工作的，将导致减扣得分、支付违约金等不利后果，造成损失的，还应当就损失进行赔偿。</w:t>
      </w:r>
    </w:p>
    <w:p>
      <w:pPr>
        <w:pStyle w:val="23"/>
        <w:spacing w:line="360" w:lineRule="auto"/>
        <w:ind w:firstLine="480" w:firstLineChars="200"/>
        <w:rPr>
          <w:rFonts w:hint="eastAsia"/>
          <w:sz w:val="24"/>
          <w:szCs w:val="18"/>
        </w:rPr>
      </w:pPr>
      <w:r>
        <w:rPr>
          <w:rFonts w:hint="eastAsia"/>
          <w:sz w:val="24"/>
          <w:szCs w:val="18"/>
          <w:lang w:val="en-US" w:eastAsia="zh-CN"/>
        </w:rPr>
        <w:t>4.</w:t>
      </w:r>
      <w:r>
        <w:rPr>
          <w:rFonts w:hint="eastAsia"/>
          <w:sz w:val="24"/>
          <w:szCs w:val="18"/>
        </w:rPr>
        <w:t>监管主体</w:t>
      </w:r>
    </w:p>
    <w:p>
      <w:pPr>
        <w:pStyle w:val="23"/>
        <w:spacing w:line="360" w:lineRule="auto"/>
        <w:ind w:firstLine="480" w:firstLineChars="200"/>
        <w:rPr>
          <w:rFonts w:hint="eastAsia"/>
          <w:sz w:val="24"/>
          <w:szCs w:val="18"/>
        </w:rPr>
      </w:pPr>
      <w:r>
        <w:rPr>
          <w:rFonts w:hint="eastAsia"/>
          <w:sz w:val="24"/>
          <w:szCs w:val="18"/>
        </w:rPr>
        <w:t>根据内政办发〔2015〕154号文的规定，政府购买服务工作应建立政府统一领导，财政部门牵头，审计及行业主管部门协同，职能部门履职，监督部门保障的工作分工机制，规范有序地开展工作。</w:t>
      </w:r>
    </w:p>
    <w:p>
      <w:pPr>
        <w:pStyle w:val="23"/>
        <w:spacing w:line="360" w:lineRule="auto"/>
        <w:ind w:firstLine="480" w:firstLineChars="200"/>
        <w:rPr>
          <w:rFonts w:hint="eastAsia"/>
          <w:sz w:val="24"/>
          <w:szCs w:val="18"/>
        </w:rPr>
      </w:pPr>
      <w:r>
        <w:rPr>
          <w:rFonts w:hint="eastAsia"/>
          <w:sz w:val="24"/>
          <w:szCs w:val="18"/>
        </w:rPr>
        <w:t>本项目</w:t>
      </w:r>
      <w:r>
        <w:rPr>
          <w:rFonts w:hint="eastAsia"/>
          <w:sz w:val="24"/>
          <w:szCs w:val="18"/>
          <w:lang w:eastAsia="zh-CN"/>
        </w:rPr>
        <w:t>已成立领导小组，详尽规定个部门职能职责，保证项目有序顺利完成。（详见附件文件）</w:t>
      </w:r>
      <w:r>
        <w:rPr>
          <w:rFonts w:hint="eastAsia"/>
          <w:sz w:val="24"/>
          <w:szCs w:val="18"/>
        </w:rPr>
        <w:t>。</w:t>
      </w:r>
    </w:p>
    <w:p>
      <w:pPr>
        <w:pStyle w:val="23"/>
        <w:spacing w:line="360" w:lineRule="auto"/>
        <w:jc w:val="center"/>
        <w:rPr>
          <w:rFonts w:hint="eastAsia"/>
          <w:sz w:val="24"/>
          <w:szCs w:val="18"/>
          <w:lang w:eastAsia="zh-CN"/>
        </w:rPr>
      </w:pPr>
      <w:bookmarkStart w:id="101" w:name="_Toc20206_WPSOffice_Level2"/>
      <w:bookmarkStart w:id="102" w:name="_Toc26890_WPSOffice_Level2"/>
      <w:r>
        <w:rPr>
          <w:rFonts w:hint="eastAsia"/>
          <w:sz w:val="24"/>
          <w:szCs w:val="18"/>
          <w:lang w:eastAsia="zh-CN"/>
        </w:rPr>
        <w:t>十一、</w:t>
      </w:r>
      <w:r>
        <w:rPr>
          <w:rFonts w:hint="eastAsia"/>
          <w:sz w:val="24"/>
          <w:szCs w:val="18"/>
        </w:rPr>
        <w:t>绩效</w:t>
      </w:r>
      <w:bookmarkEnd w:id="101"/>
      <w:bookmarkEnd w:id="102"/>
      <w:r>
        <w:rPr>
          <w:rFonts w:hint="eastAsia"/>
          <w:sz w:val="24"/>
          <w:szCs w:val="18"/>
          <w:lang w:eastAsia="zh-CN"/>
        </w:rPr>
        <w:t>管理</w:t>
      </w:r>
    </w:p>
    <w:p>
      <w:pPr>
        <w:pStyle w:val="23"/>
        <w:spacing w:line="360" w:lineRule="auto"/>
        <w:ind w:firstLine="480" w:firstLineChars="200"/>
        <w:rPr>
          <w:rFonts w:hint="eastAsia"/>
          <w:sz w:val="24"/>
          <w:szCs w:val="18"/>
        </w:rPr>
      </w:pPr>
      <w:r>
        <w:rPr>
          <w:rFonts w:hint="eastAsia"/>
          <w:sz w:val="24"/>
          <w:szCs w:val="18"/>
        </w:rPr>
        <w:t>本项目绩效评价采取</w:t>
      </w:r>
      <w:r>
        <w:rPr>
          <w:rFonts w:hint="eastAsia"/>
          <w:sz w:val="24"/>
          <w:szCs w:val="18"/>
          <w:lang w:eastAsia="zh-CN"/>
        </w:rPr>
        <w:t>质量和时效</w:t>
      </w:r>
      <w:r>
        <w:rPr>
          <w:rFonts w:hint="eastAsia"/>
          <w:sz w:val="24"/>
          <w:szCs w:val="18"/>
        </w:rPr>
        <w:t>相结合的方式进行。</w:t>
      </w:r>
      <w:r>
        <w:rPr>
          <w:rFonts w:hint="eastAsia"/>
          <w:sz w:val="24"/>
          <w:szCs w:val="18"/>
          <w:lang w:eastAsia="zh-CN"/>
        </w:rPr>
        <w:t>鄂托克前旗农牧业综合开发中心根据文件要求和合同约定，积极配合承接主体协调各部门提供必要数据和实地评价。以单个项目逐一审核验收，及时提出整改意见和要求。</w:t>
      </w:r>
      <w:r>
        <w:rPr>
          <w:rFonts w:hint="eastAsia"/>
          <w:sz w:val="24"/>
          <w:szCs w:val="18"/>
        </w:rPr>
        <w:t>这样有利于实现项目绩效</w:t>
      </w:r>
      <w:r>
        <w:rPr>
          <w:rFonts w:hint="eastAsia"/>
          <w:sz w:val="24"/>
          <w:szCs w:val="18"/>
          <w:lang w:eastAsia="zh-CN"/>
        </w:rPr>
        <w:t>与时效结合</w:t>
      </w:r>
      <w:r>
        <w:rPr>
          <w:rFonts w:hint="eastAsia"/>
          <w:sz w:val="24"/>
          <w:szCs w:val="18"/>
        </w:rPr>
        <w:t>做到有问题及时发现、及时纠正，提高财政资金利用率</w:t>
      </w:r>
      <w:r>
        <w:rPr>
          <w:rFonts w:hint="eastAsia"/>
          <w:sz w:val="24"/>
          <w:szCs w:val="18"/>
          <w:lang w:eastAsia="zh-CN"/>
        </w:rPr>
        <w:t>和项目优秀率</w:t>
      </w:r>
      <w:r>
        <w:rPr>
          <w:rFonts w:hint="eastAsia"/>
          <w:sz w:val="24"/>
          <w:szCs w:val="18"/>
        </w:rPr>
        <w:t>。</w:t>
      </w:r>
      <w:r>
        <w:rPr>
          <w:rFonts w:hint="eastAsia"/>
          <w:sz w:val="24"/>
          <w:szCs w:val="18"/>
          <w:lang w:eastAsia="zh-CN"/>
        </w:rPr>
        <w:t>项目总体完成后，上报上级主管部门进行整体审核，对于不符合或不完善的项目按照要求继续完善，直至符合要求为止。</w:t>
      </w:r>
    </w:p>
    <w:p>
      <w:pPr>
        <w:pStyle w:val="23"/>
        <w:spacing w:line="360" w:lineRule="auto"/>
        <w:ind w:firstLine="480" w:firstLineChars="200"/>
        <w:rPr>
          <w:rFonts w:hint="eastAsia"/>
          <w:sz w:val="24"/>
          <w:szCs w:val="18"/>
          <w:lang w:eastAsia="zh-CN"/>
        </w:rPr>
      </w:pPr>
      <w:r>
        <w:rPr>
          <w:rFonts w:hint="eastAsia"/>
          <w:sz w:val="24"/>
          <w:szCs w:val="18"/>
        </w:rPr>
        <w:t>政府购买服务合同将约定，</w:t>
      </w:r>
      <w:r>
        <w:rPr>
          <w:rFonts w:hint="eastAsia"/>
          <w:sz w:val="24"/>
          <w:szCs w:val="18"/>
          <w:lang w:eastAsia="zh-CN"/>
        </w:rPr>
        <w:t>时间和质量具体细化要求，</w:t>
      </w:r>
      <w:r>
        <w:rPr>
          <w:rFonts w:hint="eastAsia"/>
          <w:sz w:val="24"/>
          <w:szCs w:val="18"/>
        </w:rPr>
        <w:t>承接主体的服务期内</w:t>
      </w:r>
      <w:r>
        <w:rPr>
          <w:rFonts w:hint="eastAsia"/>
          <w:sz w:val="24"/>
          <w:szCs w:val="18"/>
          <w:lang w:eastAsia="zh-CN"/>
        </w:rPr>
        <w:t>项目服务</w:t>
      </w:r>
      <w:r>
        <w:rPr>
          <w:rFonts w:hint="eastAsia"/>
          <w:sz w:val="24"/>
          <w:szCs w:val="18"/>
        </w:rPr>
        <w:t>均为优秀或者良好以上的，将在下一次采购中具备优先资格，</w:t>
      </w:r>
      <w:r>
        <w:rPr>
          <w:rFonts w:hint="eastAsia"/>
          <w:sz w:val="24"/>
          <w:szCs w:val="18"/>
          <w:lang w:eastAsia="zh-CN"/>
        </w:rPr>
        <w:t>项目服务</w:t>
      </w:r>
      <w:r>
        <w:rPr>
          <w:rFonts w:hint="eastAsia"/>
          <w:sz w:val="24"/>
          <w:szCs w:val="18"/>
        </w:rPr>
        <w:t>为不合格的</w:t>
      </w:r>
      <w:r>
        <w:rPr>
          <w:rFonts w:hint="eastAsia"/>
          <w:sz w:val="24"/>
          <w:szCs w:val="18"/>
          <w:lang w:eastAsia="zh-CN"/>
        </w:rPr>
        <w:t>或者未按时完成导致上级部门通报或点名批评的</w:t>
      </w:r>
      <w:r>
        <w:rPr>
          <w:rFonts w:hint="eastAsia"/>
          <w:sz w:val="24"/>
          <w:szCs w:val="18"/>
        </w:rPr>
        <w:t>，不得参与下一次的采购活动。</w:t>
      </w:r>
    </w:p>
    <w:bookmarkEnd w:id="67"/>
    <w:bookmarkEnd w:id="68"/>
    <w:p>
      <w:pPr>
        <w:pStyle w:val="23"/>
        <w:spacing w:line="360" w:lineRule="auto"/>
        <w:rPr>
          <w:rFonts w:hint="eastAsia"/>
          <w:sz w:val="24"/>
          <w:szCs w:val="18"/>
          <w:lang w:eastAsia="zh-CN"/>
        </w:rPr>
      </w:pPr>
      <w:r>
        <w:rPr>
          <w:rFonts w:hint="eastAsia"/>
          <w:sz w:val="24"/>
          <w:szCs w:val="18"/>
        </w:rPr>
        <w:t>政府购买服务项目的绩效评价，是指购买主体、同级财政部门独立组织或购买主体牵头、同级财政部门、服务对象和专业机构运用科学合理的绩效评价指标体系、标准和方法，对购买服务合同的履行、服务数量和质量、受益群体满意度、资金预算绩效的实现等情况进行评价。绩效评价是政府购买服务项目全服务期内的重要环节，购买主体的资金支付以项目绩效评价为依据，以此形成激励相容，保证公共服务质量。</w:t>
      </w:r>
      <w:r>
        <w:rPr>
          <w:rFonts w:hint="eastAsia"/>
          <w:sz w:val="24"/>
          <w:szCs w:val="18"/>
          <w:lang w:eastAsia="zh-CN"/>
        </w:rPr>
        <w:t>（详见目标绩效表）</w:t>
      </w:r>
    </w:p>
    <w:p>
      <w:pPr>
        <w:pStyle w:val="23"/>
        <w:spacing w:line="360" w:lineRule="auto"/>
        <w:rPr>
          <w:rFonts w:hint="eastAsia"/>
          <w:sz w:val="24"/>
          <w:szCs w:val="18"/>
        </w:rPr>
      </w:pPr>
      <w:bookmarkStart w:id="103" w:name="_Toc513015460"/>
      <w:bookmarkStart w:id="104" w:name="_Toc7439"/>
      <w:bookmarkStart w:id="105" w:name="_Toc24527_WPSOffice_Level2"/>
      <w:bookmarkStart w:id="106" w:name="_Toc27965_WPSOffice_Level2"/>
      <w:r>
        <w:rPr>
          <w:rFonts w:hint="eastAsia"/>
          <w:sz w:val="24"/>
          <w:szCs w:val="18"/>
        </w:rPr>
        <w:t>绩效评价结果的使用</w:t>
      </w:r>
      <w:bookmarkEnd w:id="103"/>
      <w:bookmarkEnd w:id="104"/>
      <w:bookmarkEnd w:id="105"/>
      <w:bookmarkEnd w:id="106"/>
    </w:p>
    <w:p>
      <w:pPr>
        <w:pStyle w:val="23"/>
        <w:spacing w:line="360" w:lineRule="auto"/>
        <w:ind w:firstLine="480" w:firstLineChars="200"/>
        <w:rPr>
          <w:rFonts w:hint="eastAsia"/>
          <w:sz w:val="24"/>
          <w:szCs w:val="18"/>
        </w:rPr>
      </w:pPr>
      <w:r>
        <w:rPr>
          <w:rFonts w:hint="eastAsia"/>
          <w:sz w:val="24"/>
          <w:szCs w:val="18"/>
        </w:rPr>
        <w:t>（</w:t>
      </w:r>
      <w:r>
        <w:rPr>
          <w:rFonts w:hint="eastAsia"/>
          <w:sz w:val="24"/>
          <w:szCs w:val="18"/>
          <w:lang w:eastAsia="zh-CN"/>
        </w:rPr>
        <w:t>一</w:t>
      </w:r>
      <w:r>
        <w:rPr>
          <w:rFonts w:hint="eastAsia"/>
          <w:sz w:val="24"/>
          <w:szCs w:val="18"/>
        </w:rPr>
        <w:t>）绩效评价结果为优秀和良好的，该承接主体获得同等条件下优先承接购买服务项目的资格；</w:t>
      </w:r>
    </w:p>
    <w:p>
      <w:pPr>
        <w:pStyle w:val="23"/>
        <w:spacing w:line="360" w:lineRule="auto"/>
        <w:ind w:firstLine="480" w:firstLineChars="200"/>
        <w:rPr>
          <w:rFonts w:hint="eastAsia"/>
          <w:sz w:val="24"/>
          <w:szCs w:val="18"/>
        </w:rPr>
      </w:pPr>
      <w:r>
        <w:rPr>
          <w:rFonts w:hint="eastAsia"/>
          <w:sz w:val="24"/>
          <w:szCs w:val="18"/>
        </w:rPr>
        <w:t>（</w:t>
      </w:r>
      <w:r>
        <w:rPr>
          <w:rFonts w:hint="eastAsia"/>
          <w:sz w:val="24"/>
          <w:szCs w:val="18"/>
          <w:lang w:eastAsia="zh-CN"/>
        </w:rPr>
        <w:t>二</w:t>
      </w:r>
      <w:r>
        <w:rPr>
          <w:rFonts w:hint="eastAsia"/>
          <w:sz w:val="24"/>
          <w:szCs w:val="18"/>
        </w:rPr>
        <w:t>）绩效评价结果为合格和基本合格的，要求该承接主体改善自身管理，切实提高服务质量；</w:t>
      </w:r>
    </w:p>
    <w:p>
      <w:pPr>
        <w:pStyle w:val="23"/>
        <w:spacing w:line="360" w:lineRule="auto"/>
        <w:ind w:firstLine="480" w:firstLineChars="200"/>
        <w:rPr>
          <w:rFonts w:hint="eastAsia"/>
          <w:sz w:val="24"/>
          <w:szCs w:val="18"/>
        </w:rPr>
      </w:pPr>
      <w:r>
        <w:rPr>
          <w:rFonts w:hint="eastAsia"/>
          <w:sz w:val="24"/>
          <w:szCs w:val="18"/>
        </w:rPr>
        <w:t>（</w:t>
      </w:r>
      <w:r>
        <w:rPr>
          <w:rFonts w:hint="eastAsia"/>
          <w:sz w:val="24"/>
          <w:szCs w:val="18"/>
          <w:lang w:eastAsia="zh-CN"/>
        </w:rPr>
        <w:t>三</w:t>
      </w:r>
      <w:r>
        <w:rPr>
          <w:rFonts w:hint="eastAsia"/>
          <w:sz w:val="24"/>
          <w:szCs w:val="18"/>
        </w:rPr>
        <w:t>）绩效评价结果不合格的，立即终止合同，该承接主体不得参加下一年度该项目的竞标；对其中弄虚作假、冒领财政资金的承接主体，将列入单位信用等级黑名单，3年内不得参与该类政府购买服务项目。</w:t>
      </w:r>
    </w:p>
    <w:p>
      <w:pPr>
        <w:pStyle w:val="23"/>
        <w:spacing w:line="360" w:lineRule="auto"/>
        <w:jc w:val="center"/>
        <w:rPr>
          <w:rFonts w:hint="eastAsia"/>
          <w:sz w:val="24"/>
          <w:szCs w:val="18"/>
        </w:rPr>
      </w:pPr>
      <w:bookmarkStart w:id="107" w:name="_Toc4597_WPSOffice_Level2"/>
      <w:bookmarkStart w:id="108" w:name="_Toc36_WPSOffice_Level2"/>
      <w:bookmarkStart w:id="109" w:name="_Toc513015465"/>
      <w:bookmarkStart w:id="110" w:name="_Toc450138258"/>
      <w:bookmarkStart w:id="111" w:name="_Toc26480"/>
      <w:r>
        <w:rPr>
          <w:rFonts w:hint="eastAsia"/>
          <w:sz w:val="24"/>
          <w:szCs w:val="18"/>
          <w:lang w:eastAsia="zh-CN"/>
        </w:rPr>
        <w:t>十二、</w:t>
      </w:r>
      <w:bookmarkEnd w:id="107"/>
      <w:bookmarkEnd w:id="108"/>
      <w:bookmarkEnd w:id="109"/>
      <w:bookmarkEnd w:id="110"/>
      <w:bookmarkEnd w:id="111"/>
      <w:r>
        <w:rPr>
          <w:rFonts w:hint="eastAsia"/>
          <w:sz w:val="24"/>
          <w:szCs w:val="18"/>
          <w:lang w:eastAsia="zh-CN"/>
        </w:rPr>
        <w:t>信息公开</w:t>
      </w:r>
    </w:p>
    <w:p>
      <w:pPr>
        <w:pStyle w:val="23"/>
        <w:spacing w:line="360" w:lineRule="auto"/>
        <w:ind w:firstLine="480" w:firstLineChars="200"/>
        <w:rPr>
          <w:rFonts w:hint="eastAsia"/>
          <w:sz w:val="24"/>
          <w:szCs w:val="18"/>
        </w:rPr>
      </w:pPr>
      <w:bookmarkStart w:id="112" w:name="_Toc450138259"/>
      <w:r>
        <w:rPr>
          <w:rFonts w:hint="eastAsia"/>
          <w:sz w:val="24"/>
          <w:szCs w:val="18"/>
          <w:lang w:val="en-US" w:eastAsia="zh-CN"/>
        </w:rPr>
        <w:t>1.</w:t>
      </w:r>
      <w:r>
        <w:rPr>
          <w:rFonts w:hint="eastAsia"/>
          <w:sz w:val="24"/>
          <w:szCs w:val="18"/>
        </w:rPr>
        <w:t>信息公开</w:t>
      </w:r>
    </w:p>
    <w:p>
      <w:pPr>
        <w:pStyle w:val="23"/>
        <w:spacing w:line="360" w:lineRule="auto"/>
        <w:ind w:firstLine="480" w:firstLineChars="200"/>
        <w:rPr>
          <w:rFonts w:hint="eastAsia"/>
          <w:sz w:val="24"/>
          <w:szCs w:val="18"/>
        </w:rPr>
      </w:pPr>
      <w:r>
        <w:rPr>
          <w:rFonts w:hint="eastAsia"/>
          <w:sz w:val="24"/>
          <w:szCs w:val="18"/>
        </w:rPr>
        <w:t>项目采购信息、采购结果等相关内容均需通过部门门户网站、本级政府购买网、各级政府指定的信息公开平台及时进行公示，接受公众监督，保证各程序的合法、有序进行。</w:t>
      </w:r>
    </w:p>
    <w:p>
      <w:pPr>
        <w:pStyle w:val="23"/>
        <w:spacing w:line="360" w:lineRule="auto"/>
        <w:ind w:firstLine="480" w:firstLineChars="200"/>
        <w:rPr>
          <w:rFonts w:hint="eastAsia"/>
          <w:sz w:val="24"/>
          <w:szCs w:val="18"/>
        </w:rPr>
      </w:pPr>
      <w:r>
        <w:rPr>
          <w:rFonts w:hint="eastAsia"/>
          <w:sz w:val="24"/>
          <w:szCs w:val="18"/>
          <w:lang w:val="en-US" w:eastAsia="zh-CN"/>
        </w:rPr>
        <w:t>2</w:t>
      </w:r>
      <w:r>
        <w:rPr>
          <w:rFonts w:hint="eastAsia"/>
          <w:sz w:val="24"/>
          <w:szCs w:val="18"/>
        </w:rPr>
        <w:t>.投诉建议平台</w:t>
      </w:r>
    </w:p>
    <w:p>
      <w:pPr>
        <w:pStyle w:val="23"/>
        <w:spacing w:line="360" w:lineRule="auto"/>
        <w:ind w:firstLine="480" w:firstLineChars="200"/>
        <w:rPr>
          <w:rFonts w:hint="eastAsia"/>
          <w:sz w:val="24"/>
          <w:szCs w:val="18"/>
        </w:rPr>
      </w:pPr>
      <w:r>
        <w:rPr>
          <w:rFonts w:hint="eastAsia"/>
          <w:sz w:val="24"/>
          <w:szCs w:val="18"/>
        </w:rPr>
        <w:t>本地区民众可直接向鄂托克前旗</w:t>
      </w:r>
      <w:r>
        <w:rPr>
          <w:rFonts w:hint="eastAsia"/>
          <w:sz w:val="24"/>
          <w:szCs w:val="18"/>
          <w:lang w:eastAsia="zh-CN"/>
        </w:rPr>
        <w:t>农牧局</w:t>
      </w:r>
      <w:r>
        <w:rPr>
          <w:rFonts w:hint="eastAsia"/>
          <w:sz w:val="24"/>
          <w:szCs w:val="18"/>
        </w:rPr>
        <w:t>进行投诉，鄂托克前旗</w:t>
      </w:r>
      <w:r>
        <w:rPr>
          <w:rFonts w:hint="eastAsia"/>
          <w:sz w:val="24"/>
          <w:szCs w:val="18"/>
          <w:lang w:eastAsia="zh-CN"/>
        </w:rPr>
        <w:t>农牧局</w:t>
      </w:r>
      <w:r>
        <w:rPr>
          <w:rFonts w:hint="eastAsia"/>
          <w:sz w:val="24"/>
          <w:szCs w:val="18"/>
        </w:rPr>
        <w:t>接到投诉后对投诉的问题进行核查与处理。同时，应当依法公开披露项目实施的相关信息，保障公众知情权，接受社会监督。</w:t>
      </w:r>
      <w:bookmarkEnd w:id="112"/>
    </w:p>
    <w:p>
      <w:pPr>
        <w:pStyle w:val="23"/>
        <w:spacing w:line="360" w:lineRule="auto"/>
        <w:jc w:val="center"/>
        <w:rPr>
          <w:rFonts w:hint="eastAsia"/>
          <w:sz w:val="24"/>
          <w:szCs w:val="18"/>
          <w:lang w:eastAsia="zh-CN"/>
        </w:rPr>
      </w:pPr>
      <w:r>
        <w:rPr>
          <w:rFonts w:hint="eastAsia"/>
          <w:sz w:val="24"/>
          <w:szCs w:val="18"/>
          <w:lang w:val="en-US" w:eastAsia="zh-CN"/>
        </w:rPr>
        <w:t>十三、</w:t>
      </w:r>
      <w:r>
        <w:rPr>
          <w:rFonts w:hint="eastAsia"/>
          <w:sz w:val="24"/>
          <w:szCs w:val="18"/>
          <w:lang w:eastAsia="zh-CN"/>
        </w:rPr>
        <w:t>结论</w:t>
      </w:r>
    </w:p>
    <w:p>
      <w:pPr>
        <w:pStyle w:val="23"/>
        <w:spacing w:line="360" w:lineRule="auto"/>
        <w:ind w:firstLine="480" w:firstLineChars="200"/>
        <w:rPr>
          <w:rFonts w:hint="eastAsia"/>
          <w:sz w:val="24"/>
          <w:szCs w:val="18"/>
        </w:rPr>
      </w:pPr>
      <w:r>
        <w:rPr>
          <w:rFonts w:hint="eastAsia"/>
          <w:sz w:val="24"/>
          <w:szCs w:val="18"/>
        </w:rPr>
        <w:t>本项目购买主体为鄂前旗</w:t>
      </w:r>
      <w:r>
        <w:rPr>
          <w:rFonts w:hint="eastAsia"/>
          <w:sz w:val="24"/>
          <w:szCs w:val="18"/>
          <w:lang w:eastAsia="zh-CN"/>
        </w:rPr>
        <w:t>农牧业综合开发中心</w:t>
      </w:r>
      <w:r>
        <w:rPr>
          <w:rFonts w:hint="eastAsia"/>
          <w:sz w:val="24"/>
          <w:szCs w:val="18"/>
        </w:rPr>
        <w:t>，其主体资格符合国家、地方政策要求。项目购买内容含</w:t>
      </w:r>
      <w:r>
        <w:rPr>
          <w:rFonts w:hint="eastAsia"/>
          <w:sz w:val="24"/>
          <w:szCs w:val="18"/>
          <w:lang w:eastAsia="zh-CN"/>
        </w:rPr>
        <w:t>上图入库分析评估</w:t>
      </w:r>
      <w:r>
        <w:rPr>
          <w:rFonts w:hint="eastAsia"/>
          <w:sz w:val="24"/>
          <w:szCs w:val="18"/>
        </w:rPr>
        <w:t>和</w:t>
      </w:r>
      <w:r>
        <w:rPr>
          <w:rFonts w:hint="eastAsia"/>
          <w:sz w:val="24"/>
          <w:szCs w:val="18"/>
          <w:lang w:eastAsia="zh-CN"/>
        </w:rPr>
        <w:t>三年规划</w:t>
      </w:r>
      <w:r>
        <w:rPr>
          <w:rFonts w:hint="eastAsia"/>
          <w:sz w:val="24"/>
          <w:szCs w:val="18"/>
        </w:rPr>
        <w:t>两部分，购买内容符合国家、地方政策要求。项目适于采用竞争性磋商的方式进行采购。项目将签订政府购买服务合同，约定购买服务费用的核算、支付方式，以及合同双方权利义务边界等内容。</w:t>
      </w:r>
    </w:p>
    <w:p>
      <w:pPr>
        <w:pStyle w:val="23"/>
        <w:spacing w:line="360" w:lineRule="auto"/>
        <w:rPr>
          <w:rFonts w:hint="eastAsia"/>
          <w:sz w:val="24"/>
          <w:szCs w:val="18"/>
        </w:rPr>
      </w:pPr>
      <w:r>
        <w:rPr>
          <w:rFonts w:hint="eastAsia"/>
          <w:sz w:val="24"/>
          <w:szCs w:val="18"/>
        </w:rPr>
        <w:t>项目将受到购买主体、财政部门、行业主管部门等部门的履约监管、行政监管，并将广泛接纳群众的监督。同时，项目将按照法律规定的程序和要求进行信息公开，保证资金使用的公开透明，以及项目的合法实施。</w:t>
      </w:r>
    </w:p>
    <w:p>
      <w:pPr>
        <w:pStyle w:val="23"/>
        <w:spacing w:line="360" w:lineRule="auto"/>
        <w:ind w:firstLine="480" w:firstLineChars="200"/>
        <w:rPr>
          <w:rFonts w:hint="eastAsia"/>
          <w:sz w:val="24"/>
          <w:szCs w:val="18"/>
          <w:lang w:val="en-US" w:eastAsia="zh-CN"/>
        </w:rPr>
      </w:pPr>
      <w:r>
        <w:rPr>
          <w:rFonts w:hint="eastAsia"/>
          <w:sz w:val="24"/>
          <w:szCs w:val="18"/>
        </w:rPr>
        <w:t>综上，本项目采用政府购买服务模式实施必要可行、合理合规。在购买服务全过程中，项目要严格按照国家、地方相关政策法规的要求实施，保证</w:t>
      </w:r>
      <w:r>
        <w:rPr>
          <w:rFonts w:hint="eastAsia"/>
          <w:sz w:val="24"/>
          <w:szCs w:val="18"/>
          <w:lang w:eastAsia="zh-CN"/>
        </w:rPr>
        <w:t>此项</w:t>
      </w:r>
      <w:r>
        <w:rPr>
          <w:rFonts w:hint="eastAsia"/>
          <w:sz w:val="24"/>
          <w:szCs w:val="18"/>
        </w:rPr>
        <w:t>工作的顺利</w:t>
      </w:r>
      <w:r>
        <w:rPr>
          <w:rFonts w:hint="eastAsia"/>
          <w:sz w:val="24"/>
          <w:szCs w:val="18"/>
          <w:lang w:eastAsia="zh-CN"/>
        </w:rPr>
        <w:t>按期完</w:t>
      </w:r>
      <w:r>
        <w:rPr>
          <w:rFonts w:hint="eastAsia"/>
          <w:sz w:val="24"/>
          <w:szCs w:val="18"/>
          <w:lang w:val="en-US" w:eastAsia="zh-CN"/>
        </w:rPr>
        <w:t>成。</w:t>
      </w:r>
    </w:p>
    <w:p>
      <w:pPr>
        <w:pStyle w:val="23"/>
        <w:spacing w:line="360" w:lineRule="auto"/>
        <w:ind w:firstLine="480" w:firstLineChars="200"/>
        <w:rPr>
          <w:rFonts w:hint="eastAsia"/>
          <w:sz w:val="24"/>
          <w:szCs w:val="18"/>
          <w:lang w:val="en-US" w:eastAsia="zh-CN"/>
        </w:rPr>
      </w:pPr>
    </w:p>
    <w:p>
      <w:pPr>
        <w:pStyle w:val="23"/>
        <w:ind w:firstLine="482" w:firstLineChars="200"/>
        <w:rPr>
          <w:rFonts w:ascii="宋体" w:hAnsi="宋体"/>
          <w:b/>
          <w:bCs/>
          <w:color w:val="000000"/>
          <w:kern w:val="44"/>
          <w:sz w:val="24"/>
          <w:szCs w:val="24"/>
        </w:rPr>
      </w:pPr>
      <w:r>
        <w:rPr>
          <w:rFonts w:hint="eastAsia" w:ascii="宋体" w:hAnsi="宋体"/>
          <w:b/>
          <w:bCs/>
          <w:color w:val="000000"/>
          <w:kern w:val="44"/>
          <w:sz w:val="24"/>
          <w:szCs w:val="24"/>
          <w:lang w:val="en-US" w:eastAsia="zh-CN"/>
        </w:rPr>
        <w:t>注：</w:t>
      </w:r>
      <w:r>
        <w:rPr>
          <w:rFonts w:hint="eastAsia" w:ascii="宋体" w:hAnsi="宋体"/>
          <w:b/>
          <w:bCs/>
          <w:color w:val="000000"/>
          <w:kern w:val="44"/>
          <w:sz w:val="24"/>
          <w:szCs w:val="24"/>
        </w:rPr>
        <w:t>供应商如对以上内容有疑问，截止报名时间之前向采购人或采购代理机构提出，过期则视为同意。</w:t>
      </w:r>
    </w:p>
    <w:p>
      <w:pPr>
        <w:jc w:val="center"/>
        <w:outlineLvl w:val="0"/>
        <w:rPr>
          <w:rFonts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pStyle w:val="23"/>
        <w:rPr>
          <w:rFonts w:hint="eastAsia"/>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pStyle w:val="23"/>
        <w:rPr>
          <w:rFonts w:hint="eastAsia"/>
          <w:lang w:val="zh-CN"/>
        </w:rPr>
      </w:pPr>
    </w:p>
    <w:p>
      <w:pPr>
        <w:jc w:val="center"/>
        <w:outlineLvl w:val="0"/>
        <w:rPr>
          <w:rFonts w:ascii="宋体" w:hAnsi="宋体"/>
          <w:b/>
          <w:bCs/>
          <w:color w:val="000000"/>
          <w:kern w:val="44"/>
          <w:sz w:val="24"/>
          <w:szCs w:val="24"/>
          <w:lang w:val="zh-CN"/>
        </w:rPr>
      </w:pPr>
      <w:r>
        <w:rPr>
          <w:rFonts w:hint="eastAsia" w:ascii="宋体" w:hAnsi="宋体"/>
          <w:b/>
          <w:bCs/>
          <w:color w:val="000000"/>
          <w:kern w:val="44"/>
          <w:sz w:val="24"/>
          <w:szCs w:val="24"/>
          <w:lang w:val="zh-CN"/>
        </w:rPr>
        <w:t>第五章 供应商资格证明及相关文件要求</w:t>
      </w:r>
      <w:bookmarkEnd w:id="11"/>
      <w:bookmarkEnd w:id="12"/>
    </w:p>
    <w:p>
      <w:pPr>
        <w:spacing w:line="360" w:lineRule="auto"/>
        <w:jc w:val="center"/>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供应商应提交证明其有资格参加投标和中标后有能力履行合同的文件，并作为其响应文件的一部分，所有文件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一.供应商及投标货物的资格性证明文件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法人营业执照副本（三证合一）；</w:t>
      </w:r>
    </w:p>
    <w:p>
      <w:pPr>
        <w:pStyle w:val="23"/>
        <w:ind w:firstLine="480" w:firstLineChars="200"/>
        <w:rPr>
          <w:rFonts w:hAnsi="宋体"/>
          <w:sz w:val="24"/>
          <w:szCs w:val="24"/>
        </w:rPr>
      </w:pPr>
      <w:r>
        <w:rPr>
          <w:rFonts w:hint="eastAsia" w:hAnsi="宋体"/>
          <w:sz w:val="24"/>
          <w:szCs w:val="24"/>
        </w:rPr>
        <w:t>2.委托代表投标时的法人代表授权书（开标时需提供原件）；</w:t>
      </w:r>
    </w:p>
    <w:p>
      <w:pPr>
        <w:spacing w:line="360" w:lineRule="auto"/>
        <w:ind w:firstLine="482" w:firstLineChars="201"/>
        <w:rPr>
          <w:rFonts w:ascii="宋体" w:hAnsi="宋体"/>
          <w:sz w:val="24"/>
          <w:szCs w:val="24"/>
        </w:rPr>
      </w:pPr>
      <w:r>
        <w:rPr>
          <w:rFonts w:hint="eastAsia" w:hAnsi="宋体"/>
          <w:sz w:val="24"/>
          <w:szCs w:val="24"/>
        </w:rPr>
        <w:t>3</w:t>
      </w:r>
      <w:r>
        <w:rPr>
          <w:rFonts w:hint="eastAsia" w:ascii="宋体" w:hAnsi="宋体" w:cs="宋体"/>
          <w:sz w:val="24"/>
          <w:szCs w:val="24"/>
        </w:rPr>
        <w:t>.具有良好的商业信誉：</w:t>
      </w:r>
      <w:r>
        <w:rPr>
          <w:rFonts w:hint="eastAsia" w:ascii="宋体" w:hAnsi="宋体"/>
          <w:sz w:val="24"/>
          <w:szCs w:val="24"/>
        </w:rPr>
        <w:t>(1).供应商需提供由“征信中心网”（https://ipcrs.pbccrc.org.cn/）查询的信用报告。(2).供应商是企业或个体经营户的需带公司法人身份证及公司营业执照和公章去项目所在地或当地中国人民银行出具信用报告。</w:t>
      </w:r>
    </w:p>
    <w:p>
      <w:pPr>
        <w:spacing w:line="360" w:lineRule="auto"/>
        <w:ind w:firstLine="482" w:firstLineChars="201"/>
        <w:rPr>
          <w:rFonts w:ascii="宋体" w:hAnsi="宋体"/>
          <w:sz w:val="24"/>
          <w:szCs w:val="24"/>
        </w:rPr>
      </w:pPr>
      <w:r>
        <w:rPr>
          <w:rFonts w:hint="eastAsia" w:ascii="宋体" w:hAnsi="宋体"/>
          <w:sz w:val="24"/>
          <w:szCs w:val="24"/>
        </w:rPr>
        <w:t>4</w:t>
      </w:r>
      <w:r>
        <w:rPr>
          <w:rFonts w:hint="eastAsia" w:ascii="宋体" w:hAnsi="宋体" w:cs="宋体"/>
          <w:sz w:val="24"/>
          <w:szCs w:val="24"/>
        </w:rPr>
        <w:t>.供应商依法缴纳税收证明（以税务机关提供的纳税凭证或银行入账单为准）；</w:t>
      </w:r>
    </w:p>
    <w:p>
      <w:pPr>
        <w:spacing w:line="360" w:lineRule="auto"/>
        <w:ind w:firstLine="482" w:firstLineChars="201"/>
        <w:rPr>
          <w:rFonts w:ascii="宋体" w:hAnsi="宋体"/>
          <w:color w:val="0000FF"/>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6.供应商参加政府采购近</w:t>
      </w:r>
      <w:r>
        <w:rPr>
          <w:rFonts w:hint="eastAsia" w:ascii="宋体" w:hAnsi="宋体" w:cs="宋体"/>
          <w:kern w:val="0"/>
          <w:sz w:val="24"/>
          <w:szCs w:val="24"/>
        </w:rPr>
        <w:t>三年内在经营活动中没有重大违法记录书面声明；</w:t>
      </w:r>
    </w:p>
    <w:p>
      <w:pPr>
        <w:spacing w:line="360" w:lineRule="auto"/>
        <w:ind w:firstLine="482" w:firstLineChars="201"/>
        <w:rPr>
          <w:rFonts w:hint="eastAsia" w:ascii="宋体" w:hAnsi="宋体"/>
          <w:sz w:val="24"/>
          <w:szCs w:val="24"/>
        </w:rPr>
      </w:pPr>
      <w:r>
        <w:rPr>
          <w:rFonts w:hint="eastAsia" w:ascii="宋体" w:hAnsi="宋体"/>
          <w:sz w:val="24"/>
          <w:szCs w:val="24"/>
        </w:rPr>
        <w:t>7.</w:t>
      </w:r>
      <w:r>
        <w:rPr>
          <w:rFonts w:hint="eastAsia" w:hAnsi="宋体"/>
          <w:sz w:val="24"/>
          <w:szCs w:val="24"/>
        </w:rPr>
        <w:t>供应商须在投标文件中提供企业工商注册所在地或项目所在地信用管理中心出具的《信用信息查询结果》且在有效期范围内，办理步骤：详见第七章格式</w:t>
      </w:r>
      <w:r>
        <w:rPr>
          <w:rFonts w:hint="eastAsia" w:ascii="宋体" w:hAnsi="宋体"/>
          <w:sz w:val="24"/>
          <w:szCs w:val="24"/>
        </w:rPr>
        <w:t>；</w:t>
      </w:r>
    </w:p>
    <w:p>
      <w:pPr>
        <w:pStyle w:val="23"/>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供应商</w:t>
      </w:r>
      <w:r>
        <w:rPr>
          <w:rFonts w:hint="eastAsia" w:ascii="宋体" w:hAnsi="宋体"/>
          <w:color w:val="000000" w:themeColor="text1"/>
          <w:sz w:val="24"/>
          <w:szCs w:val="24"/>
          <w:lang w:val="en-US" w:eastAsia="zh-CN"/>
          <w14:textFill>
            <w14:solidFill>
              <w14:schemeClr w14:val="tx1"/>
            </w14:solidFill>
          </w14:textFill>
        </w:rPr>
        <w:t>须同时具备水利行业丙级（含丙级）以上企业资质和农林行业专业乙级（含乙级）以上企业资质，并在人员、设备、资金等方面具有相应的能力；</w:t>
      </w:r>
    </w:p>
    <w:p>
      <w:pPr>
        <w:spacing w:line="360" w:lineRule="auto"/>
        <w:ind w:firstLine="482" w:firstLineChars="201"/>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9.拟派项目负责人须具备水利或农林相关专业中级及以上技术职称；</w:t>
      </w:r>
    </w:p>
    <w:p>
      <w:pPr>
        <w:autoSpaceDE w:val="0"/>
        <w:autoSpaceDN w:val="0"/>
        <w:adjustRightInd w:val="0"/>
        <w:snapToGrid w:val="0"/>
        <w:spacing w:line="360" w:lineRule="auto"/>
        <w:ind w:right="32" w:firstLine="482" w:firstLineChars="201"/>
        <w:rPr>
          <w:rFonts w:hint="eastAsia" w:ascii="宋体" w:hAnsi="宋体" w:eastAsia="宋体"/>
          <w:sz w:val="24"/>
          <w:szCs w:val="24"/>
          <w:lang w:eastAsia="zh-CN"/>
        </w:rPr>
      </w:pPr>
      <w:r>
        <w:rPr>
          <w:rFonts w:hint="eastAsia" w:ascii="宋体" w:hAnsi="宋体"/>
          <w:sz w:val="24"/>
          <w:szCs w:val="24"/>
          <w:lang w:val="en-US" w:eastAsia="zh-CN"/>
        </w:rPr>
        <w:t>10</w:t>
      </w:r>
      <w:r>
        <w:rPr>
          <w:rFonts w:hint="eastAsia" w:ascii="宋体" w:hAnsi="宋体"/>
          <w:sz w:val="24"/>
          <w:szCs w:val="24"/>
        </w:rPr>
        <w:t>.磋商文件（包括评审表中）对供应商的其他要求</w:t>
      </w:r>
      <w:r>
        <w:rPr>
          <w:rFonts w:hint="eastAsia" w:ascii="宋体" w:hAnsi="宋体"/>
          <w:sz w:val="24"/>
          <w:szCs w:val="24"/>
          <w:lang w:eastAsia="zh-CN"/>
        </w:rPr>
        <w:t>：</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w:t>
      </w:r>
      <w:r>
        <w:rPr>
          <w:rFonts w:hint="eastAsia" w:ascii="宋体" w:hAnsi="宋体"/>
          <w:sz w:val="24"/>
          <w:szCs w:val="24"/>
          <w:lang w:eastAsia="zh-CN"/>
        </w:rPr>
        <w:t>供应商</w:t>
      </w:r>
      <w:r>
        <w:rPr>
          <w:rFonts w:hint="eastAsia" w:ascii="宋体" w:hAnsi="宋体"/>
          <w:sz w:val="24"/>
          <w:szCs w:val="24"/>
        </w:rPr>
        <w:t>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 xml:space="preserve"> </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lang w:val="zh-CN"/>
        </w:rPr>
      </w:pPr>
      <w:bookmarkStart w:id="113" w:name="_Toc497408605"/>
      <w:r>
        <w:rPr>
          <w:rFonts w:hint="eastAsia" w:ascii="宋体" w:hAnsi="宋体"/>
          <w:b/>
          <w:bCs/>
          <w:color w:val="000000"/>
          <w:kern w:val="44"/>
          <w:sz w:val="24"/>
          <w:szCs w:val="24"/>
          <w:lang w:val="zh-CN"/>
        </w:rPr>
        <w:t>第六章 评标办法（综合评分）</w:t>
      </w:r>
      <w:bookmarkEnd w:id="113"/>
    </w:p>
    <w:p>
      <w:pPr>
        <w:spacing w:line="360" w:lineRule="auto"/>
        <w:ind w:firstLine="482" w:firstLineChars="200"/>
        <w:rPr>
          <w:rFonts w:ascii="宋体" w:hAnsi="宋体"/>
          <w:b/>
          <w:sz w:val="24"/>
          <w:szCs w:val="24"/>
        </w:rPr>
      </w:pPr>
      <w:r>
        <w:rPr>
          <w:rFonts w:hint="eastAsia" w:ascii="宋体" w:hAnsi="宋体"/>
          <w:b/>
          <w:sz w:val="24"/>
          <w:szCs w:val="24"/>
        </w:rPr>
        <w:t>一.评标原则</w:t>
      </w:r>
    </w:p>
    <w:p>
      <w:pPr>
        <w:spacing w:line="360" w:lineRule="auto"/>
        <w:ind w:firstLine="480" w:firstLineChars="200"/>
        <w:rPr>
          <w:rFonts w:ascii="宋体" w:hAnsi="宋体"/>
          <w:b/>
          <w:sz w:val="24"/>
          <w:szCs w:val="24"/>
        </w:rPr>
      </w:pPr>
      <w:r>
        <w:rPr>
          <w:rFonts w:hint="eastAsia" w:ascii="宋体" w:hAnsi="宋体"/>
          <w:sz w:val="24"/>
          <w:szCs w:val="24"/>
        </w:rPr>
        <w:t>评审活动遵循公开、公平、公正、择优的原则进行。评审委员会将综合分析供应商的各项指标，而不以单项指标的优劣评选出预中标人。（最低报价不是成交的唯一依据。）</w:t>
      </w:r>
    </w:p>
    <w:p>
      <w:pPr>
        <w:spacing w:after="120" w:line="360" w:lineRule="auto"/>
        <w:ind w:firstLine="448" w:firstLineChars="186"/>
        <w:rPr>
          <w:rFonts w:ascii="宋体" w:hAnsi="宋体"/>
          <w:b/>
          <w:sz w:val="24"/>
          <w:szCs w:val="24"/>
        </w:rPr>
      </w:pPr>
      <w:bookmarkStart w:id="114" w:name="_Toc355703360"/>
      <w:bookmarkStart w:id="115" w:name="_Toc355703243"/>
      <w:bookmarkStart w:id="116" w:name="_Toc257983096"/>
      <w:r>
        <w:rPr>
          <w:rFonts w:hint="eastAsia" w:ascii="宋体" w:hAnsi="宋体"/>
          <w:b/>
          <w:sz w:val="24"/>
          <w:szCs w:val="24"/>
        </w:rPr>
        <w:t>二.磋商</w:t>
      </w:r>
      <w:bookmarkEnd w:id="114"/>
      <w:bookmarkEnd w:id="115"/>
      <w:bookmarkEnd w:id="116"/>
      <w:r>
        <w:rPr>
          <w:rFonts w:hint="eastAsia" w:ascii="宋体" w:hAnsi="宋体"/>
          <w:b/>
          <w:sz w:val="24"/>
          <w:szCs w:val="24"/>
        </w:rPr>
        <w:t>程序</w:t>
      </w:r>
    </w:p>
    <w:p>
      <w:pPr>
        <w:adjustRightInd w:val="0"/>
        <w:snapToGrid w:val="0"/>
        <w:spacing w:line="360" w:lineRule="auto"/>
        <w:ind w:firstLine="482" w:firstLineChars="201"/>
        <w:rPr>
          <w:rFonts w:ascii="宋体" w:hAnsi="宋体"/>
          <w:sz w:val="24"/>
          <w:szCs w:val="24"/>
        </w:rPr>
      </w:pPr>
      <w:r>
        <w:rPr>
          <w:rFonts w:hint="eastAsia" w:ascii="宋体" w:hAnsi="宋体"/>
          <w:sz w:val="24"/>
          <w:szCs w:val="24"/>
        </w:rPr>
        <w:t>1.第一阶段：初步审查</w:t>
      </w:r>
    </w:p>
    <w:p>
      <w:pPr>
        <w:adjustRightInd w:val="0"/>
        <w:snapToGrid w:val="0"/>
        <w:spacing w:line="360" w:lineRule="auto"/>
        <w:ind w:firstLine="482" w:firstLineChars="201"/>
        <w:rPr>
          <w:rFonts w:ascii="宋体" w:hAnsi="宋体"/>
          <w:sz w:val="24"/>
          <w:szCs w:val="24"/>
        </w:rPr>
      </w:pPr>
      <w:r>
        <w:rPr>
          <w:rFonts w:ascii="宋体" w:hAnsi="宋体"/>
          <w:sz w:val="24"/>
          <w:szCs w:val="24"/>
        </w:rPr>
        <w:t>依据有关法律和</w:t>
      </w:r>
      <w:r>
        <w:rPr>
          <w:rFonts w:hint="eastAsia" w:ascii="宋体" w:hAnsi="宋体"/>
          <w:sz w:val="24"/>
          <w:szCs w:val="24"/>
        </w:rPr>
        <w:t>竞争性磋商</w:t>
      </w:r>
      <w:r>
        <w:rPr>
          <w:rFonts w:ascii="宋体" w:hAnsi="宋体"/>
          <w:sz w:val="24"/>
          <w:szCs w:val="24"/>
        </w:rPr>
        <w:t>文件的规定,对</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资格性、符合性部分</w:t>
      </w:r>
      <w:r>
        <w:rPr>
          <w:rFonts w:ascii="宋体" w:hAnsi="宋体"/>
          <w:sz w:val="24"/>
          <w:szCs w:val="24"/>
        </w:rPr>
        <w:t>进行审查，以确定</w:t>
      </w:r>
      <w:r>
        <w:rPr>
          <w:rFonts w:hint="eastAsia" w:ascii="宋体" w:hAnsi="宋体"/>
          <w:sz w:val="24"/>
          <w:szCs w:val="24"/>
        </w:rPr>
        <w:t>供应商是否可以实质性响应磋商文件要求</w:t>
      </w:r>
      <w:r>
        <w:rPr>
          <w:rFonts w:ascii="宋体" w:hAnsi="宋体"/>
          <w:sz w:val="24"/>
          <w:szCs w:val="24"/>
        </w:rPr>
        <w:t>。</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2.第二阶段：磋商</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（1）磋商小组应当通过随机方式序确定参加磋商供应商的磋商顺序，磋商小组所有成员应当集中与单一供应商分别进行磋商，并给予所有参加磋商的供应商平等的磋商机会。</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具体磋商时，由供应商法定代表人或其授权委托人须携带本人身份证或其他有效身份证明参加。</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（2）磋商内容主要包括：针对本项目的技术条款、</w:t>
      </w:r>
      <w:r>
        <w:rPr>
          <w:rFonts w:hint="eastAsia" w:ascii="宋体" w:hAnsi="宋体"/>
          <w:sz w:val="24"/>
          <w:szCs w:val="24"/>
          <w:lang w:val="en-US" w:eastAsia="zh-CN"/>
        </w:rPr>
        <w:t>技术</w:t>
      </w:r>
      <w:r>
        <w:rPr>
          <w:rFonts w:hint="eastAsia" w:ascii="宋体" w:hAnsi="宋体"/>
          <w:sz w:val="24"/>
          <w:szCs w:val="24"/>
        </w:rPr>
        <w:t>要求、合同要求；磋商文件不能详细列明采购标的的技术、</w:t>
      </w:r>
      <w:r>
        <w:rPr>
          <w:rFonts w:hint="eastAsia" w:ascii="宋体" w:hAnsi="宋体"/>
          <w:sz w:val="24"/>
          <w:szCs w:val="24"/>
          <w:lang w:val="en-US" w:eastAsia="zh-CN"/>
        </w:rPr>
        <w:t>技术</w:t>
      </w:r>
      <w:r>
        <w:rPr>
          <w:rFonts w:hint="eastAsia" w:ascii="宋体" w:hAnsi="宋体"/>
          <w:sz w:val="24"/>
          <w:szCs w:val="24"/>
        </w:rPr>
        <w:t>要求的，需经磋商由供应商提供最终设计方案或解决方案；其它需要磋商的事项。</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（3）在磋商过程中，磋商小组可以根据磋商文件和磋商情况实质性变动采购需求中的技术、</w:t>
      </w:r>
      <w:r>
        <w:rPr>
          <w:rFonts w:hint="eastAsia" w:ascii="宋体" w:hAnsi="宋体"/>
          <w:sz w:val="24"/>
          <w:szCs w:val="24"/>
          <w:lang w:val="en-US" w:eastAsia="zh-CN"/>
        </w:rPr>
        <w:t>技术</w:t>
      </w:r>
      <w:r>
        <w:rPr>
          <w:rFonts w:hint="eastAsia" w:ascii="宋体" w:hAnsi="宋体"/>
          <w:sz w:val="24"/>
          <w:szCs w:val="24"/>
        </w:rPr>
        <w:t>要求以及合同草案条款，但不得变动磋商文件中的其他内容。实质性变动的内容，须经采购人代表确认。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对磋商文件作出的实质性变动是磋商文件的有效组成部分，磋商小组应当在《最终报价表》中载明，同时通知所有参加磋商的供应商。</w:t>
      </w:r>
    </w:p>
    <w:p>
      <w:pPr>
        <w:widowControl/>
        <w:spacing w:line="360" w:lineRule="auto"/>
        <w:ind w:firstLine="480" w:firstLineChars="200"/>
        <w:rPr>
          <w:rFonts w:ascii="宋体" w:hAnsi="宋体"/>
          <w:sz w:val="24"/>
          <w:szCs w:val="24"/>
        </w:rPr>
      </w:pPr>
      <w:r>
        <w:rPr>
          <w:rFonts w:hint="eastAsia" w:ascii="宋体" w:hAnsi="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（4）对未实质性响应磋商文件的响应文件按无效响应处理，磋商小组应当告知提交响应文件的供应商。</w:t>
      </w:r>
    </w:p>
    <w:p>
      <w:pPr>
        <w:pStyle w:val="2"/>
        <w:spacing w:line="360" w:lineRule="auto"/>
        <w:ind w:firstLine="480" w:firstLineChars="200"/>
        <w:rPr>
          <w:rFonts w:ascii="Times New Roman" w:hAnsi="Times New Roman" w:eastAsia="宋体" w:cs="Times New Roman"/>
          <w:color w:val="auto"/>
        </w:rPr>
      </w:pPr>
      <w:r>
        <w:rPr>
          <w:rFonts w:hint="eastAsia" w:ascii="宋体" w:hAnsi="宋体"/>
        </w:rPr>
        <w:t>3.第三阶段：最后报价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经磋商确定实质性响应的供应商后，磋商小组应当要求所有实质性响应的供应商在规定时间内提交最后报价。最后报价是供应商响应文件的有效组成部分。</w:t>
      </w:r>
    </w:p>
    <w:p>
      <w:pPr>
        <w:widowControl/>
        <w:spacing w:after="156" w:afterLines="50" w:line="360" w:lineRule="auto"/>
        <w:ind w:firstLine="480" w:firstLineChars="200"/>
        <w:jc w:val="left"/>
        <w:rPr>
          <w:kern w:val="0"/>
          <w:sz w:val="24"/>
          <w:szCs w:val="24"/>
        </w:rPr>
      </w:pPr>
      <w:r>
        <w:rPr>
          <w:rFonts w:hint="eastAsia"/>
          <w:kern w:val="0"/>
          <w:sz w:val="24"/>
          <w:szCs w:val="24"/>
        </w:rPr>
        <w:t>已提交响应文件的供应商，在提交最后报价之前，可以根据磋商情况退出磋商。</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供应商的最后报价填写至《最后报价表》（该表在磋商过程中由工作人员统一发放），并在规定的时间内递交至磋商小组或鄂尔多斯市鄂托克前旗公共资源交易中心。待所有实质性响应竞标人最后报价完毕后，工作人员统一公布每位实质性响应供应商的最后价格。</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4.第四阶段：综合评分</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评审时，磋商小组各成员应当独立对每个有效响应的文件进行评价、打分，然后汇总每个供应商每项评分因素的得分。（其中报价部分得分计算依据满足磋商文件要求的最后报价）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三、确定成交供应商</w:t>
      </w:r>
    </w:p>
    <w:p>
      <w:pPr>
        <w:spacing w:line="360" w:lineRule="auto"/>
        <w:ind w:firstLine="570"/>
        <w:rPr>
          <w:rFonts w:ascii="宋体" w:hAnsi="宋体"/>
          <w:sz w:val="24"/>
          <w:szCs w:val="24"/>
        </w:rPr>
      </w:pPr>
      <w:r>
        <w:rPr>
          <w:rFonts w:hint="eastAsia" w:ascii="宋体" w:hAnsi="宋体"/>
          <w:sz w:val="24"/>
          <w:szCs w:val="24"/>
        </w:rPr>
        <w:t>磋商小组根据综合评分情况，按照评审得分由高到低确定成交候选供应商，并编写评审报告。评审得分相同的，按照最后报价由低到高的顺序确定，评审得分且最后报价相同的，按照技术指标（方案）优劣顺序确定成交候选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17" w:name="OLE_LINK1"/>
      <w:bookmarkStart w:id="118" w:name="OLE_LINK9"/>
      <w:r>
        <w:rPr>
          <w:rFonts w:hint="eastAsia" w:ascii="宋体" w:hAnsi="宋体"/>
          <w:sz w:val="24"/>
          <w:szCs w:val="24"/>
        </w:rPr>
        <w:t>本项所称货物不包括使用大型企业注册商标的货物。</w:t>
      </w:r>
      <w:bookmarkEnd w:id="117"/>
      <w:bookmarkEnd w:id="118"/>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119" w:name="OLE_LINK14"/>
      <w:bookmarkStart w:id="120" w:name="OLE_LINK13"/>
      <w:r>
        <w:rPr>
          <w:rFonts w:hint="eastAsia" w:ascii="宋体" w:hAnsi="宋体"/>
          <w:sz w:val="24"/>
          <w:szCs w:val="24"/>
        </w:rPr>
        <w:t>《残疾人福利性单位声明函》</w:t>
      </w:r>
      <w:bookmarkEnd w:id="119"/>
      <w:bookmarkEnd w:id="120"/>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cs="宋体"/>
          <w:b/>
          <w:color w:val="000000"/>
          <w:kern w:val="0"/>
          <w:sz w:val="24"/>
          <w:szCs w:val="24"/>
        </w:rPr>
        <w:t>表一初审表：</w:t>
      </w:r>
    </w:p>
    <w:tbl>
      <w:tblPr>
        <w:tblStyle w:val="2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57"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资格性检查</w:t>
            </w:r>
          </w:p>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报名及保证金缴纳情况</w:t>
            </w:r>
          </w:p>
        </w:tc>
        <w:tc>
          <w:tcPr>
            <w:tcW w:w="684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具有独立承担民事责任的能力</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具有良好的商业信誉和健全的财务会计制度</w:t>
            </w:r>
          </w:p>
        </w:tc>
        <w:tc>
          <w:tcPr>
            <w:tcW w:w="684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1.供应商需提供由“征信中心网”（https://ipcrs.pbccrc.org.cn/）查询的信用报告。</w:t>
            </w:r>
          </w:p>
          <w:p>
            <w:pPr>
              <w:adjustRightInd w:val="0"/>
              <w:snapToGrid w:val="0"/>
              <w:jc w:val="left"/>
              <w:rPr>
                <w:rFonts w:ascii="宋体" w:hAnsi="宋体" w:cs="宋体"/>
                <w:kern w:val="0"/>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有依法缴纳税收的良好记录</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1.201</w:t>
            </w:r>
            <w:r>
              <w:rPr>
                <w:rFonts w:hint="eastAsia" w:ascii="宋体" w:hAnsi="宋体" w:cs="宋体"/>
                <w:kern w:val="0"/>
                <w:sz w:val="24"/>
                <w:szCs w:val="24"/>
                <w:lang w:val="en-US" w:eastAsia="zh-CN"/>
              </w:rPr>
              <w:t>9</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月至开标当日的任意一个月缴纳增值税或营业税或企业所得税的凭据。</w:t>
            </w:r>
          </w:p>
          <w:p>
            <w:pPr>
              <w:adjustRightInd w:val="0"/>
              <w:snapToGrid w:val="0"/>
              <w:jc w:val="left"/>
              <w:rPr>
                <w:rFonts w:ascii="宋体" w:hAnsi="宋体" w:cs="宋体"/>
                <w:kern w:val="0"/>
                <w:sz w:val="24"/>
                <w:szCs w:val="24"/>
              </w:rPr>
            </w:pPr>
            <w:r>
              <w:rPr>
                <w:rFonts w:hint="eastAsia" w:ascii="宋体" w:hAnsi="宋体" w:cs="宋体"/>
                <w:kern w:val="0"/>
                <w:sz w:val="24"/>
                <w:szCs w:val="24"/>
              </w:rPr>
              <w:t>2.201</w:t>
            </w:r>
            <w:r>
              <w:rPr>
                <w:rFonts w:hint="eastAsia" w:ascii="宋体" w:hAnsi="宋体" w:cs="宋体"/>
                <w:kern w:val="0"/>
                <w:sz w:val="24"/>
                <w:szCs w:val="24"/>
                <w:lang w:val="en-US" w:eastAsia="zh-CN"/>
              </w:rPr>
              <w:t>9</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月至开标当日的任意一个月缴纳社会保险的凭据（专用收据或社保缴纳清单）</w:t>
            </w:r>
          </w:p>
          <w:p>
            <w:pPr>
              <w:adjustRightInd w:val="0"/>
              <w:snapToGrid w:val="0"/>
              <w:jc w:val="left"/>
              <w:rPr>
                <w:rFonts w:ascii="宋体" w:hAnsi="宋体" w:cs="宋体"/>
                <w:kern w:val="0"/>
                <w:sz w:val="24"/>
                <w:szCs w:val="24"/>
              </w:rPr>
            </w:pPr>
            <w:r>
              <w:rPr>
                <w:rFonts w:hint="eastAsia" w:ascii="宋体" w:hAnsi="宋体" w:cs="宋体"/>
                <w:kern w:val="0"/>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具有履行合同所必须的设备和专业技术能力</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参加采购活动前3年内，在经营活动中没有重大违法记录</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ascii="宋体" w:hAnsi="宋体" w:cs="宋体"/>
                <w:kern w:val="0"/>
                <w:sz w:val="24"/>
                <w:szCs w:val="24"/>
              </w:rPr>
              <w:t>1.审查（20</w:t>
            </w:r>
            <w:r>
              <w:rPr>
                <w:rFonts w:hint="eastAsia" w:ascii="宋体" w:hAnsi="宋体" w:cs="宋体"/>
                <w:kern w:val="0"/>
                <w:sz w:val="24"/>
                <w:szCs w:val="24"/>
              </w:rPr>
              <w:t>1</w:t>
            </w:r>
            <w:r>
              <w:rPr>
                <w:rFonts w:hint="eastAsia" w:ascii="宋体" w:hAnsi="宋体" w:cs="宋体"/>
                <w:kern w:val="0"/>
                <w:sz w:val="24"/>
                <w:szCs w:val="24"/>
                <w:lang w:val="en-US" w:eastAsia="zh-CN"/>
              </w:rPr>
              <w:t>8</w:t>
            </w:r>
            <w:r>
              <w:rPr>
                <w:rFonts w:ascii="宋体" w:hAnsi="宋体" w:cs="宋体"/>
                <w:kern w:val="0"/>
                <w:sz w:val="24"/>
                <w:szCs w:val="24"/>
              </w:rPr>
              <w:t>年至20</w:t>
            </w:r>
            <w:r>
              <w:rPr>
                <w:rFonts w:hint="eastAsia" w:ascii="宋体" w:hAnsi="宋体" w:cs="宋体"/>
                <w:kern w:val="0"/>
                <w:sz w:val="24"/>
                <w:szCs w:val="24"/>
              </w:rPr>
              <w:t>20</w:t>
            </w:r>
            <w:r>
              <w:rPr>
                <w:rFonts w:ascii="宋体" w:hAnsi="宋体" w:cs="宋体"/>
                <w:kern w:val="0"/>
                <w:sz w:val="24"/>
                <w:szCs w:val="24"/>
              </w:rPr>
              <w:t>年）供应商书面声明函；</w:t>
            </w:r>
            <w:r>
              <w:rPr>
                <w:rFonts w:ascii="宋体" w:hAnsi="宋体" w:cs="宋体"/>
                <w:kern w:val="0"/>
                <w:sz w:val="24"/>
                <w:szCs w:val="24"/>
              </w:rPr>
              <w:br w:type="textWrapping"/>
            </w:r>
            <w:r>
              <w:rPr>
                <w:rFonts w:ascii="宋体" w:hAnsi="宋体" w:cs="宋体"/>
                <w:kern w:val="0"/>
                <w:sz w:val="24"/>
                <w:szCs w:val="24"/>
              </w:rPr>
              <w:t>2.供应商须在投标文件中提供企业工商注册所在地或项目所在地信用管理中心出具的《信用信息查询结果》且在有效期范围内。</w:t>
            </w:r>
            <w:r>
              <w:rPr>
                <w:rFonts w:ascii="宋体" w:hAnsi="宋体" w:cs="宋体"/>
                <w:kern w:val="0"/>
                <w:sz w:val="24"/>
                <w:szCs w:val="24"/>
              </w:rPr>
              <w:br w:type="textWrapping"/>
            </w:r>
            <w:r>
              <w:rPr>
                <w:rFonts w:ascii="宋体" w:hAnsi="宋体" w:cs="宋体"/>
                <w:kern w:val="0"/>
                <w:sz w:val="24"/>
                <w:szCs w:val="24"/>
              </w:rPr>
              <w:t>3.“中国政府采购网”（</w:t>
            </w:r>
            <w:r>
              <w:rPr>
                <w:rFonts w:ascii="宋体" w:hAnsi="宋体" w:cs="宋体"/>
                <w:kern w:val="0"/>
                <w:sz w:val="24"/>
                <w:szCs w:val="24"/>
              </w:rPr>
              <w:drawing>
                <wp:inline distT="0" distB="0" distL="114300" distR="114300">
                  <wp:extent cx="190500" cy="142875"/>
                  <wp:effectExtent l="0" t="0" r="762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ascii="宋体" w:hAnsi="宋体" w:cs="宋体"/>
                <w:kern w:val="0"/>
                <w:sz w:val="24"/>
                <w:szCs w:val="24"/>
              </w:rPr>
              <w:t>www.ccgp.gov.cn）未被列入有关违法违规纪录（网上查询结果截图加盖投标企业公章，须在投标文件中提供）。</w:t>
            </w:r>
            <w:r>
              <w:rPr>
                <w:rFonts w:ascii="宋体" w:hAnsi="宋体" w:cs="宋体"/>
                <w:kern w:val="0"/>
                <w:sz w:val="24"/>
                <w:szCs w:val="24"/>
              </w:rPr>
              <w:br w:type="textWrapping"/>
            </w:r>
            <w:r>
              <w:rPr>
                <w:rFonts w:ascii="宋体" w:hAnsi="宋体" w:cs="宋体"/>
                <w:kern w:val="0"/>
                <w:sz w:val="24"/>
                <w:szCs w:val="24"/>
              </w:rPr>
              <w:t>注：1.企业提供的《信用查询结果》和中国政府采购网中有失信记录的企业，如已处理失信情况则需要提供已处理证明材料，否则评标委员会有权将否决其投标资格。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457"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其他要求</w:t>
            </w:r>
          </w:p>
        </w:tc>
        <w:tc>
          <w:tcPr>
            <w:tcW w:w="6843" w:type="dxa"/>
            <w:tcBorders>
              <w:top w:val="single" w:color="auto" w:sz="4" w:space="0"/>
              <w:left w:val="single" w:color="auto" w:sz="4" w:space="0"/>
              <w:bottom w:val="single" w:color="auto" w:sz="4" w:space="0"/>
              <w:right w:val="single" w:color="auto" w:sz="4" w:space="0"/>
            </w:tcBorders>
            <w:vAlign w:val="center"/>
          </w:tcPr>
          <w:p>
            <w:pPr>
              <w:pStyle w:val="23"/>
              <w:spacing w:line="240" w:lineRule="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1.供应商须同时具备水利行业丙级（含丙级）以上企业资质和农林行业专业乙级（含乙级）以上企业资质，并在人员、设备、资金等方面具有相应的能力；</w:t>
            </w:r>
          </w:p>
          <w:p>
            <w:pPr>
              <w:adjustRightInd w:val="0"/>
              <w:snapToGrid w:val="0"/>
              <w:jc w:val="left"/>
              <w:rPr>
                <w:rFonts w:ascii="宋体" w:hAnsi="宋体" w:cs="宋体"/>
                <w:kern w:val="0"/>
                <w:sz w:val="24"/>
                <w:szCs w:val="24"/>
              </w:rPr>
            </w:pPr>
            <w:r>
              <w:rPr>
                <w:rFonts w:hint="eastAsia" w:ascii="宋体" w:hAnsi="宋体"/>
                <w:color w:val="000000" w:themeColor="text1"/>
                <w:sz w:val="24"/>
                <w:szCs w:val="24"/>
                <w:lang w:val="en-US" w:eastAsia="zh-CN"/>
                <w14:textFill>
                  <w14:solidFill>
                    <w14:schemeClr w14:val="tx1"/>
                  </w14:solidFill>
                </w14:textFill>
              </w:rPr>
              <w:t>2.拟派项目负责人须具备水利或农林相关专业中级及以上技术职称；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restart"/>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符合性检查</w:t>
            </w:r>
          </w:p>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投标承诺书及法人授权委托书</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开标一览表</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投标文件规范性、符合性</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投标有效期</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主要商务条款</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附加条件</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联合体投标</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需求</w:t>
            </w:r>
          </w:p>
        </w:tc>
        <w:tc>
          <w:tcPr>
            <w:tcW w:w="291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服务需求内容</w:t>
            </w:r>
          </w:p>
        </w:tc>
        <w:tc>
          <w:tcPr>
            <w:tcW w:w="684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报价</w:t>
            </w:r>
          </w:p>
        </w:tc>
        <w:tc>
          <w:tcPr>
            <w:tcW w:w="2913"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投标报价</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未超过采购预算、符合报价明细表要求。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tcBorders>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备注</w:t>
            </w:r>
          </w:p>
        </w:tc>
        <w:tc>
          <w:tcPr>
            <w:tcW w:w="2913" w:type="dxa"/>
            <w:tcBorders>
              <w:left w:val="single" w:color="auto" w:sz="4" w:space="0"/>
              <w:bottom w:val="single" w:color="auto" w:sz="4" w:space="0"/>
              <w:right w:val="single" w:color="auto" w:sz="4" w:space="0"/>
            </w:tcBorders>
            <w:vAlign w:val="center"/>
          </w:tcPr>
          <w:p>
            <w:pPr>
              <w:jc w:val="left"/>
              <w:rPr>
                <w:rFonts w:ascii="宋体" w:hAnsi="宋体" w:cs="宋体"/>
                <w:kern w:val="0"/>
                <w:sz w:val="24"/>
                <w:szCs w:val="24"/>
              </w:rPr>
            </w:pPr>
            <w:r>
              <w:rPr>
                <w:rFonts w:hint="eastAsia" w:ascii="宋体" w:hAnsi="宋体"/>
                <w:sz w:val="24"/>
                <w:szCs w:val="24"/>
              </w:rPr>
              <w:t>特别说明</w:t>
            </w:r>
          </w:p>
        </w:tc>
        <w:tc>
          <w:tcPr>
            <w:tcW w:w="6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adjustRightInd w:val="0"/>
        <w:snapToGrid w:val="0"/>
        <w:jc w:val="left"/>
        <w:rPr>
          <w:rFonts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spacing w:line="360" w:lineRule="auto"/>
        <w:rPr>
          <w:rFonts w:hint="eastAsia" w:ascii="宋体" w:hAnsi="宋体" w:cs="宋体"/>
          <w:b/>
          <w:color w:val="000000"/>
          <w:kern w:val="0"/>
          <w:sz w:val="24"/>
          <w:szCs w:val="24"/>
        </w:rPr>
      </w:pPr>
    </w:p>
    <w:p>
      <w:pPr>
        <w:spacing w:line="360" w:lineRule="auto"/>
        <w:rPr>
          <w:rFonts w:hint="eastAsia" w:ascii="宋体" w:hAnsi="宋体"/>
          <w:sz w:val="24"/>
          <w:szCs w:val="24"/>
          <w:highlight w:val="yellow"/>
        </w:rPr>
      </w:pPr>
      <w:r>
        <w:rPr>
          <w:rFonts w:hint="eastAsia" w:ascii="宋体" w:hAnsi="宋体" w:cs="宋体"/>
          <w:b/>
          <w:color w:val="000000"/>
          <w:kern w:val="0"/>
          <w:sz w:val="24"/>
          <w:szCs w:val="24"/>
        </w:rPr>
        <w:t>表二详细评审表：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239"/>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 xml:space="preserve">1、报价得分 </w:t>
            </w:r>
            <w:r>
              <w:rPr>
                <w:rFonts w:hint="eastAsia" w:ascii="宋体" w:hAnsi="宋体"/>
                <w:color w:val="000000"/>
                <w:sz w:val="24"/>
                <w:szCs w:val="24"/>
                <w:lang w:val="en-US" w:eastAsia="zh-CN"/>
              </w:rPr>
              <w:t>20</w:t>
            </w:r>
            <w:r>
              <w:rPr>
                <w:rFonts w:hint="eastAsia" w:ascii="宋体" w:hAnsi="宋体"/>
                <w:color w:val="000000"/>
                <w:sz w:val="24"/>
                <w:szCs w:val="24"/>
              </w:rPr>
              <w:t xml:space="preserve">分 </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 xml:space="preserve">2、商务部分 </w:t>
            </w:r>
            <w:r>
              <w:rPr>
                <w:rFonts w:hint="eastAsia" w:ascii="宋体" w:hAnsi="宋体"/>
                <w:color w:val="000000"/>
                <w:sz w:val="24"/>
                <w:szCs w:val="24"/>
                <w:lang w:val="en-US" w:eastAsia="zh-CN"/>
              </w:rPr>
              <w:t>20</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3、技术部分</w:t>
            </w:r>
            <w:r>
              <w:rPr>
                <w:rFonts w:hint="eastAsia" w:ascii="宋体" w:hAnsi="宋体"/>
                <w:color w:val="000000"/>
                <w:sz w:val="24"/>
                <w:szCs w:val="24"/>
                <w:lang w:val="en-US" w:eastAsia="zh-CN"/>
              </w:rPr>
              <w:t xml:space="preserve"> 60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sz w:val="24"/>
                <w:szCs w:val="24"/>
                <w:lang w:eastAsia="zh-CN"/>
              </w:rPr>
            </w:pPr>
            <w:r>
              <w:rPr>
                <w:rFonts w:hint="eastAsia" w:ascii="宋体" w:hAnsi="宋体"/>
                <w:color w:val="000000"/>
                <w:sz w:val="24"/>
                <w:szCs w:val="24"/>
              </w:rPr>
              <w:t>投标报价</w:t>
            </w:r>
            <w:r>
              <w:rPr>
                <w:rFonts w:hint="eastAsia" w:ascii="宋体" w:hAnsi="宋体"/>
                <w:color w:val="000000"/>
                <w:sz w:val="24"/>
                <w:szCs w:val="24"/>
                <w:lang w:eastAsia="zh-CN"/>
              </w:rPr>
              <w:t>（</w:t>
            </w:r>
            <w:r>
              <w:rPr>
                <w:rFonts w:hint="eastAsia" w:ascii="宋体" w:hAnsi="宋体"/>
                <w:color w:val="000000"/>
                <w:sz w:val="24"/>
                <w:szCs w:val="24"/>
                <w:lang w:val="en-US" w:eastAsia="zh-CN"/>
              </w:rPr>
              <w:t>20分</w:t>
            </w:r>
            <w:r>
              <w:rPr>
                <w:rFonts w:hint="eastAsia" w:ascii="宋体" w:hAnsi="宋体"/>
                <w:color w:val="000000"/>
                <w:sz w:val="24"/>
                <w:szCs w:val="24"/>
                <w:lang w:eastAsia="zh-CN"/>
              </w:rPr>
              <w:t>）</w:t>
            </w:r>
          </w:p>
        </w:tc>
        <w:tc>
          <w:tcPr>
            <w:tcW w:w="2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C0C0C"/>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20</w:t>
            </w:r>
            <w:r>
              <w:rPr>
                <w:rFonts w:hint="eastAsia" w:ascii="宋体" w:hAnsi="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olor w:val="000000"/>
                <w:sz w:val="24"/>
                <w:szCs w:val="24"/>
                <w:lang w:val="en-US" w:eastAsia="zh-CN"/>
              </w:rPr>
            </w:pPr>
            <w:r>
              <w:rPr>
                <w:rFonts w:hint="eastAsia" w:ascii="宋体" w:hAnsi="宋体"/>
                <w:color w:val="000000"/>
                <w:sz w:val="24"/>
                <w:szCs w:val="24"/>
              </w:rPr>
              <w:t>投标报价得分＝（评标基准价/投标报价）×</w:t>
            </w:r>
            <w:r>
              <w:rPr>
                <w:rFonts w:hint="eastAsia" w:ascii="宋体" w:hAnsi="宋体"/>
                <w:color w:val="000000"/>
                <w:sz w:val="24"/>
                <w:szCs w:val="24"/>
                <w:lang w:val="en-US" w:eastAsia="zh-CN"/>
              </w:rPr>
              <w:t>20%</w:t>
            </w:r>
            <w:r>
              <w:rPr>
                <w:rFonts w:hint="eastAsia" w:ascii="宋体" w:hAnsi="宋体"/>
                <w:color w:val="000000"/>
                <w:sz w:val="24"/>
                <w:szCs w:val="24"/>
              </w:rPr>
              <w:t>×</w:t>
            </w:r>
            <w:r>
              <w:rPr>
                <w:rFonts w:hint="eastAsia" w:ascii="宋体" w:hAnsi="宋体"/>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olor w:val="000000"/>
                <w:sz w:val="24"/>
                <w:szCs w:val="24"/>
              </w:rPr>
            </w:pPr>
            <w:r>
              <w:rPr>
                <w:rFonts w:hint="eastAsia" w:ascii="宋体" w:hAnsi="宋体"/>
                <w:color w:val="000000"/>
                <w:sz w:val="24"/>
                <w:szCs w:val="24"/>
              </w:rPr>
              <w:t>商</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sz w:val="24"/>
                <w:szCs w:val="24"/>
              </w:rPr>
            </w:pPr>
            <w:r>
              <w:rPr>
                <w:rFonts w:hint="eastAsia" w:ascii="宋体" w:hAnsi="宋体"/>
                <w:color w:val="000000"/>
                <w:sz w:val="24"/>
                <w:szCs w:val="24"/>
              </w:rPr>
              <w:t>务部分</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20分</w:t>
            </w:r>
            <w:r>
              <w:rPr>
                <w:rFonts w:hint="eastAsia" w:ascii="宋体" w:hAnsi="宋体"/>
                <w:color w:val="000000"/>
                <w:sz w:val="24"/>
                <w:szCs w:val="24"/>
                <w:lang w:eastAsia="zh-CN"/>
              </w:rPr>
              <w:t>）</w:t>
            </w:r>
          </w:p>
        </w:tc>
        <w:tc>
          <w:tcPr>
            <w:tcW w:w="223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olor w:val="000000"/>
                <w:sz w:val="24"/>
                <w:szCs w:val="24"/>
                <w:lang w:eastAsia="zh-CN"/>
              </w:rPr>
            </w:pPr>
            <w:r>
              <w:rPr>
                <w:rFonts w:hint="eastAsia" w:ascii="宋体" w:hAnsi="宋体" w:cs="宋体"/>
                <w:b w:val="0"/>
                <w:bCs w:val="0"/>
                <w:color w:val="auto"/>
                <w:sz w:val="24"/>
                <w:szCs w:val="24"/>
                <w:highlight w:val="none"/>
              </w:rPr>
              <w:t>项目</w:t>
            </w:r>
            <w:r>
              <w:rPr>
                <w:rFonts w:hint="eastAsia" w:ascii="宋体" w:hAnsi="宋体" w:cs="宋体"/>
                <w:b w:val="0"/>
                <w:bCs w:val="0"/>
                <w:color w:val="auto"/>
                <w:sz w:val="24"/>
                <w:szCs w:val="24"/>
                <w:highlight w:val="none"/>
                <w:lang w:val="en-US" w:eastAsia="zh-CN"/>
              </w:rPr>
              <w:t>负责人</w:t>
            </w:r>
            <w:r>
              <w:rPr>
                <w:rFonts w:hint="eastAsia" w:ascii="宋体" w:hAnsi="宋体"/>
                <w:color w:val="000000"/>
                <w:sz w:val="24"/>
                <w:szCs w:val="24"/>
                <w:lang w:eastAsia="zh-CN"/>
              </w:rPr>
              <w:t>（</w:t>
            </w:r>
            <w:r>
              <w:rPr>
                <w:rFonts w:hint="eastAsia" w:ascii="宋体" w:hAnsi="宋体"/>
                <w:color w:val="000000"/>
                <w:sz w:val="24"/>
                <w:szCs w:val="24"/>
                <w:lang w:val="en-US" w:eastAsia="zh-CN"/>
              </w:rPr>
              <w:t>3分</w:t>
            </w:r>
            <w:r>
              <w:rPr>
                <w:rFonts w:hint="eastAsia" w:ascii="宋体" w:hAnsi="宋体"/>
                <w:color w:val="000000"/>
                <w:sz w:val="24"/>
                <w:szCs w:val="24"/>
                <w:lang w:eastAsia="zh-CN"/>
              </w:rPr>
              <w:t>）</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lang w:val="en-US" w:eastAsia="zh-CN"/>
                <w14:textFill>
                  <w14:solidFill>
                    <w14:schemeClr w14:val="tx1"/>
                  </w14:solidFill>
                </w14:textFill>
              </w:rPr>
              <w:t>水利或农林相关专业高级（含副高）职称</w:t>
            </w:r>
            <w:r>
              <w:rPr>
                <w:rFonts w:hint="eastAsia" w:ascii="宋体" w:hAnsi="宋体" w:eastAsia="宋体"/>
                <w:color w:val="000000" w:themeColor="text1"/>
                <w:sz w:val="24"/>
                <w:szCs w:val="24"/>
                <w:lang w:val="en-US" w:eastAsia="zh-CN"/>
                <w14:textFill>
                  <w14:solidFill>
                    <w14:schemeClr w14:val="tx1"/>
                  </w14:solidFill>
                </w14:textFill>
              </w:rPr>
              <w:t>证书的得3分；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sz w:val="24"/>
                <w:szCs w:val="24"/>
                <w:lang w:eastAsia="zh-CN"/>
              </w:rPr>
            </w:pPr>
          </w:p>
        </w:tc>
        <w:tc>
          <w:tcPr>
            <w:tcW w:w="2239" w:type="dxa"/>
            <w:tcBorders>
              <w:top w:val="single" w:color="auto" w:sz="4" w:space="0"/>
              <w:left w:val="single" w:color="auto" w:sz="4" w:space="0"/>
              <w:right w:val="single" w:color="auto" w:sz="4" w:space="0"/>
            </w:tcBorders>
            <w:noWrap w:val="0"/>
            <w:vAlign w:val="center"/>
          </w:tcPr>
          <w:p>
            <w:pPr>
              <w:pStyle w:val="23"/>
              <w:spacing w:line="240" w:lineRule="auto"/>
              <w:jc w:val="center"/>
              <w:rPr>
                <w:rFonts w:hint="default"/>
                <w:lang w:val="en-US" w:eastAsia="zh-CN"/>
              </w:rPr>
            </w:pPr>
            <w:r>
              <w:rPr>
                <w:rFonts w:hint="eastAsia" w:ascii="宋体" w:hAnsi="宋体" w:eastAsia="宋体"/>
                <w:color w:val="000000"/>
                <w:sz w:val="24"/>
                <w:szCs w:val="24"/>
                <w:lang w:val="en-US" w:eastAsia="zh-CN"/>
              </w:rPr>
              <w:t>其他项目管理机构人员</w:t>
            </w:r>
            <w:r>
              <w:rPr>
                <w:rFonts w:hint="eastAsia" w:ascii="宋体" w:hAnsi="宋体"/>
                <w:color w:val="000000"/>
                <w:sz w:val="24"/>
                <w:szCs w:val="24"/>
                <w:lang w:val="en-US" w:eastAsia="zh-CN"/>
              </w:rPr>
              <w:t>（6）</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sz w:val="24"/>
                <w:szCs w:val="24"/>
              </w:rPr>
            </w:pP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每有1人且</w:t>
            </w:r>
            <w:r>
              <w:rPr>
                <w:rFonts w:hint="eastAsia" w:ascii="宋体" w:hAnsi="宋体" w:eastAsia="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lang w:val="en-US" w:eastAsia="zh-CN"/>
                <w14:textFill>
                  <w14:solidFill>
                    <w14:schemeClr w14:val="tx1"/>
                  </w14:solidFill>
                </w14:textFill>
              </w:rPr>
              <w:t>水利或农林相关专业中级职称</w:t>
            </w:r>
            <w:r>
              <w:rPr>
                <w:rFonts w:hint="eastAsia" w:ascii="宋体" w:hAnsi="宋体" w:eastAsia="宋体"/>
                <w:color w:val="000000" w:themeColor="text1"/>
                <w:sz w:val="24"/>
                <w:szCs w:val="24"/>
                <w:lang w:val="en-US" w:eastAsia="zh-CN"/>
                <w14:textFill>
                  <w14:solidFill>
                    <w14:schemeClr w14:val="tx1"/>
                  </w14:solidFill>
                </w14:textFill>
              </w:rPr>
              <w:t>证书的得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，最高得3分；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每有1人且</w:t>
            </w:r>
            <w:r>
              <w:rPr>
                <w:rFonts w:hint="eastAsia" w:ascii="宋体" w:hAnsi="宋体" w:eastAsia="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lang w:val="en-US" w:eastAsia="zh-CN"/>
                <w14:textFill>
                  <w14:solidFill>
                    <w14:schemeClr w14:val="tx1"/>
                  </w14:solidFill>
                </w14:textFill>
              </w:rPr>
              <w:t>水利或农林相关专业高级（含副高）职称</w:t>
            </w:r>
            <w:r>
              <w:rPr>
                <w:rFonts w:hint="eastAsia" w:ascii="宋体" w:hAnsi="宋体" w:eastAsia="宋体"/>
                <w:color w:val="000000" w:themeColor="text1"/>
                <w:sz w:val="24"/>
                <w:szCs w:val="24"/>
                <w:lang w:val="en-US" w:eastAsia="zh-CN"/>
                <w14:textFill>
                  <w14:solidFill>
                    <w14:schemeClr w14:val="tx1"/>
                  </w14:solidFill>
                </w14:textFill>
              </w:rPr>
              <w:t>证书的得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sz w:val="24"/>
                <w:szCs w:val="24"/>
                <w:lang w:eastAsia="zh-CN"/>
              </w:rPr>
            </w:pPr>
          </w:p>
        </w:tc>
        <w:tc>
          <w:tcPr>
            <w:tcW w:w="223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olor w:val="000000"/>
                <w:sz w:val="24"/>
                <w:szCs w:val="24"/>
              </w:rPr>
            </w:pPr>
            <w:r>
              <w:rPr>
                <w:rFonts w:hint="eastAsia" w:ascii="宋体" w:hAnsi="宋体"/>
                <w:color w:val="000000"/>
                <w:sz w:val="24"/>
                <w:szCs w:val="24"/>
              </w:rPr>
              <w:t>业绩（</w:t>
            </w:r>
            <w:r>
              <w:rPr>
                <w:rFonts w:hint="eastAsia" w:ascii="宋体" w:hAnsi="宋体"/>
                <w:color w:val="000000"/>
                <w:sz w:val="24"/>
                <w:szCs w:val="24"/>
                <w:lang w:val="en-US" w:eastAsia="zh-CN"/>
              </w:rPr>
              <w:t>7</w:t>
            </w:r>
            <w:r>
              <w:rPr>
                <w:rFonts w:hint="eastAsia" w:ascii="宋体" w:hAnsi="宋体"/>
                <w:color w:val="000000"/>
                <w:sz w:val="24"/>
                <w:szCs w:val="24"/>
              </w:rPr>
              <w:t>分）</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2017年至</w:t>
            </w:r>
            <w:r>
              <w:rPr>
                <w:rFonts w:hint="eastAsia" w:ascii="宋体" w:hAnsi="宋体"/>
                <w:color w:val="000000"/>
                <w:sz w:val="24"/>
                <w:szCs w:val="24"/>
                <w:lang w:val="en-US" w:eastAsia="zh-CN"/>
              </w:rPr>
              <w:t>开标当日</w:t>
            </w:r>
            <w:r>
              <w:rPr>
                <w:rFonts w:hint="eastAsia" w:ascii="宋体" w:hAnsi="宋体" w:eastAsia="宋体"/>
                <w:color w:val="000000"/>
                <w:sz w:val="24"/>
                <w:szCs w:val="24"/>
                <w:lang w:val="en-US" w:eastAsia="zh-CN"/>
              </w:rPr>
              <w:t>每有</w:t>
            </w:r>
            <w:r>
              <w:rPr>
                <w:rFonts w:hint="eastAsia" w:ascii="宋体" w:hAnsi="宋体" w:cs="Arial"/>
                <w:color w:val="auto"/>
                <w:kern w:val="2"/>
                <w:sz w:val="24"/>
                <w:szCs w:val="24"/>
                <w:highlight w:val="none"/>
                <w:lang w:val="en-US" w:eastAsia="zh-CN" w:bidi="ar-SA"/>
              </w:rPr>
              <w:t>一项高标准农田上图入库项目或与高标准农田建设相关服务业绩</w:t>
            </w:r>
            <w:r>
              <w:rPr>
                <w:rFonts w:hint="eastAsia" w:ascii="宋体" w:hAnsi="宋体" w:eastAsia="宋体"/>
                <w:color w:val="000000"/>
                <w:sz w:val="24"/>
                <w:szCs w:val="24"/>
                <w:lang w:val="en-US" w:eastAsia="zh-CN"/>
              </w:rPr>
              <w:t>得1分，最高得7分。（以中标通知书或合同复印件为准）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olor w:val="000000"/>
                <w:sz w:val="24"/>
                <w:szCs w:val="24"/>
              </w:rPr>
            </w:pPr>
          </w:p>
        </w:tc>
        <w:tc>
          <w:tcPr>
            <w:tcW w:w="223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相关认证(4分)</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供应商</w:t>
            </w:r>
            <w:r>
              <w:rPr>
                <w:rFonts w:hint="eastAsia" w:ascii="宋体" w:hAnsi="宋体" w:cs="宋体"/>
                <w:color w:val="000000"/>
                <w:sz w:val="24"/>
                <w:szCs w:val="24"/>
                <w:u w:val="none" w:color="auto"/>
                <w:lang w:val="en-US" w:eastAsia="zh-CN"/>
              </w:rPr>
              <w:t>提供</w:t>
            </w:r>
            <w:r>
              <w:rPr>
                <w:rFonts w:hint="eastAsia" w:ascii="宋体" w:hAnsi="宋体" w:eastAsia="宋体" w:cs="宋体"/>
                <w:color w:val="000000"/>
                <w:sz w:val="24"/>
                <w:szCs w:val="24"/>
                <w:u w:val="none" w:color="auto"/>
                <w:lang w:val="en-US" w:eastAsia="zh-CN"/>
              </w:rPr>
              <w:t>有效的</w:t>
            </w:r>
            <w:r>
              <w:rPr>
                <w:rFonts w:hint="eastAsia" w:ascii="宋体" w:hAnsi="宋体" w:cs="宋体"/>
                <w:color w:val="000000"/>
                <w:sz w:val="24"/>
                <w:szCs w:val="24"/>
                <w:u w:val="none" w:color="auto"/>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cs="宋体"/>
                <w:color w:val="000000"/>
                <w:sz w:val="24"/>
                <w:szCs w:val="24"/>
                <w:u w:val="none" w:color="auto"/>
                <w:lang w:val="en-US" w:eastAsia="zh-CN"/>
              </w:rPr>
              <w:t>ISO9001</w:t>
            </w:r>
            <w:r>
              <w:rPr>
                <w:rFonts w:hint="eastAsia" w:ascii="宋体" w:hAnsi="宋体" w:eastAsia="宋体" w:cs="宋体"/>
                <w:color w:val="000000"/>
                <w:sz w:val="24"/>
                <w:szCs w:val="24"/>
                <w:u w:val="none" w:color="auto"/>
                <w:lang w:val="en-US" w:eastAsia="zh-CN"/>
              </w:rPr>
              <w:t>质量管理体系认证得1分；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cs="宋体"/>
                <w:color w:val="000000"/>
                <w:sz w:val="24"/>
                <w:szCs w:val="24"/>
                <w:u w:val="none" w:color="auto"/>
                <w:lang w:val="en-US" w:eastAsia="zh-CN"/>
              </w:rPr>
              <w:t>ISO14001</w:t>
            </w:r>
            <w:r>
              <w:rPr>
                <w:rFonts w:hint="eastAsia" w:ascii="宋体" w:hAnsi="宋体" w:eastAsia="宋体" w:cs="宋体"/>
                <w:color w:val="000000"/>
                <w:sz w:val="24"/>
                <w:szCs w:val="24"/>
                <w:u w:val="none" w:color="auto"/>
                <w:lang w:val="en-US" w:eastAsia="zh-CN"/>
              </w:rPr>
              <w:t>环境管理体系认证得1分；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cs="宋体"/>
                <w:color w:val="000000"/>
                <w:sz w:val="24"/>
                <w:szCs w:val="24"/>
                <w:u w:val="none" w:color="auto"/>
                <w:lang w:val="en-US" w:eastAsia="zh-CN"/>
              </w:rPr>
              <w:t>ISO45001</w:t>
            </w:r>
            <w:r>
              <w:rPr>
                <w:rFonts w:hint="eastAsia" w:ascii="宋体" w:hAnsi="宋体" w:eastAsia="宋体" w:cs="宋体"/>
                <w:color w:val="000000"/>
                <w:sz w:val="24"/>
                <w:szCs w:val="24"/>
                <w:u w:val="none" w:color="auto"/>
                <w:lang w:val="en-US" w:eastAsia="zh-CN"/>
              </w:rPr>
              <w:t>职业健康安全管理体系认证得1分；</w:t>
            </w:r>
          </w:p>
          <w:p>
            <w:pPr>
              <w:pStyle w:val="23"/>
              <w:spacing w:line="240" w:lineRule="auto"/>
              <w:rPr>
                <w:rFonts w:hint="eastAsia" w:ascii="宋体" w:hAnsi="宋体" w:eastAsia="宋体" w:cs="宋体"/>
                <w:color w:val="000000"/>
                <w:sz w:val="24"/>
                <w:szCs w:val="24"/>
                <w:u w:val="none" w:color="auto"/>
                <w:lang w:val="en-US" w:eastAsia="zh-CN"/>
              </w:rPr>
            </w:pPr>
            <w:r>
              <w:rPr>
                <w:rFonts w:hint="eastAsia"/>
                <w:color w:val="auto"/>
                <w:sz w:val="24"/>
                <w:szCs w:val="18"/>
                <w:highlight w:val="none"/>
                <w:lang w:val="en-US" w:eastAsia="zh-CN"/>
              </w:rPr>
              <w:t>重合同守信用企业证书得1分；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13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技术部分（</w:t>
            </w:r>
            <w:r>
              <w:rPr>
                <w:rFonts w:hint="eastAsia" w:ascii="宋体" w:hAnsi="宋体" w:cs="宋体"/>
                <w:color w:val="000000"/>
                <w:sz w:val="24"/>
                <w:szCs w:val="24"/>
                <w:u w:val="none" w:color="auto"/>
                <w:lang w:val="en-US" w:eastAsia="zh-CN"/>
              </w:rPr>
              <w:t>6</w:t>
            </w:r>
            <w:r>
              <w:rPr>
                <w:rFonts w:hint="eastAsia" w:ascii="宋体" w:hAnsi="宋体" w:eastAsia="宋体" w:cs="宋体"/>
                <w:color w:val="000000"/>
                <w:sz w:val="24"/>
                <w:szCs w:val="24"/>
                <w:u w:val="none" w:color="auto"/>
                <w:lang w:val="en-US" w:eastAsia="zh-CN"/>
              </w:rPr>
              <w:t>0分）</w:t>
            </w:r>
          </w:p>
        </w:tc>
        <w:tc>
          <w:tcPr>
            <w:tcW w:w="223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工作</w:t>
            </w:r>
            <w:r>
              <w:rPr>
                <w:rFonts w:hint="eastAsia" w:ascii="宋体" w:hAnsi="宋体" w:cs="宋体"/>
                <w:color w:val="000000"/>
                <w:sz w:val="24"/>
                <w:szCs w:val="24"/>
                <w:u w:val="none" w:color="auto"/>
                <w:lang w:val="en-US" w:eastAsia="zh-CN"/>
              </w:rPr>
              <w:t>内容</w:t>
            </w:r>
            <w:r>
              <w:rPr>
                <w:rFonts w:hint="eastAsia" w:ascii="宋体" w:hAnsi="宋体"/>
                <w:color w:val="000000"/>
                <w:sz w:val="24"/>
                <w:szCs w:val="24"/>
                <w:lang w:val="en-US" w:eastAsia="zh-CN"/>
              </w:rPr>
              <w:t>(10分)</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根据项目要求</w:t>
            </w:r>
            <w:r>
              <w:rPr>
                <w:rFonts w:hint="eastAsia" w:ascii="宋体" w:hAnsi="宋体" w:cs="宋体"/>
                <w:color w:val="000000"/>
                <w:sz w:val="24"/>
                <w:szCs w:val="24"/>
                <w:u w:val="none" w:color="auto"/>
                <w:lang w:val="en-US" w:eastAsia="zh-CN"/>
              </w:rPr>
              <w:t>：1.明确</w:t>
            </w:r>
            <w:r>
              <w:rPr>
                <w:rFonts w:hint="eastAsia" w:ascii="宋体" w:hAnsi="宋体" w:eastAsia="宋体" w:cs="宋体"/>
                <w:color w:val="000000"/>
                <w:sz w:val="24"/>
                <w:szCs w:val="24"/>
                <w:u w:val="none" w:color="auto"/>
                <w:lang w:val="en-US" w:eastAsia="zh-CN"/>
              </w:rPr>
              <w:t>工作目标</w:t>
            </w:r>
            <w:r>
              <w:rPr>
                <w:rFonts w:hint="eastAsia" w:ascii="宋体" w:hAnsi="宋体" w:cs="宋体"/>
                <w:color w:val="000000"/>
                <w:sz w:val="24"/>
                <w:szCs w:val="24"/>
                <w:u w:val="none" w:color="auto"/>
                <w:lang w:val="en-US" w:eastAsia="zh-CN"/>
              </w:rPr>
              <w:t>；2.明确</w:t>
            </w:r>
            <w:r>
              <w:rPr>
                <w:rFonts w:hint="eastAsia" w:ascii="宋体" w:hAnsi="宋体" w:eastAsia="宋体" w:cs="宋体"/>
                <w:color w:val="000000"/>
                <w:sz w:val="24"/>
                <w:szCs w:val="24"/>
                <w:u w:val="none" w:color="auto"/>
                <w:lang w:val="en-US" w:eastAsia="zh-CN"/>
              </w:rPr>
              <w:t>工作任务</w:t>
            </w:r>
            <w:r>
              <w:rPr>
                <w:rFonts w:hint="eastAsia" w:ascii="宋体" w:hAnsi="宋体" w:cs="宋体"/>
                <w:color w:val="000000"/>
                <w:sz w:val="24"/>
                <w:szCs w:val="24"/>
                <w:u w:val="none" w:color="auto"/>
                <w:lang w:val="en-US" w:eastAsia="zh-CN"/>
              </w:rPr>
              <w:t>；3.明确工作要求；4.工作</w:t>
            </w:r>
            <w:r>
              <w:rPr>
                <w:rFonts w:hint="eastAsia" w:ascii="宋体" w:hAnsi="宋体" w:eastAsia="宋体" w:cs="宋体"/>
                <w:color w:val="000000"/>
                <w:sz w:val="24"/>
                <w:szCs w:val="24"/>
                <w:u w:val="none" w:color="auto"/>
                <w:lang w:val="en-US" w:eastAsia="zh-CN"/>
              </w:rPr>
              <w:t>内容</w:t>
            </w:r>
            <w:r>
              <w:rPr>
                <w:rFonts w:hint="eastAsia" w:ascii="宋体" w:hAnsi="宋体" w:cs="宋体"/>
                <w:color w:val="000000"/>
                <w:sz w:val="24"/>
                <w:szCs w:val="24"/>
                <w:u w:val="none" w:color="auto"/>
                <w:lang w:val="en-US" w:eastAsia="zh-CN"/>
              </w:rPr>
              <w:t>详细</w:t>
            </w:r>
            <w:r>
              <w:rPr>
                <w:rFonts w:hint="eastAsia" w:ascii="宋体" w:hAnsi="宋体" w:eastAsia="宋体" w:cs="宋体"/>
                <w:color w:val="000000"/>
                <w:sz w:val="24"/>
                <w:szCs w:val="24"/>
                <w:u w:val="none" w:color="auto"/>
                <w:lang w:val="en-US" w:eastAsia="zh-CN"/>
              </w:rPr>
              <w:t>全面</w:t>
            </w:r>
            <w:r>
              <w:rPr>
                <w:rFonts w:hint="eastAsia" w:ascii="宋体" w:hAnsi="宋体" w:cs="宋体"/>
                <w:color w:val="000000"/>
                <w:sz w:val="24"/>
                <w:szCs w:val="24"/>
                <w:u w:val="none" w:color="auto"/>
                <w:lang w:val="en-US" w:eastAsia="zh-CN"/>
              </w:rPr>
              <w:t>；5.工作内容科学合理；每缺少一项扣2分</w:t>
            </w:r>
            <w:r>
              <w:rPr>
                <w:rFonts w:hint="eastAsia" w:ascii="宋体" w:hAnsi="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p>
        </w:tc>
        <w:tc>
          <w:tcPr>
            <w:tcW w:w="223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cs="仿宋_GB2312" w:asciiTheme="minorEastAsia" w:hAnsiTheme="minorEastAsia"/>
                <w:sz w:val="24"/>
                <w:szCs w:val="24"/>
              </w:rPr>
              <w:t>进度安排</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6分</w:t>
            </w:r>
            <w:r>
              <w:rPr>
                <w:rFonts w:hint="eastAsia" w:cs="仿宋_GB2312" w:asciiTheme="minorEastAsia" w:hAnsiTheme="minorEastAsia"/>
                <w:sz w:val="24"/>
                <w:szCs w:val="24"/>
                <w:lang w:eastAsia="zh-CN"/>
              </w:rPr>
              <w:t>）</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4"/>
                <w:szCs w:val="24"/>
                <w:u w:val="none" w:color="auto"/>
                <w:lang w:val="en-US" w:eastAsia="zh-CN"/>
              </w:rPr>
            </w:pPr>
            <w:r>
              <w:rPr>
                <w:rFonts w:hint="eastAsia" w:cs="仿宋_GB2312" w:asciiTheme="minorEastAsia" w:hAnsiTheme="minorEastAsia"/>
                <w:sz w:val="24"/>
                <w:szCs w:val="24"/>
                <w:lang w:val="en-US" w:eastAsia="zh-CN"/>
              </w:rPr>
              <w:t>根据项目的服务期：1.</w:t>
            </w:r>
            <w:r>
              <w:rPr>
                <w:rFonts w:hint="eastAsia" w:cs="仿宋_GB2312" w:asciiTheme="minorEastAsia" w:hAnsiTheme="minorEastAsia"/>
                <w:sz w:val="24"/>
                <w:szCs w:val="24"/>
              </w:rPr>
              <w:t>进度安排详细具体</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2.进度计划科学</w:t>
            </w:r>
            <w:r>
              <w:rPr>
                <w:rFonts w:hint="eastAsia" w:cs="仿宋_GB2312" w:asciiTheme="minorEastAsia" w:hAnsiTheme="minorEastAsia"/>
                <w:sz w:val="24"/>
                <w:szCs w:val="24"/>
              </w:rPr>
              <w:t>合理</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每有一项加3分</w:t>
            </w:r>
            <w:r>
              <w:rPr>
                <w:rFonts w:hint="eastAsia" w:cs="仿宋_GB2312"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p>
        </w:tc>
        <w:tc>
          <w:tcPr>
            <w:tcW w:w="223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eastAsia="宋体" w:cs="宋体"/>
                <w:sz w:val="24"/>
              </w:rPr>
              <w:t>质量保证措施</w:t>
            </w: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4"/>
                <w:szCs w:val="24"/>
                <w:u w:val="none" w:color="auto"/>
                <w:lang w:val="en-US" w:eastAsia="zh-CN"/>
              </w:rPr>
            </w:pPr>
            <w:r>
              <w:rPr>
                <w:rFonts w:hint="eastAsia" w:ascii="宋体" w:hAnsi="宋体" w:cs="宋体"/>
                <w:color w:val="000000"/>
                <w:sz w:val="24"/>
                <w:szCs w:val="24"/>
                <w:u w:val="none" w:color="auto"/>
                <w:lang w:val="en-US" w:eastAsia="zh-CN"/>
              </w:rPr>
              <w:t>根据项目质量要求：1.</w:t>
            </w:r>
            <w:r>
              <w:rPr>
                <w:rFonts w:hint="eastAsia" w:ascii="宋体" w:hAnsi="宋体" w:eastAsia="宋体" w:cs="宋体"/>
                <w:color w:val="000000"/>
                <w:sz w:val="24"/>
                <w:szCs w:val="24"/>
                <w:u w:val="none" w:color="auto"/>
                <w:lang w:val="en-US" w:eastAsia="zh-CN"/>
              </w:rPr>
              <w:t>提供</w:t>
            </w:r>
            <w:r>
              <w:rPr>
                <w:rFonts w:hint="eastAsia" w:ascii="宋体" w:hAnsi="宋体" w:cs="宋体"/>
                <w:color w:val="000000"/>
                <w:sz w:val="24"/>
                <w:szCs w:val="24"/>
                <w:u w:val="none" w:color="auto"/>
                <w:lang w:val="en-US" w:eastAsia="zh-CN"/>
              </w:rPr>
              <w:t>科学合理的</w:t>
            </w:r>
            <w:r>
              <w:rPr>
                <w:rFonts w:hint="eastAsia" w:ascii="宋体" w:hAnsi="宋体" w:eastAsia="宋体" w:cs="宋体"/>
                <w:color w:val="000000"/>
                <w:sz w:val="24"/>
                <w:szCs w:val="24"/>
                <w:u w:val="none" w:color="auto"/>
                <w:lang w:val="en-US" w:eastAsia="zh-CN"/>
              </w:rPr>
              <w:t>工作流程、工作环节</w:t>
            </w:r>
            <w:r>
              <w:rPr>
                <w:rFonts w:hint="eastAsia" w:ascii="宋体" w:hAnsi="宋体" w:cs="宋体"/>
                <w:color w:val="000000"/>
                <w:sz w:val="24"/>
                <w:szCs w:val="24"/>
                <w:u w:val="none" w:color="auto"/>
                <w:lang w:val="en-US" w:eastAsia="zh-CN"/>
              </w:rPr>
              <w:t>；2.具备完善的质量保证措施；</w:t>
            </w:r>
            <w:r>
              <w:rPr>
                <w:rFonts w:hint="eastAsia" w:cs="仿宋_GB2312" w:asciiTheme="minorEastAsia" w:hAnsiTheme="minorEastAsia"/>
                <w:sz w:val="24"/>
                <w:szCs w:val="24"/>
                <w:lang w:val="en-US" w:eastAsia="zh-CN"/>
              </w:rPr>
              <w:t>每有一项加3分</w:t>
            </w:r>
            <w:r>
              <w:rPr>
                <w:rFonts w:hint="eastAsia" w:ascii="宋体" w:hAnsi="宋体" w:cs="宋体"/>
                <w:color w:val="000000"/>
                <w:sz w:val="24"/>
                <w:szCs w:val="24"/>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p>
        </w:tc>
        <w:tc>
          <w:tcPr>
            <w:tcW w:w="2239" w:type="dxa"/>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u w:val="none" w:color="auto"/>
                <w:lang w:val="en-US" w:eastAsia="zh-CN"/>
              </w:rPr>
            </w:pPr>
            <w:r>
              <w:rPr>
                <w:rFonts w:hint="eastAsia" w:ascii="宋体" w:hAnsi="宋体" w:eastAsia="宋体" w:cs="宋体"/>
                <w:sz w:val="24"/>
              </w:rPr>
              <w:t>项目</w:t>
            </w:r>
            <w:r>
              <w:rPr>
                <w:rFonts w:hint="eastAsia" w:ascii="宋体" w:hAnsi="宋体" w:cs="宋体"/>
                <w:sz w:val="24"/>
                <w:lang w:val="en-US" w:eastAsia="zh-CN"/>
              </w:rPr>
              <w:t>服务</w:t>
            </w:r>
            <w:r>
              <w:rPr>
                <w:rFonts w:hint="eastAsia" w:ascii="宋体" w:hAnsi="宋体" w:eastAsia="宋体" w:cs="宋体"/>
                <w:sz w:val="24"/>
              </w:rPr>
              <w:t>机构及分工（</w:t>
            </w:r>
            <w:r>
              <w:rPr>
                <w:rFonts w:hint="eastAsia" w:ascii="宋体" w:hAnsi="宋体" w:cs="宋体"/>
                <w:sz w:val="24"/>
                <w:lang w:val="en-US" w:eastAsia="zh-CN"/>
              </w:rPr>
              <w:t>9</w:t>
            </w:r>
            <w:r>
              <w:rPr>
                <w:rFonts w:hint="eastAsia" w:ascii="宋体" w:hAnsi="宋体" w:eastAsia="宋体" w:cs="宋体"/>
                <w:sz w:val="24"/>
              </w:rPr>
              <w:t>分）</w:t>
            </w:r>
          </w:p>
        </w:tc>
        <w:tc>
          <w:tcPr>
            <w:tcW w:w="6258"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000000"/>
                <w:sz w:val="24"/>
                <w:szCs w:val="24"/>
                <w:u w:val="none" w:color="auto"/>
                <w:lang w:val="en-US" w:eastAsia="zh-CN"/>
              </w:rPr>
            </w:pPr>
            <w:r>
              <w:rPr>
                <w:rFonts w:hint="eastAsia" w:ascii="宋体" w:hAnsi="宋体" w:eastAsia="宋体" w:cs="宋体"/>
                <w:sz w:val="24"/>
              </w:rPr>
              <w:t>根据项目情况</w:t>
            </w:r>
            <w:r>
              <w:rPr>
                <w:rFonts w:hint="eastAsia" w:ascii="宋体" w:hAnsi="宋体" w:cs="宋体"/>
                <w:sz w:val="24"/>
                <w:lang w:eastAsia="zh-CN"/>
              </w:rPr>
              <w:t>：</w:t>
            </w:r>
            <w:r>
              <w:rPr>
                <w:rFonts w:hint="eastAsia" w:ascii="宋体" w:hAnsi="宋体" w:cs="宋体"/>
                <w:sz w:val="24"/>
                <w:lang w:val="en-US" w:eastAsia="zh-CN"/>
              </w:rPr>
              <w:t>1.具有合理的</w:t>
            </w:r>
            <w:r>
              <w:rPr>
                <w:rFonts w:hint="eastAsia" w:ascii="宋体" w:hAnsi="宋体" w:eastAsia="宋体" w:cs="宋体"/>
                <w:sz w:val="24"/>
              </w:rPr>
              <w:t>人员配备</w:t>
            </w:r>
            <w:r>
              <w:rPr>
                <w:rFonts w:hint="eastAsia" w:ascii="宋体" w:hAnsi="宋体" w:cs="宋体"/>
                <w:sz w:val="24"/>
                <w:lang w:eastAsia="zh-CN"/>
              </w:rPr>
              <w:t>；</w:t>
            </w:r>
            <w:r>
              <w:rPr>
                <w:rFonts w:hint="eastAsia" w:ascii="宋体" w:hAnsi="宋体" w:cs="宋体"/>
                <w:sz w:val="24"/>
                <w:lang w:val="en-US" w:eastAsia="zh-CN"/>
              </w:rPr>
              <w:t>2.合理、明确的分工；3.具有较强的可实施性和针对性；每有一项加3分。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p>
        </w:tc>
        <w:tc>
          <w:tcPr>
            <w:tcW w:w="223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4"/>
                <w:szCs w:val="24"/>
                <w:u w:val="none" w:color="auto"/>
                <w:lang w:val="en-US" w:eastAsia="zh-CN"/>
              </w:rPr>
            </w:pPr>
            <w:r>
              <w:rPr>
                <w:rFonts w:hint="eastAsia" w:ascii="宋体" w:hAnsi="宋体" w:cs="宋体"/>
                <w:color w:val="000000"/>
                <w:sz w:val="24"/>
                <w:szCs w:val="24"/>
                <w:u w:val="none" w:color="auto"/>
                <w:lang w:val="en-US" w:eastAsia="zh-CN"/>
              </w:rPr>
              <w:t>服务</w:t>
            </w:r>
            <w:r>
              <w:rPr>
                <w:rFonts w:hint="eastAsia" w:ascii="宋体" w:hAnsi="宋体" w:eastAsia="宋体" w:cs="宋体"/>
                <w:color w:val="000000"/>
                <w:sz w:val="24"/>
                <w:szCs w:val="24"/>
                <w:u w:val="none" w:color="auto"/>
                <w:lang w:val="en-US" w:eastAsia="zh-CN"/>
              </w:rPr>
              <w:t>技术标准</w:t>
            </w:r>
            <w:r>
              <w:rPr>
                <w:rFonts w:hint="eastAsia" w:ascii="宋体" w:hAnsi="宋体" w:cs="宋体"/>
                <w:color w:val="000000"/>
                <w:sz w:val="24"/>
                <w:szCs w:val="24"/>
                <w:u w:val="none" w:color="auto"/>
                <w:lang w:val="en-US" w:eastAsia="zh-CN"/>
              </w:rPr>
              <w:t>和</w:t>
            </w:r>
            <w:r>
              <w:rPr>
                <w:rFonts w:hint="eastAsia" w:ascii="宋体" w:hAnsi="宋体" w:eastAsia="宋体" w:cs="宋体"/>
                <w:color w:val="000000"/>
                <w:sz w:val="24"/>
                <w:szCs w:val="24"/>
                <w:u w:val="none" w:color="auto"/>
                <w:lang w:val="en-US" w:eastAsia="zh-CN"/>
              </w:rPr>
              <w:t>法律法规</w:t>
            </w:r>
            <w:r>
              <w:rPr>
                <w:rFonts w:hint="eastAsia" w:ascii="宋体" w:hAnsi="宋体" w:cs="宋体"/>
                <w:color w:val="000000"/>
                <w:sz w:val="24"/>
                <w:szCs w:val="24"/>
                <w:u w:val="none" w:color="auto"/>
                <w:lang w:val="en-US" w:eastAsia="zh-CN"/>
              </w:rPr>
              <w:t>依据（9分）</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sz w:val="24"/>
                <w:szCs w:val="18"/>
                <w:lang w:val="en-US" w:eastAsia="zh-CN"/>
              </w:rPr>
            </w:pPr>
            <w:r>
              <w:rPr>
                <w:rFonts w:hint="eastAsia"/>
                <w:sz w:val="24"/>
                <w:szCs w:val="18"/>
                <w:lang w:val="en-US" w:eastAsia="zh-CN"/>
              </w:rPr>
              <w:t>供应商采用的技术方法以农田上图入库等相关技术标准、法律法规和文件为依据，与本次工作相关要求相符合、方法科学明确、具体、全面，得9分；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sz w:val="24"/>
                <w:szCs w:val="18"/>
                <w:lang w:val="en-US" w:eastAsia="zh-CN"/>
              </w:rPr>
            </w:pPr>
            <w:r>
              <w:rPr>
                <w:rFonts w:hint="eastAsia"/>
                <w:sz w:val="24"/>
                <w:szCs w:val="18"/>
                <w:lang w:val="en-US" w:eastAsia="zh-CN"/>
              </w:rPr>
              <w:t>技术标准与法规依据不全面、与本项目的相关要求有出入，得6分；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lang w:val="en-US" w:eastAsia="zh-CN"/>
              </w:rPr>
            </w:pPr>
            <w:r>
              <w:rPr>
                <w:rFonts w:hint="eastAsia"/>
                <w:sz w:val="24"/>
                <w:szCs w:val="18"/>
                <w:lang w:val="en-US" w:eastAsia="zh-CN"/>
              </w:rPr>
              <w:t>技术标准与法规依据简单、与本项目不相适应，得3分；未提供技术标准与法规依据得0分。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p>
        </w:tc>
        <w:tc>
          <w:tcPr>
            <w:tcW w:w="223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技术保障</w:t>
            </w:r>
            <w:r>
              <w:rPr>
                <w:rFonts w:hint="eastAsia" w:ascii="宋体" w:hAnsi="宋体" w:cs="宋体"/>
                <w:color w:val="000000"/>
                <w:sz w:val="24"/>
                <w:szCs w:val="24"/>
                <w:u w:val="none" w:color="auto"/>
                <w:lang w:val="en-US" w:eastAsia="zh-CN"/>
              </w:rPr>
              <w:t>与支持（12分）</w:t>
            </w:r>
          </w:p>
        </w:tc>
        <w:tc>
          <w:tcPr>
            <w:tcW w:w="625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具体包括</w:t>
            </w:r>
            <w:r>
              <w:rPr>
                <w:rFonts w:hint="eastAsia" w:ascii="宋体" w:hAnsi="宋体" w:cs="宋体"/>
                <w:color w:val="000000"/>
                <w:sz w:val="24"/>
                <w:szCs w:val="24"/>
                <w:u w:val="none" w:color="auto"/>
                <w:lang w:val="en-US" w:eastAsia="zh-CN"/>
              </w:rPr>
              <w:t>：1.</w:t>
            </w:r>
            <w:r>
              <w:rPr>
                <w:rFonts w:hint="eastAsia" w:ascii="宋体" w:hAnsi="宋体" w:eastAsia="宋体" w:cs="宋体"/>
                <w:color w:val="000000"/>
                <w:sz w:val="24"/>
                <w:szCs w:val="24"/>
                <w:u w:val="none" w:color="auto"/>
                <w:lang w:val="en-US" w:eastAsia="zh-CN"/>
              </w:rPr>
              <w:t>各个工作环节</w:t>
            </w:r>
            <w:r>
              <w:rPr>
                <w:rFonts w:hint="eastAsia" w:ascii="宋体" w:hAnsi="宋体" w:cs="宋体"/>
                <w:color w:val="000000"/>
                <w:sz w:val="24"/>
                <w:szCs w:val="24"/>
                <w:u w:val="none" w:color="auto"/>
                <w:lang w:val="en-US" w:eastAsia="zh-CN"/>
              </w:rPr>
              <w:t>；2.</w:t>
            </w:r>
            <w:r>
              <w:rPr>
                <w:rFonts w:hint="eastAsia" w:ascii="宋体" w:hAnsi="宋体" w:eastAsia="宋体" w:cs="宋体"/>
                <w:color w:val="000000"/>
                <w:sz w:val="24"/>
                <w:szCs w:val="24"/>
                <w:u w:val="none" w:color="auto"/>
                <w:lang w:val="en-US" w:eastAsia="zh-CN"/>
              </w:rPr>
              <w:t>工作方案制定</w:t>
            </w:r>
            <w:r>
              <w:rPr>
                <w:rFonts w:hint="eastAsia" w:ascii="宋体" w:hAnsi="宋体" w:cs="宋体"/>
                <w:color w:val="000000"/>
                <w:sz w:val="24"/>
                <w:szCs w:val="24"/>
                <w:u w:val="none" w:color="auto"/>
                <w:lang w:val="en-US" w:eastAsia="zh-CN"/>
              </w:rPr>
              <w:t>；3.</w:t>
            </w:r>
            <w:r>
              <w:rPr>
                <w:rFonts w:hint="eastAsia" w:ascii="宋体" w:hAnsi="宋体" w:eastAsia="宋体" w:cs="宋体"/>
                <w:color w:val="000000"/>
                <w:sz w:val="24"/>
                <w:szCs w:val="24"/>
                <w:u w:val="none" w:color="auto"/>
                <w:lang w:val="en-US" w:eastAsia="zh-CN"/>
              </w:rPr>
              <w:t>统一底图</w:t>
            </w:r>
            <w:r>
              <w:rPr>
                <w:rFonts w:hint="eastAsia" w:ascii="宋体" w:hAnsi="宋体" w:cs="宋体"/>
                <w:color w:val="000000"/>
                <w:sz w:val="24"/>
                <w:szCs w:val="24"/>
                <w:u w:val="none" w:color="auto"/>
                <w:lang w:val="en-US" w:eastAsia="zh-CN"/>
              </w:rPr>
              <w:t>；4.</w:t>
            </w:r>
            <w:r>
              <w:rPr>
                <w:rFonts w:hint="eastAsia" w:ascii="宋体" w:hAnsi="宋体" w:eastAsia="宋体" w:cs="宋体"/>
                <w:color w:val="000000"/>
                <w:sz w:val="24"/>
                <w:szCs w:val="24"/>
                <w:u w:val="none" w:color="auto"/>
                <w:lang w:val="en-US" w:eastAsia="zh-CN"/>
              </w:rPr>
              <w:t>资料核查整理</w:t>
            </w:r>
            <w:r>
              <w:rPr>
                <w:rFonts w:hint="eastAsia" w:ascii="宋体" w:hAnsi="宋体" w:cs="宋体"/>
                <w:color w:val="000000"/>
                <w:sz w:val="24"/>
                <w:szCs w:val="24"/>
                <w:u w:val="none" w:color="auto"/>
                <w:lang w:val="en-US" w:eastAsia="zh-CN"/>
              </w:rPr>
              <w:t>；5.</w:t>
            </w:r>
            <w:r>
              <w:rPr>
                <w:rFonts w:hint="eastAsia" w:ascii="宋体" w:hAnsi="宋体" w:eastAsia="宋体" w:cs="宋体"/>
                <w:color w:val="000000"/>
                <w:sz w:val="24"/>
                <w:szCs w:val="24"/>
                <w:u w:val="none" w:color="auto"/>
                <w:lang w:val="en-US" w:eastAsia="zh-CN"/>
              </w:rPr>
              <w:t>数据处理</w:t>
            </w:r>
            <w:r>
              <w:rPr>
                <w:rFonts w:hint="eastAsia" w:ascii="宋体" w:hAnsi="宋体" w:cs="宋体"/>
                <w:color w:val="000000"/>
                <w:sz w:val="24"/>
                <w:szCs w:val="24"/>
                <w:u w:val="none" w:color="auto"/>
                <w:lang w:val="en-US" w:eastAsia="zh-CN"/>
              </w:rPr>
              <w:t>；6.</w:t>
            </w:r>
            <w:r>
              <w:rPr>
                <w:rFonts w:hint="eastAsia" w:ascii="宋体" w:hAnsi="宋体" w:eastAsia="宋体" w:cs="宋体"/>
                <w:color w:val="000000"/>
                <w:sz w:val="24"/>
                <w:szCs w:val="24"/>
                <w:u w:val="none" w:color="auto"/>
                <w:lang w:val="en-US" w:eastAsia="zh-CN"/>
              </w:rPr>
              <w:t>成果提交</w:t>
            </w:r>
            <w:r>
              <w:rPr>
                <w:rFonts w:hint="eastAsia" w:ascii="宋体" w:hAnsi="宋体" w:cs="宋体"/>
                <w:color w:val="000000"/>
                <w:sz w:val="24"/>
                <w:szCs w:val="24"/>
                <w:u w:val="none" w:color="auto"/>
                <w:lang w:val="en-US" w:eastAsia="zh-CN"/>
              </w:rPr>
              <w:t>。每有一项且</w:t>
            </w:r>
            <w:r>
              <w:rPr>
                <w:rFonts w:hint="eastAsia" w:ascii="宋体" w:hAnsi="宋体" w:eastAsia="宋体" w:cs="宋体"/>
                <w:color w:val="000000"/>
                <w:sz w:val="24"/>
                <w:szCs w:val="24"/>
                <w:u w:val="none" w:color="auto"/>
                <w:lang w:val="en-US" w:eastAsia="zh-CN"/>
              </w:rPr>
              <w:t>内容完整明确、合理</w:t>
            </w:r>
            <w:r>
              <w:rPr>
                <w:rFonts w:hint="eastAsia" w:ascii="宋体" w:hAnsi="宋体" w:cs="宋体"/>
                <w:color w:val="000000"/>
                <w:sz w:val="24"/>
                <w:szCs w:val="24"/>
                <w:u w:val="none" w:color="auto"/>
                <w:lang w:val="en-US" w:eastAsia="zh-CN"/>
              </w:rPr>
              <w:t>的</w:t>
            </w:r>
            <w:r>
              <w:rPr>
                <w:rFonts w:hint="eastAsia" w:ascii="宋体" w:hAnsi="宋体" w:cs="宋体"/>
                <w:color w:val="000000"/>
                <w:sz w:val="24"/>
                <w:szCs w:val="24"/>
                <w:highlight w:val="none"/>
                <w:u w:val="none" w:color="auto"/>
                <w:lang w:val="en-US" w:eastAsia="zh-CN"/>
              </w:rPr>
              <w:t>得2</w:t>
            </w:r>
            <w:r>
              <w:rPr>
                <w:rFonts w:hint="eastAsia" w:ascii="宋体" w:hAnsi="宋体" w:eastAsia="宋体" w:cs="宋体"/>
                <w:color w:val="000000"/>
                <w:sz w:val="24"/>
                <w:szCs w:val="24"/>
                <w:highlight w:val="none"/>
                <w:u w:val="none" w:color="auto"/>
                <w:lang w:val="en-US" w:eastAsia="zh-CN"/>
              </w:rPr>
              <w:t>分，</w:t>
            </w:r>
            <w:r>
              <w:rPr>
                <w:rFonts w:hint="eastAsia" w:ascii="宋体" w:hAnsi="宋体" w:cs="宋体"/>
                <w:color w:val="000000"/>
                <w:sz w:val="24"/>
                <w:szCs w:val="24"/>
                <w:highlight w:val="none"/>
                <w:u w:val="none" w:color="auto"/>
                <w:lang w:val="en-US" w:eastAsia="zh-CN"/>
              </w:rPr>
              <w:t>最高得12分</w:t>
            </w:r>
            <w:r>
              <w:rPr>
                <w:rFonts w:hint="eastAsia" w:ascii="宋体" w:hAnsi="宋体" w:eastAsia="宋体" w:cs="宋体"/>
                <w:color w:val="000000"/>
                <w:sz w:val="24"/>
                <w:szCs w:val="24"/>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jc w:val="center"/>
        </w:trPr>
        <w:tc>
          <w:tcPr>
            <w:tcW w:w="11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u w:val="none" w:color="auto"/>
                <w:lang w:val="en-US" w:eastAsia="zh-CN"/>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u w:val="none" w:color="auto"/>
                <w:lang w:val="en-US" w:eastAsia="zh-CN"/>
              </w:rPr>
            </w:pPr>
            <w:r>
              <w:rPr>
                <w:rFonts w:hint="eastAsia" w:ascii="宋体" w:hAnsi="宋体"/>
                <w:color w:val="000000" w:themeColor="text1"/>
                <w:sz w:val="24"/>
                <w:szCs w:val="24"/>
                <w:lang w:val="en-US" w:eastAsia="zh-CN"/>
                <w14:textFill>
                  <w14:solidFill>
                    <w14:schemeClr w14:val="tx1"/>
                  </w14:solidFill>
                </w14:textFill>
              </w:rPr>
              <w:t>重点、难点分析及解决方案</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分）</w:t>
            </w:r>
          </w:p>
        </w:tc>
        <w:tc>
          <w:tcPr>
            <w:tcW w:w="62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根据服务要求编制的整体服务方案完善、合理、有针对性，</w:t>
            </w:r>
            <w:r>
              <w:rPr>
                <w:rFonts w:hint="eastAsia" w:ascii="宋体" w:hAnsi="宋体"/>
                <w:color w:val="000000" w:themeColor="text1"/>
                <w:sz w:val="24"/>
                <w:szCs w:val="24"/>
                <w:lang w:val="en-US" w:eastAsia="zh-CN"/>
                <w14:textFill>
                  <w14:solidFill>
                    <w14:schemeClr w14:val="tx1"/>
                  </w14:solidFill>
                </w14:textFill>
              </w:rPr>
              <w:t>对项目的重点、难点分析</w:t>
            </w:r>
            <w:r>
              <w:rPr>
                <w:rFonts w:hint="eastAsia" w:ascii="宋体" w:hAnsi="宋体"/>
                <w:color w:val="000000" w:themeColor="text1"/>
                <w:sz w:val="24"/>
                <w:szCs w:val="24"/>
                <w14:textFill>
                  <w14:solidFill>
                    <w14:schemeClr w14:val="tx1"/>
                  </w14:solidFill>
                </w14:textFill>
              </w:rPr>
              <w:t>有明显措施和</w:t>
            </w:r>
            <w:r>
              <w:rPr>
                <w:rFonts w:hint="eastAsia" w:ascii="宋体" w:hAnsi="宋体"/>
                <w:color w:val="000000" w:themeColor="text1"/>
                <w:sz w:val="24"/>
                <w:szCs w:val="24"/>
                <w:lang w:val="en-US" w:eastAsia="zh-CN"/>
                <w14:textFill>
                  <w14:solidFill>
                    <w14:schemeClr w14:val="tx1"/>
                  </w14:solidFill>
                </w14:textFill>
              </w:rPr>
              <w:t>解决方案</w:t>
            </w:r>
            <w:r>
              <w:rPr>
                <w:rFonts w:hint="eastAsia" w:ascii="宋体" w:hAnsi="宋体"/>
                <w:color w:val="000000" w:themeColor="text1"/>
                <w:sz w:val="24"/>
                <w:szCs w:val="24"/>
                <w14:textFill>
                  <w14:solidFill>
                    <w14:schemeClr w14:val="tx1"/>
                  </w14:solidFill>
                </w14:textFill>
              </w:rPr>
              <w:t>，得</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eastAsia="zh-CN"/>
                <w14:textFill>
                  <w14:solidFill>
                    <w14:schemeClr w14:val="tx1"/>
                  </w14:solidFill>
                </w14:textFill>
              </w:rPr>
              <w:t>；</w:t>
            </w:r>
          </w:p>
          <w:p>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有整体服务方案，</w:t>
            </w:r>
            <w:r>
              <w:rPr>
                <w:rFonts w:hint="eastAsia" w:ascii="宋体" w:hAnsi="宋体"/>
                <w:color w:val="000000" w:themeColor="text1"/>
                <w:sz w:val="24"/>
                <w:szCs w:val="24"/>
                <w:lang w:val="en-US" w:eastAsia="zh-CN"/>
                <w14:textFill>
                  <w14:solidFill>
                    <w14:schemeClr w14:val="tx1"/>
                  </w14:solidFill>
                </w14:textFill>
              </w:rPr>
              <w:t>但对项目的重点、难点分析</w:t>
            </w:r>
            <w:r>
              <w:rPr>
                <w:rFonts w:hint="eastAsia" w:ascii="宋体" w:hAnsi="宋体"/>
                <w:color w:val="000000" w:themeColor="text1"/>
                <w:sz w:val="24"/>
                <w:szCs w:val="24"/>
                <w14:textFill>
                  <w14:solidFill>
                    <w14:schemeClr w14:val="tx1"/>
                  </w14:solidFill>
                </w14:textFill>
              </w:rPr>
              <w:t>和</w:t>
            </w:r>
            <w:r>
              <w:rPr>
                <w:rFonts w:hint="eastAsia" w:ascii="宋体" w:hAnsi="宋体"/>
                <w:color w:val="000000" w:themeColor="text1"/>
                <w:sz w:val="24"/>
                <w:szCs w:val="24"/>
                <w:lang w:val="en-US" w:eastAsia="zh-CN"/>
                <w14:textFill>
                  <w14:solidFill>
                    <w14:schemeClr w14:val="tx1"/>
                  </w14:solidFill>
                </w14:textFill>
              </w:rPr>
              <w:t>解决方案</w:t>
            </w:r>
            <w:r>
              <w:rPr>
                <w:rFonts w:hint="eastAsia" w:ascii="宋体" w:hAnsi="宋体"/>
                <w:color w:val="000000" w:themeColor="text1"/>
                <w:sz w:val="24"/>
                <w:szCs w:val="24"/>
                <w14:textFill>
                  <w14:solidFill>
                    <w14:schemeClr w14:val="tx1"/>
                  </w14:solidFill>
                </w14:textFill>
              </w:rPr>
              <w:t>不强得</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分；</w:t>
            </w:r>
          </w:p>
          <w:p>
            <w:pPr>
              <w:jc w:val="left"/>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服务方案较差、</w:t>
            </w:r>
            <w:r>
              <w:rPr>
                <w:rFonts w:hint="eastAsia" w:ascii="宋体" w:hAnsi="宋体"/>
                <w:color w:val="000000" w:themeColor="text1"/>
                <w:sz w:val="24"/>
                <w:szCs w:val="24"/>
                <w14:textFill>
                  <w14:solidFill>
                    <w14:schemeClr w14:val="tx1"/>
                  </w14:solidFill>
                </w14:textFill>
              </w:rPr>
              <w:t>无</w:t>
            </w:r>
            <w:r>
              <w:rPr>
                <w:rFonts w:hint="eastAsia" w:ascii="宋体" w:hAnsi="宋体"/>
                <w:color w:val="000000" w:themeColor="text1"/>
                <w:sz w:val="24"/>
                <w:szCs w:val="24"/>
                <w:lang w:val="en-US" w:eastAsia="zh-CN"/>
                <w14:textFill>
                  <w14:solidFill>
                    <w14:schemeClr w14:val="tx1"/>
                  </w14:solidFill>
                </w14:textFill>
              </w:rPr>
              <w:t>重点、难点分析</w:t>
            </w:r>
            <w:r>
              <w:rPr>
                <w:rFonts w:hint="eastAsia" w:ascii="宋体" w:hAnsi="宋体"/>
                <w:color w:val="000000" w:themeColor="text1"/>
                <w:sz w:val="24"/>
                <w:szCs w:val="24"/>
                <w14:textFill>
                  <w14:solidFill>
                    <w14:schemeClr w14:val="tx1"/>
                  </w14:solidFill>
                </w14:textFill>
              </w:rPr>
              <w:t>和</w:t>
            </w:r>
            <w:r>
              <w:rPr>
                <w:rFonts w:hint="eastAsia" w:ascii="宋体" w:hAnsi="宋体"/>
                <w:color w:val="000000" w:themeColor="text1"/>
                <w:sz w:val="24"/>
                <w:szCs w:val="24"/>
                <w:lang w:val="en-US" w:eastAsia="zh-CN"/>
                <w14:textFill>
                  <w14:solidFill>
                    <w14:schemeClr w14:val="tx1"/>
                  </w14:solidFill>
                </w14:textFill>
              </w:rPr>
              <w:t>解决方案</w:t>
            </w:r>
            <w:r>
              <w:rPr>
                <w:rFonts w:hint="eastAsia" w:ascii="宋体" w:hAnsi="宋体"/>
                <w:color w:val="000000" w:themeColor="text1"/>
                <w:sz w:val="24"/>
                <w:szCs w:val="24"/>
                <w:lang w:eastAsia="zh-CN"/>
                <w14:textFill>
                  <w14:solidFill>
                    <w14:schemeClr w14:val="tx1"/>
                  </w14:solidFill>
                </w14:textFill>
              </w:rPr>
              <w:t>得</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分；</w:t>
            </w:r>
          </w:p>
          <w:p>
            <w:pPr>
              <w:jc w:val="left"/>
              <w:rPr>
                <w:rFonts w:hint="default" w:ascii="宋体" w:hAnsi="宋体" w:eastAsia="宋体" w:cs="宋体"/>
                <w:color w:val="000000"/>
                <w:sz w:val="24"/>
                <w:szCs w:val="24"/>
                <w:u w:val="none" w:color="auto"/>
                <w:lang w:val="en-US" w:eastAsia="zh-CN"/>
              </w:rPr>
            </w:pPr>
            <w:r>
              <w:rPr>
                <w:rFonts w:hint="eastAsia" w:ascii="宋体" w:hAnsi="宋体"/>
                <w:color w:val="000000" w:themeColor="text1"/>
                <w:sz w:val="24"/>
                <w:szCs w:val="24"/>
                <w14:textFill>
                  <w14:solidFill>
                    <w14:schemeClr w14:val="tx1"/>
                  </w14:solidFill>
                </w14:textFill>
              </w:rPr>
              <w:t>未提供整体服务方案</w:t>
            </w:r>
            <w:r>
              <w:rPr>
                <w:rFonts w:hint="eastAsia" w:ascii="宋体" w:hAnsi="宋体"/>
                <w:color w:val="000000" w:themeColor="text1"/>
                <w:sz w:val="24"/>
                <w:szCs w:val="24"/>
                <w:lang w:val="en-US" w:eastAsia="zh-CN"/>
                <w14:textFill>
                  <w14:solidFill>
                    <w14:schemeClr w14:val="tx1"/>
                  </w14:solidFill>
                </w14:textFill>
              </w:rPr>
              <w:t>得0分。</w:t>
            </w:r>
          </w:p>
        </w:tc>
      </w:tr>
    </w:tbl>
    <w:p>
      <w:pPr>
        <w:pStyle w:val="3"/>
        <w:keepNext w:val="0"/>
        <w:keepLines w:val="0"/>
        <w:spacing w:line="360" w:lineRule="auto"/>
        <w:jc w:val="both"/>
        <w:rPr>
          <w:rFonts w:ascii="宋体" w:hAnsi="宋体"/>
          <w:sz w:val="24"/>
          <w:szCs w:val="24"/>
        </w:rPr>
      </w:pP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121" w:name="_Toc497290561"/>
      <w:bookmarkStart w:id="122" w:name="_Toc497408597"/>
      <w:r>
        <w:rPr>
          <w:rFonts w:hint="eastAsia" w:ascii="宋体" w:hAnsi="宋体"/>
          <w:color w:val="000000"/>
          <w:sz w:val="24"/>
          <w:szCs w:val="24"/>
        </w:rPr>
        <w:t>第七章 响应文件格式与要求</w:t>
      </w:r>
      <w:bookmarkEnd w:id="121"/>
      <w:bookmarkEnd w:id="122"/>
    </w:p>
    <w:p>
      <w:pPr>
        <w:spacing w:line="360" w:lineRule="auto"/>
        <w:rPr>
          <w:sz w:val="24"/>
          <w:szCs w:val="24"/>
          <w:lang w:val="zh-CN"/>
        </w:rPr>
      </w:pPr>
    </w:p>
    <w:p>
      <w:pPr>
        <w:widowControl/>
        <w:jc w:val="left"/>
      </w:pPr>
      <w:r>
        <w:rPr>
          <w:rFonts w:ascii="宋体" w:hAnsi="宋体" w:cs="宋体"/>
          <w:kern w:val="0"/>
          <w:sz w:val="24"/>
          <w:szCs w:val="24"/>
          <w:lang w:bidi="ar"/>
        </w:rPr>
        <w:t>供应商提供响应文件应当按照以下格式及要求进行编制，具体要求见所附各格式及说明。</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123" w:name="_Toc482026546"/>
    </w:p>
    <w:bookmarkEnd w:id="123"/>
    <w:p>
      <w:pPr>
        <w:spacing w:line="360" w:lineRule="auto"/>
        <w:rPr>
          <w:rFonts w:ascii="宋体" w:hAnsi="宋体" w:cs="宋体"/>
          <w:sz w:val="24"/>
          <w:szCs w:val="24"/>
        </w:rPr>
      </w:pPr>
      <w:bookmarkStart w:id="124" w:name="_Toc482196940"/>
      <w:r>
        <w:rPr>
          <w:rFonts w:ascii="宋体" w:hAnsi="宋体" w:cs="宋体"/>
          <w:sz w:val="24"/>
          <w:szCs w:val="24"/>
        </w:rPr>
        <w:br w:type="page"/>
      </w:r>
    </w:p>
    <w:bookmarkEnd w:id="124"/>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响应文件目录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八．本项目服务人员简表……………………………………………………    （ ）</w:t>
      </w:r>
    </w:p>
    <w:p>
      <w:pPr>
        <w:spacing w:line="360" w:lineRule="auto"/>
        <w:rPr>
          <w:rFonts w:ascii="宋体" w:hAnsi="宋体"/>
          <w:color w:val="000000"/>
          <w:sz w:val="24"/>
          <w:szCs w:val="24"/>
        </w:rPr>
      </w:pPr>
      <w:r>
        <w:rPr>
          <w:rFonts w:hint="eastAsia" w:ascii="宋体" w:hAnsi="宋体"/>
          <w:color w:val="000000"/>
          <w:sz w:val="24"/>
          <w:szCs w:val="24"/>
        </w:rPr>
        <w:t>九.分项报价明细表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十一.项目服务方案………………………………………………</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十三.供应商业绩情况表…………………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十四.供应商基本情况表……………………………………………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十五.</w:t>
      </w:r>
      <w:r>
        <w:rPr>
          <w:rFonts w:hint="eastAsia" w:ascii="宋体" w:hAnsi="宋体"/>
          <w:sz w:val="24"/>
          <w:szCs w:val="24"/>
        </w:rPr>
        <w:t>商业信誉报告</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二十二.各类证明材料…………………………………………………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125"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125"/>
      <w:r>
        <w:rPr>
          <w:rFonts w:hint="eastAsia" w:ascii="宋体" w:hAnsi="宋体"/>
          <w:b/>
          <w:color w:val="000000"/>
          <w:sz w:val="24"/>
          <w:szCs w:val="24"/>
        </w:rPr>
        <w:t xml:space="preserve">  </w:t>
      </w:r>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ind w:firstLine="723" w:firstLineChars="300"/>
        <w:rPr>
          <w:rFonts w:ascii="宋体" w:hAnsi="宋体"/>
          <w:color w:val="000000"/>
          <w:sz w:val="24"/>
          <w:szCs w:val="24"/>
        </w:rPr>
      </w:pPr>
      <w:r>
        <w:rPr>
          <w:rFonts w:ascii="宋体" w:hAnsi="宋体"/>
          <w:b/>
          <w:bCs/>
          <w:color w:val="000000"/>
          <w:kern w:val="0"/>
          <w:sz w:val="24"/>
          <w:szCs w:val="24"/>
          <w:lang w:val="zh-CN"/>
        </w:rPr>
        <w:br w:type="page"/>
      </w:r>
    </w:p>
    <w:p>
      <w:pPr>
        <w:adjustRightInd w:val="0"/>
        <w:snapToGrid w:val="0"/>
        <w:spacing w:line="360" w:lineRule="auto"/>
        <w:jc w:val="left"/>
        <w:rPr>
          <w:rFonts w:ascii="宋体" w:hAnsi="宋体"/>
          <w:color w:val="000000"/>
          <w:sz w:val="24"/>
          <w:szCs w:val="24"/>
        </w:rPr>
      </w:pPr>
      <w:r>
        <w:rPr>
          <w:rFonts w:hint="eastAsia" w:hAnsi="宋体"/>
          <w:b/>
          <w:bCs/>
          <w:color w:val="000000"/>
          <w:sz w:val="24"/>
          <w:szCs w:val="24"/>
        </w:rPr>
        <w:t>格式四：</w:t>
      </w:r>
      <w:r>
        <w:rPr>
          <w:rFonts w:hint="eastAsia" w:ascii="宋体" w:hAnsi="宋体"/>
          <w:color w:val="000000"/>
          <w:sz w:val="24"/>
          <w:szCs w:val="24"/>
        </w:rPr>
        <w:t xml:space="preserve">                   </w:t>
      </w:r>
    </w:p>
    <w:p>
      <w:pPr>
        <w:adjustRightInd w:val="0"/>
        <w:snapToGrid w:val="0"/>
        <w:spacing w:line="360" w:lineRule="auto"/>
        <w:jc w:val="center"/>
        <w:rPr>
          <w:rFonts w:ascii="宋体" w:hAnsi="宋体"/>
          <w:b/>
          <w:color w:val="000000"/>
          <w:sz w:val="24"/>
          <w:szCs w:val="24"/>
        </w:rPr>
      </w:pPr>
      <w:r>
        <w:rPr>
          <w:rFonts w:hint="eastAsia" w:ascii="宋体" w:hAnsi="宋体"/>
          <w:color w:val="000000"/>
          <w:sz w:val="24"/>
          <w:szCs w:val="24"/>
        </w:rPr>
        <w:t>二、开标一览表</w:t>
      </w:r>
    </w:p>
    <w:p>
      <w:pPr>
        <w:pStyle w:val="16"/>
        <w:spacing w:line="360" w:lineRule="auto"/>
        <w:ind w:left="57" w:right="57" w:firstLine="57"/>
        <w:rPr>
          <w:rFonts w:hAnsi="宋体"/>
          <w:bCs/>
          <w:color w:val="000000"/>
          <w:sz w:val="24"/>
          <w:szCs w:val="24"/>
        </w:rPr>
      </w:pPr>
    </w:p>
    <w:p>
      <w:pPr>
        <w:pStyle w:val="16"/>
        <w:spacing w:line="360" w:lineRule="auto"/>
        <w:ind w:left="57" w:right="57" w:firstLine="57"/>
        <w:rPr>
          <w:rFonts w:hAnsi="宋体"/>
          <w:color w:val="000000"/>
          <w:sz w:val="24"/>
          <w:szCs w:val="24"/>
        </w:rPr>
      </w:pPr>
      <w:r>
        <w:rPr>
          <w:rFonts w:hint="eastAsia" w:hAnsi="宋体"/>
          <w:color w:val="000000"/>
          <w:sz w:val="24"/>
          <w:szCs w:val="24"/>
        </w:rPr>
        <w:t>供应商名称（加盖公章）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384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3849" w:type="dxa"/>
            <w:vMerge w:val="restart"/>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3849" w:type="dxa"/>
            <w:vMerge w:val="continue"/>
            <w:vAlign w:val="center"/>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5.此表除保留在投标文件中外，还要将另一份完全相同的本表密封装在一个信封中，单独递交，作为唱标之用。</w:t>
      </w: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pStyle w:val="4"/>
        <w:keepNext w:val="0"/>
        <w:keepLines w:val="0"/>
        <w:spacing w:line="360" w:lineRule="auto"/>
        <w:rPr>
          <w:rFonts w:ascii="宋体" w:hAnsi="宋体" w:eastAsia="宋体"/>
          <w:color w:val="000000"/>
          <w:sz w:val="24"/>
          <w:szCs w:val="24"/>
        </w:rPr>
      </w:pPr>
      <w:bookmarkStart w:id="126" w:name="_Toc482026549"/>
      <w:r>
        <w:rPr>
          <w:rFonts w:ascii="宋体" w:hAnsi="宋体" w:eastAsia="宋体"/>
          <w:color w:val="000000"/>
          <w:sz w:val="24"/>
          <w:szCs w:val="24"/>
        </w:rPr>
        <w:br w:type="page"/>
      </w:r>
    </w:p>
    <w:bookmarkEnd w:id="126"/>
    <w:p>
      <w:pPr>
        <w:spacing w:line="360" w:lineRule="auto"/>
        <w:rPr>
          <w:rFonts w:asciiTheme="minorEastAsia" w:hAnsiTheme="minorEastAsia" w:eastAsiaTheme="minorEastAsia"/>
          <w:b/>
          <w:sz w:val="24"/>
          <w:szCs w:val="24"/>
        </w:rPr>
      </w:pPr>
      <w:bookmarkStart w:id="127"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bookmarkStart w:id="128" w:name="_Toc496001220"/>
      <w:r>
        <w:rPr>
          <w:rFonts w:hint="eastAsia" w:asciiTheme="minorEastAsia" w:hAnsiTheme="minorEastAsia" w:eastAsiaTheme="minorEastAsia"/>
          <w:b/>
          <w:sz w:val="24"/>
          <w:szCs w:val="24"/>
        </w:rPr>
        <w:t>格式七：</w:t>
      </w:r>
      <w:bookmarkEnd w:id="128"/>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6"/>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说明：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pStyle w:val="23"/>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23"/>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2.不接受联合体投标项目，只需提供空表。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八、本项目服务人员简表</w:t>
      </w:r>
    </w:p>
    <w:tbl>
      <w:tblPr>
        <w:tblStyle w:val="2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widowControl/>
        <w:jc w:val="left"/>
        <w:rPr>
          <w:lang w:val="zh-CN"/>
        </w:rPr>
      </w:pPr>
      <w:r>
        <w:rPr>
          <w:lang w:val="zh-CN"/>
        </w:rPr>
        <w:br w:type="page"/>
      </w:r>
    </w:p>
    <w:p>
      <w:pPr>
        <w:adjustRightInd w:val="0"/>
        <w:snapToGrid w:val="0"/>
        <w:spacing w:line="360" w:lineRule="auto"/>
        <w:jc w:val="left"/>
        <w:rPr>
          <w:rFonts w:hAnsi="宋体"/>
          <w:b/>
          <w:bCs/>
          <w:color w:val="000000"/>
          <w:sz w:val="24"/>
          <w:szCs w:val="24"/>
        </w:rPr>
      </w:pPr>
      <w:r>
        <w:rPr>
          <w:rFonts w:hint="eastAsia" w:hAnsi="宋体"/>
          <w:b/>
          <w:bCs/>
          <w:color w:val="000000"/>
          <w:sz w:val="24"/>
          <w:szCs w:val="24"/>
        </w:rPr>
        <w:t>格式十一：</w:t>
      </w:r>
      <w:bookmarkEnd w:id="127"/>
      <w:r>
        <w:rPr>
          <w:rFonts w:hint="eastAsia" w:hAnsi="宋体"/>
          <w:b/>
          <w:bCs/>
          <w:color w:val="000000"/>
          <w:sz w:val="24"/>
          <w:szCs w:val="24"/>
        </w:rPr>
        <w:t xml:space="preserve"> </w:t>
      </w: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九、分项报价明细表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suppressAutoHyphens/>
        <w:spacing w:line="360" w:lineRule="auto"/>
        <w:ind w:left="432"/>
        <w:rPr>
          <w:rFonts w:ascii="宋体" w:hAnsi="宋体"/>
          <w:sz w:val="21"/>
          <w:szCs w:val="21"/>
          <w:lang w:val="en-GB"/>
        </w:rPr>
      </w:pPr>
      <w:r>
        <w:rPr>
          <w:rFonts w:hint="eastAsia" w:ascii="宋体" w:hAnsi="宋体"/>
          <w:sz w:val="21"/>
          <w:szCs w:val="21"/>
        </w:rPr>
        <w:t>注：</w:t>
      </w:r>
    </w:p>
    <w:p>
      <w:p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suppressAutoHyphens/>
        <w:spacing w:line="360" w:lineRule="auto"/>
        <w:rPr>
          <w:rFonts w:ascii="宋体" w:hAnsi="宋体"/>
          <w:sz w:val="21"/>
          <w:szCs w:val="21"/>
          <w:lang w:val="en-GB"/>
        </w:rPr>
      </w:pPr>
      <w:r>
        <w:rPr>
          <w:rFonts w:hint="eastAsia"/>
          <w:snapToGrid w:val="0"/>
          <w:sz w:val="21"/>
        </w:rPr>
        <w:t>（3）根据合同或本表未列明的其它可能产生的费用应由供应商支付、负责；</w:t>
      </w:r>
    </w:p>
    <w:p>
      <w:pPr>
        <w:suppressAutoHyphens/>
        <w:spacing w:line="360" w:lineRule="auto"/>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color w:val="000000"/>
          <w:sz w:val="24"/>
          <w:szCs w:val="24"/>
        </w:rPr>
      </w:pPr>
    </w:p>
    <w:p>
      <w:pPr>
        <w:rPr>
          <w:b/>
          <w:sz w:val="24"/>
          <w:szCs w:val="24"/>
        </w:rPr>
      </w:pPr>
      <w:r>
        <w:rPr>
          <w:b/>
          <w:sz w:val="24"/>
          <w:szCs w:val="24"/>
        </w:rPr>
        <w:br w:type="page"/>
      </w:r>
    </w:p>
    <w:p>
      <w:pPr>
        <w:rPr>
          <w:b/>
          <w:sz w:val="24"/>
          <w:szCs w:val="24"/>
        </w:rPr>
      </w:pPr>
      <w:r>
        <w:rPr>
          <w:rFonts w:hint="eastAsia"/>
          <w:b/>
          <w:sz w:val="24"/>
          <w:szCs w:val="24"/>
          <w:lang w:val="zh-CN"/>
        </w:rPr>
        <w:t>格式十二</w:t>
      </w:r>
      <w:r>
        <w:rPr>
          <w:rFonts w:hint="eastAsia"/>
          <w:b/>
          <w:sz w:val="24"/>
          <w:szCs w:val="24"/>
        </w:rPr>
        <w:t>：</w:t>
      </w:r>
    </w:p>
    <w:p>
      <w:pPr>
        <w:rPr>
          <w:sz w:val="24"/>
          <w:szCs w:val="24"/>
        </w:rPr>
      </w:pPr>
    </w:p>
    <w:p>
      <w:pPr>
        <w:spacing w:line="360" w:lineRule="auto"/>
        <w:jc w:val="center"/>
        <w:rPr>
          <w:rFonts w:ascii="宋体" w:hAnsi="宋体"/>
          <w:color w:val="000000"/>
          <w:sz w:val="24"/>
          <w:szCs w:val="24"/>
        </w:rPr>
      </w:pPr>
      <w:r>
        <w:rPr>
          <w:rFonts w:hint="eastAsia" w:ascii="宋体" w:hAnsi="宋体"/>
          <w:color w:val="000000"/>
          <w:sz w:val="24"/>
          <w:szCs w:val="24"/>
        </w:rPr>
        <w:t>十、服务需求响应表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供应商应按照本磋商文件第四章“服务需求一览表”中的要求，将</w:t>
      </w:r>
      <w:r>
        <w:rPr>
          <w:rFonts w:hint="eastAsia" w:ascii="宋体" w:hAnsi="宋体"/>
          <w:color w:val="000000"/>
          <w:sz w:val="24"/>
          <w:szCs w:val="24"/>
        </w:rPr>
        <w:t>服务要求及标准</w:t>
      </w:r>
      <w:r>
        <w:rPr>
          <w:rFonts w:hint="eastAsia" w:ascii="宋体" w:hAnsi="宋体" w:cs="宋体"/>
          <w:sz w:val="24"/>
          <w:szCs w:val="24"/>
        </w:rPr>
        <w:t>逐一列出，以证明供应商对磋商文件要求的服务内容做出实质性响应。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的服务指标应达到或优于磋商文件中所列要求。磋商文件中所列服务指标仅列出了最低限度，供应商在提供的服务指标中必须列出具体数值或内容。对磋商文件原文复制或只注明符合、满足等无具体内容的表述，将视为不符合磋商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r>
        <w:rPr>
          <w:sz w:val="21"/>
        </w:rPr>
        <w:br w:type="page"/>
      </w:r>
    </w:p>
    <w:p>
      <w:pPr>
        <w:widowControl/>
        <w:rPr>
          <w:sz w:val="21"/>
        </w:rPr>
      </w:pPr>
    </w:p>
    <w:p>
      <w:pPr>
        <w:spacing w:line="360" w:lineRule="auto"/>
        <w:rPr>
          <w:rFonts w:ascii="宋体" w:hAnsi="宋体"/>
          <w:b/>
          <w:color w:val="000000"/>
          <w:sz w:val="24"/>
          <w:szCs w:val="24"/>
        </w:rPr>
      </w:pPr>
      <w:r>
        <w:rPr>
          <w:rFonts w:hint="eastAsia"/>
          <w:b/>
          <w:sz w:val="24"/>
        </w:rPr>
        <w:t>格式十三：</w:t>
      </w:r>
    </w:p>
    <w:p>
      <w:pPr>
        <w:spacing w:line="480" w:lineRule="exact"/>
        <w:ind w:firstLine="3465" w:firstLineChars="1650"/>
        <w:rPr>
          <w:rFonts w:ascii="宋体" w:hAnsi="Courier New"/>
          <w:b/>
          <w:snapToGrid w:val="0"/>
          <w:kern w:val="0"/>
          <w:sz w:val="21"/>
          <w:szCs w:val="21"/>
        </w:rPr>
      </w:pPr>
      <w:r>
        <w:rPr>
          <w:rFonts w:hint="eastAsia" w:ascii="宋体" w:hAnsi="Courier New"/>
          <w:snapToGrid w:val="0"/>
          <w:kern w:val="0"/>
          <w:sz w:val="21"/>
          <w:szCs w:val="21"/>
        </w:rPr>
        <w:t>十一、项目服务方案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注：本部分内容应包含但不限于本磋商文件服务要求的相关的内容。</w:t>
      </w:r>
    </w:p>
    <w:p>
      <w:r>
        <w:br w:type="page"/>
      </w:r>
    </w:p>
    <w:p>
      <w:pPr>
        <w:spacing w:line="360" w:lineRule="auto"/>
        <w:rPr>
          <w:rFonts w:ascii="宋体" w:hAnsi="宋体"/>
          <w:b/>
          <w:color w:val="000000"/>
          <w:sz w:val="24"/>
          <w:szCs w:val="24"/>
        </w:rPr>
      </w:pPr>
      <w:r>
        <w:rPr>
          <w:rFonts w:hint="eastAsia" w:ascii="宋体" w:hAnsi="宋体"/>
          <w:b/>
          <w:bCs/>
          <w:color w:val="000000"/>
          <w:kern w:val="0"/>
          <w:sz w:val="24"/>
          <w:szCs w:val="24"/>
          <w:lang w:val="zh-CN"/>
        </w:rPr>
        <w:t>格式十四：</w:t>
      </w:r>
    </w:p>
    <w:p>
      <w:pPr>
        <w:spacing w:line="360" w:lineRule="auto"/>
        <w:jc w:val="center"/>
        <w:rPr>
          <w:rFonts w:ascii="宋体" w:hAnsi="宋体"/>
          <w:b/>
          <w:bCs/>
          <w:color w:val="000000"/>
          <w:sz w:val="24"/>
          <w:szCs w:val="24"/>
        </w:rPr>
      </w:pPr>
      <w:r>
        <w:rPr>
          <w:rFonts w:hint="eastAsia" w:ascii="宋体" w:hAnsi="宋体"/>
          <w:sz w:val="24"/>
          <w:szCs w:val="24"/>
          <w:lang w:val="zh-CN"/>
        </w:rPr>
        <w:t>十二、商务规格响应表</w:t>
      </w:r>
    </w:p>
    <w:tbl>
      <w:tblPr>
        <w:tblStyle w:val="2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服务期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 w:val="24"/>
                <w:szCs w:val="24"/>
                <w:lang w:val="en-US" w:eastAsia="zh-CN"/>
              </w:rPr>
            </w:pPr>
            <w:r>
              <w:rPr>
                <w:rFonts w:hint="eastAsia" w:ascii="宋体" w:hAnsi="宋体"/>
                <w:sz w:val="24"/>
                <w:szCs w:val="24"/>
                <w:lang w:val="en-US" w:eastAsia="zh-CN"/>
              </w:rPr>
              <w:t>服务内容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5</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sz w:val="24"/>
          <w:szCs w:val="24"/>
        </w:rPr>
      </w:pPr>
      <w:r>
        <w:rPr>
          <w:rFonts w:hint="eastAsia" w:ascii="宋体" w:hAnsi="宋体"/>
          <w:b/>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color w:val="000000"/>
          <w:sz w:val="24"/>
          <w:szCs w:val="24"/>
        </w:rPr>
      </w:pPr>
      <w:r>
        <w:rPr>
          <w:rFonts w:hint="eastAsia" w:ascii="宋体" w:hAnsi="宋体"/>
          <w:color w:val="000000"/>
          <w:sz w:val="24"/>
          <w:szCs w:val="24"/>
        </w:rPr>
        <w:t>十三、供应商业绩情况表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1</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2</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3</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4</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ascii="宋体" w:hAnsi="宋体"/>
                <w:color w:val="000000"/>
                <w:kern w:val="0"/>
                <w:sz w:val="24"/>
                <w:szCs w:val="24"/>
                <w:lang w:val="zh-CN"/>
              </w:rPr>
              <w:t>…</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color w:val="000000"/>
          <w:sz w:val="24"/>
          <w:szCs w:val="24"/>
        </w:rPr>
      </w:pPr>
      <w:r>
        <w:rPr>
          <w:rFonts w:hint="eastAsia" w:ascii="宋体" w:hAnsi="宋体"/>
          <w:sz w:val="24"/>
          <w:szCs w:val="24"/>
          <w:lang w:val="zh-CN"/>
        </w:rPr>
        <w:t>十四、供应商基本情况表</w:t>
      </w:r>
    </w:p>
    <w:tbl>
      <w:tblPr>
        <w:tblStyle w:val="26"/>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及招标公告中供应商资质要求的其他资质证明等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sz w:val="24"/>
          <w:szCs w:val="24"/>
        </w:rPr>
      </w:pPr>
      <w:bookmarkStart w:id="129" w:name="_Toc482026556"/>
      <w:bookmarkStart w:id="130" w:name="_Toc438714732"/>
      <w:bookmarkStart w:id="131" w:name="_Toc438655702"/>
      <w:r>
        <w:rPr>
          <w:rFonts w:hint="eastAsia" w:ascii="宋体" w:hAnsi="宋体"/>
          <w:sz w:val="24"/>
          <w:szCs w:val="24"/>
        </w:rPr>
        <w:t>十五、商业信誉报告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r>
        <w:rPr>
          <w:rFonts w:hint="eastAsia" w:ascii="宋体" w:hAnsi="宋体"/>
          <w:sz w:val="24"/>
          <w:szCs w:val="24"/>
        </w:rPr>
        <w:t>2.供应商是企业或个体经营户的需带公司法人身份证及公司营业执照和公章去项目所在地或当地中国人民银行出具信用报告。</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129"/>
      <w:bookmarkEnd w:id="130"/>
      <w:bookmarkEnd w:id="131"/>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132" w:name="_Toc438655703"/>
      <w:bookmarkStart w:id="133" w:name="_Toc482026557"/>
      <w:bookmarkStart w:id="134" w:name="_Toc438714733"/>
      <w:r>
        <w:rPr>
          <w:rFonts w:ascii="宋体" w:hAnsi="宋体"/>
          <w:b/>
          <w:color w:val="000000"/>
          <w:sz w:val="24"/>
          <w:szCs w:val="24"/>
        </w:rPr>
        <w:br w:type="page"/>
      </w:r>
      <w:r>
        <w:rPr>
          <w:rFonts w:hint="eastAsia" w:ascii="宋体" w:hAnsi="宋体"/>
          <w:b/>
          <w:color w:val="000000"/>
          <w:sz w:val="24"/>
          <w:szCs w:val="24"/>
        </w:rPr>
        <w:t>格式十九：</w:t>
      </w:r>
      <w:bookmarkEnd w:id="132"/>
      <w:bookmarkEnd w:id="133"/>
      <w:bookmarkEnd w:id="134"/>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十八、参加政府采购前三年内在经营活动中无重大违法记录书面声明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u w:val="single"/>
        </w:rPr>
        <w:t xml:space="preserve">（采购单位）     </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23"/>
        <w:rPr>
          <w:rFonts w:ascii="宋体" w:hAnsi="宋体"/>
          <w:color w:val="000000"/>
          <w:sz w:val="24"/>
          <w:szCs w:val="24"/>
        </w:rPr>
      </w:pPr>
      <w:r>
        <w:rPr>
          <w:rFonts w:hint="eastAsia" w:ascii="宋体" w:hAnsi="宋体"/>
          <w:color w:val="000000"/>
          <w:sz w:val="24"/>
          <w:szCs w:val="24"/>
        </w:rPr>
        <w:t>说明：供应商应提供《信用信息查询结果》和“中国政府采购网”查询截图。</w:t>
      </w:r>
    </w:p>
    <w:p>
      <w:pPr>
        <w:pStyle w:val="23"/>
        <w:rPr>
          <w:rFonts w:ascii="宋体" w:hAnsi="宋体"/>
          <w:color w:val="000000"/>
          <w:sz w:val="24"/>
          <w:szCs w:val="24"/>
        </w:rPr>
      </w:pPr>
      <w:r>
        <w:rPr>
          <w:rFonts w:hint="eastAsia" w:ascii="宋体" w:hAnsi="宋体"/>
          <w:color w:val="000000"/>
          <w:sz w:val="24"/>
          <w:szCs w:val="24"/>
        </w:rPr>
        <w:br w:type="page"/>
      </w:r>
    </w:p>
    <w:p>
      <w:pPr>
        <w:pStyle w:val="23"/>
        <w:rPr>
          <w:rFonts w:ascii="宋体" w:hAnsi="宋体"/>
          <w:color w:val="000000"/>
          <w:sz w:val="24"/>
          <w:szCs w:val="24"/>
        </w:rPr>
      </w:pPr>
    </w:p>
    <w:p>
      <w:pPr>
        <w:autoSpaceDE w:val="0"/>
        <w:autoSpaceDN w:val="0"/>
        <w:spacing w:line="500" w:lineRule="exact"/>
        <w:ind w:firstLine="602" w:firstLineChars="200"/>
        <w:jc w:val="center"/>
        <w:rPr>
          <w:rFonts w:ascii="宋体" w:hAnsi="宋体"/>
          <w:color w:val="000000"/>
          <w:sz w:val="24"/>
          <w:szCs w:val="24"/>
        </w:rPr>
      </w:pPr>
      <w:r>
        <w:rPr>
          <w:rFonts w:hint="eastAsia" w:ascii="宋体" w:hAnsi="宋体"/>
          <w:b/>
          <w:bCs/>
          <w:color w:val="000000"/>
          <w:sz w:val="30"/>
          <w:szCs w:val="30"/>
        </w:rPr>
        <w:t>《信用信息查询结果》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Cs w:val="21"/>
        </w:rPr>
        <w:t xml:space="preserve">编号：           </w:t>
      </w:r>
    </w:p>
    <w:tbl>
      <w:tblPr>
        <w:tblStyle w:val="26"/>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26"/>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ascii="宋体" w:hAnsi="宋体"/>
          <w:szCs w:val="21"/>
          <w:lang w:val="zh-CN"/>
        </w:rPr>
      </w:pPr>
      <w:r>
        <w:rPr>
          <w:rFonts w:hint="eastAsia" w:ascii="宋体" w:hAnsi="宋体"/>
          <w:b/>
          <w:szCs w:val="21"/>
        </w:rPr>
        <w:t>注：</w:t>
      </w:r>
      <w:r>
        <w:rPr>
          <w:rFonts w:hint="eastAsia" w:ascii="宋体" w:hAnsi="宋体"/>
          <w:szCs w:val="21"/>
        </w:rPr>
        <w:t>1.请</w:t>
      </w:r>
      <w:r>
        <w:rPr>
          <w:rFonts w:hint="eastAsia" w:ascii="宋体" w:hAnsi="宋体"/>
          <w:szCs w:val="21"/>
          <w:lang w:val="zh-CN"/>
        </w:rPr>
        <w:t>如实、完整地填写有关内容。</w:t>
      </w:r>
    </w:p>
    <w:p>
      <w:pPr>
        <w:spacing w:line="0" w:lineRule="atLeast"/>
        <w:ind w:firstLine="420"/>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ind w:firstLine="560" w:firstLineChars="200"/>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p>
    <w:p>
      <w:pPr>
        <w:pStyle w:val="23"/>
        <w:rPr>
          <w:rFonts w:ascii="宋体" w:hAnsi="宋体"/>
          <w:szCs w:val="21"/>
          <w:lang w:val="zh-CN"/>
        </w:rPr>
      </w:pPr>
    </w:p>
    <w:p>
      <w:pPr>
        <w:pStyle w:val="23"/>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ascii="宋体" w:hAnsi="宋体"/>
          <w:b/>
          <w:bCs/>
          <w:kern w:val="0"/>
          <w:sz w:val="24"/>
          <w:szCs w:val="24"/>
        </w:rPr>
      </w:pPr>
      <w:r>
        <w:rPr>
          <w:rFonts w:hint="eastAsia" w:ascii="宋体" w:hAnsi="宋体"/>
          <w:sz w:val="24"/>
          <w:szCs w:val="24"/>
        </w:rPr>
        <w:t>供应商须在投标文件中提供企业工商注册所在地或项目所在地信用管理中心出具的《信用信息查询结果》且在有效期范围内（注：鄂托克前旗社会信用管理中心：地址．鄂托克前旗城川镇综合办公楼7003房间；　电话：0477-7625899）。</w:t>
      </w:r>
    </w:p>
    <w:p>
      <w:pPr>
        <w:autoSpaceDE w:val="0"/>
        <w:autoSpaceDN w:val="0"/>
        <w:spacing w:line="500" w:lineRule="exact"/>
        <w:rPr>
          <w:rFonts w:ascii="宋体" w:hAnsi="宋体"/>
          <w:sz w:val="24"/>
          <w:szCs w:val="24"/>
        </w:rPr>
      </w:pPr>
      <w:r>
        <w:rPr>
          <w:rFonts w:hint="eastAsia" w:ascii="宋体" w:hAnsi="宋体"/>
          <w:sz w:val="24"/>
          <w:szCs w:val="24"/>
        </w:rPr>
        <w:t>办理步骤：</w:t>
      </w:r>
    </w:p>
    <w:p>
      <w:pPr>
        <w:autoSpaceDE w:val="0"/>
        <w:autoSpaceDN w:val="0"/>
        <w:spacing w:line="500" w:lineRule="exact"/>
        <w:rPr>
          <w:rFonts w:ascii="宋体" w:hAnsi="宋体"/>
          <w:sz w:val="24"/>
          <w:szCs w:val="24"/>
        </w:rPr>
      </w:pPr>
      <w:r>
        <w:rPr>
          <w:rFonts w:hint="eastAsia" w:ascii="宋体" w:hAnsi="宋体"/>
          <w:sz w:val="24"/>
          <w:szCs w:val="24"/>
        </w:rPr>
        <w:t>1.营业执照彩色扫描件jpeg图片格式。（必须能够清楚的分辨统一社会信用代码以及企业名称）。</w:t>
      </w:r>
    </w:p>
    <w:p>
      <w:pPr>
        <w:autoSpaceDE w:val="0"/>
        <w:autoSpaceDN w:val="0"/>
        <w:spacing w:line="500" w:lineRule="exact"/>
        <w:rPr>
          <w:rFonts w:ascii="宋体" w:hAnsi="宋体"/>
          <w:sz w:val="24"/>
          <w:szCs w:val="24"/>
        </w:rPr>
      </w:pPr>
      <w:r>
        <w:rPr>
          <w:rFonts w:hint="eastAsia" w:ascii="宋体" w:hAnsi="宋体"/>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sz w:val="24"/>
          <w:szCs w:val="24"/>
        </w:rPr>
      </w:pPr>
      <w:r>
        <w:rPr>
          <w:rFonts w:hint="eastAsia" w:ascii="宋体" w:hAnsi="宋体"/>
          <w:sz w:val="24"/>
          <w:szCs w:val="24"/>
        </w:rPr>
        <w:t>3.鄂托克前旗企业信用信息查询申请表盖章彩色扫描件jpeg图片格式。</w:t>
      </w:r>
    </w:p>
    <w:p>
      <w:pPr>
        <w:autoSpaceDE w:val="0"/>
        <w:autoSpaceDN w:val="0"/>
        <w:spacing w:line="500" w:lineRule="exact"/>
        <w:rPr>
          <w:rFonts w:ascii="宋体" w:hAnsi="宋体"/>
          <w:sz w:val="24"/>
          <w:szCs w:val="24"/>
        </w:rPr>
      </w:pPr>
      <w:r>
        <w:rPr>
          <w:rFonts w:hint="eastAsia" w:ascii="宋体" w:hAnsi="宋体"/>
          <w:sz w:val="24"/>
          <w:szCs w:val="24"/>
        </w:rPr>
        <w:t xml:space="preserve">申请材料发送到  </w:t>
      </w:r>
      <w:r>
        <w:fldChar w:fldCharType="begin"/>
      </w:r>
      <w:r>
        <w:instrText xml:space="preserve"> HYPERLINK "mailto:eqqfgjxyglzx@163.com" </w:instrText>
      </w:r>
      <w:r>
        <w:fldChar w:fldCharType="separate"/>
      </w:r>
      <w:r>
        <w:rPr>
          <w:rStyle w:val="33"/>
          <w:rFonts w:hint="eastAsia" w:ascii="宋体" w:hAnsi="宋体"/>
          <w:sz w:val="24"/>
          <w:szCs w:val="24"/>
        </w:rPr>
        <w:t>eqqfgjxyglzx@163.com</w:t>
      </w:r>
      <w:r>
        <w:rPr>
          <w:rStyle w:val="33"/>
          <w:rFonts w:hint="eastAsia" w:ascii="宋体" w:hAnsi="宋体"/>
          <w:sz w:val="24"/>
          <w:szCs w:val="24"/>
        </w:rPr>
        <w:fldChar w:fldCharType="end"/>
      </w:r>
    </w:p>
    <w:p>
      <w:pPr>
        <w:pStyle w:val="23"/>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sz w:val="30"/>
          <w:szCs w:val="30"/>
        </w:rPr>
      </w:pPr>
      <w:r>
        <w:rPr>
          <w:rFonts w:ascii="宋体" w:hAnsi="宋体"/>
          <w:b/>
          <w:bCs/>
          <w:color w:val="000000"/>
          <w:kern w:val="0"/>
          <w:sz w:val="24"/>
          <w:szCs w:val="24"/>
        </w:rPr>
        <w:br w:type="page"/>
      </w:r>
      <w:r>
        <w:rPr>
          <w:rFonts w:hint="eastAsia" w:ascii="宋体" w:hAnsi="宋体"/>
          <w:b/>
          <w:bCs/>
          <w:color w:val="000000"/>
          <w:sz w:val="30"/>
          <w:szCs w:val="30"/>
        </w:rPr>
        <w:t>二、查询记录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sz w:val="30"/>
          <w:szCs w:val="30"/>
        </w:rPr>
      </w:pPr>
      <w:r>
        <w:rPr>
          <w:rFonts w:hint="eastAsia" w:ascii="宋体" w:hAnsi="宋体"/>
          <w:b/>
          <w:bCs/>
          <w:color w:val="000000"/>
          <w:sz w:val="30"/>
          <w:szCs w:val="30"/>
        </w:rPr>
        <w:t>供应商需登录“中国政府采购网”网站（www.ccgp.gov.cn）查询，并提供近一个月内的任意一天的查询截图。</w:t>
      </w:r>
    </w:p>
    <w:p>
      <w:pPr>
        <w:autoSpaceDE w:val="0"/>
        <w:autoSpaceDN w:val="0"/>
        <w:spacing w:line="500" w:lineRule="exact"/>
        <w:rPr>
          <w:rFonts w:ascii="宋体" w:hAnsi="宋体"/>
          <w:sz w:val="24"/>
          <w:szCs w:val="24"/>
          <w:u w:val="single"/>
        </w:rPr>
      </w:pPr>
      <w:r>
        <w:rPr>
          <w:rFonts w:hint="eastAsia" w:ascii="宋体" w:hAnsi="宋体"/>
          <w:bCs/>
          <w:color w:val="000000"/>
          <w:kern w:val="0"/>
          <w:sz w:val="24"/>
          <w:szCs w:val="24"/>
          <w:lang w:val="zh-CN"/>
        </w:rPr>
        <w:t>说明：</w:t>
      </w:r>
      <w:r>
        <w:rPr>
          <w:rFonts w:hint="eastAsia" w:ascii="宋体" w:hAnsi="宋体" w:cs="宋体"/>
          <w:bCs/>
          <w:kern w:val="36"/>
          <w:sz w:val="24"/>
          <w:szCs w:val="24"/>
        </w:rPr>
        <w:t>如有不提供、失效的、弄虚作假等行为的，评标委员会有权否决其投标资格</w:t>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br w:type="page"/>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格式二十一：</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十九、政府采购政策情况表</w:t>
      </w:r>
    </w:p>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7"/>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7"/>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r>
        <w:rPr>
          <w:rFonts w:hint="eastAsia"/>
          <w:sz w:val="24"/>
        </w:rPr>
        <w:t>填报要求：</w:t>
      </w:r>
      <w:r>
        <w:rPr>
          <w:rFonts w:hint="eastAsia" w:ascii="宋体" w:hAnsi="宋体" w:cs="宋体"/>
          <w:kern w:val="0"/>
          <w:sz w:val="24"/>
        </w:rPr>
        <w:t>如属所列情形的，请在括号内打“√”</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135" w:name="OLE_LINK2"/>
      <w:bookmarkStart w:id="136" w:name="OLE_LINK5"/>
      <w:r>
        <w:rPr>
          <w:rFonts w:hint="eastAsia" w:ascii="宋体" w:hAnsi="宋体" w:cs="宋体"/>
          <w:kern w:val="0"/>
          <w:sz w:val="24"/>
          <w:szCs w:val="24"/>
        </w:rPr>
        <w:t>______（请填写：中型、小型、微型）企业</w:t>
      </w:r>
      <w:bookmarkEnd w:id="135"/>
      <w:bookmarkEnd w:id="136"/>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说明：供应商不按要求填写、盖章的将不享受中小微企业有关政策。</w:t>
      </w:r>
      <w:r>
        <w:rPr>
          <w:rFonts w:ascii="宋体" w:hAnsi="宋体" w:cs="宋体"/>
          <w:kern w:val="0"/>
          <w:sz w:val="24"/>
          <w:szCs w:val="24"/>
        </w:rPr>
        <w:br w:type="page"/>
      </w:r>
    </w:p>
    <w:p>
      <w:pPr>
        <w:spacing w:line="588" w:lineRule="exact"/>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rFonts w:hint="eastAsia"/>
          <w:sz w:val="24"/>
        </w:rPr>
        <w:t>说明：供应商不按要求填写、盖章的将不享受残疾人企业有关政策。</w:t>
      </w:r>
      <w:r>
        <w:rPr>
          <w:sz w:val="24"/>
        </w:rPr>
        <w:br w:type="page"/>
      </w:r>
    </w:p>
    <w:p>
      <w:pPr>
        <w:autoSpaceDE w:val="0"/>
        <w:autoSpaceDN w:val="0"/>
        <w:spacing w:line="360" w:lineRule="auto"/>
        <w:ind w:left="3132" w:hanging="3132" w:hangingChars="1300"/>
        <w:rPr>
          <w:rFonts w:ascii="宋体" w:hAnsi="宋体"/>
          <w:color w:val="000000"/>
          <w:sz w:val="24"/>
          <w:szCs w:val="24"/>
          <w:lang w:val="zh-CN"/>
        </w:rPr>
      </w:pPr>
      <w:r>
        <w:rPr>
          <w:rFonts w:hint="eastAsia" w:ascii="宋体" w:hAnsi="宋体"/>
          <w:b/>
          <w:bCs/>
          <w:color w:val="000000"/>
          <w:kern w:val="0"/>
          <w:sz w:val="24"/>
          <w:szCs w:val="24"/>
          <w:lang w:val="zh-CN"/>
        </w:rPr>
        <w:t>格式二十四：</w:t>
      </w:r>
      <w:r>
        <w:rPr>
          <w:rFonts w:ascii="宋体" w:hAnsi="宋体"/>
          <w:bCs/>
          <w:color w:val="000000"/>
          <w:kern w:val="0"/>
          <w:sz w:val="24"/>
          <w:szCs w:val="24"/>
          <w:lang w:val="zh-CN"/>
        </w:rPr>
        <w:br w:type="textWrapping"/>
      </w:r>
      <w:r>
        <w:rPr>
          <w:rFonts w:hint="eastAsia" w:ascii="宋体" w:hAnsi="宋体"/>
          <w:bCs/>
          <w:color w:val="000000"/>
          <w:kern w:val="0"/>
          <w:sz w:val="24"/>
          <w:szCs w:val="24"/>
          <w:lang w:val="zh-CN"/>
        </w:rPr>
        <w:t>二十二、</w:t>
      </w: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1.磋商文件要求提供的其他资料。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2650" w:firstLineChars="110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rPr>
          <w:rFonts w:ascii="宋体" w:hAnsi="宋体"/>
          <w:color w:val="000000"/>
          <w:sz w:val="24"/>
          <w:szCs w:val="24"/>
        </w:rPr>
      </w:pPr>
      <w:bookmarkStart w:id="137" w:name="_Toc497290562"/>
      <w:bookmarkStart w:id="138" w:name="_Toc497408598"/>
      <w:r>
        <w:rPr>
          <w:rFonts w:hint="eastAsia" w:ascii="宋体" w:hAnsi="宋体"/>
          <w:color w:val="000000"/>
          <w:sz w:val="24"/>
          <w:szCs w:val="24"/>
        </w:rPr>
        <w:t>温馨提示</w:t>
      </w:r>
      <w:bookmarkEnd w:id="137"/>
      <w:bookmarkEnd w:id="138"/>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请在编制响应文件前请认真阅读并理解磋商文件。现就容易导致废标或无效投标的条款特别提示如下：</w:t>
      </w:r>
      <w:r>
        <w:rPr>
          <w:rFonts w:hint="eastAsia" w:ascii="宋体" w:hAnsi="宋体" w:cs="宋体"/>
          <w:kern w:val="0"/>
          <w:sz w:val="24"/>
          <w:szCs w:val="24"/>
        </w:rPr>
        <w:br w:type="textWrapping"/>
      </w:r>
      <w:r>
        <w:rPr>
          <w:rFonts w:hint="eastAsia" w:ascii="宋体" w:hAnsi="宋体" w:cs="宋体"/>
          <w:kern w:val="0"/>
          <w:sz w:val="24"/>
          <w:szCs w:val="24"/>
        </w:rPr>
        <w:t>1. 及时查看投标项目的相关信息公告，如磋商公告、变更公告、废标公告等。</w:t>
      </w:r>
      <w:r>
        <w:rPr>
          <w:rFonts w:hint="eastAsia" w:ascii="宋体" w:hAnsi="宋体" w:cs="宋体"/>
          <w:kern w:val="0"/>
          <w:sz w:val="24"/>
          <w:szCs w:val="24"/>
        </w:rPr>
        <w:br w:type="textWrapping"/>
      </w:r>
      <w:r>
        <w:rPr>
          <w:rFonts w:hint="eastAsia" w:ascii="宋体" w:hAnsi="宋体" w:cs="宋体"/>
          <w:kern w:val="0"/>
          <w:sz w:val="24"/>
          <w:szCs w:val="24"/>
        </w:rPr>
        <w:t xml:space="preserve">2. 认真填写报名信息，在递交响应文件截止时间前核对保证金缴纳情况，若报名成功、       </w:t>
      </w:r>
    </w:p>
    <w:p>
      <w:pPr>
        <w:spacing w:line="588" w:lineRule="exact"/>
        <w:rPr>
          <w:rFonts w:ascii="宋体" w:hAnsi="宋体" w:cs="宋体"/>
          <w:kern w:val="0"/>
          <w:sz w:val="24"/>
          <w:szCs w:val="24"/>
          <w:lang w:bidi="ar"/>
        </w:rPr>
      </w:pPr>
      <w:r>
        <w:rPr>
          <w:rFonts w:hint="eastAsia" w:ascii="宋体" w:hAnsi="宋体" w:cs="宋体"/>
          <w:kern w:val="0"/>
          <w:sz w:val="24"/>
          <w:szCs w:val="24"/>
        </w:rPr>
        <w:t>保证金缴纳之后，如保证金状态仍显示“未缴纳”，请及时与我单位联系。</w:t>
      </w:r>
      <w:r>
        <w:rPr>
          <w:rFonts w:hint="eastAsia" w:ascii="宋体" w:hAnsi="宋体" w:cs="宋体"/>
          <w:kern w:val="0"/>
          <w:sz w:val="24"/>
          <w:szCs w:val="24"/>
        </w:rPr>
        <w:br w:type="textWrapping"/>
      </w:r>
      <w:r>
        <w:rPr>
          <w:rFonts w:hint="eastAsia" w:ascii="宋体" w:hAnsi="宋体" w:cs="宋体"/>
          <w:kern w:val="0"/>
          <w:sz w:val="24"/>
          <w:szCs w:val="24"/>
        </w:rPr>
        <w:t>3. 注意响应文件的密封、装订及签署、盖章，如项目分包，响应文件务必分包、分别编制。</w:t>
      </w:r>
      <w:r>
        <w:rPr>
          <w:rFonts w:hint="eastAsia" w:ascii="宋体" w:hAnsi="宋体" w:cs="宋体"/>
          <w:kern w:val="0"/>
          <w:sz w:val="24"/>
          <w:szCs w:val="24"/>
        </w:rPr>
        <w:br w:type="textWrapping"/>
      </w:r>
      <w:r>
        <w:rPr>
          <w:rFonts w:hint="eastAsia" w:ascii="宋体" w:hAnsi="宋体" w:cs="宋体"/>
          <w:kern w:val="0"/>
          <w:sz w:val="24"/>
          <w:szCs w:val="24"/>
        </w:rPr>
        <w:t>4. 注意《开标一览表》应单独密封、单独递交一份，用于唱标之用。</w:t>
      </w:r>
      <w:r>
        <w:rPr>
          <w:rFonts w:hint="eastAsia" w:ascii="宋体" w:hAnsi="宋体" w:cs="宋体"/>
          <w:kern w:val="0"/>
          <w:sz w:val="24"/>
          <w:szCs w:val="24"/>
        </w:rPr>
        <w:br w:type="textWrapping"/>
      </w:r>
      <w:r>
        <w:rPr>
          <w:rFonts w:hint="eastAsia" w:ascii="宋体" w:hAnsi="宋体" w:cs="宋体"/>
          <w:kern w:val="0"/>
          <w:sz w:val="24"/>
          <w:szCs w:val="24"/>
        </w:rPr>
        <w:t>5. 注意响应文件中相关证明材料的完整性及有效期限。</w:t>
      </w:r>
      <w:r>
        <w:rPr>
          <w:rFonts w:ascii="宋体" w:hAnsi="宋体" w:cs="宋体"/>
          <w:kern w:val="0"/>
          <w:sz w:val="24"/>
          <w:szCs w:val="24"/>
          <w:lang w:bidi="ar"/>
        </w:rPr>
        <w:br w:type="textWrapping"/>
      </w:r>
    </w:p>
    <w:p>
      <w:pPr>
        <w:widowControl/>
        <w:spacing w:line="360" w:lineRule="auto"/>
        <w:ind w:firstLine="480"/>
        <w:jc w:val="left"/>
        <w:rPr>
          <w:rFonts w:ascii="宋体" w:hAnsi="宋体" w:cs="宋体"/>
          <w:kern w:val="0"/>
          <w:sz w:val="24"/>
          <w:szCs w:val="24"/>
          <w:lang w:bidi="ar"/>
        </w:rPr>
      </w:pPr>
    </w:p>
    <w:p>
      <w:pPr>
        <w:pStyle w:val="3"/>
        <w:keepNext w:val="0"/>
        <w:keepLines w:val="0"/>
        <w:spacing w:line="360" w:lineRule="auto"/>
        <w:jc w:val="both"/>
        <w:rPr>
          <w:sz w:val="24"/>
          <w:szCs w:val="24"/>
          <w:lang w:val="en-US"/>
        </w:rPr>
      </w:pPr>
      <w:r>
        <w:rPr>
          <w:rFonts w:ascii="宋体" w:hAnsi="宋体" w:cs="宋体"/>
          <w:kern w:val="0"/>
          <w:sz w:val="24"/>
          <w:szCs w:val="24"/>
          <w:lang w:val="en-US" w:bidi="ar"/>
        </w:rPr>
        <w:t>请各供应商严格遵守《中华人民共和国政府采购法》及其条例，如出现违法、违规行为，将承担响应法律责任。</w:t>
      </w:r>
    </w:p>
    <w:p>
      <w:pPr>
        <w:pStyle w:val="3"/>
        <w:keepNext w:val="0"/>
        <w:keepLines w:val="0"/>
        <w:spacing w:line="360" w:lineRule="auto"/>
        <w:ind w:firstLine="482" w:firstLineChars="200"/>
        <w:jc w:val="both"/>
        <w:rPr>
          <w:sz w:val="24"/>
          <w:szCs w:val="24"/>
          <w:lang w:val="en-US"/>
        </w:rPr>
      </w:pPr>
    </w:p>
    <w:sectPr>
      <w:headerReference r:id="rId4" w:type="default"/>
      <w:footerReference r:id="rId5" w:type="default"/>
      <w:pgSz w:w="11906" w:h="16838"/>
      <w:pgMar w:top="737" w:right="1247" w:bottom="737" w:left="124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align>top</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5010743"/>
                          </w:sdtPr>
                          <w:sdtContent>
                            <w:p>
                              <w:pPr>
                                <w:pStyle w:val="18"/>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1525010743"/>
                    </w:sdtPr>
                    <w:sdtContent>
                      <w:p>
                        <w:pPr>
                          <w:pStyle w:val="18"/>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23"/>
                    </w:pP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1">
    <w:nsid w:val="03F74DEB"/>
    <w:multiLevelType w:val="singleLevel"/>
    <w:tmpl w:val="03F74DEB"/>
    <w:lvl w:ilvl="0" w:tentative="0">
      <w:start w:val="2"/>
      <w:numFmt w:val="chineseCounting"/>
      <w:lvlText w:val="%1."/>
      <w:lvlJc w:val="left"/>
      <w:pPr>
        <w:tabs>
          <w:tab w:val="left" w:pos="312"/>
        </w:tabs>
      </w:pPr>
      <w:rPr>
        <w:rFonts w:hint="eastAsia"/>
      </w:rPr>
    </w:lvl>
  </w:abstractNum>
  <w:abstractNum w:abstractNumId="2">
    <w:nsid w:val="0D346384"/>
    <w:multiLevelType w:val="singleLevel"/>
    <w:tmpl w:val="0D34638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01"/>
    <w:rsid w:val="000019B5"/>
    <w:rsid w:val="00001E33"/>
    <w:rsid w:val="000037F2"/>
    <w:rsid w:val="0000526C"/>
    <w:rsid w:val="00005FCE"/>
    <w:rsid w:val="000064F9"/>
    <w:rsid w:val="00010FBE"/>
    <w:rsid w:val="000124B7"/>
    <w:rsid w:val="00015A02"/>
    <w:rsid w:val="00015B44"/>
    <w:rsid w:val="000217ED"/>
    <w:rsid w:val="00021C1D"/>
    <w:rsid w:val="00022CDF"/>
    <w:rsid w:val="00024348"/>
    <w:rsid w:val="00024DB1"/>
    <w:rsid w:val="000275BE"/>
    <w:rsid w:val="000277B6"/>
    <w:rsid w:val="00030745"/>
    <w:rsid w:val="000314D8"/>
    <w:rsid w:val="0003153C"/>
    <w:rsid w:val="00032217"/>
    <w:rsid w:val="00032340"/>
    <w:rsid w:val="00032A72"/>
    <w:rsid w:val="00032C24"/>
    <w:rsid w:val="00035A5E"/>
    <w:rsid w:val="00035AB0"/>
    <w:rsid w:val="0003623F"/>
    <w:rsid w:val="00040454"/>
    <w:rsid w:val="0004101F"/>
    <w:rsid w:val="0004149A"/>
    <w:rsid w:val="00042767"/>
    <w:rsid w:val="00043181"/>
    <w:rsid w:val="00044995"/>
    <w:rsid w:val="00044B0F"/>
    <w:rsid w:val="000501AD"/>
    <w:rsid w:val="000521B0"/>
    <w:rsid w:val="0005338C"/>
    <w:rsid w:val="000545A4"/>
    <w:rsid w:val="0005504F"/>
    <w:rsid w:val="000554EC"/>
    <w:rsid w:val="000555A7"/>
    <w:rsid w:val="000558A5"/>
    <w:rsid w:val="00060357"/>
    <w:rsid w:val="00060549"/>
    <w:rsid w:val="000629DD"/>
    <w:rsid w:val="00063168"/>
    <w:rsid w:val="0006359A"/>
    <w:rsid w:val="0006757D"/>
    <w:rsid w:val="00071A78"/>
    <w:rsid w:val="000750A4"/>
    <w:rsid w:val="00076D91"/>
    <w:rsid w:val="00077EEC"/>
    <w:rsid w:val="00082D2C"/>
    <w:rsid w:val="00083CDD"/>
    <w:rsid w:val="000841B6"/>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DA4"/>
    <w:rsid w:val="000A5E27"/>
    <w:rsid w:val="000A6071"/>
    <w:rsid w:val="000B18EE"/>
    <w:rsid w:val="000B1DD4"/>
    <w:rsid w:val="000B2D92"/>
    <w:rsid w:val="000B4FD6"/>
    <w:rsid w:val="000B5551"/>
    <w:rsid w:val="000B57D8"/>
    <w:rsid w:val="000B7161"/>
    <w:rsid w:val="000C01A6"/>
    <w:rsid w:val="000C1341"/>
    <w:rsid w:val="000C19EE"/>
    <w:rsid w:val="000C3A16"/>
    <w:rsid w:val="000C3E86"/>
    <w:rsid w:val="000C4079"/>
    <w:rsid w:val="000C5C82"/>
    <w:rsid w:val="000C612E"/>
    <w:rsid w:val="000C6D84"/>
    <w:rsid w:val="000D02AA"/>
    <w:rsid w:val="000D0A17"/>
    <w:rsid w:val="000D17C6"/>
    <w:rsid w:val="000D515C"/>
    <w:rsid w:val="000D5C01"/>
    <w:rsid w:val="000D7557"/>
    <w:rsid w:val="000D7A79"/>
    <w:rsid w:val="000E15BD"/>
    <w:rsid w:val="000E51AB"/>
    <w:rsid w:val="000E550B"/>
    <w:rsid w:val="000E6319"/>
    <w:rsid w:val="000F082D"/>
    <w:rsid w:val="000F2095"/>
    <w:rsid w:val="000F333E"/>
    <w:rsid w:val="000F422E"/>
    <w:rsid w:val="000F4763"/>
    <w:rsid w:val="000F6D0F"/>
    <w:rsid w:val="001016F2"/>
    <w:rsid w:val="00103E0C"/>
    <w:rsid w:val="00104530"/>
    <w:rsid w:val="001066A5"/>
    <w:rsid w:val="00107117"/>
    <w:rsid w:val="0010792E"/>
    <w:rsid w:val="001117FE"/>
    <w:rsid w:val="00111FA5"/>
    <w:rsid w:val="00117038"/>
    <w:rsid w:val="00117F1A"/>
    <w:rsid w:val="00120A63"/>
    <w:rsid w:val="001246B6"/>
    <w:rsid w:val="001247E2"/>
    <w:rsid w:val="00126F44"/>
    <w:rsid w:val="00127E2F"/>
    <w:rsid w:val="00130354"/>
    <w:rsid w:val="00131C8E"/>
    <w:rsid w:val="00132AC3"/>
    <w:rsid w:val="00134349"/>
    <w:rsid w:val="00137FFA"/>
    <w:rsid w:val="00141011"/>
    <w:rsid w:val="00141C9F"/>
    <w:rsid w:val="0014232F"/>
    <w:rsid w:val="00142373"/>
    <w:rsid w:val="00143F98"/>
    <w:rsid w:val="0014459C"/>
    <w:rsid w:val="00146DBB"/>
    <w:rsid w:val="00147FB1"/>
    <w:rsid w:val="001523A9"/>
    <w:rsid w:val="00154774"/>
    <w:rsid w:val="00155388"/>
    <w:rsid w:val="001556DC"/>
    <w:rsid w:val="00156723"/>
    <w:rsid w:val="00156A89"/>
    <w:rsid w:val="00157C1F"/>
    <w:rsid w:val="00160171"/>
    <w:rsid w:val="00160C4C"/>
    <w:rsid w:val="00161123"/>
    <w:rsid w:val="001611B8"/>
    <w:rsid w:val="0016132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5F8B"/>
    <w:rsid w:val="001B631D"/>
    <w:rsid w:val="001C4C6E"/>
    <w:rsid w:val="001C620B"/>
    <w:rsid w:val="001C66C5"/>
    <w:rsid w:val="001C7085"/>
    <w:rsid w:val="001C780A"/>
    <w:rsid w:val="001C7988"/>
    <w:rsid w:val="001D1224"/>
    <w:rsid w:val="001D128E"/>
    <w:rsid w:val="001D3AE5"/>
    <w:rsid w:val="001D44B5"/>
    <w:rsid w:val="001D470F"/>
    <w:rsid w:val="001D5189"/>
    <w:rsid w:val="001D7C35"/>
    <w:rsid w:val="001E0168"/>
    <w:rsid w:val="001E146C"/>
    <w:rsid w:val="001E2F8C"/>
    <w:rsid w:val="001E3E6E"/>
    <w:rsid w:val="001E6B2B"/>
    <w:rsid w:val="001F0A48"/>
    <w:rsid w:val="001F3324"/>
    <w:rsid w:val="001F38E6"/>
    <w:rsid w:val="001F3A9C"/>
    <w:rsid w:val="001F3CF4"/>
    <w:rsid w:val="001F46E4"/>
    <w:rsid w:val="001F50D5"/>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3EB5"/>
    <w:rsid w:val="002349C2"/>
    <w:rsid w:val="002359DD"/>
    <w:rsid w:val="00236BF6"/>
    <w:rsid w:val="00236FE0"/>
    <w:rsid w:val="00241C9F"/>
    <w:rsid w:val="00243EC4"/>
    <w:rsid w:val="00246923"/>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3036"/>
    <w:rsid w:val="00274A75"/>
    <w:rsid w:val="002758D1"/>
    <w:rsid w:val="00275B60"/>
    <w:rsid w:val="00276325"/>
    <w:rsid w:val="00276D08"/>
    <w:rsid w:val="00277A59"/>
    <w:rsid w:val="00280DF6"/>
    <w:rsid w:val="002813D5"/>
    <w:rsid w:val="00283220"/>
    <w:rsid w:val="002833E4"/>
    <w:rsid w:val="00283570"/>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0B4D"/>
    <w:rsid w:val="002A1E57"/>
    <w:rsid w:val="002A3538"/>
    <w:rsid w:val="002A3C54"/>
    <w:rsid w:val="002A5FA3"/>
    <w:rsid w:val="002B07D2"/>
    <w:rsid w:val="002B086D"/>
    <w:rsid w:val="002B46C2"/>
    <w:rsid w:val="002B5D5C"/>
    <w:rsid w:val="002B6555"/>
    <w:rsid w:val="002B6ACB"/>
    <w:rsid w:val="002C0752"/>
    <w:rsid w:val="002C0BE8"/>
    <w:rsid w:val="002C1118"/>
    <w:rsid w:val="002C179F"/>
    <w:rsid w:val="002C1AB6"/>
    <w:rsid w:val="002C2541"/>
    <w:rsid w:val="002C435A"/>
    <w:rsid w:val="002C5CB7"/>
    <w:rsid w:val="002C5EBE"/>
    <w:rsid w:val="002C7284"/>
    <w:rsid w:val="002C72B3"/>
    <w:rsid w:val="002D18D1"/>
    <w:rsid w:val="002D274A"/>
    <w:rsid w:val="002D27A1"/>
    <w:rsid w:val="002D2ABF"/>
    <w:rsid w:val="002D3A79"/>
    <w:rsid w:val="002D3B81"/>
    <w:rsid w:val="002D4130"/>
    <w:rsid w:val="002D5A33"/>
    <w:rsid w:val="002D5B54"/>
    <w:rsid w:val="002D6C15"/>
    <w:rsid w:val="002E38DF"/>
    <w:rsid w:val="002E3D50"/>
    <w:rsid w:val="002E4F95"/>
    <w:rsid w:val="002E5B7A"/>
    <w:rsid w:val="002E5EAB"/>
    <w:rsid w:val="002E5EDD"/>
    <w:rsid w:val="002E6E32"/>
    <w:rsid w:val="002E7061"/>
    <w:rsid w:val="002E7AC9"/>
    <w:rsid w:val="002F14A2"/>
    <w:rsid w:val="002F15B6"/>
    <w:rsid w:val="002F4D72"/>
    <w:rsid w:val="002F4ECE"/>
    <w:rsid w:val="002F5648"/>
    <w:rsid w:val="002F692A"/>
    <w:rsid w:val="002F6E44"/>
    <w:rsid w:val="002F6F9E"/>
    <w:rsid w:val="002F7057"/>
    <w:rsid w:val="002F7ADE"/>
    <w:rsid w:val="002F7E87"/>
    <w:rsid w:val="003028A1"/>
    <w:rsid w:val="003036D1"/>
    <w:rsid w:val="00305086"/>
    <w:rsid w:val="0030511C"/>
    <w:rsid w:val="00305EF3"/>
    <w:rsid w:val="00307C6D"/>
    <w:rsid w:val="0031146F"/>
    <w:rsid w:val="003166E1"/>
    <w:rsid w:val="003175DD"/>
    <w:rsid w:val="00317A60"/>
    <w:rsid w:val="00322C67"/>
    <w:rsid w:val="0032346F"/>
    <w:rsid w:val="00323C62"/>
    <w:rsid w:val="003252DF"/>
    <w:rsid w:val="00330DC1"/>
    <w:rsid w:val="00330FBC"/>
    <w:rsid w:val="00331EF4"/>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6C8B"/>
    <w:rsid w:val="0035724C"/>
    <w:rsid w:val="00357BB1"/>
    <w:rsid w:val="003601BC"/>
    <w:rsid w:val="003605DA"/>
    <w:rsid w:val="00360873"/>
    <w:rsid w:val="00361AFB"/>
    <w:rsid w:val="00361E13"/>
    <w:rsid w:val="003620B6"/>
    <w:rsid w:val="00363A25"/>
    <w:rsid w:val="00363FBE"/>
    <w:rsid w:val="00364753"/>
    <w:rsid w:val="0036589D"/>
    <w:rsid w:val="00366FF7"/>
    <w:rsid w:val="00367583"/>
    <w:rsid w:val="00372CDD"/>
    <w:rsid w:val="00374800"/>
    <w:rsid w:val="0037604A"/>
    <w:rsid w:val="00377304"/>
    <w:rsid w:val="0037796F"/>
    <w:rsid w:val="00381798"/>
    <w:rsid w:val="003850C1"/>
    <w:rsid w:val="0038661D"/>
    <w:rsid w:val="00386C41"/>
    <w:rsid w:val="00386F2E"/>
    <w:rsid w:val="00387C9F"/>
    <w:rsid w:val="00387FA9"/>
    <w:rsid w:val="00391691"/>
    <w:rsid w:val="0039586D"/>
    <w:rsid w:val="003962BB"/>
    <w:rsid w:val="00396A34"/>
    <w:rsid w:val="0039754F"/>
    <w:rsid w:val="003978E6"/>
    <w:rsid w:val="003A0038"/>
    <w:rsid w:val="003A059F"/>
    <w:rsid w:val="003A1A29"/>
    <w:rsid w:val="003A231E"/>
    <w:rsid w:val="003A5489"/>
    <w:rsid w:val="003A585F"/>
    <w:rsid w:val="003A60CE"/>
    <w:rsid w:val="003A7970"/>
    <w:rsid w:val="003A7FDC"/>
    <w:rsid w:val="003B5C3F"/>
    <w:rsid w:val="003C24C3"/>
    <w:rsid w:val="003C4C9F"/>
    <w:rsid w:val="003C57A9"/>
    <w:rsid w:val="003C62D0"/>
    <w:rsid w:val="003C719D"/>
    <w:rsid w:val="003C76CA"/>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61FE"/>
    <w:rsid w:val="003E6776"/>
    <w:rsid w:val="003E6A63"/>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5F8D"/>
    <w:rsid w:val="00417D84"/>
    <w:rsid w:val="00420B58"/>
    <w:rsid w:val="004223BB"/>
    <w:rsid w:val="004230C7"/>
    <w:rsid w:val="00425C9D"/>
    <w:rsid w:val="00425DB7"/>
    <w:rsid w:val="004261E5"/>
    <w:rsid w:val="00426A2D"/>
    <w:rsid w:val="00431475"/>
    <w:rsid w:val="00431F27"/>
    <w:rsid w:val="00432AB7"/>
    <w:rsid w:val="00432F40"/>
    <w:rsid w:val="00433011"/>
    <w:rsid w:val="00433E74"/>
    <w:rsid w:val="004352F5"/>
    <w:rsid w:val="00435D31"/>
    <w:rsid w:val="00435D5B"/>
    <w:rsid w:val="004374BE"/>
    <w:rsid w:val="0043759A"/>
    <w:rsid w:val="00437EBB"/>
    <w:rsid w:val="00440E33"/>
    <w:rsid w:val="00441C6D"/>
    <w:rsid w:val="00441CA8"/>
    <w:rsid w:val="004431F8"/>
    <w:rsid w:val="00443247"/>
    <w:rsid w:val="00445BD5"/>
    <w:rsid w:val="00446442"/>
    <w:rsid w:val="00447B3B"/>
    <w:rsid w:val="00450BD2"/>
    <w:rsid w:val="00452F0B"/>
    <w:rsid w:val="00456764"/>
    <w:rsid w:val="004575B1"/>
    <w:rsid w:val="004607BE"/>
    <w:rsid w:val="00461B30"/>
    <w:rsid w:val="00461F1F"/>
    <w:rsid w:val="0046293D"/>
    <w:rsid w:val="0046308F"/>
    <w:rsid w:val="00473067"/>
    <w:rsid w:val="004755C8"/>
    <w:rsid w:val="00475A7A"/>
    <w:rsid w:val="004771B0"/>
    <w:rsid w:val="00477F94"/>
    <w:rsid w:val="00481182"/>
    <w:rsid w:val="00481B1C"/>
    <w:rsid w:val="004825C2"/>
    <w:rsid w:val="004827A6"/>
    <w:rsid w:val="00482AEC"/>
    <w:rsid w:val="00482DE0"/>
    <w:rsid w:val="00483816"/>
    <w:rsid w:val="004842AA"/>
    <w:rsid w:val="004857AE"/>
    <w:rsid w:val="00486BCF"/>
    <w:rsid w:val="0049094E"/>
    <w:rsid w:val="00491598"/>
    <w:rsid w:val="00493B4C"/>
    <w:rsid w:val="00493C31"/>
    <w:rsid w:val="0049481A"/>
    <w:rsid w:val="004A044D"/>
    <w:rsid w:val="004A17D2"/>
    <w:rsid w:val="004A2179"/>
    <w:rsid w:val="004A32E9"/>
    <w:rsid w:val="004A6F4D"/>
    <w:rsid w:val="004A7401"/>
    <w:rsid w:val="004B1CE0"/>
    <w:rsid w:val="004B22B2"/>
    <w:rsid w:val="004B24B8"/>
    <w:rsid w:val="004B565B"/>
    <w:rsid w:val="004B6B8B"/>
    <w:rsid w:val="004B6BB2"/>
    <w:rsid w:val="004C28F6"/>
    <w:rsid w:val="004C331A"/>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0876"/>
    <w:rsid w:val="004F0A5E"/>
    <w:rsid w:val="004F1447"/>
    <w:rsid w:val="004F5583"/>
    <w:rsid w:val="00500436"/>
    <w:rsid w:val="00500D74"/>
    <w:rsid w:val="0050117C"/>
    <w:rsid w:val="005049B8"/>
    <w:rsid w:val="005055B0"/>
    <w:rsid w:val="005064F0"/>
    <w:rsid w:val="005109E3"/>
    <w:rsid w:val="00510CE7"/>
    <w:rsid w:val="00511267"/>
    <w:rsid w:val="00511FC6"/>
    <w:rsid w:val="00517A47"/>
    <w:rsid w:val="00517F41"/>
    <w:rsid w:val="0052071C"/>
    <w:rsid w:val="00520A53"/>
    <w:rsid w:val="005214EC"/>
    <w:rsid w:val="00521F2A"/>
    <w:rsid w:val="0052378F"/>
    <w:rsid w:val="00523827"/>
    <w:rsid w:val="00523AF4"/>
    <w:rsid w:val="00525B1D"/>
    <w:rsid w:val="0052688C"/>
    <w:rsid w:val="005269E2"/>
    <w:rsid w:val="00526A3E"/>
    <w:rsid w:val="005275B1"/>
    <w:rsid w:val="00531038"/>
    <w:rsid w:val="005323F9"/>
    <w:rsid w:val="00532CEC"/>
    <w:rsid w:val="005351EA"/>
    <w:rsid w:val="0053557A"/>
    <w:rsid w:val="00535A01"/>
    <w:rsid w:val="00535BD1"/>
    <w:rsid w:val="00536ACA"/>
    <w:rsid w:val="00536CC2"/>
    <w:rsid w:val="0053771F"/>
    <w:rsid w:val="00540583"/>
    <w:rsid w:val="00541140"/>
    <w:rsid w:val="00542B4D"/>
    <w:rsid w:val="005441BD"/>
    <w:rsid w:val="00544F6C"/>
    <w:rsid w:val="00545552"/>
    <w:rsid w:val="0054733A"/>
    <w:rsid w:val="00552AF4"/>
    <w:rsid w:val="00552C27"/>
    <w:rsid w:val="00556CAB"/>
    <w:rsid w:val="00557212"/>
    <w:rsid w:val="005611C9"/>
    <w:rsid w:val="005655C3"/>
    <w:rsid w:val="0056676F"/>
    <w:rsid w:val="00566FEB"/>
    <w:rsid w:val="00570A65"/>
    <w:rsid w:val="00571223"/>
    <w:rsid w:val="00572B6C"/>
    <w:rsid w:val="00575115"/>
    <w:rsid w:val="0057590C"/>
    <w:rsid w:val="00575C09"/>
    <w:rsid w:val="005771EF"/>
    <w:rsid w:val="00577D22"/>
    <w:rsid w:val="0058246C"/>
    <w:rsid w:val="00584B37"/>
    <w:rsid w:val="00585EC9"/>
    <w:rsid w:val="00586746"/>
    <w:rsid w:val="00587E08"/>
    <w:rsid w:val="00587FA2"/>
    <w:rsid w:val="00591026"/>
    <w:rsid w:val="005937B4"/>
    <w:rsid w:val="00594B92"/>
    <w:rsid w:val="00594ECC"/>
    <w:rsid w:val="00595358"/>
    <w:rsid w:val="00595AC9"/>
    <w:rsid w:val="0059662E"/>
    <w:rsid w:val="00596711"/>
    <w:rsid w:val="0059698F"/>
    <w:rsid w:val="005969F9"/>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597A"/>
    <w:rsid w:val="005C70A7"/>
    <w:rsid w:val="005C7788"/>
    <w:rsid w:val="005C7BB8"/>
    <w:rsid w:val="005D1575"/>
    <w:rsid w:val="005D18E5"/>
    <w:rsid w:val="005D20F2"/>
    <w:rsid w:val="005D31AF"/>
    <w:rsid w:val="005D3ABE"/>
    <w:rsid w:val="005D450D"/>
    <w:rsid w:val="005D49D6"/>
    <w:rsid w:val="005D6E75"/>
    <w:rsid w:val="005D7B0E"/>
    <w:rsid w:val="005E0C34"/>
    <w:rsid w:val="005E1B00"/>
    <w:rsid w:val="005E1E22"/>
    <w:rsid w:val="005E28DB"/>
    <w:rsid w:val="005E31CC"/>
    <w:rsid w:val="005E3EC1"/>
    <w:rsid w:val="005E40D6"/>
    <w:rsid w:val="005E4F1E"/>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1529A"/>
    <w:rsid w:val="00615A8D"/>
    <w:rsid w:val="00616936"/>
    <w:rsid w:val="00616A52"/>
    <w:rsid w:val="00620B2E"/>
    <w:rsid w:val="006215ED"/>
    <w:rsid w:val="0062221E"/>
    <w:rsid w:val="0062246E"/>
    <w:rsid w:val="00622B32"/>
    <w:rsid w:val="00624825"/>
    <w:rsid w:val="00624BAD"/>
    <w:rsid w:val="00625939"/>
    <w:rsid w:val="00633946"/>
    <w:rsid w:val="00633E76"/>
    <w:rsid w:val="006356FD"/>
    <w:rsid w:val="006370B3"/>
    <w:rsid w:val="00637903"/>
    <w:rsid w:val="00637E93"/>
    <w:rsid w:val="00637F2E"/>
    <w:rsid w:val="00641217"/>
    <w:rsid w:val="006414FE"/>
    <w:rsid w:val="00645BC8"/>
    <w:rsid w:val="0064782F"/>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872"/>
    <w:rsid w:val="006869C4"/>
    <w:rsid w:val="0068719C"/>
    <w:rsid w:val="00687D18"/>
    <w:rsid w:val="0069019B"/>
    <w:rsid w:val="00694C2F"/>
    <w:rsid w:val="006974C8"/>
    <w:rsid w:val="00697604"/>
    <w:rsid w:val="00697B24"/>
    <w:rsid w:val="00697EA9"/>
    <w:rsid w:val="006A06EE"/>
    <w:rsid w:val="006A25CE"/>
    <w:rsid w:val="006A3281"/>
    <w:rsid w:val="006A4BA2"/>
    <w:rsid w:val="006A4C44"/>
    <w:rsid w:val="006A7FBB"/>
    <w:rsid w:val="006B0E96"/>
    <w:rsid w:val="006B1ADB"/>
    <w:rsid w:val="006B3C71"/>
    <w:rsid w:val="006B4252"/>
    <w:rsid w:val="006B4351"/>
    <w:rsid w:val="006B46E3"/>
    <w:rsid w:val="006C0054"/>
    <w:rsid w:val="006C0F1D"/>
    <w:rsid w:val="006C2162"/>
    <w:rsid w:val="006C227A"/>
    <w:rsid w:val="006C344B"/>
    <w:rsid w:val="006C3C87"/>
    <w:rsid w:val="006C3D88"/>
    <w:rsid w:val="006C480E"/>
    <w:rsid w:val="006C5F7E"/>
    <w:rsid w:val="006D30BE"/>
    <w:rsid w:val="006D567A"/>
    <w:rsid w:val="006D58D2"/>
    <w:rsid w:val="006D5943"/>
    <w:rsid w:val="006D5ACF"/>
    <w:rsid w:val="006E010B"/>
    <w:rsid w:val="006E16A8"/>
    <w:rsid w:val="006E382F"/>
    <w:rsid w:val="006E3A9E"/>
    <w:rsid w:val="006E6765"/>
    <w:rsid w:val="006E6953"/>
    <w:rsid w:val="006F04D9"/>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594F"/>
    <w:rsid w:val="00706DA6"/>
    <w:rsid w:val="007071EB"/>
    <w:rsid w:val="00710463"/>
    <w:rsid w:val="00710837"/>
    <w:rsid w:val="00710B71"/>
    <w:rsid w:val="00710CD0"/>
    <w:rsid w:val="00711612"/>
    <w:rsid w:val="00712A3E"/>
    <w:rsid w:val="00713350"/>
    <w:rsid w:val="00714859"/>
    <w:rsid w:val="00714F92"/>
    <w:rsid w:val="00717FD3"/>
    <w:rsid w:val="00720C41"/>
    <w:rsid w:val="00722FBA"/>
    <w:rsid w:val="0072313F"/>
    <w:rsid w:val="00724F07"/>
    <w:rsid w:val="0072792D"/>
    <w:rsid w:val="00727F36"/>
    <w:rsid w:val="0073012D"/>
    <w:rsid w:val="00732742"/>
    <w:rsid w:val="0073370C"/>
    <w:rsid w:val="00733A3B"/>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6EF"/>
    <w:rsid w:val="00770711"/>
    <w:rsid w:val="00772676"/>
    <w:rsid w:val="007726C3"/>
    <w:rsid w:val="00773D9F"/>
    <w:rsid w:val="00774571"/>
    <w:rsid w:val="00780E8E"/>
    <w:rsid w:val="007812FA"/>
    <w:rsid w:val="0078207C"/>
    <w:rsid w:val="00782676"/>
    <w:rsid w:val="007830D7"/>
    <w:rsid w:val="0078499E"/>
    <w:rsid w:val="007854C9"/>
    <w:rsid w:val="0078591F"/>
    <w:rsid w:val="0078611D"/>
    <w:rsid w:val="0078682A"/>
    <w:rsid w:val="00786E67"/>
    <w:rsid w:val="00786E7B"/>
    <w:rsid w:val="00787879"/>
    <w:rsid w:val="0079071B"/>
    <w:rsid w:val="00791867"/>
    <w:rsid w:val="007919E4"/>
    <w:rsid w:val="0079216A"/>
    <w:rsid w:val="00792D96"/>
    <w:rsid w:val="00793656"/>
    <w:rsid w:val="00794032"/>
    <w:rsid w:val="00795189"/>
    <w:rsid w:val="007969EF"/>
    <w:rsid w:val="007A0737"/>
    <w:rsid w:val="007A1182"/>
    <w:rsid w:val="007A341B"/>
    <w:rsid w:val="007A40A7"/>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806"/>
    <w:rsid w:val="007C7D9A"/>
    <w:rsid w:val="007D0240"/>
    <w:rsid w:val="007D064F"/>
    <w:rsid w:val="007D06D2"/>
    <w:rsid w:val="007D06EA"/>
    <w:rsid w:val="007D16B3"/>
    <w:rsid w:val="007D1ACE"/>
    <w:rsid w:val="007D2830"/>
    <w:rsid w:val="007D2F8A"/>
    <w:rsid w:val="007D4AB8"/>
    <w:rsid w:val="007D4FF0"/>
    <w:rsid w:val="007D6050"/>
    <w:rsid w:val="007D63C9"/>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4218"/>
    <w:rsid w:val="00807358"/>
    <w:rsid w:val="00810769"/>
    <w:rsid w:val="0081336F"/>
    <w:rsid w:val="008151FE"/>
    <w:rsid w:val="008160B8"/>
    <w:rsid w:val="008175B3"/>
    <w:rsid w:val="008209C0"/>
    <w:rsid w:val="0082268F"/>
    <w:rsid w:val="008237E0"/>
    <w:rsid w:val="00823D48"/>
    <w:rsid w:val="008244AF"/>
    <w:rsid w:val="00825E02"/>
    <w:rsid w:val="00825F3D"/>
    <w:rsid w:val="008261CD"/>
    <w:rsid w:val="00827211"/>
    <w:rsid w:val="00827C96"/>
    <w:rsid w:val="008305B2"/>
    <w:rsid w:val="008314C9"/>
    <w:rsid w:val="00831F79"/>
    <w:rsid w:val="00833423"/>
    <w:rsid w:val="008342B6"/>
    <w:rsid w:val="0083503B"/>
    <w:rsid w:val="00836F57"/>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6B60"/>
    <w:rsid w:val="00857D31"/>
    <w:rsid w:val="00860870"/>
    <w:rsid w:val="0086264D"/>
    <w:rsid w:val="00862DFA"/>
    <w:rsid w:val="00863D3F"/>
    <w:rsid w:val="008640A9"/>
    <w:rsid w:val="00864A68"/>
    <w:rsid w:val="0086561A"/>
    <w:rsid w:val="00867A66"/>
    <w:rsid w:val="00867D40"/>
    <w:rsid w:val="00871360"/>
    <w:rsid w:val="008714CE"/>
    <w:rsid w:val="0087161E"/>
    <w:rsid w:val="00872F54"/>
    <w:rsid w:val="00874F1E"/>
    <w:rsid w:val="00874F94"/>
    <w:rsid w:val="008759F2"/>
    <w:rsid w:val="00876D6E"/>
    <w:rsid w:val="0088080F"/>
    <w:rsid w:val="0088134E"/>
    <w:rsid w:val="00881C7A"/>
    <w:rsid w:val="00881CC4"/>
    <w:rsid w:val="008820EB"/>
    <w:rsid w:val="0088395D"/>
    <w:rsid w:val="0088652E"/>
    <w:rsid w:val="00887695"/>
    <w:rsid w:val="00887B1A"/>
    <w:rsid w:val="00890105"/>
    <w:rsid w:val="008920CE"/>
    <w:rsid w:val="008A090F"/>
    <w:rsid w:val="008A1B4C"/>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E6CB3"/>
    <w:rsid w:val="008F1E56"/>
    <w:rsid w:val="008F23DD"/>
    <w:rsid w:val="008F6418"/>
    <w:rsid w:val="008F66DE"/>
    <w:rsid w:val="008F70B1"/>
    <w:rsid w:val="008F7C65"/>
    <w:rsid w:val="00900237"/>
    <w:rsid w:val="009023CD"/>
    <w:rsid w:val="00903251"/>
    <w:rsid w:val="009035CB"/>
    <w:rsid w:val="0090439C"/>
    <w:rsid w:val="00904D56"/>
    <w:rsid w:val="00904F9C"/>
    <w:rsid w:val="00907078"/>
    <w:rsid w:val="00907B49"/>
    <w:rsid w:val="009101B9"/>
    <w:rsid w:val="00910961"/>
    <w:rsid w:val="0091105D"/>
    <w:rsid w:val="009132A8"/>
    <w:rsid w:val="00913BC2"/>
    <w:rsid w:val="00913F0D"/>
    <w:rsid w:val="009149DE"/>
    <w:rsid w:val="0091581B"/>
    <w:rsid w:val="009169B4"/>
    <w:rsid w:val="00916B94"/>
    <w:rsid w:val="0091754C"/>
    <w:rsid w:val="009175DE"/>
    <w:rsid w:val="00920046"/>
    <w:rsid w:val="00920A46"/>
    <w:rsid w:val="00923416"/>
    <w:rsid w:val="00924D6A"/>
    <w:rsid w:val="00925DCD"/>
    <w:rsid w:val="00925EC5"/>
    <w:rsid w:val="00927B96"/>
    <w:rsid w:val="009303B7"/>
    <w:rsid w:val="0093237F"/>
    <w:rsid w:val="00934288"/>
    <w:rsid w:val="0093717B"/>
    <w:rsid w:val="00942C3B"/>
    <w:rsid w:val="00943FF4"/>
    <w:rsid w:val="00945EC2"/>
    <w:rsid w:val="009464E6"/>
    <w:rsid w:val="0095029C"/>
    <w:rsid w:val="00950A42"/>
    <w:rsid w:val="009510CA"/>
    <w:rsid w:val="00953BAA"/>
    <w:rsid w:val="00954B1F"/>
    <w:rsid w:val="00954CD1"/>
    <w:rsid w:val="00957FDA"/>
    <w:rsid w:val="00964157"/>
    <w:rsid w:val="009654D6"/>
    <w:rsid w:val="0096721B"/>
    <w:rsid w:val="00967439"/>
    <w:rsid w:val="00970AEB"/>
    <w:rsid w:val="0097254D"/>
    <w:rsid w:val="00972E53"/>
    <w:rsid w:val="0097461E"/>
    <w:rsid w:val="00974ADC"/>
    <w:rsid w:val="00974D6B"/>
    <w:rsid w:val="00975CFC"/>
    <w:rsid w:val="00976EEF"/>
    <w:rsid w:val="00977590"/>
    <w:rsid w:val="00977707"/>
    <w:rsid w:val="00977DF3"/>
    <w:rsid w:val="0098116C"/>
    <w:rsid w:val="00982532"/>
    <w:rsid w:val="009836C4"/>
    <w:rsid w:val="0098497D"/>
    <w:rsid w:val="009854E2"/>
    <w:rsid w:val="00986A6C"/>
    <w:rsid w:val="00987331"/>
    <w:rsid w:val="00987443"/>
    <w:rsid w:val="00991D87"/>
    <w:rsid w:val="009923B4"/>
    <w:rsid w:val="009939F1"/>
    <w:rsid w:val="009943FA"/>
    <w:rsid w:val="00994A54"/>
    <w:rsid w:val="00996755"/>
    <w:rsid w:val="00997359"/>
    <w:rsid w:val="009A0BCB"/>
    <w:rsid w:val="009A53E3"/>
    <w:rsid w:val="009C2E57"/>
    <w:rsid w:val="009C401C"/>
    <w:rsid w:val="009C4254"/>
    <w:rsid w:val="009D1A5A"/>
    <w:rsid w:val="009D2091"/>
    <w:rsid w:val="009D3425"/>
    <w:rsid w:val="009D37AC"/>
    <w:rsid w:val="009D3A35"/>
    <w:rsid w:val="009D3D2E"/>
    <w:rsid w:val="009D3EA9"/>
    <w:rsid w:val="009D54CB"/>
    <w:rsid w:val="009D6F8D"/>
    <w:rsid w:val="009D799E"/>
    <w:rsid w:val="009E0628"/>
    <w:rsid w:val="009E1506"/>
    <w:rsid w:val="009E391F"/>
    <w:rsid w:val="009E4F61"/>
    <w:rsid w:val="009E55D8"/>
    <w:rsid w:val="009E66B3"/>
    <w:rsid w:val="009E68E2"/>
    <w:rsid w:val="009E6BCD"/>
    <w:rsid w:val="009F074C"/>
    <w:rsid w:val="009F204C"/>
    <w:rsid w:val="009F31F8"/>
    <w:rsid w:val="009F354C"/>
    <w:rsid w:val="009F49BA"/>
    <w:rsid w:val="009F4F17"/>
    <w:rsid w:val="009F63E3"/>
    <w:rsid w:val="00A00403"/>
    <w:rsid w:val="00A031CD"/>
    <w:rsid w:val="00A03B8F"/>
    <w:rsid w:val="00A04AB7"/>
    <w:rsid w:val="00A04F9A"/>
    <w:rsid w:val="00A05DF3"/>
    <w:rsid w:val="00A07D1A"/>
    <w:rsid w:val="00A10757"/>
    <w:rsid w:val="00A10B3D"/>
    <w:rsid w:val="00A13C8B"/>
    <w:rsid w:val="00A153E9"/>
    <w:rsid w:val="00A177BC"/>
    <w:rsid w:val="00A17933"/>
    <w:rsid w:val="00A17C95"/>
    <w:rsid w:val="00A2085E"/>
    <w:rsid w:val="00A21494"/>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C96"/>
    <w:rsid w:val="00A524BA"/>
    <w:rsid w:val="00A5438D"/>
    <w:rsid w:val="00A54921"/>
    <w:rsid w:val="00A553D4"/>
    <w:rsid w:val="00A5679A"/>
    <w:rsid w:val="00A570F3"/>
    <w:rsid w:val="00A57517"/>
    <w:rsid w:val="00A579B0"/>
    <w:rsid w:val="00A57FBF"/>
    <w:rsid w:val="00A6030F"/>
    <w:rsid w:val="00A6233D"/>
    <w:rsid w:val="00A639B9"/>
    <w:rsid w:val="00A70302"/>
    <w:rsid w:val="00A70CD9"/>
    <w:rsid w:val="00A70F46"/>
    <w:rsid w:val="00A7112C"/>
    <w:rsid w:val="00A71C5A"/>
    <w:rsid w:val="00A744A6"/>
    <w:rsid w:val="00A75A4D"/>
    <w:rsid w:val="00A770AD"/>
    <w:rsid w:val="00A801A7"/>
    <w:rsid w:val="00A847DE"/>
    <w:rsid w:val="00A84B75"/>
    <w:rsid w:val="00A8522A"/>
    <w:rsid w:val="00A85806"/>
    <w:rsid w:val="00A858E6"/>
    <w:rsid w:val="00A8750F"/>
    <w:rsid w:val="00A90680"/>
    <w:rsid w:val="00A90976"/>
    <w:rsid w:val="00A90D02"/>
    <w:rsid w:val="00A9329E"/>
    <w:rsid w:val="00A93EE5"/>
    <w:rsid w:val="00A97F0E"/>
    <w:rsid w:val="00AA02D4"/>
    <w:rsid w:val="00AA1B71"/>
    <w:rsid w:val="00AA2404"/>
    <w:rsid w:val="00AA31B0"/>
    <w:rsid w:val="00AA4062"/>
    <w:rsid w:val="00AA56A4"/>
    <w:rsid w:val="00AB019D"/>
    <w:rsid w:val="00AB33A7"/>
    <w:rsid w:val="00AB4EF5"/>
    <w:rsid w:val="00AB6D27"/>
    <w:rsid w:val="00AB6FD5"/>
    <w:rsid w:val="00AC08EC"/>
    <w:rsid w:val="00AC1C33"/>
    <w:rsid w:val="00AC445C"/>
    <w:rsid w:val="00AC5CD4"/>
    <w:rsid w:val="00AC7611"/>
    <w:rsid w:val="00AD0D4D"/>
    <w:rsid w:val="00AD23D0"/>
    <w:rsid w:val="00AD2B93"/>
    <w:rsid w:val="00AD3D67"/>
    <w:rsid w:val="00AD497A"/>
    <w:rsid w:val="00AD5BBB"/>
    <w:rsid w:val="00AD6104"/>
    <w:rsid w:val="00AD63F6"/>
    <w:rsid w:val="00AD6F69"/>
    <w:rsid w:val="00AD7033"/>
    <w:rsid w:val="00AD7399"/>
    <w:rsid w:val="00AE4E5E"/>
    <w:rsid w:val="00AE731A"/>
    <w:rsid w:val="00AE7FD2"/>
    <w:rsid w:val="00AF0EC5"/>
    <w:rsid w:val="00AF15E2"/>
    <w:rsid w:val="00AF1E0E"/>
    <w:rsid w:val="00AF23DE"/>
    <w:rsid w:val="00AF3A3E"/>
    <w:rsid w:val="00AF45AC"/>
    <w:rsid w:val="00AF5290"/>
    <w:rsid w:val="00AF594A"/>
    <w:rsid w:val="00AF5E5E"/>
    <w:rsid w:val="00AF6ADB"/>
    <w:rsid w:val="00B035D1"/>
    <w:rsid w:val="00B03A28"/>
    <w:rsid w:val="00B06E77"/>
    <w:rsid w:val="00B07498"/>
    <w:rsid w:val="00B075FF"/>
    <w:rsid w:val="00B10A94"/>
    <w:rsid w:val="00B1130E"/>
    <w:rsid w:val="00B1143D"/>
    <w:rsid w:val="00B11984"/>
    <w:rsid w:val="00B11D81"/>
    <w:rsid w:val="00B1296E"/>
    <w:rsid w:val="00B12A12"/>
    <w:rsid w:val="00B12C31"/>
    <w:rsid w:val="00B1362E"/>
    <w:rsid w:val="00B142E0"/>
    <w:rsid w:val="00B15F39"/>
    <w:rsid w:val="00B16ACB"/>
    <w:rsid w:val="00B1742A"/>
    <w:rsid w:val="00B204A1"/>
    <w:rsid w:val="00B21F10"/>
    <w:rsid w:val="00B22517"/>
    <w:rsid w:val="00B2465D"/>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5571"/>
    <w:rsid w:val="00B46FB3"/>
    <w:rsid w:val="00B51B8B"/>
    <w:rsid w:val="00B51D74"/>
    <w:rsid w:val="00B5229B"/>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1CB3"/>
    <w:rsid w:val="00B721FD"/>
    <w:rsid w:val="00B7294E"/>
    <w:rsid w:val="00B72BAF"/>
    <w:rsid w:val="00B73AB7"/>
    <w:rsid w:val="00B74AEE"/>
    <w:rsid w:val="00B75348"/>
    <w:rsid w:val="00B762DB"/>
    <w:rsid w:val="00B76FD5"/>
    <w:rsid w:val="00B815FD"/>
    <w:rsid w:val="00B81725"/>
    <w:rsid w:val="00B82DAE"/>
    <w:rsid w:val="00B83520"/>
    <w:rsid w:val="00B858AE"/>
    <w:rsid w:val="00B8697F"/>
    <w:rsid w:val="00B86BC8"/>
    <w:rsid w:val="00B90A9E"/>
    <w:rsid w:val="00B941A6"/>
    <w:rsid w:val="00B95A1E"/>
    <w:rsid w:val="00B97AC6"/>
    <w:rsid w:val="00BA4166"/>
    <w:rsid w:val="00BA55A8"/>
    <w:rsid w:val="00BA6AF0"/>
    <w:rsid w:val="00BA74C6"/>
    <w:rsid w:val="00BA7A10"/>
    <w:rsid w:val="00BB1479"/>
    <w:rsid w:val="00BB1844"/>
    <w:rsid w:val="00BB1D5E"/>
    <w:rsid w:val="00BB216F"/>
    <w:rsid w:val="00BB3DB9"/>
    <w:rsid w:val="00BB407C"/>
    <w:rsid w:val="00BB4686"/>
    <w:rsid w:val="00BB4B11"/>
    <w:rsid w:val="00BB7E3F"/>
    <w:rsid w:val="00BC1EC4"/>
    <w:rsid w:val="00BC256F"/>
    <w:rsid w:val="00BC356E"/>
    <w:rsid w:val="00BC362E"/>
    <w:rsid w:val="00BC671A"/>
    <w:rsid w:val="00BC7718"/>
    <w:rsid w:val="00BC7CB0"/>
    <w:rsid w:val="00BD24D1"/>
    <w:rsid w:val="00BD2DF6"/>
    <w:rsid w:val="00BD404C"/>
    <w:rsid w:val="00BD4981"/>
    <w:rsid w:val="00BD5066"/>
    <w:rsid w:val="00BD545C"/>
    <w:rsid w:val="00BD7D7A"/>
    <w:rsid w:val="00BE0D1F"/>
    <w:rsid w:val="00BE2A8C"/>
    <w:rsid w:val="00BE328A"/>
    <w:rsid w:val="00BE371B"/>
    <w:rsid w:val="00BE3FD8"/>
    <w:rsid w:val="00BE64FC"/>
    <w:rsid w:val="00BE7999"/>
    <w:rsid w:val="00BF2325"/>
    <w:rsid w:val="00BF2A58"/>
    <w:rsid w:val="00BF31CC"/>
    <w:rsid w:val="00BF379A"/>
    <w:rsid w:val="00BF5677"/>
    <w:rsid w:val="00BF6A75"/>
    <w:rsid w:val="00BF7B2E"/>
    <w:rsid w:val="00C025F2"/>
    <w:rsid w:val="00C03E0E"/>
    <w:rsid w:val="00C04324"/>
    <w:rsid w:val="00C04E1A"/>
    <w:rsid w:val="00C06133"/>
    <w:rsid w:val="00C06595"/>
    <w:rsid w:val="00C10324"/>
    <w:rsid w:val="00C1035C"/>
    <w:rsid w:val="00C105D7"/>
    <w:rsid w:val="00C107EE"/>
    <w:rsid w:val="00C11493"/>
    <w:rsid w:val="00C14B78"/>
    <w:rsid w:val="00C16510"/>
    <w:rsid w:val="00C20838"/>
    <w:rsid w:val="00C2217B"/>
    <w:rsid w:val="00C223CD"/>
    <w:rsid w:val="00C23E02"/>
    <w:rsid w:val="00C24386"/>
    <w:rsid w:val="00C25776"/>
    <w:rsid w:val="00C27AE9"/>
    <w:rsid w:val="00C27E3E"/>
    <w:rsid w:val="00C325DA"/>
    <w:rsid w:val="00C327F3"/>
    <w:rsid w:val="00C3556B"/>
    <w:rsid w:val="00C3609F"/>
    <w:rsid w:val="00C36118"/>
    <w:rsid w:val="00C36337"/>
    <w:rsid w:val="00C3696F"/>
    <w:rsid w:val="00C37D9B"/>
    <w:rsid w:val="00C413E4"/>
    <w:rsid w:val="00C41917"/>
    <w:rsid w:val="00C426E9"/>
    <w:rsid w:val="00C4548B"/>
    <w:rsid w:val="00C50596"/>
    <w:rsid w:val="00C51ABB"/>
    <w:rsid w:val="00C53BB6"/>
    <w:rsid w:val="00C57BDD"/>
    <w:rsid w:val="00C60605"/>
    <w:rsid w:val="00C60D33"/>
    <w:rsid w:val="00C61528"/>
    <w:rsid w:val="00C61E6E"/>
    <w:rsid w:val="00C64F93"/>
    <w:rsid w:val="00C66124"/>
    <w:rsid w:val="00C667AE"/>
    <w:rsid w:val="00C70C7A"/>
    <w:rsid w:val="00C73054"/>
    <w:rsid w:val="00C733D3"/>
    <w:rsid w:val="00C73BF4"/>
    <w:rsid w:val="00C7527E"/>
    <w:rsid w:val="00C7685A"/>
    <w:rsid w:val="00C76C70"/>
    <w:rsid w:val="00C7707E"/>
    <w:rsid w:val="00C80D9D"/>
    <w:rsid w:val="00C854C5"/>
    <w:rsid w:val="00C85B2E"/>
    <w:rsid w:val="00C90015"/>
    <w:rsid w:val="00C90333"/>
    <w:rsid w:val="00C90685"/>
    <w:rsid w:val="00C90A41"/>
    <w:rsid w:val="00C93B88"/>
    <w:rsid w:val="00C94759"/>
    <w:rsid w:val="00C94EE5"/>
    <w:rsid w:val="00C95166"/>
    <w:rsid w:val="00CA08FD"/>
    <w:rsid w:val="00CA11E5"/>
    <w:rsid w:val="00CA172D"/>
    <w:rsid w:val="00CA335D"/>
    <w:rsid w:val="00CA4C51"/>
    <w:rsid w:val="00CA58E1"/>
    <w:rsid w:val="00CA5ADB"/>
    <w:rsid w:val="00CA68E7"/>
    <w:rsid w:val="00CB0EA5"/>
    <w:rsid w:val="00CB0FCE"/>
    <w:rsid w:val="00CB513A"/>
    <w:rsid w:val="00CB53F8"/>
    <w:rsid w:val="00CB5EE9"/>
    <w:rsid w:val="00CB6153"/>
    <w:rsid w:val="00CB6C02"/>
    <w:rsid w:val="00CC1280"/>
    <w:rsid w:val="00CC3A13"/>
    <w:rsid w:val="00CC3A49"/>
    <w:rsid w:val="00CC4D5E"/>
    <w:rsid w:val="00CC5132"/>
    <w:rsid w:val="00CC6071"/>
    <w:rsid w:val="00CC7248"/>
    <w:rsid w:val="00CD0605"/>
    <w:rsid w:val="00CD1436"/>
    <w:rsid w:val="00CD22F9"/>
    <w:rsid w:val="00CD2825"/>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FC4"/>
    <w:rsid w:val="00CF5117"/>
    <w:rsid w:val="00CF5E1C"/>
    <w:rsid w:val="00CF5ECB"/>
    <w:rsid w:val="00CF6383"/>
    <w:rsid w:val="00CF653E"/>
    <w:rsid w:val="00CF6F9E"/>
    <w:rsid w:val="00CF7BE0"/>
    <w:rsid w:val="00D013FD"/>
    <w:rsid w:val="00D02798"/>
    <w:rsid w:val="00D02BE8"/>
    <w:rsid w:val="00D040DA"/>
    <w:rsid w:val="00D04195"/>
    <w:rsid w:val="00D046D6"/>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56CC"/>
    <w:rsid w:val="00D367A9"/>
    <w:rsid w:val="00D3768D"/>
    <w:rsid w:val="00D37A5C"/>
    <w:rsid w:val="00D4093A"/>
    <w:rsid w:val="00D426BF"/>
    <w:rsid w:val="00D4281E"/>
    <w:rsid w:val="00D42BC6"/>
    <w:rsid w:val="00D4301E"/>
    <w:rsid w:val="00D4525A"/>
    <w:rsid w:val="00D506E9"/>
    <w:rsid w:val="00D519D1"/>
    <w:rsid w:val="00D553E5"/>
    <w:rsid w:val="00D5774E"/>
    <w:rsid w:val="00D60913"/>
    <w:rsid w:val="00D61B3A"/>
    <w:rsid w:val="00D62D47"/>
    <w:rsid w:val="00D64FD0"/>
    <w:rsid w:val="00D66013"/>
    <w:rsid w:val="00D67284"/>
    <w:rsid w:val="00D67679"/>
    <w:rsid w:val="00D67C8B"/>
    <w:rsid w:val="00D70AA6"/>
    <w:rsid w:val="00D7189B"/>
    <w:rsid w:val="00D72E41"/>
    <w:rsid w:val="00D73960"/>
    <w:rsid w:val="00D7398D"/>
    <w:rsid w:val="00D740A7"/>
    <w:rsid w:val="00D74E38"/>
    <w:rsid w:val="00D7522F"/>
    <w:rsid w:val="00D758EC"/>
    <w:rsid w:val="00D773D8"/>
    <w:rsid w:val="00D77699"/>
    <w:rsid w:val="00D77A17"/>
    <w:rsid w:val="00D77B3F"/>
    <w:rsid w:val="00D80224"/>
    <w:rsid w:val="00D8071D"/>
    <w:rsid w:val="00D82A8B"/>
    <w:rsid w:val="00D83AF5"/>
    <w:rsid w:val="00D84F53"/>
    <w:rsid w:val="00D85920"/>
    <w:rsid w:val="00D85D82"/>
    <w:rsid w:val="00D85FAA"/>
    <w:rsid w:val="00D865BB"/>
    <w:rsid w:val="00D877C3"/>
    <w:rsid w:val="00D9048A"/>
    <w:rsid w:val="00D92142"/>
    <w:rsid w:val="00D94A7B"/>
    <w:rsid w:val="00D95D5D"/>
    <w:rsid w:val="00DA1FCB"/>
    <w:rsid w:val="00DA397E"/>
    <w:rsid w:val="00DA4E92"/>
    <w:rsid w:val="00DB1635"/>
    <w:rsid w:val="00DB1BF7"/>
    <w:rsid w:val="00DB4E19"/>
    <w:rsid w:val="00DB5509"/>
    <w:rsid w:val="00DB5848"/>
    <w:rsid w:val="00DC1103"/>
    <w:rsid w:val="00DC46B8"/>
    <w:rsid w:val="00DC53EC"/>
    <w:rsid w:val="00DC5610"/>
    <w:rsid w:val="00DC59F9"/>
    <w:rsid w:val="00DC5EDB"/>
    <w:rsid w:val="00DC6D9D"/>
    <w:rsid w:val="00DC7CF8"/>
    <w:rsid w:val="00DD0764"/>
    <w:rsid w:val="00DD3477"/>
    <w:rsid w:val="00DD3D93"/>
    <w:rsid w:val="00DD5AAA"/>
    <w:rsid w:val="00DD6928"/>
    <w:rsid w:val="00DE042B"/>
    <w:rsid w:val="00DE0BE2"/>
    <w:rsid w:val="00DE1CF8"/>
    <w:rsid w:val="00DE2DEA"/>
    <w:rsid w:val="00DE3F40"/>
    <w:rsid w:val="00DE4AD2"/>
    <w:rsid w:val="00DE5B64"/>
    <w:rsid w:val="00DE5B7E"/>
    <w:rsid w:val="00DE61A4"/>
    <w:rsid w:val="00DE6E2C"/>
    <w:rsid w:val="00DE74E0"/>
    <w:rsid w:val="00DE75C5"/>
    <w:rsid w:val="00DF002B"/>
    <w:rsid w:val="00DF2AE4"/>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651"/>
    <w:rsid w:val="00E16D06"/>
    <w:rsid w:val="00E20312"/>
    <w:rsid w:val="00E20403"/>
    <w:rsid w:val="00E209B5"/>
    <w:rsid w:val="00E20DB7"/>
    <w:rsid w:val="00E2232F"/>
    <w:rsid w:val="00E2425E"/>
    <w:rsid w:val="00E26544"/>
    <w:rsid w:val="00E302BE"/>
    <w:rsid w:val="00E3075F"/>
    <w:rsid w:val="00E319E6"/>
    <w:rsid w:val="00E31F3F"/>
    <w:rsid w:val="00E321C8"/>
    <w:rsid w:val="00E32815"/>
    <w:rsid w:val="00E33AAC"/>
    <w:rsid w:val="00E40203"/>
    <w:rsid w:val="00E40D51"/>
    <w:rsid w:val="00E415A3"/>
    <w:rsid w:val="00E41A31"/>
    <w:rsid w:val="00E41AAA"/>
    <w:rsid w:val="00E443DE"/>
    <w:rsid w:val="00E46A38"/>
    <w:rsid w:val="00E4722B"/>
    <w:rsid w:val="00E50C23"/>
    <w:rsid w:val="00E52314"/>
    <w:rsid w:val="00E52942"/>
    <w:rsid w:val="00E52AE4"/>
    <w:rsid w:val="00E54F51"/>
    <w:rsid w:val="00E611A0"/>
    <w:rsid w:val="00E61AC7"/>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5506"/>
    <w:rsid w:val="00E9604D"/>
    <w:rsid w:val="00E966AC"/>
    <w:rsid w:val="00E96B0E"/>
    <w:rsid w:val="00E96F9A"/>
    <w:rsid w:val="00E97B7D"/>
    <w:rsid w:val="00EA00D9"/>
    <w:rsid w:val="00EA076E"/>
    <w:rsid w:val="00EA0B15"/>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56C0"/>
    <w:rsid w:val="00EF731B"/>
    <w:rsid w:val="00EF7E88"/>
    <w:rsid w:val="00F009C1"/>
    <w:rsid w:val="00F023B2"/>
    <w:rsid w:val="00F025D4"/>
    <w:rsid w:val="00F037F8"/>
    <w:rsid w:val="00F03E93"/>
    <w:rsid w:val="00F041A6"/>
    <w:rsid w:val="00F0437A"/>
    <w:rsid w:val="00F05B2F"/>
    <w:rsid w:val="00F05F49"/>
    <w:rsid w:val="00F11341"/>
    <w:rsid w:val="00F11819"/>
    <w:rsid w:val="00F11B46"/>
    <w:rsid w:val="00F12D43"/>
    <w:rsid w:val="00F13062"/>
    <w:rsid w:val="00F1328B"/>
    <w:rsid w:val="00F146D7"/>
    <w:rsid w:val="00F14EC6"/>
    <w:rsid w:val="00F14EF2"/>
    <w:rsid w:val="00F1665D"/>
    <w:rsid w:val="00F17582"/>
    <w:rsid w:val="00F20CD4"/>
    <w:rsid w:val="00F236A0"/>
    <w:rsid w:val="00F24C7C"/>
    <w:rsid w:val="00F26503"/>
    <w:rsid w:val="00F26B75"/>
    <w:rsid w:val="00F277E6"/>
    <w:rsid w:val="00F278D2"/>
    <w:rsid w:val="00F31131"/>
    <w:rsid w:val="00F313D5"/>
    <w:rsid w:val="00F31E1E"/>
    <w:rsid w:val="00F348AE"/>
    <w:rsid w:val="00F3543A"/>
    <w:rsid w:val="00F35761"/>
    <w:rsid w:val="00F35C6B"/>
    <w:rsid w:val="00F416FF"/>
    <w:rsid w:val="00F4353D"/>
    <w:rsid w:val="00F43B30"/>
    <w:rsid w:val="00F44352"/>
    <w:rsid w:val="00F44AF7"/>
    <w:rsid w:val="00F44E60"/>
    <w:rsid w:val="00F46A1D"/>
    <w:rsid w:val="00F46DA2"/>
    <w:rsid w:val="00F5021A"/>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5BE7"/>
    <w:rsid w:val="00F765FE"/>
    <w:rsid w:val="00F76F26"/>
    <w:rsid w:val="00F77442"/>
    <w:rsid w:val="00F77737"/>
    <w:rsid w:val="00F82BC4"/>
    <w:rsid w:val="00F8489B"/>
    <w:rsid w:val="00F85BC6"/>
    <w:rsid w:val="00F8666A"/>
    <w:rsid w:val="00F86941"/>
    <w:rsid w:val="00F86E63"/>
    <w:rsid w:val="00F90A2B"/>
    <w:rsid w:val="00F93CC9"/>
    <w:rsid w:val="00F964B8"/>
    <w:rsid w:val="00F9750D"/>
    <w:rsid w:val="00F97F19"/>
    <w:rsid w:val="00FA0B1C"/>
    <w:rsid w:val="00FA1723"/>
    <w:rsid w:val="00FA2730"/>
    <w:rsid w:val="00FA477A"/>
    <w:rsid w:val="00FA4E3B"/>
    <w:rsid w:val="00FA59B2"/>
    <w:rsid w:val="00FA6128"/>
    <w:rsid w:val="00FA691C"/>
    <w:rsid w:val="00FA6FF9"/>
    <w:rsid w:val="00FA7683"/>
    <w:rsid w:val="00FA7E4C"/>
    <w:rsid w:val="00FB0E65"/>
    <w:rsid w:val="00FB380D"/>
    <w:rsid w:val="00FB4A30"/>
    <w:rsid w:val="00FC08BE"/>
    <w:rsid w:val="00FC375D"/>
    <w:rsid w:val="00FC5551"/>
    <w:rsid w:val="00FC5C1A"/>
    <w:rsid w:val="00FC5D48"/>
    <w:rsid w:val="00FC751A"/>
    <w:rsid w:val="00FD0A07"/>
    <w:rsid w:val="00FD0F69"/>
    <w:rsid w:val="00FD1490"/>
    <w:rsid w:val="00FD6052"/>
    <w:rsid w:val="00FD71B1"/>
    <w:rsid w:val="00FE04C4"/>
    <w:rsid w:val="00FE0938"/>
    <w:rsid w:val="00FE0C24"/>
    <w:rsid w:val="00FE22B0"/>
    <w:rsid w:val="00FE2B9B"/>
    <w:rsid w:val="00FE6E59"/>
    <w:rsid w:val="00FE6E67"/>
    <w:rsid w:val="00FF17AC"/>
    <w:rsid w:val="00FF1D02"/>
    <w:rsid w:val="00FF2A96"/>
    <w:rsid w:val="00FF306B"/>
    <w:rsid w:val="00FF4262"/>
    <w:rsid w:val="00FF64D3"/>
    <w:rsid w:val="00FF6919"/>
    <w:rsid w:val="00FF71FD"/>
    <w:rsid w:val="018D4D8B"/>
    <w:rsid w:val="01CE0CC4"/>
    <w:rsid w:val="02494520"/>
    <w:rsid w:val="03545522"/>
    <w:rsid w:val="03A0220E"/>
    <w:rsid w:val="04837950"/>
    <w:rsid w:val="04E100E2"/>
    <w:rsid w:val="05F97E20"/>
    <w:rsid w:val="08A77385"/>
    <w:rsid w:val="093A1FEB"/>
    <w:rsid w:val="09ED7B9B"/>
    <w:rsid w:val="0B3027E5"/>
    <w:rsid w:val="0BF6023B"/>
    <w:rsid w:val="0BF87840"/>
    <w:rsid w:val="0CF83475"/>
    <w:rsid w:val="0D82232A"/>
    <w:rsid w:val="0D8A269A"/>
    <w:rsid w:val="0E112789"/>
    <w:rsid w:val="0E7D56EA"/>
    <w:rsid w:val="0ED53D4E"/>
    <w:rsid w:val="0F6567F4"/>
    <w:rsid w:val="0FC450F7"/>
    <w:rsid w:val="0FCD65AD"/>
    <w:rsid w:val="102E2AAA"/>
    <w:rsid w:val="1038510C"/>
    <w:rsid w:val="10787AF5"/>
    <w:rsid w:val="107C1EDF"/>
    <w:rsid w:val="10910BDD"/>
    <w:rsid w:val="10E3104E"/>
    <w:rsid w:val="11B86CE7"/>
    <w:rsid w:val="11CC229E"/>
    <w:rsid w:val="12286E83"/>
    <w:rsid w:val="141244A9"/>
    <w:rsid w:val="147B4342"/>
    <w:rsid w:val="15E41115"/>
    <w:rsid w:val="170236F8"/>
    <w:rsid w:val="17F8711D"/>
    <w:rsid w:val="18733031"/>
    <w:rsid w:val="1938108A"/>
    <w:rsid w:val="19DC2839"/>
    <w:rsid w:val="19DD1868"/>
    <w:rsid w:val="19DE0442"/>
    <w:rsid w:val="1A785927"/>
    <w:rsid w:val="1B5951D6"/>
    <w:rsid w:val="1B970846"/>
    <w:rsid w:val="1BF75023"/>
    <w:rsid w:val="1CE976DC"/>
    <w:rsid w:val="1DD97C85"/>
    <w:rsid w:val="1E380C03"/>
    <w:rsid w:val="1E403484"/>
    <w:rsid w:val="1E8339C3"/>
    <w:rsid w:val="1E843B82"/>
    <w:rsid w:val="1F4E19BE"/>
    <w:rsid w:val="1FC451E2"/>
    <w:rsid w:val="20D243C3"/>
    <w:rsid w:val="212E48B5"/>
    <w:rsid w:val="222728ED"/>
    <w:rsid w:val="22577A8F"/>
    <w:rsid w:val="229630FF"/>
    <w:rsid w:val="2354517E"/>
    <w:rsid w:val="24211192"/>
    <w:rsid w:val="264C5B57"/>
    <w:rsid w:val="270D459A"/>
    <w:rsid w:val="275E609C"/>
    <w:rsid w:val="27983313"/>
    <w:rsid w:val="27E30039"/>
    <w:rsid w:val="28C77F98"/>
    <w:rsid w:val="292620AD"/>
    <w:rsid w:val="29734254"/>
    <w:rsid w:val="29FF5B5D"/>
    <w:rsid w:val="2A9657C0"/>
    <w:rsid w:val="2AE35478"/>
    <w:rsid w:val="2EAB2FB5"/>
    <w:rsid w:val="2EFC27EA"/>
    <w:rsid w:val="2F1B602B"/>
    <w:rsid w:val="2F2B2C0C"/>
    <w:rsid w:val="30CE650F"/>
    <w:rsid w:val="315B683E"/>
    <w:rsid w:val="33952891"/>
    <w:rsid w:val="33D45371"/>
    <w:rsid w:val="344D0F52"/>
    <w:rsid w:val="3495225E"/>
    <w:rsid w:val="34E66ADC"/>
    <w:rsid w:val="34F22B78"/>
    <w:rsid w:val="3523755E"/>
    <w:rsid w:val="352763C1"/>
    <w:rsid w:val="35781FCC"/>
    <w:rsid w:val="361F16EC"/>
    <w:rsid w:val="36D00D3C"/>
    <w:rsid w:val="373134D9"/>
    <w:rsid w:val="381E1B2E"/>
    <w:rsid w:val="3830152F"/>
    <w:rsid w:val="38565E57"/>
    <w:rsid w:val="38C46DE2"/>
    <w:rsid w:val="39401E50"/>
    <w:rsid w:val="3955612F"/>
    <w:rsid w:val="39E1261C"/>
    <w:rsid w:val="3B197E93"/>
    <w:rsid w:val="3C1828B5"/>
    <w:rsid w:val="3C5661D4"/>
    <w:rsid w:val="3D9759B3"/>
    <w:rsid w:val="3DA06EF1"/>
    <w:rsid w:val="3DC60D66"/>
    <w:rsid w:val="3E7954C9"/>
    <w:rsid w:val="3E7E565D"/>
    <w:rsid w:val="41E11A9A"/>
    <w:rsid w:val="42033A2F"/>
    <w:rsid w:val="42B56B65"/>
    <w:rsid w:val="42EE03E6"/>
    <w:rsid w:val="432C580D"/>
    <w:rsid w:val="438023E1"/>
    <w:rsid w:val="443E0938"/>
    <w:rsid w:val="44936E77"/>
    <w:rsid w:val="44A90D46"/>
    <w:rsid w:val="44D41630"/>
    <w:rsid w:val="44E239FE"/>
    <w:rsid w:val="4557474C"/>
    <w:rsid w:val="45B92952"/>
    <w:rsid w:val="46C900BA"/>
    <w:rsid w:val="470A230D"/>
    <w:rsid w:val="48BF30B0"/>
    <w:rsid w:val="48D017AD"/>
    <w:rsid w:val="4A203E98"/>
    <w:rsid w:val="4BD729A6"/>
    <w:rsid w:val="4BD73FEC"/>
    <w:rsid w:val="4CF60ECC"/>
    <w:rsid w:val="4D574027"/>
    <w:rsid w:val="4E213562"/>
    <w:rsid w:val="4E521CD2"/>
    <w:rsid w:val="4E866ADB"/>
    <w:rsid w:val="4F351CEE"/>
    <w:rsid w:val="4F7A058E"/>
    <w:rsid w:val="4F9A4720"/>
    <w:rsid w:val="50154505"/>
    <w:rsid w:val="506916E7"/>
    <w:rsid w:val="51664E84"/>
    <w:rsid w:val="51756383"/>
    <w:rsid w:val="51F44927"/>
    <w:rsid w:val="51FD16B4"/>
    <w:rsid w:val="53746F96"/>
    <w:rsid w:val="53B62B72"/>
    <w:rsid w:val="54EC49C3"/>
    <w:rsid w:val="574C7AEE"/>
    <w:rsid w:val="57616E6D"/>
    <w:rsid w:val="577F3F22"/>
    <w:rsid w:val="57AD4027"/>
    <w:rsid w:val="57F20B2A"/>
    <w:rsid w:val="58FB326D"/>
    <w:rsid w:val="5A1C4040"/>
    <w:rsid w:val="5BE714D8"/>
    <w:rsid w:val="5C28712D"/>
    <w:rsid w:val="5C933DBF"/>
    <w:rsid w:val="5D0E4BD9"/>
    <w:rsid w:val="5E321AB8"/>
    <w:rsid w:val="5E7972C5"/>
    <w:rsid w:val="5EA410AC"/>
    <w:rsid w:val="5EF16340"/>
    <w:rsid w:val="5F127B94"/>
    <w:rsid w:val="5FA54C6C"/>
    <w:rsid w:val="5FBB7B91"/>
    <w:rsid w:val="60713545"/>
    <w:rsid w:val="60AE0C82"/>
    <w:rsid w:val="60D2475F"/>
    <w:rsid w:val="61704591"/>
    <w:rsid w:val="62F17475"/>
    <w:rsid w:val="62FF23F5"/>
    <w:rsid w:val="63656D4A"/>
    <w:rsid w:val="648A4ED2"/>
    <w:rsid w:val="64F77D1A"/>
    <w:rsid w:val="66586F8B"/>
    <w:rsid w:val="672364AD"/>
    <w:rsid w:val="672474DB"/>
    <w:rsid w:val="6AFE7BA1"/>
    <w:rsid w:val="6B534B96"/>
    <w:rsid w:val="6C1A4777"/>
    <w:rsid w:val="6C7D7F8C"/>
    <w:rsid w:val="6CC25257"/>
    <w:rsid w:val="6CED177C"/>
    <w:rsid w:val="6F265E86"/>
    <w:rsid w:val="6F64138A"/>
    <w:rsid w:val="70290A71"/>
    <w:rsid w:val="72683B04"/>
    <w:rsid w:val="73251B53"/>
    <w:rsid w:val="75483D66"/>
    <w:rsid w:val="75E516CB"/>
    <w:rsid w:val="765D3A62"/>
    <w:rsid w:val="76C34A4D"/>
    <w:rsid w:val="773601B7"/>
    <w:rsid w:val="7802440A"/>
    <w:rsid w:val="78216DD8"/>
    <w:rsid w:val="7A3F2B4C"/>
    <w:rsid w:val="7A8B5CA8"/>
    <w:rsid w:val="7ABC1B0A"/>
    <w:rsid w:val="7AEE5391"/>
    <w:rsid w:val="7B365E5F"/>
    <w:rsid w:val="7CF75688"/>
    <w:rsid w:val="7D076108"/>
    <w:rsid w:val="7DC533BA"/>
    <w:rsid w:val="7EF66D57"/>
    <w:rsid w:val="7F2F3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7"/>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8"/>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4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styleId="12">
    <w:name w:val="Normal Indent"/>
    <w:basedOn w:val="1"/>
    <w:qFormat/>
    <w:uiPriority w:val="0"/>
    <w:pPr>
      <w:ind w:firstLine="420"/>
    </w:pPr>
  </w:style>
  <w:style w:type="paragraph" w:styleId="13">
    <w:name w:val="Body Text 3"/>
    <w:basedOn w:val="1"/>
    <w:link w:val="51"/>
    <w:qFormat/>
    <w:uiPriority w:val="0"/>
    <w:rPr>
      <w:rFonts w:ascii="黑体" w:hAnsi="Arial" w:eastAsia="黑体"/>
      <w:b/>
      <w:kern w:val="0"/>
    </w:rPr>
  </w:style>
  <w:style w:type="paragraph" w:styleId="14">
    <w:name w:val="Body Text Indent"/>
    <w:basedOn w:val="1"/>
    <w:link w:val="54"/>
    <w:semiHidden/>
    <w:unhideWhenUsed/>
    <w:qFormat/>
    <w:uiPriority w:val="99"/>
    <w:pPr>
      <w:spacing w:after="120"/>
      <w:ind w:left="420" w:leftChars="200"/>
    </w:pPr>
  </w:style>
  <w:style w:type="paragraph" w:styleId="1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6"/>
    <w:qFormat/>
    <w:uiPriority w:val="0"/>
    <w:rPr>
      <w:rFonts w:ascii="宋体" w:hAnsi="Courier New" w:cs="Courier New"/>
      <w:kern w:val="0"/>
      <w:sz w:val="20"/>
      <w:szCs w:val="21"/>
    </w:rPr>
  </w:style>
  <w:style w:type="paragraph" w:styleId="17">
    <w:name w:val="Balloon Text"/>
    <w:basedOn w:val="1"/>
    <w:link w:val="53"/>
    <w:semiHidden/>
    <w:unhideWhenUsed/>
    <w:qFormat/>
    <w:uiPriority w:val="99"/>
    <w:rPr>
      <w:sz w:val="18"/>
      <w:szCs w:val="18"/>
    </w:rPr>
  </w:style>
  <w:style w:type="paragraph" w:styleId="18">
    <w:name w:val="footer"/>
    <w:basedOn w:val="1"/>
    <w:link w:val="56"/>
    <w:unhideWhenUsed/>
    <w:qFormat/>
    <w:uiPriority w:val="99"/>
    <w:pPr>
      <w:tabs>
        <w:tab w:val="center" w:pos="4153"/>
        <w:tab w:val="right" w:pos="8306"/>
      </w:tabs>
      <w:snapToGrid w:val="0"/>
      <w:jc w:val="left"/>
    </w:pPr>
    <w:rPr>
      <w:sz w:val="18"/>
      <w:szCs w:val="18"/>
    </w:rPr>
  </w:style>
  <w:style w:type="paragraph" w:styleId="19">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Body Text 2"/>
    <w:basedOn w:val="1"/>
    <w:unhideWhenUsed/>
    <w:qFormat/>
    <w:uiPriority w:val="99"/>
    <w:pPr>
      <w:spacing w:line="480" w:lineRule="auto"/>
    </w:pPr>
  </w:style>
  <w:style w:type="paragraph" w:styleId="2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5">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basedOn w:val="28"/>
    <w:qFormat/>
    <w:uiPriority w:val="0"/>
  </w:style>
  <w:style w:type="character" w:styleId="31">
    <w:name w:val="FollowedHyperlink"/>
    <w:basedOn w:val="28"/>
    <w:semiHidden/>
    <w:unhideWhenUsed/>
    <w:qFormat/>
    <w:uiPriority w:val="99"/>
    <w:rPr>
      <w:color w:val="0D203D"/>
      <w:u w:val="none"/>
    </w:rPr>
  </w:style>
  <w:style w:type="character" w:styleId="32">
    <w:name w:val="Emphasis"/>
    <w:qFormat/>
    <w:uiPriority w:val="0"/>
    <w:rPr>
      <w:rFonts w:hint="default" w:ascii="Times New Roman" w:hAnsi="Times New Roman" w:cs="Times New Roman"/>
    </w:rPr>
  </w:style>
  <w:style w:type="character" w:styleId="33">
    <w:name w:val="Hyperlink"/>
    <w:qFormat/>
    <w:uiPriority w:val="99"/>
    <w:rPr>
      <w:color w:val="0000FF"/>
      <w:u w:val="single"/>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1 字符"/>
    <w:link w:val="3"/>
    <w:qFormat/>
    <w:uiPriority w:val="0"/>
    <w:rPr>
      <w:rFonts w:ascii="Times New Roman" w:hAnsi="Times New Roman"/>
      <w:b/>
      <w:bCs/>
      <w:kern w:val="44"/>
      <w:sz w:val="36"/>
      <w:szCs w:val="44"/>
      <w:lang w:val="zh-CN" w:eastAsia="zh-CN"/>
    </w:rPr>
  </w:style>
  <w:style w:type="character" w:customStyle="1" w:styleId="36">
    <w:name w:val="标题 2 字符"/>
    <w:link w:val="4"/>
    <w:qFormat/>
    <w:uiPriority w:val="0"/>
    <w:rPr>
      <w:rFonts w:ascii="Arial" w:hAnsi="Arial" w:eastAsia="黑体"/>
      <w:b/>
      <w:bCs/>
      <w:sz w:val="32"/>
      <w:szCs w:val="32"/>
      <w:lang w:val="zh-CN" w:eastAsia="zh-CN"/>
    </w:rPr>
  </w:style>
  <w:style w:type="character" w:customStyle="1" w:styleId="37">
    <w:name w:val="标题 3 字符"/>
    <w:link w:val="5"/>
    <w:qFormat/>
    <w:uiPriority w:val="0"/>
    <w:rPr>
      <w:rFonts w:ascii="Times New Roman" w:hAnsi="Times New Roman"/>
      <w:b/>
      <w:bCs/>
      <w:sz w:val="32"/>
      <w:szCs w:val="32"/>
    </w:rPr>
  </w:style>
  <w:style w:type="character" w:customStyle="1" w:styleId="38">
    <w:name w:val="标题 4 字符"/>
    <w:link w:val="6"/>
    <w:qFormat/>
    <w:uiPriority w:val="0"/>
    <w:rPr>
      <w:rFonts w:ascii="仿宋_GB2312" w:hAnsi="Times New Roman" w:eastAsia="仿宋_GB2312"/>
      <w:sz w:val="28"/>
      <w:szCs w:val="24"/>
    </w:rPr>
  </w:style>
  <w:style w:type="character" w:customStyle="1" w:styleId="39">
    <w:name w:val="标题 5 字符"/>
    <w:link w:val="7"/>
    <w:qFormat/>
    <w:uiPriority w:val="0"/>
    <w:rPr>
      <w:rFonts w:ascii="宋体" w:hAnsi="宋体"/>
      <w:b/>
      <w:kern w:val="21"/>
      <w:sz w:val="28"/>
      <w:lang w:eastAsia="ar-SA"/>
    </w:rPr>
  </w:style>
  <w:style w:type="character" w:customStyle="1" w:styleId="40">
    <w:name w:val="标题 6 字符"/>
    <w:link w:val="8"/>
    <w:qFormat/>
    <w:uiPriority w:val="0"/>
    <w:rPr>
      <w:rFonts w:ascii="Arial" w:hAnsi="Arial" w:eastAsia="黑体"/>
      <w:b/>
      <w:kern w:val="21"/>
      <w:sz w:val="24"/>
      <w:lang w:eastAsia="ar-SA"/>
    </w:rPr>
  </w:style>
  <w:style w:type="character" w:customStyle="1" w:styleId="41">
    <w:name w:val="标题 7 字符"/>
    <w:link w:val="9"/>
    <w:qFormat/>
    <w:uiPriority w:val="0"/>
    <w:rPr>
      <w:rFonts w:ascii="宋体" w:hAnsi="宋体"/>
      <w:b/>
      <w:kern w:val="21"/>
      <w:sz w:val="24"/>
      <w:lang w:eastAsia="ar-SA"/>
    </w:rPr>
  </w:style>
  <w:style w:type="character" w:customStyle="1" w:styleId="42">
    <w:name w:val="标题 8 字符"/>
    <w:link w:val="10"/>
    <w:qFormat/>
    <w:uiPriority w:val="0"/>
    <w:rPr>
      <w:rFonts w:ascii="Arial" w:hAnsi="Arial" w:eastAsia="黑体"/>
      <w:kern w:val="21"/>
      <w:sz w:val="24"/>
      <w:lang w:eastAsia="ar-SA"/>
    </w:rPr>
  </w:style>
  <w:style w:type="character" w:customStyle="1" w:styleId="43">
    <w:name w:val="标题 9 字符"/>
    <w:link w:val="11"/>
    <w:qFormat/>
    <w:uiPriority w:val="0"/>
    <w:rPr>
      <w:rFonts w:ascii="Arial" w:hAnsi="Arial" w:eastAsia="黑体"/>
      <w:kern w:val="21"/>
      <w:sz w:val="21"/>
      <w:lang w:eastAsia="ar-SA"/>
    </w:rPr>
  </w:style>
  <w:style w:type="character" w:customStyle="1" w:styleId="44">
    <w:name w:val="标题 字符"/>
    <w:link w:val="25"/>
    <w:qFormat/>
    <w:uiPriority w:val="99"/>
    <w:rPr>
      <w:rFonts w:ascii="Cambria" w:hAnsi="Cambria" w:eastAsia="方正小标宋简体"/>
      <w:b/>
      <w:bCs/>
      <w:sz w:val="44"/>
      <w:szCs w:val="32"/>
    </w:rPr>
  </w:style>
  <w:style w:type="character" w:customStyle="1" w:styleId="45">
    <w:name w:val="副标题 字符"/>
    <w:link w:val="21"/>
    <w:qFormat/>
    <w:uiPriority w:val="0"/>
    <w:rPr>
      <w:rFonts w:ascii="Cambria" w:hAnsi="Cambria" w:eastAsia="方正楷体简体"/>
      <w:bCs/>
      <w:kern w:val="28"/>
      <w:szCs w:val="32"/>
    </w:rPr>
  </w:style>
  <w:style w:type="character" w:customStyle="1" w:styleId="46">
    <w:name w:val="纯文本 字符"/>
    <w:link w:val="16"/>
    <w:qFormat/>
    <w:uiPriority w:val="99"/>
    <w:rPr>
      <w:rFonts w:ascii="宋体" w:hAnsi="Courier New" w:cs="Courier New"/>
      <w:szCs w:val="21"/>
    </w:rPr>
  </w:style>
  <w:style w:type="paragraph" w:styleId="47">
    <w:name w:val="No Spacing"/>
    <w:link w:val="48"/>
    <w:qFormat/>
    <w:uiPriority w:val="0"/>
    <w:rPr>
      <w:rFonts w:ascii="Calibri" w:hAnsi="Calibri" w:eastAsia="宋体" w:cs="Times New Roman"/>
      <w:sz w:val="22"/>
      <w:lang w:val="en-US" w:eastAsia="zh-CN" w:bidi="ar-SA"/>
    </w:rPr>
  </w:style>
  <w:style w:type="character" w:customStyle="1" w:styleId="48">
    <w:name w:val="无间隔 字符"/>
    <w:link w:val="47"/>
    <w:qFormat/>
    <w:uiPriority w:val="0"/>
    <w:rPr>
      <w:sz w:val="22"/>
    </w:rPr>
  </w:style>
  <w:style w:type="paragraph" w:styleId="49">
    <w:name w:val="List Paragraph"/>
    <w:basedOn w:val="1"/>
    <w:qFormat/>
    <w:uiPriority w:val="34"/>
    <w:pPr>
      <w:ind w:firstLine="420" w:firstLineChars="200"/>
    </w:pPr>
    <w:rPr>
      <w:szCs w:val="21"/>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1">
    <w:name w:val="正文文本 3 字符"/>
    <w:link w:val="13"/>
    <w:qFormat/>
    <w:uiPriority w:val="0"/>
    <w:rPr>
      <w:rFonts w:ascii="黑体" w:hAnsi="Arial" w:eastAsia="黑体"/>
      <w:b/>
      <w:sz w:val="28"/>
    </w:rPr>
  </w:style>
  <w:style w:type="character" w:customStyle="1" w:styleId="52">
    <w:name w:val="正文文本 3 Char1"/>
    <w:basedOn w:val="28"/>
    <w:semiHidden/>
    <w:qFormat/>
    <w:uiPriority w:val="99"/>
    <w:rPr>
      <w:rFonts w:ascii="Times New Roman" w:hAnsi="Times New Roman"/>
      <w:kern w:val="2"/>
      <w:sz w:val="16"/>
      <w:szCs w:val="16"/>
    </w:rPr>
  </w:style>
  <w:style w:type="character" w:customStyle="1" w:styleId="53">
    <w:name w:val="批注框文本 字符"/>
    <w:basedOn w:val="28"/>
    <w:link w:val="17"/>
    <w:semiHidden/>
    <w:qFormat/>
    <w:uiPriority w:val="99"/>
    <w:rPr>
      <w:rFonts w:ascii="Times New Roman" w:hAnsi="Times New Roman"/>
      <w:kern w:val="2"/>
      <w:sz w:val="18"/>
      <w:szCs w:val="18"/>
    </w:rPr>
  </w:style>
  <w:style w:type="character" w:customStyle="1" w:styleId="54">
    <w:name w:val="正文文本缩进 字符"/>
    <w:basedOn w:val="28"/>
    <w:link w:val="14"/>
    <w:semiHidden/>
    <w:qFormat/>
    <w:uiPriority w:val="99"/>
    <w:rPr>
      <w:rFonts w:ascii="Times New Roman" w:hAnsi="Times New Roman"/>
      <w:kern w:val="2"/>
      <w:sz w:val="28"/>
    </w:rPr>
  </w:style>
  <w:style w:type="character" w:customStyle="1" w:styleId="55">
    <w:name w:val="页眉 字符"/>
    <w:basedOn w:val="28"/>
    <w:link w:val="19"/>
    <w:qFormat/>
    <w:uiPriority w:val="99"/>
    <w:rPr>
      <w:rFonts w:ascii="Times New Roman" w:hAnsi="Times New Roman"/>
      <w:kern w:val="2"/>
      <w:sz w:val="18"/>
      <w:szCs w:val="18"/>
    </w:rPr>
  </w:style>
  <w:style w:type="character" w:customStyle="1" w:styleId="56">
    <w:name w:val="页脚 字符"/>
    <w:basedOn w:val="28"/>
    <w:link w:val="18"/>
    <w:qFormat/>
    <w:uiPriority w:val="99"/>
    <w:rPr>
      <w:rFonts w:ascii="Times New Roman" w:hAnsi="Times New Roman"/>
      <w:kern w:val="2"/>
      <w:sz w:val="18"/>
      <w:szCs w:val="18"/>
    </w:rPr>
  </w:style>
  <w:style w:type="paragraph" w:customStyle="1" w:styleId="5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纯文本1"/>
    <w:basedOn w:val="1"/>
    <w:qFormat/>
    <w:uiPriority w:val="0"/>
    <w:rPr>
      <w:rFonts w:ascii="宋体" w:hAnsi="Courier New"/>
    </w:rPr>
  </w:style>
  <w:style w:type="character" w:customStyle="1" w:styleId="59">
    <w:name w:val="纯文本 Char"/>
    <w:qFormat/>
    <w:uiPriority w:val="0"/>
    <w:rPr>
      <w:rFonts w:ascii="宋体" w:hAnsi="Courier New" w:eastAsia="宋体" w:cs="Courier New"/>
      <w:szCs w:val="21"/>
    </w:rPr>
  </w:style>
  <w:style w:type="paragraph" w:customStyle="1" w:styleId="60">
    <w:name w:val="Body Text 21"/>
    <w:basedOn w:val="1"/>
    <w:qFormat/>
    <w:uiPriority w:val="0"/>
    <w:pPr>
      <w:spacing w:after="120" w:line="480" w:lineRule="auto"/>
    </w:pPr>
    <w:rPr>
      <w:rFonts w:ascii="Calibri" w:hAnsi="Calibri"/>
    </w:rPr>
  </w:style>
  <w:style w:type="paragraph" w:customStyle="1" w:styleId="6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customStyle="1" w:styleId="62">
    <w:name w:val="Normal_1"/>
    <w:qFormat/>
    <w:uiPriority w:val="0"/>
    <w:rPr>
      <w:rFonts w:asciiTheme="minorHAnsi" w:hAnsiTheme="minorHAnsi" w:eastAsiaTheme="minorEastAsia" w:cstheme="minorBidi"/>
      <w:sz w:val="24"/>
      <w:szCs w:val="24"/>
      <w:lang w:val="en-US" w:eastAsia="zh-CN" w:bidi="ar-SA"/>
    </w:rPr>
  </w:style>
  <w:style w:type="paragraph" w:customStyle="1" w:styleId="63">
    <w:name w:val="Body text|1"/>
    <w:basedOn w:val="1"/>
    <w:qFormat/>
    <w:uiPriority w:val="0"/>
    <w:pPr>
      <w:widowControl w:val="0"/>
      <w:shd w:val="clear" w:color="auto" w:fill="auto"/>
      <w:spacing w:line="425" w:lineRule="auto"/>
      <w:ind w:firstLine="400"/>
    </w:pPr>
    <w:rPr>
      <w:rFonts w:ascii="宋体" w:hAnsi="宋体" w:eastAsia="宋体" w:cs="宋体"/>
      <w:color w:val="231E20"/>
      <w:sz w:val="30"/>
      <w:szCs w:val="30"/>
      <w:u w:val="none"/>
      <w:shd w:val="clear" w:color="auto" w:fill="auto"/>
      <w:lang w:val="zh-TW" w:eastAsia="zh-TW" w:bidi="zh-TW"/>
    </w:rPr>
  </w:style>
  <w:style w:type="paragraph" w:customStyle="1" w:styleId="64">
    <w:name w:val="Heading #2|1"/>
    <w:basedOn w:val="1"/>
    <w:qFormat/>
    <w:uiPriority w:val="0"/>
    <w:pPr>
      <w:widowControl w:val="0"/>
      <w:shd w:val="clear" w:color="auto" w:fill="auto"/>
      <w:spacing w:after="900" w:line="617"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65">
    <w:name w:val="Body text|3"/>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66">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86A04-244A-41B2-874D-FFD6E37C200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60</Pages>
  <Words>4512</Words>
  <Characters>25720</Characters>
  <Lines>214</Lines>
  <Paragraphs>60</Paragraphs>
  <TotalTime>52</TotalTime>
  <ScaleCrop>false</ScaleCrop>
  <LinksUpToDate>false</LinksUpToDate>
  <CharactersWithSpaces>30172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2020-02-25T14:03:00Z</dcterms:created>
  <dc:creator>Administrator</dc:creator>
  <cp:lastModifiedBy>♔ ゛S</cp:lastModifiedBy>
  <cp:lastPrinted>2020-04-02T08:54:00Z</cp:lastPrinted>
  <dcterms:modified xsi:type="dcterms:W3CDTF">2020-04-03T01:52:45Z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