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color w:val="000000"/>
          <w:spacing w:val="36"/>
          <w:w w:val="66"/>
          <w:sz w:val="72"/>
          <w:szCs w:val="72"/>
        </w:rPr>
      </w:pPr>
    </w:p>
    <w:p>
      <w:pPr>
        <w:tabs>
          <w:tab w:val="left" w:pos="420"/>
        </w:tabs>
        <w:spacing w:line="360" w:lineRule="auto"/>
        <w:jc w:val="center"/>
        <w:rPr>
          <w:rFonts w:ascii="宋体" w:hAnsi="宋体"/>
          <w:b/>
          <w:bCs/>
          <w:color w:val="000000"/>
          <w:spacing w:val="36"/>
          <w:w w:val="66"/>
          <w:sz w:val="72"/>
          <w:szCs w:val="72"/>
        </w:rPr>
      </w:pPr>
      <w:r>
        <w:rPr>
          <w:rFonts w:hint="eastAsia" w:ascii="宋体" w:hAnsi="宋体"/>
          <w:b/>
          <w:bCs/>
          <w:color w:val="000000"/>
          <w:spacing w:val="36"/>
          <w:w w:val="66"/>
          <w:sz w:val="72"/>
          <w:szCs w:val="72"/>
        </w:rPr>
        <w:t>鄂尔多斯市鄂托克前旗公共资源交易中心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72"/>
          <w:szCs w:val="72"/>
        </w:rPr>
        <w:t>磋 商 文 件</w:t>
      </w:r>
    </w:p>
    <w:p>
      <w:pPr>
        <w:tabs>
          <w:tab w:val="left" w:pos="315"/>
          <w:tab w:val="left" w:pos="8820"/>
        </w:tabs>
        <w:spacing w:line="360" w:lineRule="auto"/>
        <w:ind w:right="356" w:rightChars="127"/>
        <w:rPr>
          <w:rFonts w:ascii="宋体" w:hAnsi="宋体"/>
          <w:b/>
          <w:color w:val="000000"/>
          <w:kern w:val="0"/>
          <w:szCs w:val="28"/>
          <w:lang w:val="zh-CN"/>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宋体" w:hAnsi="宋体"/>
          <w:color w:val="000000"/>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before="312" w:beforeLines="100" w:after="156" w:afterLines="50" w:line="360" w:lineRule="auto"/>
        <w:ind w:right="356" w:rightChars="127"/>
        <w:jc w:val="center"/>
        <w:rPr>
          <w:rFonts w:ascii="宋体" w:hAnsi="宋体"/>
          <w:b/>
          <w:color w:val="000000"/>
          <w:szCs w:val="28"/>
        </w:rPr>
      </w:pPr>
      <w:r>
        <w:rPr>
          <w:rFonts w:hint="eastAsia" w:ascii="宋体" w:hAnsi="宋体"/>
          <w:b/>
          <w:color w:val="000000"/>
          <w:szCs w:val="28"/>
        </w:rPr>
        <w:t>2020年服务类</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p>
    <w:p>
      <w:pPr>
        <w:pStyle w:val="13"/>
        <w:spacing w:line="360" w:lineRule="auto"/>
        <w:ind w:left="2476" w:leftChars="337" w:hanging="1532" w:hangingChars="545"/>
        <w:rPr>
          <w:rFonts w:ascii="宋体" w:hAnsi="宋体" w:eastAsia="宋体"/>
          <w:color w:val="000000"/>
          <w:szCs w:val="28"/>
        </w:rPr>
      </w:pPr>
      <w:r>
        <w:rPr>
          <w:rFonts w:hint="eastAsia" w:ascii="宋体" w:hAnsi="宋体" w:eastAsia="宋体"/>
          <w:color w:val="000000"/>
          <w:szCs w:val="28"/>
        </w:rPr>
        <w:t>项目名称：鄂托克前旗人民法院采购审判楼物业服务及餐厅代管服务项目及餐厅代管服务项目</w:t>
      </w:r>
    </w:p>
    <w:p>
      <w:pPr>
        <w:pStyle w:val="13"/>
        <w:spacing w:line="360" w:lineRule="auto"/>
        <w:ind w:left="2335" w:leftChars="337" w:hanging="1391" w:hangingChars="495"/>
        <w:rPr>
          <w:rFonts w:ascii="宋体" w:hAnsi="宋体" w:eastAsia="宋体"/>
          <w:color w:val="000000"/>
          <w:szCs w:val="28"/>
        </w:rPr>
      </w:pPr>
      <w:r>
        <w:rPr>
          <w:rFonts w:hint="eastAsia" w:ascii="宋体" w:hAnsi="宋体" w:eastAsia="宋体"/>
          <w:color w:val="000000"/>
          <w:szCs w:val="28"/>
        </w:rPr>
        <w:t>项目编号：</w:t>
      </w:r>
      <w:r>
        <w:rPr>
          <w:rFonts w:hint="eastAsia" w:ascii="宋体" w:hAnsi="宋体" w:eastAsia="宋体"/>
          <w:color w:val="000000"/>
          <w:szCs w:val="28"/>
          <w:lang w:eastAsia="zh-CN"/>
        </w:rPr>
        <w:t>CG2020FCS078</w:t>
      </w:r>
      <w:r>
        <w:rPr>
          <w:rFonts w:hint="eastAsia" w:ascii="宋体" w:hAnsi="宋体" w:eastAsia="宋体"/>
          <w:color w:val="000000"/>
          <w:szCs w:val="28"/>
        </w:rPr>
        <w:t xml:space="preserve"> </w:t>
      </w:r>
    </w:p>
    <w:p>
      <w:pPr>
        <w:pStyle w:val="13"/>
        <w:spacing w:line="360" w:lineRule="auto"/>
        <w:rPr>
          <w:rFonts w:ascii="宋体" w:hAnsi="宋体" w:eastAsia="宋体"/>
          <w:color w:val="000000"/>
          <w:szCs w:val="28"/>
        </w:rPr>
      </w:pPr>
    </w:p>
    <w:p>
      <w:pPr>
        <w:jc w:val="center"/>
        <w:rPr>
          <w:rFonts w:ascii="宋体" w:hAnsi="宋体"/>
          <w:color w:val="000000"/>
          <w:szCs w:val="28"/>
        </w:rPr>
      </w:pPr>
      <w:r>
        <w:rPr>
          <w:rFonts w:hint="eastAsia" w:ascii="宋体" w:hAnsi="宋体"/>
          <w:color w:val="000000"/>
          <w:szCs w:val="28"/>
          <w:lang w:eastAsia="zh-CN"/>
        </w:rPr>
        <w:t>2020年03月19日</w:t>
      </w:r>
      <w:r>
        <w:rPr>
          <w:rFonts w:ascii="宋体" w:hAnsi="宋体"/>
          <w:color w:val="000000"/>
          <w:szCs w:val="28"/>
        </w:rPr>
        <w:br w:type="page"/>
      </w:r>
    </w:p>
    <w:p>
      <w:pPr>
        <w:pStyle w:val="47"/>
        <w:keepNext w:val="0"/>
        <w:keepLines w:val="0"/>
        <w:spacing w:before="0" w:line="360" w:lineRule="auto"/>
        <w:jc w:val="center"/>
        <w:rPr>
          <w:rFonts w:ascii="宋体" w:hAnsi="宋体"/>
          <w:color w:val="000000"/>
        </w:rPr>
      </w:pPr>
      <w:r>
        <w:rPr>
          <w:rFonts w:hint="eastAsia" w:ascii="宋体" w:hAnsi="宋体"/>
          <w:color w:val="000000"/>
        </w:rPr>
        <w:t>目   录</w:t>
      </w:r>
    </w:p>
    <w:p>
      <w:pPr>
        <w:pStyle w:val="20"/>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"_Toc497408600" </w:instrText>
      </w:r>
      <w:r>
        <w:fldChar w:fldCharType="separate"/>
      </w:r>
      <w:r>
        <w:rPr>
          <w:rStyle w:val="30"/>
          <w:rFonts w:hint="eastAsia" w:ascii="宋体" w:hAnsi="宋体"/>
        </w:rPr>
        <w:t>第一章磋商公告</w:t>
      </w:r>
      <w:r>
        <w:tab/>
      </w:r>
      <w:r>
        <w:fldChar w:fldCharType="begin"/>
      </w:r>
      <w:r>
        <w:instrText xml:space="preserve"> PAGEREF _Toc497408600 \h </w:instrText>
      </w:r>
      <w:r>
        <w:fldChar w:fldCharType="separate"/>
      </w:r>
      <w:r>
        <w:t>2</w:t>
      </w:r>
      <w:r>
        <w:fldChar w:fldCharType="end"/>
      </w:r>
      <w:r>
        <w:fldChar w:fldCharType="end"/>
      </w:r>
    </w:p>
    <w:p>
      <w:pPr>
        <w:pStyle w:val="2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"_Toc497408601" </w:instrText>
      </w:r>
      <w:r>
        <w:fldChar w:fldCharType="separate"/>
      </w:r>
      <w:r>
        <w:rPr>
          <w:rStyle w:val="30"/>
          <w:rFonts w:hint="eastAsia" w:ascii="宋体" w:hAnsi="宋体"/>
        </w:rPr>
        <w:t>第二章供应商须知</w:t>
      </w:r>
      <w:r>
        <w:tab/>
      </w:r>
      <w:r>
        <w:fldChar w:fldCharType="begin"/>
      </w:r>
      <w:r>
        <w:instrText xml:space="preserve"> PAGEREF _Toc497408601 \h </w:instrText>
      </w:r>
      <w:r>
        <w:fldChar w:fldCharType="separate"/>
      </w:r>
      <w:r>
        <w:t>5</w:t>
      </w:r>
      <w:r>
        <w:fldChar w:fldCharType="end"/>
      </w:r>
      <w:r>
        <w:fldChar w:fldCharType="end"/>
      </w:r>
    </w:p>
    <w:p>
      <w:pPr>
        <w:pStyle w:val="2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"_Toc497408602" </w:instrText>
      </w:r>
      <w:r>
        <w:fldChar w:fldCharType="separate"/>
      </w:r>
      <w:r>
        <w:rPr>
          <w:rStyle w:val="30"/>
          <w:rFonts w:hint="eastAsia" w:ascii="宋体" w:hAnsi="宋体" w:cs="宋体"/>
        </w:rPr>
        <w:t>第三章合同与验收</w:t>
      </w:r>
      <w:r>
        <w:tab/>
      </w:r>
      <w:r>
        <w:fldChar w:fldCharType="begin"/>
      </w:r>
      <w:r>
        <w:instrText xml:space="preserve"> PAGEREF _Toc497408602 \h </w:instrText>
      </w:r>
      <w:r>
        <w:fldChar w:fldCharType="separate"/>
      </w:r>
      <w:r>
        <w:t>18</w:t>
      </w:r>
      <w:r>
        <w:fldChar w:fldCharType="end"/>
      </w:r>
      <w:r>
        <w:fldChar w:fldCharType="end"/>
      </w:r>
    </w:p>
    <w:p>
      <w:pPr>
        <w:pStyle w:val="2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"_Toc497408603" </w:instrText>
      </w:r>
      <w:r>
        <w:fldChar w:fldCharType="separate"/>
      </w:r>
      <w:r>
        <w:rPr>
          <w:rStyle w:val="30"/>
          <w:rFonts w:hint="eastAsia" w:ascii="宋体" w:hAnsi="宋体"/>
          <w:kern w:val="44"/>
          <w:lang w:val="zh-CN"/>
        </w:rPr>
        <w:t>第四章磋商内容与技术要求</w:t>
      </w:r>
      <w:r>
        <w:tab/>
      </w:r>
      <w:r>
        <w:fldChar w:fldCharType="begin"/>
      </w:r>
      <w:r>
        <w:instrText xml:space="preserve"> PAGEREF _Toc497408603 \h </w:instrText>
      </w:r>
      <w:r>
        <w:fldChar w:fldCharType="separate"/>
      </w:r>
      <w:r>
        <w:t>21</w:t>
      </w:r>
      <w:r>
        <w:fldChar w:fldCharType="end"/>
      </w:r>
      <w:r>
        <w:fldChar w:fldCharType="end"/>
      </w:r>
    </w:p>
    <w:p>
      <w:pPr>
        <w:pStyle w:val="2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"_Toc497408604" </w:instrText>
      </w:r>
      <w:r>
        <w:fldChar w:fldCharType="separate"/>
      </w:r>
      <w:r>
        <w:rPr>
          <w:rStyle w:val="30"/>
          <w:rFonts w:hint="eastAsia" w:ascii="宋体" w:hAnsi="宋体"/>
          <w:kern w:val="44"/>
          <w:lang w:val="zh-CN"/>
        </w:rPr>
        <w:t>第五章供应商资格证明及相关文件要求</w:t>
      </w:r>
      <w:r>
        <w:tab/>
      </w:r>
      <w:r>
        <w:fldChar w:fldCharType="begin"/>
      </w:r>
      <w:r>
        <w:instrText xml:space="preserve"> PAGEREF _Toc497408604 \h </w:instrText>
      </w:r>
      <w:r>
        <w:fldChar w:fldCharType="separate"/>
      </w:r>
      <w:r>
        <w:t>21</w:t>
      </w:r>
      <w:r>
        <w:fldChar w:fldCharType="end"/>
      </w:r>
      <w:r>
        <w:fldChar w:fldCharType="end"/>
      </w:r>
    </w:p>
    <w:p>
      <w:pPr>
        <w:pStyle w:val="2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"_Toc497408605" </w:instrText>
      </w:r>
      <w:r>
        <w:fldChar w:fldCharType="separate"/>
      </w:r>
      <w:r>
        <w:rPr>
          <w:rStyle w:val="30"/>
          <w:rFonts w:hint="eastAsia" w:ascii="宋体" w:hAnsi="宋体"/>
          <w:kern w:val="44"/>
          <w:lang w:val="zh-CN"/>
        </w:rPr>
        <w:t>第六章评标办法（综合评分）</w:t>
      </w:r>
      <w:r>
        <w:tab/>
      </w:r>
      <w:r>
        <w:fldChar w:fldCharType="begin"/>
      </w:r>
      <w:r>
        <w:instrText xml:space="preserve"> PAGEREF _Toc497408605 \h </w:instrText>
      </w:r>
      <w:r>
        <w:fldChar w:fldCharType="separate"/>
      </w:r>
      <w:r>
        <w:t>25</w:t>
      </w:r>
      <w:r>
        <w:fldChar w:fldCharType="end"/>
      </w:r>
      <w:r>
        <w:fldChar w:fldCharType="end"/>
      </w:r>
    </w:p>
    <w:p>
      <w:pPr>
        <w:pStyle w:val="2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"_Toc497408606" </w:instrText>
      </w:r>
      <w:r>
        <w:fldChar w:fldCharType="separate"/>
      </w:r>
      <w:r>
        <w:rPr>
          <w:rStyle w:val="30"/>
          <w:rFonts w:hint="eastAsia" w:ascii="宋体" w:hAnsi="宋体"/>
        </w:rPr>
        <w:t>第七章响应文件格式与要求</w:t>
      </w:r>
      <w:r>
        <w:tab/>
      </w:r>
      <w:r>
        <w:fldChar w:fldCharType="begin"/>
      </w:r>
      <w:r>
        <w:instrText xml:space="preserve"> PAGEREF _Toc497408606 \h </w:instrText>
      </w:r>
      <w:r>
        <w:fldChar w:fldCharType="separate"/>
      </w:r>
      <w:r>
        <w:rPr>
          <w:b/>
        </w:rPr>
        <w:t>错误！未定义书签。</w:t>
      </w:r>
      <w:r>
        <w:fldChar w:fldCharType="end"/>
      </w:r>
      <w:r>
        <w:fldChar w:fldCharType="end"/>
      </w:r>
    </w:p>
    <w:p>
      <w:pPr>
        <w:pStyle w:val="2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"_Toc497408607" </w:instrText>
      </w:r>
      <w:r>
        <w:fldChar w:fldCharType="separate"/>
      </w:r>
      <w:r>
        <w:rPr>
          <w:rStyle w:val="30"/>
          <w:rFonts w:hint="eastAsia" w:ascii="宋体" w:hAnsi="宋体"/>
          <w:lang w:val="zh-CN"/>
        </w:rPr>
        <w:t>温馨提示</w:t>
      </w:r>
      <w:r>
        <w:tab/>
      </w:r>
      <w:r>
        <w:fldChar w:fldCharType="begin"/>
      </w:r>
      <w:r>
        <w:instrText xml:space="preserve"> PAGEREF _Toc497408607 \h </w:instrText>
      </w:r>
      <w:r>
        <w:fldChar w:fldCharType="separate"/>
      </w:r>
      <w:r>
        <w:rPr>
          <w:b/>
        </w:rPr>
        <w:t>错误！未定义书签。</w:t>
      </w:r>
      <w:r>
        <w:fldChar w:fldCharType="end"/>
      </w:r>
      <w:r>
        <w:fldChar w:fldCharType="end"/>
      </w:r>
    </w:p>
    <w:p>
      <w:pPr>
        <w:outlineLvl w:val="0"/>
        <w:rPr>
          <w:rFonts w:ascii="宋体" w:hAnsi="宋体"/>
          <w:b/>
          <w:color w:val="000000"/>
          <w:szCs w:val="28"/>
        </w:rPr>
      </w:pPr>
      <w:r>
        <w:rPr>
          <w:rFonts w:ascii="宋体" w:hAnsi="宋体"/>
          <w:b/>
          <w:color w:val="000000"/>
          <w:szCs w:val="28"/>
        </w:rPr>
        <w:fldChar w:fldCharType="end"/>
      </w:r>
      <w:r>
        <w:rPr>
          <w:rFonts w:ascii="宋体" w:hAnsi="宋体"/>
          <w:b/>
          <w:color w:val="000000"/>
          <w:szCs w:val="28"/>
        </w:rPr>
        <w:br w:type="page"/>
      </w:r>
    </w:p>
    <w:p>
      <w:pPr>
        <w:pStyle w:val="46"/>
        <w:numPr>
          <w:ilvl w:val="0"/>
          <w:numId w:val="2"/>
        </w:numPr>
        <w:ind w:firstLineChars="0"/>
        <w:jc w:val="center"/>
        <w:outlineLvl w:val="0"/>
        <w:rPr>
          <w:rFonts w:ascii="宋体" w:hAnsi="宋体"/>
          <w:b/>
          <w:sz w:val="32"/>
          <w:szCs w:val="32"/>
        </w:rPr>
      </w:pPr>
      <w:bookmarkStart w:id="0" w:name="_Toc497408600"/>
      <w:r>
        <w:rPr>
          <w:rFonts w:hint="eastAsia" w:ascii="宋体" w:hAnsi="宋体"/>
          <w:b/>
          <w:sz w:val="32"/>
          <w:szCs w:val="32"/>
        </w:rPr>
        <w:t>磋商公告</w:t>
      </w:r>
      <w:bookmarkEnd w:id="0"/>
    </w:p>
    <w:p>
      <w:pPr>
        <w:pStyle w:val="2"/>
      </w:pPr>
    </w:p>
    <w:p>
      <w:pPr>
        <w:widowControl/>
        <w:jc w:val="center"/>
        <w:rPr>
          <w:rFonts w:ascii="宋体" w:hAnsi="宋体"/>
          <w:bCs/>
          <w:color w:val="000000"/>
          <w:kern w:val="44"/>
          <w:sz w:val="36"/>
          <w:szCs w:val="36"/>
          <w:lang w:val="zh-CN"/>
        </w:rPr>
      </w:pPr>
      <w:r>
        <w:rPr>
          <w:rFonts w:hint="eastAsia" w:ascii="宋体" w:hAnsi="宋体"/>
          <w:b/>
          <w:sz w:val="32"/>
          <w:szCs w:val="32"/>
        </w:rPr>
        <w:t>鄂托克前旗人民法院采购审判楼物业服务及餐厅代管服务项目竞争性磋商招标公告</w:t>
      </w:r>
    </w:p>
    <w:p>
      <w:pPr>
        <w:spacing w:line="360" w:lineRule="auto"/>
        <w:ind w:firstLine="600" w:firstLineChars="250"/>
        <w:rPr>
          <w:rFonts w:ascii="宋体" w:hAnsi="宋体"/>
          <w:color w:val="000000"/>
          <w:sz w:val="24"/>
          <w:szCs w:val="24"/>
        </w:rPr>
      </w:pPr>
      <w:r>
        <w:rPr>
          <w:rFonts w:hint="eastAsia" w:ascii="宋体" w:hAnsi="宋体"/>
          <w:sz w:val="24"/>
          <w:szCs w:val="24"/>
        </w:rPr>
        <w:t>鄂尔多斯市鄂托克前旗公共资源交易中心受鄂托克前旗人民法院委托，按照鄂托克前旗财政局审批（竞争性磋商）方式组织采购</w:t>
      </w:r>
      <w:r>
        <w:rPr>
          <w:rFonts w:hint="eastAsia" w:ascii="宋体" w:hAnsi="宋体"/>
          <w:color w:val="000000"/>
          <w:sz w:val="24"/>
          <w:szCs w:val="24"/>
        </w:rPr>
        <w:t>鄂托克前旗人民法院采购审判楼物业服务及餐厅代管服务项目项目。欢迎符合资格条件的供应商前来报名参加。</w:t>
      </w:r>
    </w:p>
    <w:p>
      <w:pPr>
        <w:spacing w:line="360" w:lineRule="auto"/>
        <w:rPr>
          <w:rFonts w:ascii="宋体" w:hAnsi="宋体"/>
          <w:b/>
          <w:color w:val="000000"/>
          <w:sz w:val="24"/>
          <w:szCs w:val="24"/>
        </w:rPr>
      </w:pPr>
      <w:r>
        <w:rPr>
          <w:rFonts w:hint="eastAsia" w:ascii="宋体" w:hAnsi="宋体"/>
          <w:b/>
          <w:color w:val="000000"/>
          <w:sz w:val="24"/>
          <w:szCs w:val="24"/>
        </w:rPr>
        <w:t>一.项目概述</w:t>
      </w:r>
    </w:p>
    <w:p>
      <w:pPr>
        <w:pStyle w:val="46"/>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ascii="宋体" w:hAnsi="宋体"/>
          <w:color w:val="000000"/>
          <w:sz w:val="24"/>
          <w:szCs w:val="24"/>
        </w:rPr>
      </w:pPr>
      <w:r>
        <w:rPr>
          <w:rFonts w:hint="eastAsia" w:ascii="宋体" w:hAnsi="宋体"/>
          <w:sz w:val="24"/>
          <w:szCs w:val="24"/>
        </w:rPr>
        <w:t>项目名称：</w:t>
      </w:r>
      <w:r>
        <w:rPr>
          <w:rFonts w:hint="eastAsia" w:ascii="宋体" w:hAnsi="宋体"/>
          <w:color w:val="000000"/>
          <w:sz w:val="24"/>
          <w:szCs w:val="24"/>
        </w:rPr>
        <w:t>鄂托克前旗人民法院采购审判楼物业服务及餐厅代管服务项目</w:t>
      </w:r>
    </w:p>
    <w:p>
      <w:pPr>
        <w:spacing w:line="360" w:lineRule="auto"/>
        <w:ind w:firstLine="480" w:firstLineChars="200"/>
        <w:jc w:val="left"/>
        <w:rPr>
          <w:rFonts w:ascii="宋体" w:hAnsi="宋体"/>
          <w:sz w:val="24"/>
          <w:szCs w:val="24"/>
        </w:rPr>
      </w:pPr>
      <w:r>
        <w:rPr>
          <w:rFonts w:hint="eastAsia" w:ascii="宋体" w:hAnsi="宋体"/>
          <w:color w:val="000000"/>
          <w:sz w:val="24"/>
          <w:szCs w:val="24"/>
        </w:rPr>
        <w:t>批准文件编号：鄂财购备字（电子）[</w:t>
      </w:r>
      <w:r>
        <w:rPr>
          <w:rFonts w:ascii="宋体" w:hAnsi="宋体"/>
          <w:color w:val="000000"/>
          <w:sz w:val="24"/>
          <w:szCs w:val="24"/>
        </w:rPr>
        <w:t>2020]QQ00031</w:t>
      </w:r>
      <w:r>
        <w:rPr>
          <w:rFonts w:hint="eastAsia" w:ascii="宋体" w:hAnsi="宋体"/>
          <w:color w:val="000000"/>
          <w:sz w:val="24"/>
          <w:szCs w:val="24"/>
        </w:rPr>
        <w:t>号</w:t>
      </w:r>
    </w:p>
    <w:p>
      <w:pPr>
        <w:spacing w:line="360" w:lineRule="auto"/>
        <w:ind w:firstLine="480" w:firstLineChars="200"/>
        <w:jc w:val="left"/>
        <w:rPr>
          <w:rFonts w:ascii="宋体" w:hAnsi="宋体"/>
          <w:color w:val="000000"/>
          <w:sz w:val="24"/>
          <w:szCs w:val="24"/>
        </w:rPr>
      </w:pPr>
      <w:r>
        <w:rPr>
          <w:rFonts w:hint="eastAsia" w:ascii="宋体" w:hAnsi="宋体"/>
          <w:sz w:val="24"/>
          <w:szCs w:val="24"/>
        </w:rPr>
        <w:t>采购文件编号：</w:t>
      </w:r>
      <w:r>
        <w:rPr>
          <w:rFonts w:hint="eastAsia" w:ascii="宋体" w:hAnsi="宋体"/>
          <w:color w:val="000000"/>
          <w:sz w:val="24"/>
          <w:szCs w:val="24"/>
          <w:lang w:eastAsia="zh-CN"/>
        </w:rPr>
        <w:t>CG2020FCS078</w:t>
      </w:r>
      <w:r>
        <w:rPr>
          <w:rFonts w:hint="eastAsia" w:ascii="宋体" w:hAnsi="宋体"/>
          <w:color w:val="000000"/>
          <w:sz w:val="24"/>
          <w:szCs w:val="24"/>
        </w:rPr>
        <w:t xml:space="preserve"> </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bookmarkStart w:id="72" w:name="_GoBack"/>
      <w:bookmarkEnd w:id="72"/>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采购审判楼物业服务及餐厅代管服务项目</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详见磋商文件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958665.00</w:t>
            </w:r>
          </w:p>
        </w:tc>
      </w:tr>
    </w:tbl>
    <w:p>
      <w:pPr>
        <w:spacing w:line="360" w:lineRule="auto"/>
        <w:rPr>
          <w:rFonts w:ascii="宋体" w:hAnsi="宋体"/>
          <w:b/>
          <w:sz w:val="24"/>
          <w:szCs w:val="24"/>
        </w:rPr>
      </w:pPr>
      <w:r>
        <w:rPr>
          <w:rFonts w:hint="eastAsia" w:ascii="宋体" w:hAnsi="宋体"/>
          <w:b/>
          <w:sz w:val="24"/>
          <w:szCs w:val="24"/>
        </w:rPr>
        <w:t>二.供应商的资格要求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pStyle w:val="2"/>
        <w:ind w:firstLine="480" w:firstLineChars="200"/>
        <w:rPr>
          <w:rFonts w:ascii="宋体" w:hAnsi="宋体"/>
          <w:sz w:val="24"/>
          <w:szCs w:val="24"/>
        </w:rPr>
      </w:pPr>
      <w:r>
        <w:rPr>
          <w:rFonts w:hint="eastAsia" w:ascii="宋体" w:hAnsi="宋体"/>
          <w:color w:val="000000"/>
          <w:sz w:val="24"/>
          <w:szCs w:val="24"/>
        </w:rPr>
        <w:t>2.</w:t>
      </w:r>
      <w:r>
        <w:rPr>
          <w:rFonts w:hint="eastAsia" w:ascii="宋体" w:hAnsi="宋体"/>
          <w:sz w:val="24"/>
          <w:szCs w:val="24"/>
        </w:rPr>
        <w:t>该项目不接受联合体投标。</w:t>
      </w:r>
    </w:p>
    <w:p>
      <w:pPr>
        <w:spacing w:line="360" w:lineRule="auto"/>
        <w:rPr>
          <w:rFonts w:ascii="宋体" w:hAnsi="宋体"/>
          <w:sz w:val="24"/>
          <w:szCs w:val="24"/>
        </w:rPr>
      </w:pPr>
      <w:r>
        <w:rPr>
          <w:rFonts w:hint="eastAsia" w:ascii="宋体" w:hAnsi="宋体"/>
          <w:b/>
          <w:color w:val="000000"/>
          <w:sz w:val="24"/>
          <w:szCs w:val="24"/>
        </w:rPr>
        <w:t>三.获取磋商文件的时间、地点、方式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sz w:val="24"/>
          <w:szCs w:val="24"/>
          <w:lang w:eastAsia="zh-CN"/>
        </w:rPr>
        <w:t>2020年03月19日</w:t>
      </w:r>
      <w:r>
        <w:rPr>
          <w:rFonts w:hint="eastAsia" w:ascii="宋体" w:hAnsi="宋体"/>
          <w:sz w:val="24"/>
          <w:szCs w:val="24"/>
        </w:rPr>
        <w:t>起登录内蒙古自治区政府采购网、内蒙古自治区公共资源交易网、鄂尔多斯市政府采购网、鄂尔多斯市公共资源交易网、鄂尔多斯市鄂托克前旗公共资源交易网、</w:t>
      </w:r>
      <w:r>
        <w:rPr>
          <w:rFonts w:hint="eastAsia" w:ascii="宋体" w:hAnsi="宋体"/>
          <w:bCs/>
          <w:sz w:val="24"/>
          <w:szCs w:val="24"/>
        </w:rPr>
        <w:t>鄂托克前旗人民政府网</w:t>
      </w:r>
      <w:r>
        <w:rPr>
          <w:rFonts w:hint="eastAsia" w:ascii="宋体" w:hAnsi="宋体"/>
          <w:sz w:val="24"/>
          <w:szCs w:val="24"/>
        </w:rPr>
        <w:t>站获取磋商文件。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鄂尔多斯市鄂托克前旗公共资源交易网（http://www.ordosggzyjy.org.cn/TPFront_etkqq/）。登陆网站页面，点击“政府采购”中的“信息公告”栏，查询采购信息，点击信息公告页面左下角“附件”即可浏览、下载招标文件</w:t>
      </w:r>
    </w:p>
    <w:p>
      <w:pPr>
        <w:spacing w:line="500" w:lineRule="exact"/>
        <w:ind w:firstLine="480" w:firstLineChars="200"/>
        <w:rPr>
          <w:rFonts w:ascii="宋体" w:hAnsi="宋体"/>
          <w:bCs/>
          <w:sz w:val="24"/>
          <w:szCs w:val="24"/>
        </w:rPr>
      </w:pPr>
      <w:r>
        <w:rPr>
          <w:rFonts w:hint="eastAsia" w:ascii="宋体" w:hAnsi="宋体"/>
          <w:bCs/>
          <w:sz w:val="24"/>
          <w:szCs w:val="24"/>
        </w:rPr>
        <w:t>6</w:t>
      </w:r>
      <w:r>
        <w:rPr>
          <w:rFonts w:hint="eastAsia" w:ascii="宋体" w:hAnsi="宋体"/>
          <w:sz w:val="24"/>
          <w:szCs w:val="24"/>
        </w:rPr>
        <w:t>.</w:t>
      </w:r>
      <w:r>
        <w:rPr>
          <w:rFonts w:hint="eastAsia" w:ascii="宋体" w:hAnsi="宋体"/>
          <w:bCs/>
          <w:sz w:val="24"/>
          <w:szCs w:val="24"/>
        </w:rPr>
        <w:t>鄂托克前旗人民政府网（http://www.etkqq.gov.cn/）。</w:t>
      </w:r>
      <w:r>
        <w:rPr>
          <w:rFonts w:hint="eastAsia" w:ascii="宋体" w:hAnsi="宋体"/>
          <w:sz w:val="24"/>
          <w:szCs w:val="24"/>
        </w:rPr>
        <w:t>登陆网站页面，点击“信息公开目录</w:t>
      </w:r>
      <w:r>
        <w:rPr>
          <w:rFonts w:hint="eastAsia" w:ascii="宋体" w:hAnsi="宋体"/>
          <w:bCs/>
          <w:sz w:val="24"/>
          <w:szCs w:val="24"/>
        </w:rPr>
        <w:t>”栏，点击公共资源交易中心链接进入后，栏目右侧通知公告一栏中即可浏览采购公告、也可下载招标文件。</w:t>
      </w:r>
    </w:p>
    <w:p>
      <w:pPr>
        <w:spacing w:line="360" w:lineRule="auto"/>
        <w:ind w:firstLine="480" w:firstLineChars="200"/>
        <w:textAlignment w:val="baseline"/>
        <w:rPr>
          <w:rFonts w:ascii="宋体" w:hAnsi="宋体"/>
          <w:bCs/>
          <w:sz w:val="24"/>
          <w:szCs w:val="24"/>
        </w:rPr>
      </w:pPr>
      <w:r>
        <w:rPr>
          <w:rFonts w:hint="eastAsia" w:ascii="宋体" w:hAnsi="宋体" w:cs="宋体"/>
          <w:kern w:val="0"/>
          <w:sz w:val="24"/>
          <w:szCs w:val="24"/>
        </w:rPr>
        <w:t>7.报名时间（</w:t>
      </w:r>
      <w:r>
        <w:rPr>
          <w:rFonts w:hint="eastAsia" w:ascii="宋体" w:hAnsi="宋体"/>
          <w:sz w:val="24"/>
          <w:szCs w:val="24"/>
        </w:rPr>
        <w:t>磋商文件</w:t>
      </w:r>
      <w:r>
        <w:rPr>
          <w:rFonts w:hint="eastAsia" w:ascii="宋体" w:hAnsi="宋体" w:cs="宋体"/>
          <w:kern w:val="0"/>
          <w:sz w:val="24"/>
          <w:szCs w:val="24"/>
        </w:rPr>
        <w:t>提供期限）：</w:t>
      </w:r>
      <w:r>
        <w:rPr>
          <w:rFonts w:hint="eastAsia" w:ascii="宋体" w:hAnsi="宋体"/>
          <w:bCs/>
          <w:sz w:val="24"/>
          <w:szCs w:val="24"/>
          <w:lang w:eastAsia="zh-CN"/>
        </w:rPr>
        <w:t>2020年03月19日</w:t>
      </w:r>
      <w:r>
        <w:rPr>
          <w:rFonts w:hint="eastAsia" w:ascii="宋体" w:hAnsi="宋体"/>
          <w:bCs/>
          <w:sz w:val="24"/>
          <w:szCs w:val="24"/>
        </w:rPr>
        <w:t>至</w:t>
      </w:r>
      <w:r>
        <w:rPr>
          <w:rFonts w:hint="eastAsia" w:ascii="宋体" w:hAnsi="宋体"/>
          <w:bCs/>
          <w:sz w:val="24"/>
          <w:szCs w:val="24"/>
          <w:lang w:eastAsia="zh-CN"/>
        </w:rPr>
        <w:t>2020年03月26日</w:t>
      </w:r>
      <w:r>
        <w:rPr>
          <w:rFonts w:hint="eastAsia" w:ascii="宋体" w:hAnsi="宋体"/>
          <w:bCs/>
          <w:sz w:val="24"/>
          <w:szCs w:val="24"/>
        </w:rPr>
        <w:t>17时30分。</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递交投标（响应）文件截止时间：</w:t>
      </w:r>
      <w:r>
        <w:rPr>
          <w:rFonts w:hint="eastAsia" w:ascii="宋体" w:hAnsi="宋体"/>
          <w:sz w:val="24"/>
          <w:szCs w:val="24"/>
          <w:lang w:eastAsia="zh-CN"/>
        </w:rPr>
        <w:t>2020年03月30日</w:t>
      </w:r>
      <w:r>
        <w:rPr>
          <w:rFonts w:hint="eastAsia" w:ascii="宋体" w:hAnsi="宋体"/>
          <w:sz w:val="24"/>
          <w:szCs w:val="24"/>
        </w:rPr>
        <w:t>下午</w:t>
      </w:r>
      <w:r>
        <w:rPr>
          <w:rFonts w:hint="eastAsia" w:ascii="宋体" w:hAnsi="宋体"/>
          <w:sz w:val="24"/>
          <w:szCs w:val="24"/>
          <w:lang w:eastAsia="zh-CN"/>
        </w:rPr>
        <w:t>16时00分</w:t>
      </w:r>
    </w:p>
    <w:p>
      <w:pPr>
        <w:spacing w:line="360" w:lineRule="auto"/>
        <w:ind w:firstLine="480" w:firstLineChars="200"/>
        <w:rPr>
          <w:rFonts w:ascii="宋体" w:hAnsi="宋体"/>
          <w:sz w:val="24"/>
          <w:szCs w:val="24"/>
        </w:rPr>
      </w:pPr>
      <w:r>
        <w:rPr>
          <w:rFonts w:hint="eastAsia" w:ascii="宋体" w:hAnsi="宋体"/>
          <w:sz w:val="24"/>
          <w:szCs w:val="24"/>
        </w:rPr>
        <w:t>投标地点：鄂尔多斯市鄂托克前旗公共资源交易中心开标二室（鄂托克前旗公园西路文化产业园东区C2座）</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开标时间：</w:t>
      </w:r>
      <w:r>
        <w:rPr>
          <w:rFonts w:hint="eastAsia" w:ascii="宋体" w:hAnsi="宋体"/>
          <w:sz w:val="24"/>
          <w:szCs w:val="24"/>
          <w:lang w:eastAsia="zh-CN"/>
        </w:rPr>
        <w:t>2020年03月30日</w:t>
      </w:r>
      <w:r>
        <w:rPr>
          <w:rFonts w:hint="eastAsia" w:ascii="宋体" w:hAnsi="宋体"/>
          <w:sz w:val="24"/>
          <w:szCs w:val="24"/>
        </w:rPr>
        <w:t>下午</w:t>
      </w:r>
      <w:r>
        <w:rPr>
          <w:rFonts w:hint="eastAsia" w:ascii="宋体" w:hAnsi="宋体"/>
          <w:sz w:val="24"/>
          <w:szCs w:val="24"/>
          <w:lang w:eastAsia="zh-CN"/>
        </w:rPr>
        <w:t>16时00分</w:t>
      </w:r>
    </w:p>
    <w:p>
      <w:pPr>
        <w:spacing w:line="360" w:lineRule="auto"/>
        <w:ind w:firstLine="480" w:firstLineChars="200"/>
        <w:rPr>
          <w:rFonts w:ascii="宋体" w:hAnsi="宋体"/>
          <w:sz w:val="24"/>
          <w:szCs w:val="24"/>
        </w:rPr>
      </w:pPr>
      <w:r>
        <w:rPr>
          <w:rFonts w:hint="eastAsia" w:ascii="宋体" w:hAnsi="宋体"/>
          <w:sz w:val="24"/>
          <w:szCs w:val="24"/>
        </w:rPr>
        <w:t>开标地点：鄂尔多斯市鄂托克前旗公共资源交易中心开标二室（鄂托克前旗公园西路文化产业园东区C2座）</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采购代理机构名称：鄂尔多斯市鄂托克前旗公共资源交易中心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olor w:val="000000"/>
          <w:sz w:val="24"/>
          <w:szCs w:val="24"/>
        </w:rPr>
        <w:t>鄂托克前旗公园西路文化产业园东区C2座</w:t>
      </w:r>
    </w:p>
    <w:p>
      <w:pPr>
        <w:spacing w:line="360" w:lineRule="auto"/>
        <w:ind w:firstLine="480" w:firstLineChars="200"/>
        <w:rPr>
          <w:rFonts w:ascii="宋体" w:hAnsi="宋体"/>
          <w:sz w:val="24"/>
          <w:szCs w:val="24"/>
        </w:rPr>
      </w:pPr>
      <w:r>
        <w:rPr>
          <w:rFonts w:hint="eastAsia" w:ascii="宋体" w:hAnsi="宋体"/>
          <w:sz w:val="24"/>
          <w:szCs w:val="24"/>
        </w:rPr>
        <w:t>邮政编码：016200</w:t>
      </w:r>
    </w:p>
    <w:p>
      <w:pPr>
        <w:spacing w:line="360" w:lineRule="auto"/>
        <w:ind w:firstLine="480" w:firstLineChars="200"/>
        <w:rPr>
          <w:rFonts w:ascii="宋体" w:hAnsi="宋体"/>
          <w:color w:val="000000"/>
          <w:sz w:val="24"/>
          <w:szCs w:val="24"/>
        </w:rPr>
      </w:pPr>
      <w:r>
        <w:rPr>
          <w:rFonts w:hint="eastAsia" w:ascii="宋体" w:hAnsi="宋体"/>
          <w:sz w:val="24"/>
          <w:szCs w:val="24"/>
        </w:rPr>
        <w:t>联系人：宋晨宏      联系电话：0477-7621750</w:t>
      </w:r>
    </w:p>
    <w:p>
      <w:pPr>
        <w:spacing w:line="360" w:lineRule="auto"/>
        <w:ind w:firstLine="480" w:firstLineChars="200"/>
        <w:rPr>
          <w:rFonts w:ascii="宋体" w:hAnsi="宋体"/>
          <w:sz w:val="24"/>
          <w:szCs w:val="24"/>
        </w:rPr>
      </w:pPr>
      <w:r>
        <w:rPr>
          <w:rFonts w:hint="eastAsia" w:ascii="宋体" w:hAnsi="宋体"/>
          <w:sz w:val="24"/>
          <w:szCs w:val="24"/>
        </w:rPr>
        <w:t>采购单位名称：鄂托克前旗人民法院</w:t>
      </w:r>
    </w:p>
    <w:p>
      <w:pPr>
        <w:spacing w:line="360" w:lineRule="auto"/>
        <w:ind w:firstLine="480" w:firstLineChars="200"/>
        <w:rPr>
          <w:rFonts w:ascii="宋体" w:hAnsi="宋体"/>
          <w:sz w:val="24"/>
          <w:szCs w:val="24"/>
        </w:rPr>
      </w:pPr>
      <w:r>
        <w:rPr>
          <w:rFonts w:hint="eastAsia" w:ascii="宋体" w:hAnsi="宋体"/>
          <w:sz w:val="24"/>
          <w:szCs w:val="24"/>
        </w:rPr>
        <w:t>地址：鄂托克前旗敖镇</w:t>
      </w:r>
    </w:p>
    <w:p>
      <w:pPr>
        <w:spacing w:line="360" w:lineRule="auto"/>
        <w:ind w:firstLine="480" w:firstLineChars="200"/>
        <w:rPr>
          <w:rFonts w:ascii="宋体" w:hAnsi="宋体"/>
          <w:sz w:val="24"/>
          <w:szCs w:val="24"/>
        </w:rPr>
      </w:pPr>
      <w:r>
        <w:rPr>
          <w:rFonts w:hint="eastAsia" w:ascii="宋体" w:hAnsi="宋体"/>
          <w:sz w:val="24"/>
          <w:szCs w:val="24"/>
        </w:rPr>
        <w:t>邮政编码：016200</w:t>
      </w:r>
    </w:p>
    <w:p>
      <w:pPr>
        <w:spacing w:line="360" w:lineRule="auto"/>
        <w:ind w:firstLine="480" w:firstLineChars="200"/>
        <w:rPr>
          <w:rFonts w:ascii="宋体" w:hAnsi="宋体"/>
          <w:sz w:val="24"/>
          <w:szCs w:val="24"/>
        </w:rPr>
      </w:pPr>
      <w:r>
        <w:rPr>
          <w:rFonts w:hint="eastAsia" w:ascii="宋体" w:hAnsi="宋体"/>
          <w:sz w:val="24"/>
          <w:szCs w:val="24"/>
        </w:rPr>
        <w:t>联系人：宝音       联系电话：18547799373</w:t>
      </w:r>
    </w:p>
    <w:p>
      <w:pPr>
        <w:spacing w:line="360" w:lineRule="auto"/>
        <w:ind w:firstLine="600" w:firstLineChars="250"/>
        <w:rPr>
          <w:rFonts w:ascii="宋体" w:hAnsi="宋体"/>
          <w:sz w:val="24"/>
          <w:szCs w:val="24"/>
        </w:rPr>
      </w:pPr>
      <w:r>
        <w:rPr>
          <w:rFonts w:hint="eastAsia" w:ascii="宋体" w:hAnsi="宋体"/>
          <w:sz w:val="24"/>
          <w:szCs w:val="24"/>
        </w:rPr>
        <w:t xml:space="preserve">                              </w:t>
      </w:r>
    </w:p>
    <w:p>
      <w:pPr>
        <w:pStyle w:val="2"/>
      </w:pPr>
    </w:p>
    <w:p>
      <w:pPr>
        <w:spacing w:line="360" w:lineRule="auto"/>
        <w:ind w:firstLine="4080" w:firstLineChars="1700"/>
        <w:rPr>
          <w:rFonts w:ascii="宋体" w:hAnsi="宋体"/>
          <w:sz w:val="24"/>
          <w:szCs w:val="24"/>
        </w:rPr>
      </w:pPr>
      <w:r>
        <w:rPr>
          <w:rFonts w:hint="eastAsia" w:ascii="宋体" w:hAnsi="宋体"/>
          <w:sz w:val="24"/>
          <w:szCs w:val="24"/>
        </w:rPr>
        <w:t>鄂尔多斯市鄂托克前旗公共资源交易中心</w:t>
      </w:r>
    </w:p>
    <w:p>
      <w:pPr>
        <w:spacing w:line="360" w:lineRule="auto"/>
        <w:ind w:firstLine="5160" w:firstLineChars="2150"/>
        <w:rPr>
          <w:rFonts w:hint="eastAsia" w:ascii="宋体" w:hAnsi="宋体" w:eastAsia="宋体"/>
          <w:sz w:val="24"/>
          <w:szCs w:val="24"/>
          <w:lang w:eastAsia="zh-CN"/>
        </w:rPr>
      </w:pPr>
      <w:r>
        <w:rPr>
          <w:rFonts w:hint="eastAsia" w:ascii="宋体" w:hAnsi="宋体"/>
          <w:sz w:val="24"/>
          <w:szCs w:val="24"/>
          <w:lang w:eastAsia="zh-CN"/>
        </w:rPr>
        <w:t>2020年03月19日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01"/>
      <w:r>
        <w:rPr>
          <w:rFonts w:hint="eastAsia" w:ascii="宋体" w:hAnsi="宋体"/>
          <w:b/>
          <w:sz w:val="24"/>
          <w:szCs w:val="24"/>
        </w:rPr>
        <w:t>第二章 供应商须知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24"/>
        <w:tblW w:w="96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采购人</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Theme="minorEastAsia" w:hAnsiTheme="minorEastAsia" w:eastAsiaTheme="minorEastAsia"/>
                <w:sz w:val="24"/>
                <w:szCs w:val="24"/>
              </w:rPr>
            </w:pPr>
            <w:r>
              <w:rPr>
                <w:rFonts w:hint="eastAsia" w:asciiTheme="minorEastAsia" w:hAnsiTheme="minorEastAsia" w:eastAsiaTheme="minorEastAsia"/>
                <w:sz w:val="24"/>
                <w:szCs w:val="24"/>
              </w:rPr>
              <w:t>鄂托克前旗人民法院</w:t>
            </w:r>
          </w:p>
          <w:p>
            <w:pPr>
              <w:spacing w:line="360" w:lineRule="auto"/>
              <w:ind w:right="-140" w:rightChars="-50"/>
              <w:rPr>
                <w:rFonts w:asciiTheme="minorEastAsia" w:hAnsiTheme="minorEastAsia" w:eastAsiaTheme="minorEastAsia"/>
                <w:sz w:val="24"/>
                <w:szCs w:val="24"/>
              </w:rPr>
            </w:pPr>
            <w:r>
              <w:rPr>
                <w:rFonts w:hint="eastAsia" w:asciiTheme="minorEastAsia" w:hAnsiTheme="minorEastAsia" w:eastAsiaTheme="minorEastAsia"/>
                <w:sz w:val="24"/>
                <w:szCs w:val="24"/>
              </w:rPr>
              <w:t>联系人：宝音      联系电话：</w:t>
            </w:r>
            <w:r>
              <w:rPr>
                <w:rFonts w:asciiTheme="minorEastAsia" w:hAnsiTheme="minorEastAsia" w:eastAsiaTheme="minorEastAsia"/>
                <w:sz w:val="24"/>
                <w:szCs w:val="24"/>
              </w:rPr>
              <w:t>18547799373</w:t>
            </w:r>
          </w:p>
          <w:p>
            <w:pPr>
              <w:spacing w:line="360" w:lineRule="auto"/>
              <w:ind w:right="-140" w:rightChars="-50"/>
              <w:rPr>
                <w:rFonts w:asciiTheme="minorEastAsia" w:hAnsiTheme="minorEastAsia" w:eastAsiaTheme="minorEastAsia"/>
                <w:sz w:val="24"/>
                <w:szCs w:val="24"/>
              </w:rPr>
            </w:pPr>
            <w:r>
              <w:rPr>
                <w:rFonts w:hint="eastAsia" w:asciiTheme="minorEastAsia" w:hAnsiTheme="minorEastAsia" w:eastAsiaTheme="minorEastAsia"/>
                <w:sz w:val="24"/>
                <w:szCs w:val="24"/>
              </w:rPr>
              <w:t>地址：鄂托克前旗敖镇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 xml:space="preserve">鄂尔多斯市鄂托克前旗公共资源交易中心 </w:t>
            </w:r>
          </w:p>
          <w:p>
            <w:pPr>
              <w:spacing w:line="360" w:lineRule="auto"/>
              <w:ind w:right="-140" w:rightChars="-50"/>
              <w:rPr>
                <w:rFonts w:ascii="宋体" w:hAnsi="宋体"/>
                <w:color w:val="000000"/>
                <w:sz w:val="24"/>
                <w:szCs w:val="24"/>
              </w:rPr>
            </w:pPr>
            <w:r>
              <w:rPr>
                <w:rFonts w:hint="eastAsia" w:ascii="宋体" w:hAnsi="宋体"/>
                <w:color w:val="000000"/>
                <w:sz w:val="24"/>
                <w:szCs w:val="24"/>
              </w:rPr>
              <w:t>联系人：宋晨宏        联系电话：0477-7621750</w:t>
            </w:r>
          </w:p>
          <w:p>
            <w:pPr>
              <w:spacing w:line="360" w:lineRule="auto"/>
              <w:ind w:right="-140" w:rightChars="-50"/>
              <w:rPr>
                <w:rFonts w:ascii="宋体" w:hAnsi="宋体"/>
                <w:color w:val="000000"/>
                <w:sz w:val="24"/>
                <w:szCs w:val="24"/>
              </w:rPr>
            </w:pPr>
            <w:r>
              <w:rPr>
                <w:rFonts w:hint="eastAsia" w:ascii="宋体" w:hAnsi="宋体"/>
                <w:color w:val="000000"/>
                <w:sz w:val="24"/>
                <w:szCs w:val="24"/>
              </w:rPr>
              <w:t xml:space="preserve">地址：鄂托克前旗公园西路文化产业园东区C2座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项目内容及要求</w:t>
            </w:r>
          </w:p>
        </w:tc>
        <w:tc>
          <w:tcPr>
            <w:tcW w:w="6452"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textAlignment w:val="baseline"/>
              <w:rPr>
                <w:rFonts w:ascii="宋体" w:hAnsi="宋体"/>
                <w:color w:val="000000"/>
                <w:sz w:val="24"/>
                <w:szCs w:val="24"/>
              </w:rPr>
            </w:pPr>
            <w:r>
              <w:rPr>
                <w:rFonts w:hint="eastAsia" w:ascii="宋体" w:hAnsi="宋体"/>
                <w:color w:val="000000"/>
                <w:sz w:val="24"/>
                <w:szCs w:val="24"/>
              </w:rPr>
              <w:t>详见磋商文件第四章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ascii="宋体" w:hAnsi="宋体"/>
                <w:color w:val="000000"/>
                <w:sz w:val="24"/>
                <w:szCs w:val="24"/>
                <w:u w:val="single"/>
              </w:rPr>
              <w:t>958665.00</w:t>
            </w:r>
            <w:r>
              <w:rPr>
                <w:rFonts w:hint="eastAsia" w:ascii="宋体" w:hAnsi="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☑一整包、□共包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评标办法</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磋商小组数量</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磋商小组依法组建，由采购人代表和评审专家组成共</w:t>
            </w:r>
            <w:r>
              <w:rPr>
                <w:rFonts w:hint="eastAsia" w:ascii="宋体" w:hAnsi="宋体"/>
                <w:color w:val="000000"/>
                <w:sz w:val="24"/>
                <w:szCs w:val="24"/>
                <w:u w:val="single"/>
              </w:rPr>
              <w:t xml:space="preserve"> 3 </w:t>
            </w:r>
            <w:r>
              <w:rPr>
                <w:rFonts w:hint="eastAsia" w:ascii="宋体" w:hAnsi="宋体"/>
                <w:color w:val="000000"/>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成交供应商确定</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□采购人授权磋商小组按照评审原则直接确定成交供应商。</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☑采购人按照评标报告中推荐的成交候选人确定成交供应商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供应商资格要求</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提交响应文件时间</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hint="eastAsia" w:ascii="宋体" w:hAnsi="宋体" w:eastAsia="宋体"/>
                <w:sz w:val="24"/>
                <w:szCs w:val="24"/>
                <w:lang w:eastAsia="zh-CN"/>
              </w:rPr>
            </w:pPr>
            <w:r>
              <w:rPr>
                <w:rFonts w:hint="eastAsia" w:ascii="宋体" w:hAnsi="宋体"/>
                <w:sz w:val="24"/>
                <w:szCs w:val="24"/>
                <w:lang w:eastAsia="zh-CN"/>
              </w:rPr>
              <w:t>2020年03月30日</w:t>
            </w:r>
            <w:r>
              <w:rPr>
                <w:rFonts w:hint="eastAsia" w:ascii="宋体" w:hAnsi="宋体"/>
                <w:sz w:val="24"/>
                <w:szCs w:val="24"/>
                <w:lang w:val="en-US" w:eastAsia="zh-CN"/>
              </w:rPr>
              <w:t>15</w:t>
            </w:r>
            <w:r>
              <w:rPr>
                <w:rFonts w:hint="eastAsia" w:ascii="宋体" w:hAnsi="宋体"/>
                <w:sz w:val="24"/>
                <w:szCs w:val="24"/>
              </w:rPr>
              <w:t>时30分--</w:t>
            </w:r>
            <w:r>
              <w:rPr>
                <w:rFonts w:hint="eastAsia" w:ascii="宋体" w:hAnsi="宋体"/>
                <w:sz w:val="24"/>
                <w:szCs w:val="24"/>
                <w:lang w:eastAsia="zh-CN"/>
              </w:rPr>
              <w:t>16时00分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开标时间</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lang w:eastAsia="zh-CN"/>
              </w:rPr>
              <w:t>2020年03月30日16时00分</w:t>
            </w:r>
            <w:r>
              <w:rPr>
                <w:rFonts w:hint="eastAsia" w:ascii="宋体" w:hAnsi="宋体"/>
                <w:sz w:val="24"/>
                <w:szCs w:val="24"/>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开标地点</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sz w:val="24"/>
                <w:szCs w:val="24"/>
              </w:rPr>
              <w:t>鄂尔多斯市鄂托克前旗公共资源交易中心开标二室（鄂托克前旗公园西路文化产业园东区C2座）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响应文件数量</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正本1份、副本2份，电子</w:t>
            </w:r>
            <w:r>
              <w:rPr>
                <w:rFonts w:hint="eastAsia" w:ascii="宋体" w:hAnsi="宋体"/>
                <w:sz w:val="24"/>
                <w:szCs w:val="24"/>
              </w:rPr>
              <w:t>U盘1份</w:t>
            </w:r>
            <w:r>
              <w:rPr>
                <w:rFonts w:hint="eastAsia" w:ascii="宋体" w:hAnsi="宋体"/>
                <w:color w:val="000000"/>
                <w:sz w:val="24"/>
                <w:szCs w:val="24"/>
              </w:rPr>
              <w:t>（标明投标人名称）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s="宋体"/>
                <w:sz w:val="24"/>
                <w:szCs w:val="24"/>
              </w:rPr>
              <w:t>投标现场演示</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000000"/>
                <w:sz w:val="24"/>
                <w:szCs w:val="24"/>
              </w:rPr>
            </w:pPr>
            <w:r>
              <w:rPr>
                <w:rFonts w:hint="eastAsia" w:ascii="宋体" w:hAnsi="宋体"/>
                <w:color w:val="000000"/>
                <w:sz w:val="24"/>
                <w:szCs w:val="24"/>
              </w:rPr>
              <w:t>履约保证金的形式：1、中标公示后，拟中标人以电汇或转账形式打入招标人指定账户；2、投标时须提供履约保函。</w:t>
            </w:r>
          </w:p>
          <w:p>
            <w:pPr>
              <w:spacing w:line="360" w:lineRule="auto"/>
              <w:jc w:val="left"/>
              <w:rPr>
                <w:rFonts w:ascii="宋体" w:hAnsi="宋体"/>
                <w:color w:val="000000"/>
                <w:sz w:val="24"/>
                <w:szCs w:val="24"/>
              </w:rPr>
            </w:pPr>
            <w:r>
              <w:rPr>
                <w:rFonts w:hint="eastAsia" w:ascii="宋体" w:hAnsi="宋体"/>
                <w:color w:val="000000"/>
                <w:sz w:val="24"/>
                <w:szCs w:val="24"/>
              </w:rPr>
              <w:t>履约保证金的金额：中标价的10%</w:t>
            </w:r>
          </w:p>
          <w:p>
            <w:pPr>
              <w:spacing w:line="360" w:lineRule="auto"/>
              <w:ind w:right="-140" w:rightChars="-50"/>
              <w:rPr>
                <w:rFonts w:ascii="宋体" w:hAnsi="宋体"/>
                <w:sz w:val="24"/>
                <w:szCs w:val="24"/>
              </w:rPr>
            </w:pPr>
            <w:r>
              <w:rPr>
                <w:rFonts w:hint="eastAsia" w:ascii="宋体" w:hAnsi="宋体"/>
                <w:color w:val="000000"/>
                <w:sz w:val="24"/>
                <w:szCs w:val="24"/>
              </w:rPr>
              <w:t>履约保证金缴纳要求：预中标供应商在领取中标通知书后3日内缴纳，逾期不缴纳，视为自动放弃中标资格，其投标保证金不予退还。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本招标项目采用“虚拟子账户”形式及法律法规规定的其它缴纳方式收退投标保证金。请各投标人特别关注并严格遵照招标文件中有关投标保证金缴纳的规定。</w:t>
            </w:r>
          </w:p>
          <w:p>
            <w:pPr>
              <w:spacing w:line="360" w:lineRule="auto"/>
              <w:ind w:left="-140" w:leftChars="-50" w:right="-140" w:rightChars="-50"/>
              <w:rPr>
                <w:rFonts w:ascii="宋体" w:hAnsi="宋体"/>
                <w:b/>
                <w:sz w:val="24"/>
                <w:szCs w:val="24"/>
              </w:rPr>
            </w:pPr>
            <w:r>
              <w:rPr>
                <w:rFonts w:hint="eastAsia" w:ascii="宋体" w:hAnsi="宋体"/>
                <w:bCs/>
                <w:sz w:val="24"/>
                <w:szCs w:val="24"/>
              </w:rPr>
              <w:t>保证金人民币：陆仟元整 6000.00元</w:t>
            </w:r>
            <w:r>
              <w:rPr>
                <w:rFonts w:hint="eastAsia" w:ascii="宋体" w:hAnsi="宋体"/>
                <w:b/>
                <w:sz w:val="24"/>
                <w:szCs w:val="24"/>
              </w:rPr>
              <w:t>。</w:t>
            </w:r>
          </w:p>
          <w:p>
            <w:pPr>
              <w:spacing w:line="360" w:lineRule="auto"/>
              <w:ind w:left="-140" w:leftChars="-50" w:right="-140" w:rightChars="-50"/>
              <w:rPr>
                <w:rFonts w:ascii="宋体" w:hAnsi="宋体"/>
                <w:sz w:val="24"/>
                <w:szCs w:val="24"/>
              </w:rPr>
            </w:pPr>
            <w:r>
              <w:rPr>
                <w:rFonts w:hint="eastAsia" w:ascii="宋体" w:hAnsi="宋体"/>
                <w:sz w:val="24"/>
                <w:szCs w:val="24"/>
              </w:rPr>
              <w:t>开户银行：鄂托克前旗农村商业银行股份有限公司。</w:t>
            </w:r>
          </w:p>
          <w:p>
            <w:pPr>
              <w:spacing w:line="360" w:lineRule="auto"/>
              <w:ind w:left="-140" w:leftChars="-50" w:right="-140" w:rightChars="-50"/>
              <w:rPr>
                <w:rFonts w:ascii="宋体" w:hAnsi="宋体"/>
                <w:sz w:val="24"/>
                <w:szCs w:val="24"/>
              </w:rPr>
            </w:pPr>
            <w:r>
              <w:rPr>
                <w:rFonts w:hint="eastAsia" w:ascii="宋体" w:hAnsi="宋体"/>
                <w:sz w:val="24"/>
                <w:szCs w:val="24"/>
              </w:rPr>
              <w:t>行号：402205481279。</w:t>
            </w:r>
          </w:p>
          <w:p>
            <w:pPr>
              <w:spacing w:line="360" w:lineRule="auto"/>
              <w:ind w:left="-140" w:leftChars="-50" w:right="-140" w:rightChars="-50"/>
              <w:rPr>
                <w:rFonts w:ascii="宋体" w:hAnsi="宋体"/>
                <w:sz w:val="24"/>
                <w:szCs w:val="24"/>
              </w:rPr>
            </w:pPr>
            <w:r>
              <w:rPr>
                <w:rFonts w:hint="eastAsia" w:ascii="宋体" w:hAnsi="宋体"/>
                <w:sz w:val="24"/>
                <w:szCs w:val="24"/>
              </w:rPr>
              <w:t>开户单位：鄂尔多斯市鄂托克前旗公共资源交易中心。</w:t>
            </w:r>
          </w:p>
          <w:p>
            <w:pPr>
              <w:spacing w:line="360" w:lineRule="auto"/>
              <w:ind w:left="-140" w:leftChars="-50" w:right="-140" w:rightChars="-50"/>
              <w:rPr>
                <w:rFonts w:ascii="宋体" w:hAnsi="宋体"/>
                <w:sz w:val="24"/>
                <w:szCs w:val="24"/>
              </w:rPr>
            </w:pPr>
            <w:r>
              <w:rPr>
                <w:rFonts w:hint="eastAsia" w:ascii="宋体" w:hAnsi="宋体"/>
                <w:sz w:val="24"/>
                <w:szCs w:val="24"/>
              </w:rPr>
              <w:t>账号：详见“政府采购投标信息回执函”下方所附“保证金缴纳信息”中载明的账号。</w:t>
            </w:r>
          </w:p>
          <w:p>
            <w:pPr>
              <w:spacing w:line="360" w:lineRule="auto"/>
              <w:rPr>
                <w:rFonts w:ascii="宋体" w:hAnsi="宋体"/>
                <w:color w:val="000000"/>
                <w:sz w:val="24"/>
                <w:szCs w:val="24"/>
              </w:rPr>
            </w:pPr>
            <w:r>
              <w:rPr>
                <w:rFonts w:hint="eastAsia" w:ascii="宋体" w:hAnsi="宋体"/>
                <w:sz w:val="24"/>
                <w:szCs w:val="24"/>
              </w:rPr>
              <w:t>投标保证金缴纳、退还联系人：白俊艳   0477—7625245投标</w:t>
            </w:r>
            <w:r>
              <w:rPr>
                <w:rFonts w:hint="eastAsia" w:ascii="宋体" w:hAnsi="宋体" w:cs="宋体"/>
                <w:kern w:val="0"/>
                <w:sz w:val="24"/>
                <w:szCs w:val="24"/>
              </w:rPr>
              <w:t>保证金缴纳截止时间：</w:t>
            </w:r>
            <w:r>
              <w:rPr>
                <w:rFonts w:hint="eastAsia" w:ascii="宋体" w:hAnsi="宋体" w:cs="宋体"/>
                <w:kern w:val="0"/>
                <w:sz w:val="24"/>
                <w:szCs w:val="24"/>
                <w:lang w:eastAsia="zh-CN"/>
              </w:rPr>
              <w:t>2020年03月30日</w:t>
            </w:r>
            <w:r>
              <w:rPr>
                <w:rFonts w:hint="eastAsia" w:ascii="宋体" w:hAnsi="宋体" w:cs="宋体"/>
                <w:kern w:val="0"/>
                <w:sz w:val="24"/>
                <w:szCs w:val="24"/>
              </w:rPr>
              <w:t>下午</w:t>
            </w:r>
            <w:r>
              <w:rPr>
                <w:rFonts w:hint="eastAsia" w:ascii="宋体" w:hAnsi="宋体" w:cs="宋体"/>
                <w:kern w:val="0"/>
                <w:sz w:val="24"/>
                <w:szCs w:val="24"/>
                <w:lang w:eastAsia="zh-CN"/>
              </w:rPr>
              <w:t>16时00分</w:t>
            </w:r>
            <w:r>
              <w:rPr>
                <w:rFonts w:hint="eastAsia" w:ascii="宋体" w:hAnsi="宋体" w:cs="宋体"/>
                <w:kern w:val="0"/>
                <w:sz w:val="24"/>
                <w:szCs w:val="24"/>
              </w:rPr>
              <w:t>前。</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登录登录《鄂尔多斯市公共资源交易网》（http://www.ordosggzyjy.org.cn）或《鄂尔多斯市鄂托克前旗公共资源交易中心网》（http://www.ordosggzyjy.org.cn/TPFront_etkqq/）页面</w:t>
      </w:r>
      <w:r>
        <w:rPr>
          <w:rFonts w:hint="eastAsia" w:ascii="宋体" w:hAnsi="宋体" w:cs="宋体"/>
          <w:kern w:val="0"/>
          <w:sz w:val="24"/>
          <w:szCs w:val="24"/>
        </w:rPr>
        <w:t>，点击“政府采购”中的“采购公告”栏，打开本项目的磋商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本磋商项目采用“虚拟子账号”形式收退投标保证金，每一个供应商在所投的每一项目或标包会自动生成一个账号，</w:t>
      </w:r>
      <w:r>
        <w:rPr>
          <w:rFonts w:hint="eastAsia" w:ascii="宋体" w:hAnsi="宋体" w:cs="宋体"/>
          <w:kern w:val="0"/>
          <w:sz w:val="24"/>
          <w:szCs w:val="24"/>
        </w:rPr>
        <w:t>称为“虚拟子账号”。供应商</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”下方所载明的账号，并按照磋商文件规定的金额、时间电汇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至上述账号中，付款人名称必须为投标单位全称且与报名信息一致，该账号可以自动识别单位名称、缴纳金额金额是否正确，缴纳时间是否符合磋商文件的规定，如果不符合，一律不予收取。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2.报名时间及报名截止时间（网上报名）</w:t>
      </w:r>
    </w:p>
    <w:p>
      <w:pPr>
        <w:spacing w:line="360" w:lineRule="auto"/>
        <w:ind w:firstLine="480" w:firstLineChars="200"/>
        <w:rPr>
          <w:rFonts w:ascii="宋体" w:hAnsi="宋体"/>
          <w:sz w:val="24"/>
          <w:szCs w:val="24"/>
        </w:rPr>
      </w:pPr>
      <w:r>
        <w:rPr>
          <w:rFonts w:hint="eastAsia" w:ascii="宋体" w:hAnsi="宋体" w:cs="宋体"/>
          <w:kern w:val="0"/>
          <w:sz w:val="24"/>
          <w:szCs w:val="24"/>
        </w:rPr>
        <w:t>2.1报名时间（磋商文件提供期限）：</w:t>
      </w:r>
      <w:r>
        <w:rPr>
          <w:rFonts w:hint="eastAsia" w:ascii="宋体" w:hAnsi="宋体"/>
          <w:sz w:val="24"/>
          <w:szCs w:val="24"/>
          <w:lang w:eastAsia="zh-CN"/>
        </w:rPr>
        <w:t>2020年03月19日</w:t>
      </w:r>
      <w:r>
        <w:rPr>
          <w:rFonts w:hint="eastAsia" w:ascii="宋体" w:hAnsi="宋体"/>
          <w:sz w:val="24"/>
          <w:szCs w:val="24"/>
        </w:rPr>
        <w:t>至</w:t>
      </w:r>
      <w:r>
        <w:rPr>
          <w:rFonts w:hint="eastAsia" w:ascii="宋体" w:hAnsi="宋体"/>
          <w:sz w:val="24"/>
          <w:szCs w:val="24"/>
          <w:lang w:eastAsia="zh-CN"/>
        </w:rPr>
        <w:t>2020年03月26日</w:t>
      </w:r>
      <w:r>
        <w:rPr>
          <w:rFonts w:hint="eastAsia" w:ascii="宋体" w:hAnsi="宋体"/>
          <w:sz w:val="24"/>
          <w:szCs w:val="24"/>
        </w:rPr>
        <w:t>下午17时30分止</w:t>
      </w:r>
    </w:p>
    <w:p>
      <w:pPr>
        <w:spacing w:line="360" w:lineRule="auto"/>
        <w:ind w:firstLine="480" w:firstLineChars="200"/>
        <w:rPr>
          <w:rFonts w:ascii="宋体" w:hAnsi="宋体"/>
          <w:sz w:val="24"/>
          <w:szCs w:val="24"/>
        </w:rPr>
      </w:pPr>
      <w:r>
        <w:rPr>
          <w:rFonts w:hint="eastAsia" w:ascii="宋体" w:hAnsi="宋体"/>
          <w:sz w:val="24"/>
          <w:szCs w:val="24"/>
        </w:rPr>
        <w:t>2.2保证金缴纳截止时间（同提交响应文件截止时间）：</w:t>
      </w:r>
      <w:r>
        <w:rPr>
          <w:rFonts w:hint="eastAsia" w:ascii="宋体" w:hAnsi="宋体"/>
          <w:sz w:val="24"/>
          <w:szCs w:val="24"/>
          <w:lang w:eastAsia="zh-CN"/>
        </w:rPr>
        <w:t>2020年03月30日</w:t>
      </w:r>
      <w:r>
        <w:rPr>
          <w:rFonts w:hint="eastAsia" w:ascii="宋体" w:hAnsi="宋体"/>
          <w:sz w:val="24"/>
          <w:szCs w:val="24"/>
        </w:rPr>
        <w:t>下午</w:t>
      </w:r>
      <w:r>
        <w:rPr>
          <w:rFonts w:hint="eastAsia" w:ascii="宋体" w:hAnsi="宋体"/>
          <w:sz w:val="24"/>
          <w:szCs w:val="24"/>
          <w:lang w:eastAsia="zh-CN"/>
        </w:rPr>
        <w:t>16时00分</w:t>
      </w:r>
      <w:r>
        <w:rPr>
          <w:rFonts w:hint="eastAsia" w:ascii="宋体" w:hAnsi="宋体"/>
          <w:sz w:val="24"/>
          <w:szCs w:val="24"/>
        </w:rPr>
        <w:t>。</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供应商在完成保证金缴纳后，应及时用“回执码”登陆查询报名状况，关注所投项目或标包的保证金缴纳确认状态，如果在开标前仍显示“未缴纳”状态时，应及时查找原因，必要时可联系财务人员进行咨询，以确保投标保证金缴纳情况符合磋商文件规定。供应商未按照磋商文件要求缴纳投标保证金导致的一切后果由供应商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3.2由于投标保证金到账需要一定时间，请供应商在投标截止前及早缴纳，以免导致报名无效。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3.4网上报名成功而放弃参加投标的供应商，请在提交响应文件前以书面形式并加盖单位公章（扫描件发送至</w:t>
      </w:r>
      <w:r>
        <w:fldChar w:fldCharType="begin"/>
      </w:r>
      <w:r>
        <w:instrText xml:space="preserve"> HYPERLINK "javascript:;" </w:instrText>
      </w:r>
      <w:r>
        <w:fldChar w:fldCharType="separate"/>
      </w:r>
      <w:r>
        <w:rPr>
          <w:rStyle w:val="30"/>
          <w:rFonts w:hint="eastAsia" w:ascii="宋体" w:hAnsi="宋体" w:cs="宋体"/>
          <w:kern w:val="0"/>
          <w:sz w:val="24"/>
          <w:szCs w:val="24"/>
        </w:rPr>
        <w:t>996412561@qq.com</w:t>
      </w:r>
      <w:r>
        <w:rPr>
          <w:rStyle w:val="30"/>
          <w:rFonts w:hint="eastAsia" w:ascii="宋体" w:hAnsi="宋体" w:cs="宋体"/>
          <w:kern w:val="0"/>
          <w:sz w:val="24"/>
          <w:szCs w:val="24"/>
        </w:rPr>
        <w:fldChar w:fldCharType="end"/>
      </w:r>
      <w:r>
        <w:rPr>
          <w:rFonts w:hint="eastAsia" w:ascii="宋体" w:hAnsi="宋体"/>
          <w:sz w:val="24"/>
          <w:szCs w:val="24"/>
        </w:rPr>
        <w:t>或书面送达）通知鄂尔多斯市鄂托克前旗公共资源交易中心，并在网上报名页面中撤销报名。放弃投标未予告知的，鄂尔多斯市鄂托克前旗公共资源交易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cs="宋体"/>
          <w:b/>
          <w:sz w:val="24"/>
          <w:szCs w:val="24"/>
        </w:rPr>
      </w:pPr>
      <w:r>
        <w:rPr>
          <w:rFonts w:hint="eastAsia" w:ascii="宋体" w:hAnsi="宋体" w:cs="宋体"/>
          <w:sz w:val="24"/>
          <w:szCs w:val="24"/>
        </w:rPr>
        <w:t>本磋商文件依据《中华人民共和国政府采购法》、《中华人民共和国政府采购法实施条例》和《政府采购竞争性磋商采购方式管理暂行办法》（财库〔2014〕214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供应商应仔细阅读本项目信息公告及磋商文件的所有内容（包括变更、补充、澄清以及修改等，且均为磋商文件的组成部分），按照磋商文件要求以及格式编制响应文件，并保证其真实性，否则一切后果自负。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本次竞争性磋商项目，</w:t>
      </w:r>
      <w:r>
        <w:rPr>
          <w:rFonts w:ascii="宋体" w:hAnsi="宋体"/>
          <w:sz w:val="24"/>
          <w:szCs w:val="24"/>
        </w:rPr>
        <w:t>是以磋商公告的方式邀请非特定的供应商参加投标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本磋商文件所称货物，是指各种形态和种类的物品。提供的货物必须合法生产或销售且符合国家有关标准要求。</w:t>
      </w:r>
    </w:p>
    <w:p>
      <w:pPr>
        <w:pStyle w:val="16"/>
        <w:adjustRightInd w:val="0"/>
        <w:snapToGrid w:val="0"/>
        <w:spacing w:line="360" w:lineRule="auto"/>
        <w:rPr>
          <w:rFonts w:hAnsi="宋体"/>
          <w:b/>
          <w:kern w:val="2"/>
          <w:sz w:val="24"/>
          <w:szCs w:val="24"/>
        </w:rPr>
      </w:pPr>
      <w:r>
        <w:rPr>
          <w:rFonts w:hint="eastAsia" w:hAnsi="宋体"/>
          <w:b/>
          <w:kern w:val="2"/>
          <w:sz w:val="24"/>
          <w:szCs w:val="24"/>
        </w:rPr>
        <w:t>2.适用范围</w:t>
      </w:r>
    </w:p>
    <w:p>
      <w:pPr>
        <w:pStyle w:val="16"/>
        <w:adjustRightInd w:val="0"/>
        <w:snapToGrid w:val="0"/>
        <w:spacing w:line="360" w:lineRule="auto"/>
        <w:ind w:firstLine="480" w:firstLineChars="200"/>
        <w:rPr>
          <w:rFonts w:hAnsi="宋体"/>
          <w:b/>
          <w:kern w:val="2"/>
          <w:sz w:val="24"/>
          <w:szCs w:val="24"/>
        </w:rPr>
      </w:pPr>
      <w:r>
        <w:rPr>
          <w:rFonts w:hint="eastAsia" w:hAnsi="宋体" w:cs="宋体"/>
          <w:sz w:val="24"/>
          <w:szCs w:val="24"/>
        </w:rPr>
        <w:t>本磋商文件仅适用于本次磋商公告中所涉及的项目和内容。</w:t>
      </w:r>
    </w:p>
    <w:p>
      <w:pPr>
        <w:pStyle w:val="16"/>
        <w:adjustRightInd w:val="0"/>
        <w:snapToGrid w:val="0"/>
        <w:spacing w:line="360" w:lineRule="auto"/>
        <w:rPr>
          <w:rFonts w:hAnsi="宋体"/>
          <w:b/>
          <w:sz w:val="24"/>
          <w:szCs w:val="24"/>
        </w:rPr>
      </w:pPr>
      <w:r>
        <w:rPr>
          <w:rFonts w:hint="eastAsia" w:hAnsi="宋体"/>
          <w:b/>
          <w:sz w:val="24"/>
          <w:szCs w:val="24"/>
        </w:rPr>
        <w:t>3.投标费用</w:t>
      </w:r>
    </w:p>
    <w:p>
      <w:pPr>
        <w:spacing w:line="360" w:lineRule="auto"/>
        <w:ind w:firstLine="480" w:firstLineChars="200"/>
        <w:rPr>
          <w:rFonts w:hAnsi="宋体" w:cs="Arial"/>
          <w:color w:val="000000"/>
          <w:sz w:val="24"/>
          <w:szCs w:val="24"/>
        </w:rPr>
      </w:pPr>
      <w:r>
        <w:rPr>
          <w:rFonts w:hint="eastAsia" w:hAnsi="宋体"/>
          <w:sz w:val="24"/>
          <w:szCs w:val="24"/>
        </w:rPr>
        <w:t>3.1供应商应承担所有与准备和参加投标有关的费用。不论投标结果如何，鄂尔多斯市鄂托克前旗公共资源交易中心</w:t>
      </w:r>
      <w:r>
        <w:rPr>
          <w:rFonts w:hint="eastAsia" w:hAnsi="宋体" w:cs="Arial"/>
          <w:color w:val="000000"/>
          <w:sz w:val="24"/>
          <w:szCs w:val="24"/>
        </w:rPr>
        <w:t>和采购人均无义务和责任承担相关费用。</w:t>
      </w:r>
    </w:p>
    <w:p>
      <w:pPr>
        <w:spacing w:line="360" w:lineRule="auto"/>
        <w:ind w:firstLine="480" w:firstLineChars="200"/>
        <w:rPr>
          <w:rFonts w:hAnsi="宋体" w:cs="Arial"/>
          <w:color w:val="000000"/>
          <w:sz w:val="24"/>
          <w:szCs w:val="24"/>
        </w:rPr>
      </w:pPr>
      <w:r>
        <w:rPr>
          <w:rFonts w:hint="eastAsia" w:ascii="宋体" w:hAnsi="宋体"/>
          <w:sz w:val="24"/>
          <w:szCs w:val="24"/>
        </w:rPr>
        <w:t>3.2每标包中标人需承担本次项目评审专家劳务费（根据实际情况收取）。</w:t>
      </w:r>
    </w:p>
    <w:p>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依法进行政府采购的国家机关、事业单位、团体组织。本磋商文件的采购人特指</w:t>
      </w:r>
      <w:r>
        <w:rPr>
          <w:rFonts w:hint="eastAsia" w:asciiTheme="minorEastAsia" w:hAnsiTheme="minorEastAsia" w:eastAsiaTheme="minorEastAsia"/>
          <w:sz w:val="24"/>
          <w:szCs w:val="24"/>
        </w:rPr>
        <w:t>鄂托克前旗人民法院</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4.2“集中采购机构”是指人民政府依法设立的代理集中采购项目的执行机构。本磋商文件的集中采购机构特指鄂尔多斯市鄂托克前旗公共资源交易中心（以下简称鄂尔多斯市鄂托克前旗公共资源交易中心）。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4.4“磋商小组”是指根据《中华人民共和国政府采购法》等法律法规规定，由采购人代表和有关专家组成以确定成交供应商或者推荐成交候选人的临时组织。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4.5“成交供应商”是指经磋商小组评审确定的对磋商文件做出实质性响应，取得与采购人签订合同资格的供应商。</w:t>
      </w:r>
    </w:p>
    <w:p>
      <w:pPr>
        <w:spacing w:line="360" w:lineRule="auto"/>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 符合本磋商文件规定的资格要求，并按照要求提供相关证明材料。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5.5由于法人分支机构不能独立承担民事责任，不能以分支机构的身份参加政府采购，只能以法人身份参加。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6.1联合体各方应签订联合体协议书，明确联合体牵头人和各方权利义务，并装订至响应文件中。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同一资质条件的供应商组成的联合体，应当按照资质等级较低的供应商确定联合体资质等级。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8.1磋商文件规定组织踏勘现场的，采购人按磋商文件规定的时间、地点组织供应商踏勘项目现场。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8.3采购人在踏勘现场中介绍的资料和数据等，不构成对磋商文件的修改或不作为供应商编制响应文件的依据。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无论中标与否供应商递交的响应文件均不予退还。</w:t>
      </w:r>
    </w:p>
    <w:p>
      <w:pPr>
        <w:spacing w:line="360" w:lineRule="auto"/>
        <w:rPr>
          <w:rFonts w:ascii="宋体" w:hAnsi="宋体"/>
          <w:b/>
          <w:sz w:val="24"/>
          <w:szCs w:val="24"/>
        </w:rPr>
      </w:pPr>
      <w:r>
        <w:rPr>
          <w:rFonts w:hint="eastAsia" w:ascii="宋体" w:hAnsi="宋体"/>
          <w:b/>
          <w:sz w:val="24"/>
          <w:szCs w:val="24"/>
        </w:rPr>
        <w:t>四.磋商文件的澄清或者修改</w:t>
      </w:r>
    </w:p>
    <w:p>
      <w:pPr>
        <w:spacing w:line="360" w:lineRule="auto"/>
        <w:ind w:firstLine="480" w:firstLineChars="200"/>
        <w:rPr>
          <w:rFonts w:ascii="宋体" w:hAnsi="宋体"/>
          <w:sz w:val="24"/>
          <w:szCs w:val="24"/>
        </w:rPr>
      </w:pPr>
      <w:r>
        <w:rPr>
          <w:rFonts w:hint="eastAsia" w:ascii="宋体" w:hAnsi="宋体"/>
          <w:sz w:val="24"/>
          <w:szCs w:val="24"/>
        </w:rPr>
        <w:t>提交首次响应文件截止之日前，采购人、鄂尔多斯市鄂托克前旗公共资源交易中心或者磋商小组可以对已发出的磋商文件进行必要的澄清或者修改，澄清或者修改的内容作为磋商文件的组成部分。澄清或者修改的内容可能影响响应文件编制的，采购人、鄂尔多斯市鄂托克前旗公共资源交易中心应当在提交首次响应文件截止时间至少5日前，不足5日的，采购人、鄂尔多斯市鄂托克前旗公共资源交易中心应当顺延提交首次响应文件截止时间。</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和“鄂尔多斯市公共资源交易网”“鄂托克前旗人民政府网”上发布澄清或者变更公告进行通知。澄清或者变更公告的内容为磋商文件的组成部分，供应商应自行上网查询，采购人或鄂尔多斯市鄂托克前旗公共资源交易中心不承担供应商未及时关注相关信息的责任。</w:t>
      </w:r>
    </w:p>
    <w:p>
      <w:pPr>
        <w:spacing w:line="360" w:lineRule="auto"/>
        <w:rPr>
          <w:rFonts w:ascii="宋体" w:hAnsi="宋体"/>
          <w:b/>
          <w:sz w:val="24"/>
          <w:szCs w:val="24"/>
        </w:rPr>
      </w:pPr>
      <w:r>
        <w:rPr>
          <w:rFonts w:hint="eastAsia" w:ascii="宋体" w:hAnsi="宋体"/>
          <w:b/>
          <w:sz w:val="24"/>
          <w:szCs w:val="24"/>
        </w:rPr>
        <w:t>五.响应文件</w:t>
      </w:r>
    </w:p>
    <w:p>
      <w:pPr>
        <w:spacing w:line="360" w:lineRule="auto"/>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响应文件应按照磋商文件第七章“响应文件格式”进行编写（可以增加附页），作为响应文件的组成部分。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供应商应按照“第四章磋商内容与要求”的供货内容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。投标总价中不得包含磋商文件要求以外的内容，否则，在评审时不予核减。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2.2</w:t>
      </w:r>
      <w:r>
        <w:rPr>
          <w:rFonts w:hint="eastAsia" w:ascii="宋体" w:hAnsi="宋体"/>
          <w:sz w:val="24"/>
          <w:szCs w:val="24"/>
        </w:rPr>
        <w:t>投标报价的范</w:t>
      </w:r>
      <w:r>
        <w:rPr>
          <w:rFonts w:hint="eastAsia" w:ascii="宋体" w:hAnsi="宋体"/>
          <w:kern w:val="0"/>
          <w:sz w:val="24"/>
          <w:szCs w:val="24"/>
        </w:rPr>
        <w:t>围：本项目实行两轮报价，第一轮为响应性报价，第二轮为磋商后报价（也是最后报价），必要时可进行第三轮报价。投标报价含本采购文件要求、合同履约需要及施工过程中所产生的全部费用。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rPr>
          <w:rFonts w:ascii="宋体" w:hAnsi="宋体"/>
          <w:b/>
          <w:sz w:val="24"/>
          <w:szCs w:val="24"/>
        </w:rPr>
      </w:pPr>
      <w:r>
        <w:rPr>
          <w:rFonts w:hint="eastAsia" w:ascii="宋体" w:hAnsi="宋体"/>
          <w:b/>
          <w:sz w:val="24"/>
          <w:szCs w:val="24"/>
        </w:rPr>
        <w:t>3.响应文件的密封、签署、盖章要求等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3.2电子版响应文件编制要求：提供PDF格式和word格式电子文档一份，内容必须一致，在电子文档上标明供应商全称。（电子文档须使用U盘）</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0" w:firstLineChars="200"/>
        <w:rPr>
          <w:rFonts w:ascii="宋体" w:hAnsi="宋体"/>
          <w:sz w:val="24"/>
          <w:szCs w:val="24"/>
        </w:rPr>
      </w:pPr>
      <w:r>
        <w:rPr>
          <w:rFonts w:hint="eastAsia" w:ascii="宋体" w:hAnsi="宋体"/>
          <w:sz w:val="24"/>
          <w:szCs w:val="24"/>
        </w:rPr>
        <w:t>3.4响应文件的密封。供应商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，电子文档可密封至响应文件中也可单独密封。密封封面上需注明“项目名称”、“项目编号”、“分包号”、“供应商全称”和《谈判文件》或《电子版》字样，并在密封包装上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3.5供应商按上述规定进行密封和标记后，将响应文件按照谈判文件的要求送达指定地点。如果未按上述规定进行密封和标记，采购代理机构对误投或提前启封概不负责。</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：1、供应商在响应文件及相关书面文件中的单位公章（包括印章、公章等）均指与供应商名称全称一致的标准公章，不得使用其他形式（如带有“专用章”、“财务章”、“业务章”等）的印章。</w:t>
      </w:r>
    </w:p>
    <w:p>
      <w:pPr>
        <w:pStyle w:val="2"/>
        <w:ind w:firstLine="480" w:firstLineChars="200"/>
      </w:pPr>
      <w:r>
        <w:rPr>
          <w:rFonts w:hint="eastAsia" w:ascii="宋体" w:hAnsi="宋体"/>
          <w:sz w:val="24"/>
          <w:szCs w:val="24"/>
        </w:rPr>
        <w:t>2、供应商应单独密封、单独递交一份《开标一览表》，用于唱标时使用。</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4.1投标有效期从提交响应文件的截止之日起算。响应文件中承诺的投标有效期应当不少于磋商文件中载明的投标有效期。投标有效期内供应商撤销响应文件的，采购人或者采购代理机构可以不退还投标保证金。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供应商在提交响应文件的同时，应按供应商须知前附表规定的金额、开户银行、行号、开户单位、账号和磋商文件本章“报名须知”规定的投标保证金缴纳要求递交投标保证金，并作为其响应文件的组成部分。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（2）中标后，无正当理由不与磋商人签订合同；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（3）在签订合同时，向磋商人提出附加条件；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（4）不按照磋商文件要求提交履约保证金；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（5）要求修改、补充和撤销响应文件的实质性内容；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（6）要求更改磋商文件和成交结果公告的实质性内容；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（7）法律法规和磋商文件规定的其他情形。</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提交响应文件截止时间前，可以对所递交的响应文件进行补充、修改或者撤回。补充、修改的内容旁签署（法人或授权委托人签署）、盖章后生效，并作为响应文件的组成部分，补充、修改的内容与响应文件不一致的，以补充、修改的内容为准；撤回的应以书面形式告知鄂尔多斯市鄂托克前旗公共资源交易中心或采购人。</w:t>
      </w:r>
    </w:p>
    <w:p>
      <w:pPr>
        <w:spacing w:line="360" w:lineRule="auto"/>
        <w:ind w:firstLine="480" w:firstLineChars="200"/>
        <w:rPr>
          <w:rFonts w:ascii="宋体" w:hAnsi="宋体"/>
          <w:sz w:val="24"/>
          <w:szCs w:val="24"/>
        </w:rPr>
      </w:pPr>
      <w:r>
        <w:rPr>
          <w:rFonts w:hint="eastAsia" w:ascii="宋体" w:hAnsi="宋体"/>
          <w:sz w:val="24"/>
          <w:szCs w:val="24"/>
        </w:rPr>
        <w:t>在提交响应文件截止时间后到磋商文件规定的投标有效期终止之前，供应商不得补充、修改、替代或者撤回其响应文件。</w:t>
      </w:r>
    </w:p>
    <w:p>
      <w:pPr>
        <w:spacing w:line="360" w:lineRule="auto"/>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ascii="宋体" w:hAnsi="宋体"/>
          <w:sz w:val="24"/>
          <w:szCs w:val="24"/>
        </w:rPr>
      </w:pPr>
      <w:r>
        <w:rPr>
          <w:rFonts w:hint="eastAsia" w:ascii="宋体" w:hAnsi="宋体"/>
          <w:sz w:val="24"/>
          <w:szCs w:val="24"/>
        </w:rPr>
        <w:t>在磋商文件要求提交响应文件的截止时间之后送达或没有将《开标一览表》单独密封、单独递交的响应文件，为无效响应文件，采购单位或采购代理机构将拒收。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磋商文件规定供应商提交样品的，样品属于响应文件的组成部分。样品的生产、运输、安装、保全等一切费用由供应商自理。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8.2评标结束后，成交供应商与采购人共同清点、检查和密封样品，由成交供应商送至采购人指定地点封存。未中标供应商将样品自行带回。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开标时间与提交响应文件截止时间为同一时间；开标地点为磋商文件规定的地点。邀请所有供应商的法定代表人或其授权委托人准时参加。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采购人、鄂尔多斯市鄂托克前旗公共资源交易中心对误投或未按规定时间、地点进行投标的概不负责。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供应商或者其推选的代表检查响应文件的密封情况；经确认无误后，由采购人或者采购代理机构工作人员当众拆封，宣布供应商名称、投标价格和磋商文件规定的需要宣布的其他内容（以开标一览表要求为准），供应商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（6）开标结束，响应文件移交磋商小组。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供应商代表对开标过程和开标记录有疑义，以及认为采购人、采购代理机构相关工作人员有需要回避的情形的，应当场提出询问或者回避申请，开标会议结束后不再接受相关询问、质疑或者回避申请。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1.磋商小组</w:t>
      </w:r>
    </w:p>
    <w:p>
      <w:pPr>
        <w:spacing w:line="360" w:lineRule="auto"/>
        <w:ind w:firstLine="480" w:firstLineChars="200"/>
        <w:rPr>
          <w:rFonts w:ascii="宋体" w:hAnsi="宋体"/>
          <w:sz w:val="24"/>
          <w:szCs w:val="24"/>
        </w:rPr>
      </w:pPr>
      <w:r>
        <w:rPr>
          <w:rFonts w:hint="eastAsia" w:ascii="宋体" w:hAnsi="宋体"/>
          <w:sz w:val="24"/>
          <w:szCs w:val="24"/>
        </w:rPr>
        <w:t>1.1磋商小组由采购人代表和评审专家共3人以上单数组成，其中评审专家人数不得少于磋商小组成员总数的2/3。</w:t>
      </w:r>
    </w:p>
    <w:p>
      <w:pPr>
        <w:spacing w:line="360" w:lineRule="auto"/>
        <w:ind w:firstLine="480" w:firstLineChars="200"/>
        <w:rPr>
          <w:rFonts w:ascii="宋体" w:hAnsi="宋体"/>
          <w:sz w:val="24"/>
          <w:szCs w:val="24"/>
        </w:rPr>
      </w:pPr>
      <w:r>
        <w:rPr>
          <w:rFonts w:hint="eastAsia" w:ascii="宋体" w:hAnsi="宋体"/>
          <w:sz w:val="24"/>
          <w:szCs w:val="24"/>
        </w:rPr>
        <w:t>1.2磋商小组成员有下列情形之一的，应当回避：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2.1评标活动遵循公平、公正、科学和择优的原则，以磋商文件和响应文件为评标的基本依据，并按照磋商文件规定的评标方法和评标标准进行评标。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2.2具体评标事项由磋商小组负责，并按磋商文件的规定办法进行评审。</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b/>
          <w:sz w:val="24"/>
          <w:szCs w:val="24"/>
        </w:rPr>
      </w:pPr>
      <w:r>
        <w:rPr>
          <w:rFonts w:hint="eastAsia" w:ascii="宋体" w:hAnsi="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hAnsi="宋体"/>
          <w:sz w:val="24"/>
          <w:szCs w:val="24"/>
        </w:rPr>
      </w:pPr>
      <w:r>
        <w:rPr>
          <w:rFonts w:hint="eastAsia" w:ascii="宋体" w:hAnsi="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auto"/>
        <w:ind w:firstLine="480" w:firstLineChars="200"/>
        <w:rPr>
          <w:rFonts w:ascii="宋体" w:hAnsi="宋体"/>
          <w:sz w:val="24"/>
          <w:szCs w:val="24"/>
        </w:rPr>
      </w:pPr>
      <w:r>
        <w:rPr>
          <w:rFonts w:hint="eastAsia" w:ascii="宋体" w:hAnsi="宋体"/>
          <w:sz w:val="24"/>
          <w:szCs w:val="24"/>
        </w:rPr>
        <w:t>3.1磋商小组不接受供应商主动提出的澄清、说明或补正。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3.2磋商小组对供应商提交的澄清、说明或补正有疑问的，可以要求供应商进一步澄清、说明或补正。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详见第六章评审表。经磋商小组认定，凡其中有一项不合格的，按无效投标处理。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（1）符合专业条件的供应商或者对磋商文件作实质响应的供应商不足三家的；（政府购买服务项目（含政府和社会资本合作项目）、市场竞争不充分的科研项目，以及需要扶持的科技成果转化项目除外）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（5）法律、法规以及磋商文件规定其他情形。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磋商小组按照磋商文件确定的评标方法、步骤、标准，对响应文件进行评审。评标结束后，对供应商的评审名次进行排序，确定成交供应商或者推荐成交候选人。</w:t>
      </w:r>
    </w:p>
    <w:p>
      <w:pPr>
        <w:spacing w:line="360" w:lineRule="auto"/>
        <w:rPr>
          <w:rFonts w:ascii="宋体" w:hAnsi="宋体"/>
          <w:b/>
          <w:sz w:val="24"/>
          <w:szCs w:val="24"/>
        </w:rPr>
      </w:pPr>
      <w:r>
        <w:rPr>
          <w:rFonts w:hint="eastAsia" w:ascii="宋体" w:hAnsi="宋体"/>
          <w:b/>
          <w:sz w:val="24"/>
          <w:szCs w:val="24"/>
        </w:rPr>
        <w:t>8.成交结果公告</w:t>
      </w:r>
    </w:p>
    <w:p>
      <w:pPr>
        <w:spacing w:line="360" w:lineRule="auto"/>
        <w:ind w:firstLine="480" w:firstLineChars="200"/>
        <w:rPr>
          <w:rFonts w:ascii="宋体" w:hAnsi="宋体"/>
          <w:sz w:val="24"/>
          <w:szCs w:val="24"/>
        </w:rPr>
      </w:pPr>
      <w:r>
        <w:rPr>
          <w:rFonts w:hint="eastAsia" w:ascii="宋体" w:hAnsi="宋体"/>
          <w:sz w:val="24"/>
          <w:szCs w:val="24"/>
        </w:rPr>
        <w:t>7.1成交供应商确定后，鄂尔多斯市鄂托克前旗公共资源交易中心将在内蒙古自治区政府采购网、内蒙古自治区公共资源交易网、鄂尔多斯市政府采购网和鄂尔多斯市公共资源交易网、鄂托克前旗人民政府网上发布成交结果公告，同时将成交结果以公告形式通知未中标的供应商，成交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7.2成交供应商须将成交货物报价明细表（WORD格式电子版，格式下载地址：鄂尔多斯市公共资源交易网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政府采购相关范本）（包括主要中标标的的名称、规格型号、数量、单价、服务要求）于评标结束后当天发送在鄂尔多斯市鄂托克前旗公共资源交易中心工作人员邮箱内（</w:t>
      </w:r>
      <w:r>
        <w:fldChar w:fldCharType="begin"/>
      </w:r>
      <w:r>
        <w:instrText xml:space="preserve"> HYPERLINK "mailto:youj_0722@163.com" </w:instrText>
      </w:r>
      <w:r>
        <w:fldChar w:fldCharType="separate"/>
      </w:r>
      <w:r>
        <w:rPr>
          <w:rFonts w:hint="eastAsia"/>
        </w:rPr>
        <w:t>996412561@qq.com</w:t>
      </w:r>
      <w:r>
        <w:rPr>
          <w:rFonts w:hint="eastAsia"/>
        </w:rPr>
        <w:fldChar w:fldCharType="end"/>
      </w:r>
      <w:r>
        <w:rPr>
          <w:rFonts w:hint="eastAsia" w:ascii="宋体" w:hAnsi="宋体"/>
          <w:sz w:val="24"/>
          <w:szCs w:val="24"/>
        </w:rPr>
        <w:t>，联系人刘先生，联系电话0477-7621750），并在邮件标题注明项目名称及中标单位名称，否则不予发布成交结果公告。</w:t>
      </w:r>
    </w:p>
    <w:p>
      <w:pPr>
        <w:spacing w:line="360" w:lineRule="auto"/>
        <w:rPr>
          <w:rFonts w:ascii="宋体" w:hAnsi="宋体"/>
          <w:b/>
          <w:sz w:val="24"/>
          <w:szCs w:val="24"/>
        </w:rPr>
      </w:pPr>
      <w:r>
        <w:rPr>
          <w:rFonts w:hint="eastAsia" w:ascii="宋体" w:hAnsi="宋体"/>
          <w:b/>
          <w:sz w:val="24"/>
          <w:szCs w:val="24"/>
        </w:rPr>
        <w:t>9.成交通知书发放</w:t>
      </w:r>
    </w:p>
    <w:p>
      <w:pPr>
        <w:spacing w:line="360" w:lineRule="auto"/>
        <w:ind w:firstLine="480" w:firstLineChars="200"/>
        <w:rPr>
          <w:rFonts w:ascii="宋体" w:hAnsi="宋体"/>
          <w:sz w:val="24"/>
          <w:szCs w:val="24"/>
        </w:rPr>
      </w:pPr>
      <w:r>
        <w:rPr>
          <w:rFonts w:hint="eastAsia" w:ascii="宋体" w:hAnsi="宋体"/>
          <w:sz w:val="24"/>
          <w:szCs w:val="24"/>
        </w:rPr>
        <w:t>鄂尔多斯市鄂托克前旗公共资源交易中心以书面形式向成交供应商发出成交通知书，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，成交通知书对采购人和中标供应商具有同等法律效力。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成交通知书发出后，采购人不得违法改变成交结果，成交供应商无正当理由不得放弃中标。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color w:val="000000"/>
          <w:sz w:val="24"/>
          <w:szCs w:val="24"/>
        </w:rPr>
        <w:t>鄂尔多斯市鄂托克前旗公共资源交易中心政府大厅</w:t>
      </w:r>
      <w:r>
        <w:rPr>
          <w:rFonts w:hint="eastAsia" w:ascii="宋体" w:hAnsi="宋体"/>
          <w:sz w:val="24"/>
          <w:szCs w:val="24"/>
        </w:rPr>
        <w:t>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询问内容以书面材料的形式亲自递交到鄂尔多斯市鄂托克前旗公共资源交易中心，正式受理后方可生效，否则，为无效询问。</w:t>
      </w:r>
    </w:p>
    <w:p>
      <w:pPr>
        <w:spacing w:line="360" w:lineRule="auto"/>
        <w:rPr>
          <w:rFonts w:ascii="宋体" w:hAnsi="宋体" w:cs="宋体"/>
          <w:b/>
          <w:kern w:val="0"/>
          <w:sz w:val="24"/>
          <w:szCs w:val="24"/>
        </w:rPr>
      </w:pPr>
      <w:r>
        <w:rPr>
          <w:rFonts w:hint="eastAsia" w:ascii="宋体" w:hAnsi="宋体" w:cs="宋体"/>
          <w:b/>
          <w:kern w:val="0"/>
          <w:sz w:val="24"/>
          <w:szCs w:val="24"/>
        </w:rPr>
        <w:t>2.质疑</w:t>
      </w:r>
    </w:p>
    <w:p>
      <w:pPr>
        <w:spacing w:line="360" w:lineRule="auto"/>
        <w:ind w:firstLine="480" w:firstLineChars="200"/>
        <w:rPr>
          <w:rFonts w:ascii="宋体" w:hAnsi="宋体"/>
          <w:sz w:val="24"/>
          <w:szCs w:val="24"/>
        </w:rPr>
      </w:pPr>
      <w:r>
        <w:rPr>
          <w:rFonts w:hint="eastAsia" w:ascii="宋体" w:hAnsi="宋体"/>
          <w:sz w:val="24"/>
          <w:szCs w:val="24"/>
        </w:rPr>
        <w:t>2.1供应商认为采购文件、采购过程和中标、成交结果使自己的权益受到损害的，可以在知道或者应知其权益受到损害之日起七个工作日内，以书面形式向采购人提出质疑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sz w:val="24"/>
          <w:szCs w:val="24"/>
        </w:rPr>
      </w:pPr>
      <w:r>
        <w:rPr>
          <w:rFonts w:hint="eastAsia" w:ascii="宋体" w:hAnsi="宋体"/>
          <w:sz w:val="24"/>
          <w:szCs w:val="24"/>
        </w:rPr>
        <w:t>2.2采购人应当在收到供应商的书面质疑后七个工作日内作出答复，并以书面形式通知质疑供应商和其他有关供应商，但答复的内容不得涉及商业秘密。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2.3询问或者质疑事项可能影响成交结果的，采购人应当暂停签订合同，已经签订合同的，应当中止履行合同。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2.4为了使提出的质疑事项在规定时间内得到有效答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质疑人必须为本次采购活动当事人，且由法定代表人或投标授权人亲自递交到鄂尔多斯市鄂托克前旗公共资源交易中心，正式受理后方可生效，否则，为无效质疑。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2.5递交的质疑函务必提供以下信息和内容：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（3）质疑应当有明确的请求和必要的证明材料；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（4）质疑人的签章及提出质疑的准确日期。</w:t>
      </w:r>
    </w:p>
    <w:p>
      <w:pPr>
        <w:spacing w:line="360" w:lineRule="auto"/>
        <w:ind w:firstLine="482" w:firstLineChars="201"/>
        <w:rPr>
          <w:rFonts w:ascii="宋体" w:hAnsi="宋体"/>
          <w:sz w:val="24"/>
          <w:szCs w:val="24"/>
        </w:rPr>
      </w:pPr>
      <w:r>
        <w:rPr>
          <w:rFonts w:hint="eastAsia" w:ascii="宋体" w:hAnsi="宋体"/>
          <w:sz w:val="24"/>
          <w:szCs w:val="24"/>
        </w:rPr>
        <w:t>2.6有下列情况之一的质疑不予受理：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）非供应商提出的质疑；</w:t>
      </w:r>
    </w:p>
    <w:p>
      <w:pPr>
        <w:spacing w:line="360" w:lineRule="auto"/>
        <w:ind w:firstLine="482" w:firstLineChars="201"/>
        <w:rPr>
          <w:rFonts w:ascii="宋体" w:hAnsi="宋体"/>
          <w:sz w:val="24"/>
          <w:szCs w:val="24"/>
        </w:rPr>
      </w:pPr>
      <w:r>
        <w:rPr>
          <w:rFonts w:hint="eastAsia" w:ascii="宋体" w:hAnsi="宋体"/>
          <w:sz w:val="24"/>
          <w:szCs w:val="24"/>
        </w:rPr>
        <w:t>（2）无质疑函件或质疑函件缺少供应商法人印章、供应商法定代表人签字、有效授权书和联系方式之一的质疑；</w:t>
      </w:r>
    </w:p>
    <w:p>
      <w:pPr>
        <w:spacing w:line="360" w:lineRule="auto"/>
        <w:ind w:firstLine="482" w:firstLineChars="201"/>
        <w:rPr>
          <w:rFonts w:ascii="宋体" w:hAnsi="宋体"/>
          <w:sz w:val="24"/>
          <w:szCs w:val="24"/>
        </w:rPr>
      </w:pPr>
      <w:r>
        <w:rPr>
          <w:rFonts w:hint="eastAsia" w:ascii="宋体" w:hAnsi="宋体"/>
          <w:sz w:val="24"/>
          <w:szCs w:val="24"/>
        </w:rPr>
        <w:t>（3）质疑函件无实质性内容或佐证文件资料，主观臆断及推理得出结论的质疑；</w:t>
      </w:r>
    </w:p>
    <w:p>
      <w:pPr>
        <w:spacing w:line="360" w:lineRule="auto"/>
        <w:ind w:firstLine="482" w:firstLineChars="201"/>
        <w:rPr>
          <w:rFonts w:ascii="宋体" w:hAnsi="宋体"/>
          <w:sz w:val="24"/>
          <w:szCs w:val="24"/>
        </w:rPr>
      </w:pPr>
      <w:r>
        <w:rPr>
          <w:rFonts w:hint="eastAsia" w:ascii="宋体" w:hAnsi="宋体"/>
          <w:sz w:val="24"/>
          <w:szCs w:val="24"/>
        </w:rPr>
        <w:t>（4）相应证明材料不真实或来源不合法的质疑；</w:t>
      </w:r>
    </w:p>
    <w:p>
      <w:pPr>
        <w:spacing w:line="360" w:lineRule="auto"/>
        <w:ind w:firstLine="482" w:firstLineChars="201"/>
        <w:rPr>
          <w:rFonts w:ascii="宋体" w:hAnsi="宋体"/>
          <w:sz w:val="24"/>
          <w:szCs w:val="24"/>
        </w:rPr>
      </w:pPr>
      <w:r>
        <w:rPr>
          <w:rFonts w:hint="eastAsia" w:ascii="宋体" w:hAnsi="宋体"/>
          <w:sz w:val="24"/>
          <w:szCs w:val="24"/>
        </w:rPr>
        <w:t>（5）未按规定时间或超过质疑时限提出的质疑；</w:t>
      </w:r>
    </w:p>
    <w:p>
      <w:pPr>
        <w:spacing w:line="360" w:lineRule="auto"/>
        <w:ind w:firstLine="482" w:firstLineChars="201"/>
        <w:rPr>
          <w:rFonts w:ascii="宋体" w:hAnsi="宋体"/>
          <w:sz w:val="24"/>
          <w:szCs w:val="24"/>
        </w:rPr>
      </w:pPr>
      <w:r>
        <w:rPr>
          <w:rFonts w:hint="eastAsia" w:ascii="宋体" w:hAnsi="宋体"/>
          <w:sz w:val="24"/>
          <w:szCs w:val="24"/>
        </w:rPr>
        <w:t>（6）除亲自送达书面质疑书式外，其他任何方式的质疑。</w:t>
      </w:r>
    </w:p>
    <w:p>
      <w:pPr>
        <w:spacing w:line="360" w:lineRule="auto"/>
        <w:ind w:firstLine="480" w:firstLineChars="200"/>
        <w:rPr>
          <w:rFonts w:ascii="宋体" w:hAnsi="宋体"/>
          <w:sz w:val="24"/>
          <w:szCs w:val="24"/>
        </w:rPr>
      </w:pPr>
      <w:r>
        <w:rPr>
          <w:rFonts w:hint="eastAsia" w:ascii="宋体" w:hAnsi="宋体"/>
          <w:sz w:val="24"/>
          <w:szCs w:val="24"/>
        </w:rPr>
        <w:t>2.7对捏造事实，提供虚假材料或者以非法手段取得证明材料进行恶意质疑的，一经查实，将上报监督部门，并给以相应处罚。</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鄂尔多斯市鄂托克前旗公共资源交易中心的答复不满意或者采购人、鄂尔多斯市鄂托克前旗公共资源交易中心未在规定的时间内做出书面答复的，可以在答复期满后十五个工作日内向监督部门进行投诉。投诉程序按《政府采购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bookmarkStart w:id="2" w:name="_Toc447030613"/>
      <w:bookmarkStart w:id="3" w:name="_Toc266431157"/>
      <w:r>
        <w:rPr>
          <w:rFonts w:ascii="宋体" w:hAnsi="宋体" w:cs="宋体"/>
          <w:bCs/>
          <w:color w:val="000000"/>
          <w:sz w:val="24"/>
          <w:szCs w:val="24"/>
        </w:rPr>
        <w:br w:type="page"/>
      </w:r>
    </w:p>
    <w:p>
      <w:pPr>
        <w:pStyle w:val="23"/>
        <w:spacing w:line="360" w:lineRule="auto"/>
        <w:rPr>
          <w:rFonts w:ascii="宋体" w:hAnsi="宋体" w:eastAsia="宋体" w:cs="宋体"/>
          <w:bCs w:val="0"/>
          <w:color w:val="000000"/>
          <w:sz w:val="24"/>
          <w:szCs w:val="24"/>
        </w:rPr>
      </w:pPr>
      <w:bookmarkStart w:id="4" w:name="_Toc497408602"/>
      <w:r>
        <w:rPr>
          <w:rFonts w:hint="eastAsia" w:ascii="宋体" w:hAnsi="宋体" w:eastAsia="宋体" w:cs="宋体"/>
          <w:bCs w:val="0"/>
          <w:color w:val="000000"/>
          <w:sz w:val="24"/>
          <w:szCs w:val="24"/>
        </w:rPr>
        <w:t xml:space="preserve">第三章 </w:t>
      </w:r>
      <w:bookmarkEnd w:id="2"/>
      <w:bookmarkEnd w:id="3"/>
      <w:r>
        <w:rPr>
          <w:rFonts w:hint="eastAsia" w:ascii="宋体" w:hAnsi="宋体" w:eastAsia="宋体" w:cs="宋体"/>
          <w:bCs w:val="0"/>
          <w:color w:val="00000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1.1采购人应当自成交通知书发出之日起30日内，按照磋商文件和成交供应商响应文件的规定，与成交供应商签订书面合同。所签订的合同不得对磋商文件确定的事项和成交供应商响应文件作实质性修改。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1.2政府采购合同应当包括采购人与成交供应商的名称和住所、标的、数量、质量、价款或者报酬、履行期限及地点和方式、验收要求、违约责任、解决争议的方法等内容。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1.3采购人与成交供应商应当根据合同的约定依法履行合同义务。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自合同签订之日起2个工作日内，中标人应将政府采购合同送达至旗公共资源交易中心（联系人：刘先生，联系电话：0477-7621750）存档，逾期未签订合同或未按时交回合同，将按照相关法律法规做出相应处罚。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2.1具体格式见本磋商文件后附拟签订的《合同文本》（部分合同条款），响应文件中可以不提供《合同文本》。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政府采购相关范本）。验收合格后2个工作日内，中标人应将政府采购项目验收单送达至旗公共资源交易中心（联系人：刘先生，联系电话：0477-7621750 ）存档。逾期未验收或未按时交回验收单，将按照相关法律法规做出相应处罚。</w:t>
      </w:r>
    </w:p>
    <w:p>
      <w:pPr>
        <w:jc w:val="center"/>
        <w:rPr>
          <w:rFonts w:ascii="宋体" w:hAnsi="宋体"/>
          <w:b/>
          <w:color w:val="000000"/>
          <w:sz w:val="24"/>
          <w:szCs w:val="24"/>
        </w:rPr>
      </w:pPr>
    </w:p>
    <w:p>
      <w:pPr>
        <w:jc w:val="center"/>
        <w:rPr>
          <w:rFonts w:ascii="宋体" w:hAnsi="宋体"/>
          <w:b/>
          <w:color w:val="000000"/>
          <w:sz w:val="24"/>
          <w:szCs w:val="24"/>
        </w:rPr>
      </w:pPr>
    </w:p>
    <w:p>
      <w:pPr>
        <w:jc w:val="center"/>
        <w:rPr>
          <w:rFonts w:ascii="宋体" w:hAnsi="宋体"/>
          <w:b/>
          <w:bCs/>
          <w:color w:val="000000"/>
          <w:kern w:val="44"/>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3、磋商文件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二、本合同所提供的服务以磋商文件、响应文件要求的相关服务要求为主。后附主要服务内容清单。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***（见磋商文件第四章）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五、提供服务时间、地点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1、服务期限：</w:t>
      </w:r>
      <w:r>
        <w:rPr>
          <w:rFonts w:asciiTheme="minorEastAsia" w:hAnsiTheme="minorEastAsia" w:eastAsiaTheme="minorEastAsia"/>
          <w:sz w:val="24"/>
          <w:szCs w:val="24"/>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2、服务地点：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1、由甲乙双方及第三方（如有）按照磋商文件、响应文件及合同要求，一同对服务内容验收并签字确认。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2、验收不合格的甲方可以解除合同且不承担任何法律责任。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八、服务方案</w:t>
      </w:r>
    </w:p>
    <w:p>
      <w:pPr>
        <w:spacing w:line="15" w:lineRule="atLeast"/>
        <w:ind w:firstLine="720" w:firstLineChars="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乙方应按磋商文件、响应文件中做出的书面说明或承诺提供服务。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1、乙方逾期提供服务、甲方逾期付款，按日承担违约部分合同金额的违约金。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1、提交仲裁委员会仲裁。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2、向人民法院起诉。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合同文本一式五份，采购单位、供应商、政府采购监管部门、市采购代理机构、国库支付执行机构各一份，自双方签订之日起生效。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附表：服务内容</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序号</w:t>
            </w:r>
          </w:p>
        </w:tc>
        <w:tc>
          <w:tcPr>
            <w:tcW w:w="2072"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hint="eastAsia" w:ascii="宋体" w:hAnsi="宋体" w:cs="宋体"/>
                <w:sz w:val="24"/>
                <w:szCs w:val="24"/>
              </w:rPr>
              <w:t>…</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sz w:val="24"/>
                <w:szCs w:val="24"/>
              </w:rPr>
            </w:pPr>
            <w:r>
              <w:rPr>
                <w:rFonts w:hint="eastAsia" w:ascii="宋体" w:hAnsi="宋体" w:cs="宋体"/>
                <w:sz w:val="24"/>
                <w:szCs w:val="24"/>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r>
    </w:tbl>
    <w:p>
      <w:pPr>
        <w:jc w:val="center"/>
        <w:outlineLvl w:val="0"/>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jc w:val="center"/>
        <w:outlineLvl w:val="0"/>
        <w:rPr>
          <w:rFonts w:ascii="宋体" w:hAnsi="宋体"/>
          <w:b/>
          <w:bCs/>
          <w:color w:val="000000"/>
          <w:kern w:val="44"/>
          <w:sz w:val="24"/>
          <w:szCs w:val="24"/>
          <w:lang w:val="zh-CN"/>
        </w:rPr>
      </w:pPr>
      <w:bookmarkStart w:id="5" w:name="_Toc497408603"/>
      <w:r>
        <w:rPr>
          <w:rFonts w:hint="eastAsia" w:ascii="宋体" w:hAnsi="宋体"/>
          <w:b/>
          <w:bCs/>
          <w:color w:val="000000"/>
          <w:kern w:val="44"/>
          <w:sz w:val="24"/>
          <w:szCs w:val="24"/>
          <w:lang w:val="zh-CN"/>
        </w:rPr>
        <w:t>第四章 磋商内容与技术要求</w:t>
      </w:r>
      <w:bookmarkEnd w:id="5"/>
    </w:p>
    <w:p>
      <w:pPr>
        <w:jc w:val="left"/>
        <w:rPr>
          <w:rFonts w:hAnsi="宋体"/>
          <w:sz w:val="24"/>
          <w:szCs w:val="24"/>
        </w:rPr>
      </w:pPr>
      <w:r>
        <w:rPr>
          <w:rFonts w:hint="eastAsia" w:ascii="宋体" w:hAnsi="宋体"/>
          <w:b/>
          <w:bCs/>
          <w:color w:val="000000"/>
          <w:kern w:val="44"/>
          <w:sz w:val="24"/>
          <w:szCs w:val="24"/>
          <w:lang w:val="zh-CN"/>
        </w:rPr>
        <w:t>一.主要商务要求</w:t>
      </w:r>
    </w:p>
    <w:tbl>
      <w:tblPr>
        <w:tblStyle w:val="25"/>
        <w:tblW w:w="9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6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6"/>
              <w:ind w:firstLine="0" w:firstLineChars="0"/>
              <w:jc w:val="center"/>
              <w:rPr>
                <w:rFonts w:ascii="宋体" w:hAnsi="宋体"/>
                <w:sz w:val="24"/>
                <w:szCs w:val="24"/>
              </w:rPr>
            </w:pPr>
            <w:bookmarkStart w:id="6" w:name="_Toc491862079"/>
            <w:r>
              <w:rPr>
                <w:rFonts w:hint="eastAsia" w:ascii="宋体" w:hAnsi="宋体"/>
                <w:sz w:val="24"/>
                <w:szCs w:val="24"/>
              </w:rPr>
              <w:t xml:space="preserve">   主要商务条款</w:t>
            </w:r>
            <w:bookmarkEnd w:id="6"/>
          </w:p>
        </w:tc>
        <w:tc>
          <w:tcPr>
            <w:tcW w:w="6873" w:type="dxa"/>
            <w:vAlign w:val="center"/>
          </w:tcPr>
          <w:p>
            <w:pPr>
              <w:pStyle w:val="46"/>
              <w:ind w:firstLine="0" w:firstLineChars="0"/>
              <w:jc w:val="center"/>
              <w:rPr>
                <w:rFonts w:ascii="宋体" w:hAnsi="宋体"/>
                <w:sz w:val="24"/>
                <w:szCs w:val="24"/>
              </w:rPr>
            </w:pPr>
            <w:bookmarkStart w:id="7" w:name="_Toc491862080"/>
            <w:r>
              <w:rPr>
                <w:rFonts w:hint="eastAsia" w:ascii="宋体" w:hAnsi="宋体"/>
                <w:sz w:val="24"/>
                <w:szCs w:val="24"/>
              </w:rPr>
              <w:t>具体要求</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6"/>
              <w:ind w:firstLine="0" w:firstLineChars="0"/>
              <w:jc w:val="center"/>
              <w:rPr>
                <w:rFonts w:ascii="宋体" w:hAnsi="宋体"/>
                <w:sz w:val="24"/>
                <w:szCs w:val="24"/>
              </w:rPr>
            </w:pPr>
            <w:bookmarkStart w:id="8" w:name="_Toc491862082"/>
            <w:r>
              <w:rPr>
                <w:rFonts w:hint="eastAsia" w:ascii="宋体" w:hAnsi="宋体"/>
                <w:sz w:val="24"/>
                <w:szCs w:val="24"/>
              </w:rPr>
              <w:t xml:space="preserve">  采购预算</w:t>
            </w:r>
            <w:bookmarkEnd w:id="8"/>
          </w:p>
        </w:tc>
        <w:tc>
          <w:tcPr>
            <w:tcW w:w="6873" w:type="dxa"/>
            <w:vAlign w:val="center"/>
          </w:tcPr>
          <w:p>
            <w:pPr>
              <w:rPr>
                <w:rFonts w:ascii="宋体" w:hAnsi="宋体"/>
                <w:sz w:val="24"/>
                <w:szCs w:val="24"/>
              </w:rPr>
            </w:pPr>
            <w:bookmarkStart w:id="9" w:name="_Toc491862083"/>
            <w:r>
              <w:rPr>
                <w:rFonts w:ascii="宋体" w:hAnsi="宋体"/>
                <w:sz w:val="24"/>
                <w:szCs w:val="24"/>
              </w:rPr>
              <w:t>958665.00</w:t>
            </w:r>
            <w:r>
              <w:rPr>
                <w:rFonts w:hint="eastAsia" w:ascii="宋体" w:hAnsi="宋体"/>
                <w:sz w:val="24"/>
                <w:szCs w:val="24"/>
              </w:rPr>
              <w:t>元</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spacing w:line="360" w:lineRule="auto"/>
              <w:jc w:val="center"/>
              <w:rPr>
                <w:rFonts w:ascii="宋体" w:hAnsi="宋体"/>
                <w:sz w:val="24"/>
                <w:szCs w:val="24"/>
              </w:rPr>
            </w:pPr>
            <w:r>
              <w:rPr>
                <w:rFonts w:hint="eastAsia" w:ascii="宋体" w:hAnsi="宋体"/>
                <w:sz w:val="24"/>
                <w:szCs w:val="24"/>
              </w:rPr>
              <w:t>服务周期</w:t>
            </w:r>
          </w:p>
        </w:tc>
        <w:tc>
          <w:tcPr>
            <w:tcW w:w="6873" w:type="dxa"/>
            <w:vAlign w:val="center"/>
          </w:tcPr>
          <w:p>
            <w:pPr>
              <w:spacing w:line="360" w:lineRule="auto"/>
              <w:rPr>
                <w:rFonts w:ascii="宋体" w:hAnsi="宋体"/>
                <w:sz w:val="24"/>
                <w:szCs w:val="24"/>
              </w:rPr>
            </w:pPr>
            <w:r>
              <w:rPr>
                <w:rFonts w:hint="eastAsia" w:ascii="宋体" w:hAnsi="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6"/>
              <w:ind w:firstLine="0" w:firstLineChars="0"/>
              <w:jc w:val="center"/>
              <w:rPr>
                <w:rFonts w:ascii="宋体" w:hAnsi="宋体"/>
                <w:sz w:val="24"/>
                <w:szCs w:val="24"/>
              </w:rPr>
            </w:pPr>
            <w:r>
              <w:rPr>
                <w:rFonts w:hint="eastAsia" w:ascii="宋体" w:hAnsi="宋体"/>
                <w:sz w:val="24"/>
                <w:szCs w:val="24"/>
              </w:rPr>
              <w:t>服务地点</w:t>
            </w:r>
          </w:p>
        </w:tc>
        <w:tc>
          <w:tcPr>
            <w:tcW w:w="6873" w:type="dxa"/>
            <w:vAlign w:val="center"/>
          </w:tcPr>
          <w:p>
            <w:pPr>
              <w:pStyle w:val="46"/>
              <w:ind w:firstLine="0" w:firstLineChars="0"/>
              <w:rPr>
                <w:rFonts w:ascii="宋体" w:hAnsi="宋体"/>
                <w:sz w:val="24"/>
                <w:szCs w:val="24"/>
              </w:rPr>
            </w:pPr>
            <w:r>
              <w:rPr>
                <w:rFonts w:hint="eastAsia" w:ascii="宋体" w:hAnsi="宋体"/>
                <w:sz w:val="24"/>
                <w:szCs w:val="24"/>
              </w:rPr>
              <w:t>鄂托克前旗敖镇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6"/>
              <w:ind w:firstLine="0" w:firstLineChars="0"/>
              <w:jc w:val="center"/>
              <w:rPr>
                <w:rFonts w:ascii="宋体" w:hAnsi="宋体"/>
                <w:sz w:val="24"/>
                <w:szCs w:val="24"/>
              </w:rPr>
            </w:pPr>
            <w:r>
              <w:rPr>
                <w:rFonts w:hint="eastAsia" w:ascii="宋体" w:hAnsi="宋体"/>
                <w:sz w:val="24"/>
                <w:szCs w:val="24"/>
              </w:rPr>
              <w:t>投标有效期</w:t>
            </w:r>
          </w:p>
        </w:tc>
        <w:tc>
          <w:tcPr>
            <w:tcW w:w="6873" w:type="dxa"/>
            <w:vAlign w:val="center"/>
          </w:tcPr>
          <w:p>
            <w:pPr>
              <w:pStyle w:val="46"/>
              <w:ind w:firstLine="0" w:firstLineChars="0"/>
              <w:rPr>
                <w:rFonts w:ascii="宋体" w:hAnsi="宋体"/>
                <w:sz w:val="24"/>
                <w:szCs w:val="24"/>
              </w:rPr>
            </w:pPr>
            <w:r>
              <w:rPr>
                <w:rFonts w:hint="eastAsia" w:ascii="宋体" w:hAnsi="宋体"/>
                <w:color w:val="000000"/>
                <w:sz w:val="24"/>
                <w:szCs w:val="24"/>
              </w:rPr>
              <w:t>从提交响应文件的截止之日起</w:t>
            </w:r>
            <w:r>
              <w:rPr>
                <w:rFonts w:hint="eastAsia" w:ascii="宋体" w:hAnsi="宋体"/>
                <w:color w:val="000000"/>
                <w:sz w:val="24"/>
                <w:szCs w:val="24"/>
                <w:u w:val="single"/>
              </w:rPr>
              <w:t>90</w:t>
            </w:r>
            <w:r>
              <w:rPr>
                <w:rFonts w:hint="eastAsia" w:ascii="宋体" w:hAnsi="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6"/>
              <w:ind w:firstLine="0" w:firstLineChars="0"/>
              <w:jc w:val="center"/>
              <w:rPr>
                <w:rFonts w:ascii="宋体" w:hAnsi="宋体"/>
                <w:sz w:val="24"/>
                <w:szCs w:val="24"/>
              </w:rPr>
            </w:pPr>
            <w:bookmarkStart w:id="10" w:name="_Toc491862095"/>
            <w:r>
              <w:rPr>
                <w:rFonts w:hint="eastAsia" w:ascii="宋体" w:hAnsi="宋体"/>
                <w:sz w:val="24"/>
                <w:szCs w:val="24"/>
              </w:rPr>
              <w:t>付款方式</w:t>
            </w:r>
            <w:bookmarkEnd w:id="10"/>
          </w:p>
        </w:tc>
        <w:tc>
          <w:tcPr>
            <w:tcW w:w="6873" w:type="dxa"/>
            <w:vAlign w:val="center"/>
          </w:tcPr>
          <w:p>
            <w:pPr>
              <w:pStyle w:val="46"/>
              <w:ind w:firstLine="0" w:firstLineChars="0"/>
              <w:rPr>
                <w:rFonts w:ascii="宋体" w:hAnsi="宋体"/>
                <w:sz w:val="24"/>
                <w:szCs w:val="24"/>
              </w:rPr>
            </w:pPr>
            <w:r>
              <w:rPr>
                <w:rFonts w:hint="eastAsia" w:ascii="宋体" w:hAnsi="宋体"/>
                <w:sz w:val="24"/>
                <w:szCs w:val="24"/>
              </w:rPr>
              <w:t>国库集中支付。</w:t>
            </w:r>
          </w:p>
        </w:tc>
      </w:tr>
    </w:tbl>
    <w:p>
      <w:pPr>
        <w:numPr>
          <w:ilvl w:val="0"/>
          <w:numId w:val="3"/>
        </w:numPr>
        <w:spacing w:line="360" w:lineRule="auto"/>
        <w:jc w:val="left"/>
        <w:rPr>
          <w:rFonts w:hAnsi="宋体"/>
          <w:b/>
          <w:sz w:val="24"/>
          <w:szCs w:val="24"/>
        </w:rPr>
      </w:pPr>
      <w:r>
        <w:rPr>
          <w:rFonts w:hint="eastAsia" w:hAnsi="宋体"/>
          <w:b/>
          <w:sz w:val="24"/>
          <w:szCs w:val="24"/>
        </w:rPr>
        <w:t>技术标准与要求：</w:t>
      </w:r>
    </w:p>
    <w:p>
      <w:pPr>
        <w:ind w:left="630"/>
        <w:rPr>
          <w:rFonts w:ascii="仿宋" w:hAnsi="仿宋" w:eastAsia="仿宋"/>
          <w:sz w:val="32"/>
          <w:szCs w:val="32"/>
        </w:rPr>
      </w:pPr>
      <w:bookmarkStart w:id="11" w:name="_Toc497408604"/>
      <w:bookmarkStart w:id="12" w:name="_Toc494546014"/>
      <w:r>
        <w:rPr>
          <w:rFonts w:hint="eastAsia" w:ascii="仿宋" w:hAnsi="仿宋" w:eastAsia="仿宋"/>
          <w:sz w:val="32"/>
          <w:szCs w:val="32"/>
        </w:rPr>
        <w:t>（一）基本情况</w:t>
      </w:r>
    </w:p>
    <w:p>
      <w:pPr>
        <w:ind w:firstLine="565" w:firstLineChars="202"/>
        <w:rPr>
          <w:rFonts w:ascii="宋体" w:hAnsi="宋体" w:cs="宋体"/>
          <w:kern w:val="0"/>
          <w:sz w:val="22"/>
          <w:szCs w:val="22"/>
        </w:rPr>
      </w:pPr>
      <w:r>
        <w:rPr>
          <w:rFonts w:hint="eastAsia" w:hAnsi="宋体"/>
          <w:szCs w:val="28"/>
        </w:rPr>
        <w:t>1. 预算价：95.8665万元。</w:t>
      </w:r>
    </w:p>
    <w:p>
      <w:pPr>
        <w:pStyle w:val="16"/>
        <w:spacing w:line="360" w:lineRule="auto"/>
        <w:ind w:left="57" w:right="57" w:firstLine="560" w:firstLineChars="200"/>
        <w:rPr>
          <w:rFonts w:hAnsi="宋体"/>
          <w:color w:val="000000"/>
          <w:sz w:val="28"/>
          <w:szCs w:val="28"/>
        </w:rPr>
      </w:pPr>
      <w:r>
        <w:rPr>
          <w:rFonts w:hint="eastAsia" w:hAnsi="宋体"/>
          <w:color w:val="000000"/>
          <w:sz w:val="28"/>
          <w:szCs w:val="28"/>
        </w:rPr>
        <w:t>2.服务期限为1年，每季度对物业管理公司进行绩效考核，考核不合格甲方可以解除合同。</w:t>
      </w:r>
    </w:p>
    <w:p>
      <w:pPr>
        <w:pStyle w:val="16"/>
        <w:spacing w:line="360" w:lineRule="auto"/>
        <w:ind w:left="57" w:right="57" w:firstLine="560" w:firstLineChars="200"/>
        <w:rPr>
          <w:rFonts w:hAnsi="宋体"/>
          <w:color w:val="000000"/>
          <w:sz w:val="28"/>
          <w:szCs w:val="28"/>
        </w:rPr>
      </w:pPr>
      <w:r>
        <w:rPr>
          <w:rFonts w:hint="eastAsia" w:hAnsi="宋体"/>
          <w:color w:val="000000"/>
          <w:sz w:val="28"/>
          <w:szCs w:val="28"/>
        </w:rPr>
        <w:t>3.服务范围： 鄂托克前旗人民法院审判楼物业服务管理及职工餐厅服务。</w:t>
      </w:r>
    </w:p>
    <w:p>
      <w:pPr>
        <w:pStyle w:val="16"/>
        <w:spacing w:line="360" w:lineRule="auto"/>
        <w:ind w:left="57" w:right="57" w:firstLine="560" w:firstLineChars="200"/>
        <w:rPr>
          <w:rFonts w:hAnsi="宋体"/>
          <w:color w:val="000000"/>
          <w:sz w:val="28"/>
          <w:szCs w:val="28"/>
        </w:rPr>
      </w:pPr>
      <w:r>
        <w:rPr>
          <w:rFonts w:hint="eastAsia" w:hAnsi="宋体"/>
          <w:color w:val="000000"/>
          <w:sz w:val="28"/>
          <w:szCs w:val="28"/>
        </w:rPr>
        <w:t>4.付款方式：物业费用按月支付，每月末支付上月款项，中标方凭完税发票，由采购人签署付款凭证,办理付款手续。</w:t>
      </w:r>
    </w:p>
    <w:p>
      <w:pPr>
        <w:pStyle w:val="16"/>
        <w:spacing w:line="360" w:lineRule="auto"/>
        <w:ind w:left="57" w:right="57" w:firstLine="560" w:firstLineChars="200"/>
        <w:rPr>
          <w:rFonts w:hAnsi="宋体"/>
          <w:color w:val="000000"/>
          <w:sz w:val="28"/>
          <w:szCs w:val="28"/>
        </w:rPr>
      </w:pPr>
      <w:bookmarkStart w:id="13" w:name="_Toc11143"/>
      <w:r>
        <w:rPr>
          <w:rFonts w:hint="eastAsia" w:hAnsi="宋体"/>
          <w:color w:val="000000"/>
          <w:sz w:val="28"/>
          <w:szCs w:val="28"/>
        </w:rPr>
        <w:t>（二）项目概况</w:t>
      </w:r>
      <w:bookmarkEnd w:id="13"/>
    </w:p>
    <w:p>
      <w:pPr>
        <w:pStyle w:val="16"/>
        <w:spacing w:line="360" w:lineRule="auto"/>
        <w:ind w:left="57" w:right="57" w:firstLine="560" w:firstLineChars="200"/>
        <w:rPr>
          <w:rFonts w:hAnsi="宋体"/>
          <w:color w:val="000000"/>
          <w:sz w:val="28"/>
          <w:szCs w:val="28"/>
        </w:rPr>
      </w:pPr>
      <w:bookmarkStart w:id="14" w:name="_Toc8843"/>
      <w:r>
        <w:rPr>
          <w:rFonts w:hint="eastAsia" w:hAnsi="宋体"/>
          <w:color w:val="000000"/>
          <w:sz w:val="28"/>
          <w:szCs w:val="28"/>
        </w:rPr>
        <w:t>1.物业基本情况</w:t>
      </w:r>
      <w:bookmarkEnd w:id="14"/>
    </w:p>
    <w:p>
      <w:pPr>
        <w:pStyle w:val="16"/>
        <w:spacing w:line="360" w:lineRule="auto"/>
        <w:ind w:left="57" w:right="57" w:firstLine="560" w:firstLineChars="200"/>
        <w:rPr>
          <w:rFonts w:hAnsi="宋体"/>
          <w:color w:val="000000"/>
          <w:sz w:val="28"/>
          <w:szCs w:val="28"/>
        </w:rPr>
      </w:pPr>
      <w:r>
        <w:rPr>
          <w:rFonts w:hint="eastAsia" w:hAnsi="宋体"/>
          <w:color w:val="000000"/>
          <w:sz w:val="28"/>
          <w:szCs w:val="28"/>
        </w:rPr>
        <w:t>鄂托克前旗人民法院审判楼总建筑面积</w:t>
      </w:r>
      <w:r>
        <w:rPr>
          <w:rFonts w:hint="eastAsia" w:hAnsi="宋体"/>
          <w:sz w:val="28"/>
          <w:szCs w:val="28"/>
        </w:rPr>
        <w:t>5890</w:t>
      </w:r>
      <w:r>
        <w:rPr>
          <w:rFonts w:hint="eastAsia" w:hAnsi="宋体"/>
          <w:color w:val="000000"/>
          <w:sz w:val="28"/>
          <w:szCs w:val="28"/>
        </w:rPr>
        <w:t>平方米；地上3层，地下1层（机房等设备用房），一楼设有大厅，大厅设置接待岗1名，安监岗2名，要求大学学历及以上。一至三楼每层均设有男女卫生间、会议室、审判庭、开水间等，其中4间会议室、有8间办公室、11间法庭需要入室保洁，楼前约5000平方米硬化地面需要保洁、院内有2000平米绿化需要保洁并养护，所有电路、消防、水暖、监控安防系统需要维护，维护方案自拟。</w:t>
      </w:r>
    </w:p>
    <w:p>
      <w:pPr>
        <w:pStyle w:val="16"/>
        <w:spacing w:line="360" w:lineRule="auto"/>
        <w:ind w:left="57" w:right="57" w:firstLine="560" w:firstLineChars="200"/>
        <w:rPr>
          <w:rFonts w:hAnsi="宋体"/>
          <w:color w:val="000000"/>
          <w:sz w:val="28"/>
          <w:szCs w:val="28"/>
        </w:rPr>
      </w:pPr>
      <w:r>
        <w:rPr>
          <w:rFonts w:hint="eastAsia" w:hAnsi="宋体"/>
          <w:color w:val="000000"/>
          <w:sz w:val="28"/>
          <w:szCs w:val="28"/>
        </w:rPr>
        <w:t>2、餐厅代管服务标准及要求：</w:t>
      </w:r>
    </w:p>
    <w:p>
      <w:pPr>
        <w:pStyle w:val="16"/>
        <w:spacing w:line="360" w:lineRule="auto"/>
        <w:ind w:left="57" w:right="57" w:firstLine="560" w:firstLineChars="200"/>
        <w:rPr>
          <w:rFonts w:hAnsi="宋体"/>
          <w:color w:val="000000"/>
          <w:sz w:val="28"/>
          <w:szCs w:val="28"/>
        </w:rPr>
      </w:pPr>
      <w:r>
        <w:rPr>
          <w:rFonts w:hint="eastAsia" w:hAnsi="宋体"/>
          <w:color w:val="000000"/>
          <w:sz w:val="28"/>
          <w:szCs w:val="28"/>
        </w:rPr>
        <w:t>职工餐厅需要物业公司自行办理餐厅相关手续和采购食材经营，甲方只负责灶具等厨房设备的配备和水电天然气等支出费用；早餐就餐人数约120人，午餐就餐人数约50人，晚餐就餐人数约50人；由于工作的特殊性，采购方办案人员会出现除正常工作餐外的临时加餐，用餐标准及就餐人数由提前通知并确定菜单，食材等由采购方派人员进行监督采购，中标方确保准时提供就餐标准，并保证菜品质量。</w:t>
      </w:r>
    </w:p>
    <w:p>
      <w:pPr>
        <w:pStyle w:val="16"/>
        <w:spacing w:line="360" w:lineRule="auto"/>
        <w:ind w:left="57" w:right="57" w:firstLine="560" w:firstLineChars="200"/>
        <w:rPr>
          <w:rFonts w:hAnsi="宋体"/>
          <w:color w:val="000000"/>
          <w:sz w:val="28"/>
          <w:szCs w:val="28"/>
        </w:rPr>
      </w:pPr>
      <w:bookmarkStart w:id="15" w:name="_Toc457"/>
      <w:r>
        <w:rPr>
          <w:rFonts w:hint="eastAsia" w:hAnsi="宋体"/>
          <w:color w:val="000000"/>
          <w:sz w:val="28"/>
          <w:szCs w:val="28"/>
        </w:rPr>
        <w:t>3.</w:t>
      </w:r>
      <w:bookmarkEnd w:id="15"/>
      <w:r>
        <w:rPr>
          <w:rFonts w:hint="eastAsia" w:hAnsi="宋体"/>
          <w:color w:val="000000"/>
          <w:sz w:val="28"/>
          <w:szCs w:val="28"/>
        </w:rPr>
        <w:t>人员最低配置要求：</w:t>
      </w:r>
    </w:p>
    <w:p>
      <w:pPr>
        <w:pStyle w:val="16"/>
        <w:spacing w:line="360" w:lineRule="auto"/>
        <w:ind w:left="57" w:right="57" w:firstLine="560" w:firstLineChars="200"/>
        <w:rPr>
          <w:rFonts w:hAnsi="宋体"/>
          <w:color w:val="000000"/>
          <w:sz w:val="28"/>
          <w:szCs w:val="28"/>
        </w:rPr>
      </w:pPr>
      <w:r>
        <w:rPr>
          <w:rFonts w:hint="eastAsia" w:hAnsi="宋体"/>
          <w:color w:val="000000"/>
          <w:sz w:val="28"/>
          <w:szCs w:val="28"/>
        </w:rPr>
        <w:t>鄂托克前旗人民法院审判楼办公场所物业管理的安全保卫、卫生保洁、设备运行维护及维修、会议服务、餐饮服务等人员配备须满足以下要求，具有良好的职业道德，项目投标文件中拟安排人员必须到岗(投标文件中必须提供有效的身份证复印件</w:t>
      </w:r>
      <w:r>
        <w:rPr>
          <w:rFonts w:hAnsi="宋体"/>
          <w:color w:val="000000"/>
          <w:sz w:val="28"/>
          <w:szCs w:val="28"/>
        </w:rPr>
        <w:t>)</w:t>
      </w:r>
      <w:r>
        <w:rPr>
          <w:rFonts w:hint="eastAsia" w:hAnsi="宋体"/>
          <w:color w:val="000000"/>
          <w:sz w:val="28"/>
          <w:szCs w:val="28"/>
        </w:rPr>
        <w:t>，未经甲方同意不得替换顶岗，并按照现有人工工资支付并为其提供“五险”待遇，否则甲方有权解除合同并扣除履约保证金；人员最低配置如下表：</w:t>
      </w:r>
    </w:p>
    <w:p>
      <w:pPr>
        <w:pStyle w:val="16"/>
        <w:spacing w:line="360" w:lineRule="auto"/>
        <w:ind w:left="57" w:right="57" w:firstLine="560" w:firstLineChars="200"/>
        <w:rPr>
          <w:rFonts w:hAnsi="宋体"/>
          <w:color w:val="000000"/>
          <w:sz w:val="28"/>
          <w:szCs w:val="28"/>
        </w:rPr>
      </w:pPr>
      <w:bookmarkStart w:id="16" w:name="_Toc311560140"/>
      <w:bookmarkStart w:id="17" w:name="_Toc311560039"/>
      <w:bookmarkStart w:id="18" w:name="_Toc299824571"/>
      <w:bookmarkStart w:id="19" w:name="_Toc311560186"/>
      <w:bookmarkStart w:id="20" w:name="_Toc299824060"/>
      <w:bookmarkStart w:id="21" w:name="_Toc291245492"/>
      <w:bookmarkStart w:id="22" w:name="_Toc299824138"/>
      <w:r>
        <w:rPr>
          <w:rFonts w:hint="eastAsia" w:hAnsi="宋体"/>
          <w:color w:val="000000"/>
          <w:sz w:val="28"/>
          <w:szCs w:val="28"/>
        </w:rPr>
        <w:t>人员配备需求情况</w:t>
      </w:r>
    </w:p>
    <w:tbl>
      <w:tblPr>
        <w:tblStyle w:val="24"/>
        <w:tblW w:w="8576" w:type="dxa"/>
        <w:tblInd w:w="93" w:type="dxa"/>
        <w:tblLayout w:type="autofit"/>
        <w:tblCellMar>
          <w:top w:w="0" w:type="dxa"/>
          <w:left w:w="108" w:type="dxa"/>
          <w:bottom w:w="0" w:type="dxa"/>
          <w:right w:w="108" w:type="dxa"/>
        </w:tblCellMar>
      </w:tblPr>
      <w:tblGrid>
        <w:gridCol w:w="3559"/>
        <w:gridCol w:w="2155"/>
        <w:gridCol w:w="1211"/>
        <w:gridCol w:w="1651"/>
      </w:tblGrid>
      <w:tr>
        <w:tblPrEx>
          <w:tblCellMar>
            <w:top w:w="0" w:type="dxa"/>
            <w:left w:w="108" w:type="dxa"/>
            <w:bottom w:w="0" w:type="dxa"/>
            <w:right w:w="108" w:type="dxa"/>
          </w:tblCellMar>
        </w:tblPrEx>
        <w:trPr>
          <w:trHeight w:val="645" w:hRule="atLeast"/>
        </w:trPr>
        <w:tc>
          <w:tcPr>
            <w:tcW w:w="3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名称</w:t>
            </w:r>
          </w:p>
        </w:tc>
        <w:tc>
          <w:tcPr>
            <w:tcW w:w="21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要求</w:t>
            </w:r>
          </w:p>
        </w:tc>
        <w:tc>
          <w:tcPr>
            <w:tcW w:w="12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人数</w:t>
            </w:r>
          </w:p>
        </w:tc>
        <w:tc>
          <w:tcPr>
            <w:tcW w:w="16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tblPrEx>
          <w:tblCellMar>
            <w:top w:w="0" w:type="dxa"/>
            <w:left w:w="108" w:type="dxa"/>
            <w:bottom w:w="0" w:type="dxa"/>
            <w:right w:w="108" w:type="dxa"/>
          </w:tblCellMar>
        </w:tblPrEx>
        <w:trPr>
          <w:trHeight w:val="645" w:hRule="atLeast"/>
        </w:trPr>
        <w:tc>
          <w:tcPr>
            <w:tcW w:w="3559" w:type="dxa"/>
            <w:tcBorders>
              <w:top w:val="nil"/>
              <w:left w:val="single" w:color="auto" w:sz="4" w:space="0"/>
              <w:bottom w:val="single" w:color="auto" w:sz="4" w:space="0"/>
              <w:right w:val="single" w:color="auto" w:sz="4" w:space="0"/>
            </w:tcBorders>
            <w:shd w:val="clear" w:color="auto" w:fill="auto"/>
          </w:tcPr>
          <w:p>
            <w:r>
              <w:rPr>
                <w:rFonts w:hint="eastAsia"/>
              </w:rPr>
              <w:t>物业经理或项目主管</w:t>
            </w:r>
          </w:p>
        </w:tc>
        <w:tc>
          <w:tcPr>
            <w:tcW w:w="2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取得相关证书，须有行政事业单位管理经验。</w:t>
            </w:r>
          </w:p>
        </w:tc>
        <w:tc>
          <w:tcPr>
            <w:tcW w:w="1211"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olor w:val="000000"/>
                <w:kern w:val="0"/>
                <w:sz w:val="24"/>
              </w:rPr>
            </w:pPr>
            <w:r>
              <w:rPr>
                <w:rFonts w:hint="eastAsia" w:ascii="等线" w:hAnsi="等线" w:eastAsia="等线"/>
                <w:color w:val="000000"/>
              </w:rPr>
              <w:t>1</w:t>
            </w:r>
          </w:p>
        </w:tc>
        <w:tc>
          <w:tcPr>
            <w:tcW w:w="1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3559" w:type="dxa"/>
            <w:tcBorders>
              <w:top w:val="nil"/>
              <w:left w:val="single" w:color="auto" w:sz="4" w:space="0"/>
              <w:bottom w:val="single" w:color="auto" w:sz="4" w:space="0"/>
              <w:right w:val="single" w:color="auto" w:sz="4" w:space="0"/>
            </w:tcBorders>
            <w:shd w:val="clear" w:color="auto" w:fill="auto"/>
          </w:tcPr>
          <w:p>
            <w:r>
              <w:rPr>
                <w:rFonts w:hint="eastAsia"/>
              </w:rPr>
              <w:t>安检及接待引导人员</w:t>
            </w:r>
          </w:p>
        </w:tc>
        <w:tc>
          <w:tcPr>
            <w:tcW w:w="2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1名男性、2名女性</w:t>
            </w:r>
          </w:p>
        </w:tc>
        <w:tc>
          <w:tcPr>
            <w:tcW w:w="1211"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olor w:val="000000"/>
              </w:rPr>
            </w:pPr>
            <w:r>
              <w:rPr>
                <w:rFonts w:hint="eastAsia" w:ascii="等线" w:hAnsi="等线" w:eastAsia="等线"/>
                <w:color w:val="000000"/>
              </w:rPr>
              <w:t>3</w:t>
            </w:r>
          </w:p>
        </w:tc>
        <w:tc>
          <w:tcPr>
            <w:tcW w:w="1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3559" w:type="dxa"/>
            <w:tcBorders>
              <w:top w:val="nil"/>
              <w:left w:val="single" w:color="auto" w:sz="4" w:space="0"/>
              <w:bottom w:val="single" w:color="auto" w:sz="4" w:space="0"/>
              <w:right w:val="single" w:color="auto" w:sz="4" w:space="0"/>
            </w:tcBorders>
            <w:shd w:val="clear" w:color="auto" w:fill="auto"/>
          </w:tcPr>
          <w:p>
            <w:r>
              <w:rPr>
                <w:rFonts w:hint="eastAsia"/>
              </w:rPr>
              <w:t>会议服务</w:t>
            </w:r>
          </w:p>
        </w:tc>
        <w:tc>
          <w:tcPr>
            <w:tcW w:w="2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大专以上学历</w:t>
            </w:r>
          </w:p>
        </w:tc>
        <w:tc>
          <w:tcPr>
            <w:tcW w:w="1211"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olor w:val="000000"/>
              </w:rPr>
            </w:pPr>
            <w:r>
              <w:rPr>
                <w:rFonts w:hint="eastAsia" w:ascii="等线" w:hAnsi="等线" w:eastAsia="等线"/>
                <w:color w:val="000000"/>
              </w:rPr>
              <w:t>2</w:t>
            </w:r>
          </w:p>
        </w:tc>
        <w:tc>
          <w:tcPr>
            <w:tcW w:w="1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3559" w:type="dxa"/>
            <w:tcBorders>
              <w:top w:val="nil"/>
              <w:left w:val="single" w:color="auto" w:sz="4" w:space="0"/>
              <w:bottom w:val="single" w:color="auto" w:sz="4" w:space="0"/>
              <w:right w:val="single" w:color="auto" w:sz="4" w:space="0"/>
            </w:tcBorders>
            <w:shd w:val="clear" w:color="auto" w:fill="auto"/>
          </w:tcPr>
          <w:p>
            <w:r>
              <w:rPr>
                <w:rFonts w:hint="eastAsia"/>
              </w:rPr>
              <w:t>巡逻岗及秩序维护员</w:t>
            </w:r>
          </w:p>
        </w:tc>
        <w:tc>
          <w:tcPr>
            <w:tcW w:w="2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45周岁以下男性，要求取得相关证书</w:t>
            </w:r>
          </w:p>
        </w:tc>
        <w:tc>
          <w:tcPr>
            <w:tcW w:w="1211"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olor w:val="000000"/>
              </w:rPr>
            </w:pPr>
            <w:r>
              <w:rPr>
                <w:rFonts w:hint="eastAsia" w:ascii="等线" w:hAnsi="等线" w:eastAsia="等线"/>
                <w:color w:val="000000"/>
              </w:rPr>
              <w:t>3</w:t>
            </w:r>
          </w:p>
        </w:tc>
        <w:tc>
          <w:tcPr>
            <w:tcW w:w="1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3559" w:type="dxa"/>
            <w:tcBorders>
              <w:top w:val="nil"/>
              <w:left w:val="single" w:color="auto" w:sz="4" w:space="0"/>
              <w:bottom w:val="single" w:color="auto" w:sz="4" w:space="0"/>
              <w:right w:val="single" w:color="auto" w:sz="4" w:space="0"/>
            </w:tcBorders>
            <w:shd w:val="clear" w:color="auto" w:fill="auto"/>
          </w:tcPr>
          <w:p>
            <w:r>
              <w:rPr>
                <w:rFonts w:hint="eastAsia"/>
              </w:rPr>
              <w:t>保洁员</w:t>
            </w:r>
          </w:p>
        </w:tc>
        <w:tc>
          <w:tcPr>
            <w:tcW w:w="2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35周岁以下</w:t>
            </w:r>
          </w:p>
        </w:tc>
        <w:tc>
          <w:tcPr>
            <w:tcW w:w="1211"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olor w:val="000000"/>
              </w:rPr>
            </w:pPr>
            <w:r>
              <w:rPr>
                <w:rFonts w:hint="eastAsia" w:ascii="等线" w:hAnsi="等线" w:eastAsia="等线"/>
                <w:color w:val="000000"/>
              </w:rPr>
              <w:t>6</w:t>
            </w:r>
          </w:p>
        </w:tc>
        <w:tc>
          <w:tcPr>
            <w:tcW w:w="1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3559" w:type="dxa"/>
            <w:tcBorders>
              <w:top w:val="nil"/>
              <w:left w:val="single" w:color="auto" w:sz="4" w:space="0"/>
              <w:bottom w:val="single" w:color="auto" w:sz="4" w:space="0"/>
              <w:right w:val="single" w:color="auto" w:sz="4" w:space="0"/>
            </w:tcBorders>
            <w:shd w:val="clear" w:color="auto" w:fill="auto"/>
          </w:tcPr>
          <w:p>
            <w:r>
              <w:rPr>
                <w:rFonts w:hint="eastAsia"/>
              </w:rPr>
              <w:t>水暖系统维护员</w:t>
            </w:r>
          </w:p>
        </w:tc>
        <w:tc>
          <w:tcPr>
            <w:tcW w:w="2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取得相关证书</w:t>
            </w:r>
          </w:p>
        </w:tc>
        <w:tc>
          <w:tcPr>
            <w:tcW w:w="1211" w:type="dxa"/>
            <w:tcBorders>
              <w:top w:val="nil"/>
              <w:left w:val="nil"/>
              <w:bottom w:val="single" w:color="auto" w:sz="4" w:space="0"/>
              <w:right w:val="single" w:color="auto" w:sz="4" w:space="0"/>
            </w:tcBorders>
            <w:shd w:val="clear" w:color="auto" w:fill="auto"/>
            <w:vAlign w:val="center"/>
          </w:tcPr>
          <w:p>
            <w:pPr>
              <w:jc w:val="center"/>
              <w:rPr>
                <w:rFonts w:ascii="宋体" w:hAnsi="宋体"/>
                <w:color w:val="000000"/>
              </w:rPr>
            </w:pPr>
            <w:r>
              <w:rPr>
                <w:rFonts w:hint="eastAsia"/>
                <w:color w:val="000000"/>
              </w:rPr>
              <w:t>1</w:t>
            </w:r>
          </w:p>
        </w:tc>
        <w:tc>
          <w:tcPr>
            <w:tcW w:w="1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3559" w:type="dxa"/>
            <w:tcBorders>
              <w:top w:val="nil"/>
              <w:left w:val="single" w:color="auto" w:sz="4" w:space="0"/>
              <w:bottom w:val="single" w:color="auto" w:sz="4" w:space="0"/>
              <w:right w:val="single" w:color="auto" w:sz="4" w:space="0"/>
            </w:tcBorders>
            <w:shd w:val="clear" w:color="auto" w:fill="auto"/>
          </w:tcPr>
          <w:p>
            <w:r>
              <w:rPr>
                <w:rFonts w:hint="eastAsia"/>
              </w:rPr>
              <w:t>电力系统维护员</w:t>
            </w:r>
          </w:p>
        </w:tc>
        <w:tc>
          <w:tcPr>
            <w:tcW w:w="2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取得相关证书</w:t>
            </w:r>
          </w:p>
        </w:tc>
        <w:tc>
          <w:tcPr>
            <w:tcW w:w="1211"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1</w:t>
            </w:r>
          </w:p>
        </w:tc>
        <w:tc>
          <w:tcPr>
            <w:tcW w:w="1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3559" w:type="dxa"/>
            <w:tcBorders>
              <w:top w:val="nil"/>
              <w:left w:val="single" w:color="auto" w:sz="4" w:space="0"/>
              <w:bottom w:val="single" w:color="auto" w:sz="4" w:space="0"/>
              <w:right w:val="single" w:color="auto" w:sz="4" w:space="0"/>
            </w:tcBorders>
            <w:shd w:val="clear" w:color="auto" w:fill="auto"/>
          </w:tcPr>
          <w:p>
            <w:r>
              <w:rPr>
                <w:rFonts w:hint="eastAsia"/>
              </w:rPr>
              <w:t>绿化养护员</w:t>
            </w:r>
          </w:p>
        </w:tc>
        <w:tc>
          <w:tcPr>
            <w:tcW w:w="2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取得相关证书</w:t>
            </w:r>
          </w:p>
        </w:tc>
        <w:tc>
          <w:tcPr>
            <w:tcW w:w="1211"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1</w:t>
            </w:r>
          </w:p>
        </w:tc>
        <w:tc>
          <w:tcPr>
            <w:tcW w:w="1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3559" w:type="dxa"/>
            <w:tcBorders>
              <w:top w:val="nil"/>
              <w:left w:val="single" w:color="auto" w:sz="4" w:space="0"/>
              <w:bottom w:val="single" w:color="auto" w:sz="4" w:space="0"/>
              <w:right w:val="single" w:color="auto" w:sz="4" w:space="0"/>
            </w:tcBorders>
            <w:shd w:val="clear" w:color="auto" w:fill="auto"/>
          </w:tcPr>
          <w:p>
            <w:r>
              <w:rPr>
                <w:rFonts w:hint="eastAsia"/>
              </w:rPr>
              <w:t>消防及安防维护员</w:t>
            </w:r>
          </w:p>
        </w:tc>
        <w:tc>
          <w:tcPr>
            <w:tcW w:w="2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取得相关证书</w:t>
            </w:r>
          </w:p>
        </w:tc>
        <w:tc>
          <w:tcPr>
            <w:tcW w:w="1211"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1</w:t>
            </w:r>
          </w:p>
        </w:tc>
        <w:tc>
          <w:tcPr>
            <w:tcW w:w="1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3559" w:type="dxa"/>
            <w:tcBorders>
              <w:top w:val="nil"/>
              <w:left w:val="single" w:color="auto" w:sz="4" w:space="0"/>
              <w:bottom w:val="single" w:color="auto" w:sz="4" w:space="0"/>
              <w:right w:val="single" w:color="auto" w:sz="4" w:space="0"/>
            </w:tcBorders>
            <w:shd w:val="clear" w:color="auto" w:fill="auto"/>
          </w:tcPr>
          <w:p>
            <w:r>
              <w:rPr>
                <w:rFonts w:hint="eastAsia"/>
              </w:rPr>
              <w:t>职工餐厅厨师</w:t>
            </w:r>
          </w:p>
        </w:tc>
        <w:tc>
          <w:tcPr>
            <w:tcW w:w="2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须提供健康证</w:t>
            </w:r>
          </w:p>
        </w:tc>
        <w:tc>
          <w:tcPr>
            <w:tcW w:w="1211"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1</w:t>
            </w:r>
          </w:p>
        </w:tc>
        <w:tc>
          <w:tcPr>
            <w:tcW w:w="1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3559" w:type="dxa"/>
            <w:tcBorders>
              <w:top w:val="nil"/>
              <w:left w:val="single" w:color="auto" w:sz="4" w:space="0"/>
              <w:bottom w:val="single" w:color="auto" w:sz="4" w:space="0"/>
              <w:right w:val="single" w:color="auto" w:sz="4" w:space="0"/>
            </w:tcBorders>
            <w:shd w:val="clear" w:color="auto" w:fill="auto"/>
          </w:tcPr>
          <w:p>
            <w:r>
              <w:rPr>
                <w:rFonts w:hint="eastAsia"/>
              </w:rPr>
              <w:t>职工餐厅帮厨</w:t>
            </w:r>
          </w:p>
        </w:tc>
        <w:tc>
          <w:tcPr>
            <w:tcW w:w="2155" w:type="dxa"/>
            <w:tcBorders>
              <w:top w:val="nil"/>
              <w:left w:val="nil"/>
              <w:bottom w:val="single" w:color="auto" w:sz="4" w:space="0"/>
              <w:right w:val="single" w:color="auto" w:sz="4" w:space="0"/>
            </w:tcBorders>
            <w:shd w:val="clear" w:color="auto" w:fill="auto"/>
          </w:tcPr>
          <w:p>
            <w:pPr>
              <w:jc w:val="center"/>
            </w:pPr>
            <w:r>
              <w:rPr>
                <w:rFonts w:hint="eastAsia" w:ascii="宋体" w:hAnsi="宋体" w:cs="宋体"/>
                <w:color w:val="000000"/>
                <w:kern w:val="0"/>
                <w:sz w:val="24"/>
                <w:szCs w:val="24"/>
              </w:rPr>
              <w:t>须提供健康证</w:t>
            </w:r>
          </w:p>
        </w:tc>
        <w:tc>
          <w:tcPr>
            <w:tcW w:w="1211"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1</w:t>
            </w:r>
          </w:p>
        </w:tc>
        <w:tc>
          <w:tcPr>
            <w:tcW w:w="1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3559" w:type="dxa"/>
            <w:tcBorders>
              <w:top w:val="nil"/>
              <w:left w:val="single" w:color="auto" w:sz="4" w:space="0"/>
              <w:bottom w:val="single" w:color="auto" w:sz="4" w:space="0"/>
              <w:right w:val="single" w:color="auto" w:sz="4" w:space="0"/>
            </w:tcBorders>
            <w:shd w:val="clear" w:color="auto" w:fill="auto"/>
          </w:tcPr>
          <w:p>
            <w:r>
              <w:rPr>
                <w:rFonts w:hint="eastAsia"/>
              </w:rPr>
              <w:t>职工餐厅服务及打杂人员</w:t>
            </w:r>
          </w:p>
        </w:tc>
        <w:tc>
          <w:tcPr>
            <w:tcW w:w="2155" w:type="dxa"/>
            <w:tcBorders>
              <w:top w:val="nil"/>
              <w:left w:val="nil"/>
              <w:bottom w:val="single" w:color="auto" w:sz="4" w:space="0"/>
              <w:right w:val="single" w:color="auto" w:sz="4" w:space="0"/>
            </w:tcBorders>
            <w:shd w:val="clear" w:color="auto" w:fill="auto"/>
          </w:tcPr>
          <w:p>
            <w:pPr>
              <w:jc w:val="center"/>
            </w:pPr>
            <w:r>
              <w:rPr>
                <w:rFonts w:hint="eastAsia" w:ascii="宋体" w:hAnsi="宋体" w:cs="宋体"/>
                <w:color w:val="000000"/>
                <w:kern w:val="0"/>
                <w:sz w:val="24"/>
                <w:szCs w:val="24"/>
              </w:rPr>
              <w:t>须提供健康证</w:t>
            </w:r>
          </w:p>
        </w:tc>
        <w:tc>
          <w:tcPr>
            <w:tcW w:w="1211"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2</w:t>
            </w:r>
          </w:p>
        </w:tc>
        <w:tc>
          <w:tcPr>
            <w:tcW w:w="1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3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21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2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23人</w:t>
            </w:r>
          </w:p>
        </w:tc>
        <w:tc>
          <w:tcPr>
            <w:tcW w:w="1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bookmarkEnd w:id="16"/>
      <w:bookmarkEnd w:id="17"/>
      <w:bookmarkEnd w:id="18"/>
      <w:bookmarkEnd w:id="19"/>
      <w:bookmarkEnd w:id="20"/>
      <w:bookmarkEnd w:id="21"/>
      <w:bookmarkEnd w:id="22"/>
    </w:tbl>
    <w:p>
      <w:pPr>
        <w:pStyle w:val="16"/>
        <w:spacing w:line="360" w:lineRule="auto"/>
        <w:ind w:left="57" w:right="57" w:firstLine="560" w:firstLineChars="200"/>
        <w:rPr>
          <w:rFonts w:hAnsi="宋体"/>
          <w:bCs/>
          <w:color w:val="000000"/>
          <w:sz w:val="28"/>
          <w:szCs w:val="28"/>
        </w:rPr>
      </w:pPr>
      <w:bookmarkStart w:id="23" w:name="_Toc23877"/>
      <w:r>
        <w:rPr>
          <w:rFonts w:hint="eastAsia" w:hAnsi="宋体"/>
          <w:bCs/>
          <w:color w:val="000000"/>
          <w:sz w:val="28"/>
          <w:szCs w:val="28"/>
        </w:rPr>
        <w:t>（三）监督与投诉</w:t>
      </w:r>
      <w:bookmarkEnd w:id="23"/>
    </w:p>
    <w:p>
      <w:pPr>
        <w:pStyle w:val="16"/>
        <w:spacing w:line="360" w:lineRule="auto"/>
        <w:ind w:left="57" w:right="57" w:firstLine="560" w:firstLineChars="200"/>
        <w:rPr>
          <w:rFonts w:hAnsi="宋体"/>
          <w:color w:val="000000"/>
          <w:sz w:val="28"/>
          <w:szCs w:val="28"/>
        </w:rPr>
      </w:pPr>
      <w:bookmarkStart w:id="24" w:name="_Toc311560178"/>
      <w:bookmarkStart w:id="25" w:name="_Toc311560224"/>
      <w:bookmarkStart w:id="26" w:name="_Toc311560077"/>
      <w:bookmarkStart w:id="27" w:name="_Toc28314"/>
      <w:bookmarkStart w:id="28" w:name="_Toc31728"/>
      <w:bookmarkStart w:id="29" w:name="_Toc8333"/>
      <w:bookmarkStart w:id="30" w:name="_Toc299824161"/>
      <w:bookmarkStart w:id="31" w:name="_Toc299824083"/>
      <w:bookmarkStart w:id="32" w:name="_Toc299824594"/>
      <w:bookmarkStart w:id="33" w:name="_Toc291245505"/>
      <w:r>
        <w:rPr>
          <w:rFonts w:hint="eastAsia" w:hAnsi="宋体"/>
          <w:color w:val="000000"/>
          <w:sz w:val="28"/>
          <w:szCs w:val="28"/>
        </w:rPr>
        <w:t>1、服务监督</w:t>
      </w:r>
      <w:bookmarkEnd w:id="24"/>
      <w:bookmarkEnd w:id="25"/>
      <w:bookmarkEnd w:id="26"/>
      <w:r>
        <w:rPr>
          <w:rFonts w:hint="eastAsia" w:hAnsi="宋体"/>
          <w:color w:val="000000"/>
          <w:sz w:val="28"/>
          <w:szCs w:val="28"/>
        </w:rPr>
        <w:t>：物业服务企业应主动接受用户的监督，公布监督、投诉电话</w:t>
      </w:r>
      <w:bookmarkEnd w:id="27"/>
      <w:bookmarkEnd w:id="28"/>
      <w:bookmarkEnd w:id="29"/>
      <w:bookmarkStart w:id="34" w:name="_Toc311560179"/>
      <w:bookmarkStart w:id="35" w:name="_Toc311560078"/>
      <w:bookmarkStart w:id="36" w:name="_Toc311560225"/>
      <w:r>
        <w:rPr>
          <w:rFonts w:hint="eastAsia" w:hAnsi="宋体"/>
          <w:color w:val="000000"/>
          <w:sz w:val="28"/>
          <w:szCs w:val="28"/>
        </w:rPr>
        <w:t>，甲方定期组织单位职工对物业服务企业进行测评，测评满意率低于90%，可要求服务企业限期进行整改，整改后，满意率依然低于90%，甲方有权解除合同。</w:t>
      </w:r>
    </w:p>
    <w:p>
      <w:pPr>
        <w:pStyle w:val="16"/>
        <w:spacing w:line="360" w:lineRule="auto"/>
        <w:ind w:left="57" w:right="57" w:firstLine="560" w:firstLineChars="200"/>
        <w:rPr>
          <w:rFonts w:hAnsi="宋体"/>
          <w:color w:val="000000"/>
          <w:sz w:val="28"/>
          <w:szCs w:val="28"/>
        </w:rPr>
      </w:pPr>
      <w:bookmarkStart w:id="37" w:name="_Toc19156"/>
      <w:bookmarkStart w:id="38" w:name="_Toc20046"/>
      <w:bookmarkStart w:id="39" w:name="_Toc12717"/>
      <w:r>
        <w:rPr>
          <w:rFonts w:hint="eastAsia" w:hAnsi="宋体"/>
          <w:color w:val="000000"/>
          <w:sz w:val="28"/>
          <w:szCs w:val="28"/>
        </w:rPr>
        <w:t>2、投诉处理</w:t>
      </w:r>
      <w:bookmarkEnd w:id="30"/>
      <w:bookmarkEnd w:id="31"/>
      <w:bookmarkEnd w:id="32"/>
      <w:bookmarkEnd w:id="33"/>
      <w:bookmarkEnd w:id="34"/>
      <w:bookmarkEnd w:id="35"/>
      <w:bookmarkEnd w:id="36"/>
      <w:bookmarkEnd w:id="37"/>
      <w:bookmarkEnd w:id="38"/>
      <w:bookmarkEnd w:id="39"/>
      <w:bookmarkStart w:id="40" w:name="_Toc23005"/>
      <w:bookmarkStart w:id="41" w:name="_Toc18021"/>
      <w:bookmarkStart w:id="42" w:name="_Toc25038"/>
      <w:r>
        <w:rPr>
          <w:rFonts w:hint="eastAsia" w:hAnsi="宋体"/>
          <w:color w:val="000000"/>
          <w:sz w:val="28"/>
          <w:szCs w:val="28"/>
        </w:rPr>
        <w:t>：受理、处置客户的投诉应进行记录，</w:t>
      </w:r>
      <w:bookmarkEnd w:id="40"/>
      <w:bookmarkEnd w:id="41"/>
      <w:bookmarkEnd w:id="42"/>
      <w:bookmarkStart w:id="43" w:name="_Toc3729"/>
      <w:bookmarkStart w:id="44" w:name="_Toc30250"/>
      <w:bookmarkStart w:id="45" w:name="_Toc3181"/>
      <w:r>
        <w:rPr>
          <w:rFonts w:hint="eastAsia" w:hAnsi="宋体"/>
          <w:color w:val="000000"/>
          <w:sz w:val="28"/>
          <w:szCs w:val="28"/>
        </w:rPr>
        <w:t>物业服务直接受理的投诉，应核实情况，在一个工作日内回复处理结果，最长不得超过三个工作日。属于物业管理责任的，应道歉并及时纠正；属于无效投诉的应做好解释工作。</w:t>
      </w:r>
      <w:bookmarkEnd w:id="43"/>
      <w:bookmarkEnd w:id="44"/>
      <w:bookmarkEnd w:id="45"/>
    </w:p>
    <w:p>
      <w:pPr>
        <w:pStyle w:val="16"/>
        <w:spacing w:line="360" w:lineRule="auto"/>
        <w:ind w:left="57" w:right="57" w:firstLine="560" w:firstLineChars="200"/>
      </w:pPr>
      <w:r>
        <w:rPr>
          <w:rFonts w:hint="eastAsia" w:hAnsi="宋体"/>
          <w:color w:val="000000"/>
          <w:sz w:val="28"/>
          <w:szCs w:val="28"/>
        </w:rPr>
        <w:t>3、违约责任：如物业服务公司违反物业管理各项规定的，甲方有权要求乙方限期纠正，逾期仍不纠正的，甲方有权要求中止或停止提供物业服务，物业服务费用按实际服务期限支出。</w:t>
      </w:r>
    </w:p>
    <w:p>
      <w:pPr>
        <w:pStyle w:val="2"/>
        <w:rPr>
          <w:rFonts w:ascii="宋体" w:hAnsi="宋体"/>
          <w:b/>
          <w:bCs/>
          <w:color w:val="000000"/>
          <w:kern w:val="44"/>
          <w:sz w:val="24"/>
          <w:szCs w:val="24"/>
        </w:rPr>
      </w:pPr>
      <w:r>
        <w:rPr>
          <w:rFonts w:hint="eastAsia" w:ascii="宋体" w:hAnsi="宋体"/>
          <w:b/>
          <w:bCs/>
          <w:color w:val="000000"/>
          <w:kern w:val="44"/>
          <w:sz w:val="24"/>
          <w:szCs w:val="24"/>
        </w:rPr>
        <w:t xml:space="preserve"> </w:t>
      </w:r>
      <w:r>
        <w:rPr>
          <w:rFonts w:ascii="宋体" w:hAnsi="宋体"/>
          <w:b/>
          <w:bCs/>
          <w:color w:val="000000"/>
          <w:kern w:val="44"/>
          <w:sz w:val="24"/>
          <w:szCs w:val="24"/>
        </w:rPr>
        <w:t xml:space="preserve">   </w:t>
      </w:r>
      <w:r>
        <w:rPr>
          <w:rFonts w:hint="eastAsia" w:ascii="宋体" w:hAnsi="宋体"/>
          <w:b/>
          <w:bCs/>
          <w:color w:val="000000"/>
          <w:kern w:val="44"/>
          <w:sz w:val="24"/>
          <w:szCs w:val="24"/>
        </w:rPr>
        <w:t>1.谈判小组根据与供应商谈判情况可能实质性变动的内容：服务标准及要求、内容；</w:t>
      </w:r>
    </w:p>
    <w:p>
      <w:pPr>
        <w:pStyle w:val="2"/>
        <w:ind w:firstLine="482" w:firstLineChars="200"/>
        <w:rPr>
          <w:rFonts w:ascii="宋体" w:hAnsi="宋体"/>
          <w:b/>
          <w:bCs/>
          <w:color w:val="000000"/>
          <w:kern w:val="44"/>
          <w:sz w:val="24"/>
          <w:szCs w:val="24"/>
        </w:rPr>
      </w:pPr>
      <w:r>
        <w:rPr>
          <w:rFonts w:hint="eastAsia" w:ascii="宋体" w:hAnsi="宋体"/>
          <w:b/>
          <w:bCs/>
          <w:color w:val="000000"/>
          <w:kern w:val="44"/>
          <w:sz w:val="24"/>
          <w:szCs w:val="24"/>
        </w:rPr>
        <w:t>2.供应商如对以上服务内容有疑问，截止报名时间之前向采购人或采购代理机构提出，过期则视为同意。</w:t>
      </w:r>
    </w:p>
    <w:p>
      <w:pPr>
        <w:jc w:val="center"/>
        <w:outlineLvl w:val="0"/>
        <w:rPr>
          <w:rFonts w:ascii="宋体" w:hAnsi="宋体"/>
          <w:b/>
          <w:bCs/>
          <w:color w:val="000000"/>
          <w:kern w:val="44"/>
          <w:sz w:val="24"/>
          <w:szCs w:val="24"/>
          <w:lang w:val="zh-CN"/>
        </w:rPr>
      </w:pPr>
    </w:p>
    <w:p>
      <w:pPr>
        <w:jc w:val="center"/>
        <w:outlineLvl w:val="0"/>
        <w:rPr>
          <w:rFonts w:ascii="宋体" w:hAnsi="宋体"/>
          <w:b/>
          <w:bCs/>
          <w:color w:val="000000"/>
          <w:kern w:val="44"/>
          <w:sz w:val="24"/>
          <w:szCs w:val="24"/>
          <w:lang w:val="zh-CN"/>
        </w:rPr>
      </w:pPr>
      <w:r>
        <w:rPr>
          <w:rFonts w:hint="eastAsia" w:ascii="宋体" w:hAnsi="宋体"/>
          <w:b/>
          <w:bCs/>
          <w:color w:val="000000"/>
          <w:kern w:val="44"/>
          <w:sz w:val="24"/>
          <w:szCs w:val="24"/>
          <w:lang w:val="zh-CN"/>
        </w:rPr>
        <w:t>第五章 供应商资格证明及相关文件要求</w:t>
      </w:r>
      <w:bookmarkEnd w:id="11"/>
      <w:bookmarkEnd w:id="12"/>
    </w:p>
    <w:p>
      <w:pPr>
        <w:spacing w:line="360" w:lineRule="auto"/>
        <w:jc w:val="center"/>
        <w:rPr>
          <w:rFonts w:ascii="宋体" w:hAnsi="宋体"/>
          <w:b/>
          <w:bCs/>
          <w:color w:val="000000"/>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供应商应提交证明其有资格参加投标和中标后有能力履行合同的文件，并作为其响应文件的一部分，所有文件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一.供应商及投标货物的资格性证明文件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法人营业执照副本（三证合一）；</w:t>
      </w:r>
    </w:p>
    <w:p>
      <w:pPr>
        <w:pStyle w:val="2"/>
        <w:ind w:firstLine="480" w:firstLineChars="200"/>
        <w:rPr>
          <w:rFonts w:hAnsi="宋体"/>
          <w:sz w:val="24"/>
          <w:szCs w:val="24"/>
        </w:rPr>
      </w:pPr>
      <w:r>
        <w:rPr>
          <w:rFonts w:hint="eastAsia" w:hAnsi="宋体"/>
          <w:sz w:val="24"/>
          <w:szCs w:val="24"/>
        </w:rPr>
        <w:t>2.委托代表投标时的法人代表授权书（开标时需提供原件）；</w:t>
      </w:r>
    </w:p>
    <w:p>
      <w:pPr>
        <w:spacing w:line="360" w:lineRule="auto"/>
        <w:ind w:firstLine="482" w:firstLineChars="201"/>
        <w:rPr>
          <w:rFonts w:ascii="宋体" w:hAnsi="宋体"/>
          <w:sz w:val="24"/>
          <w:szCs w:val="24"/>
        </w:rPr>
      </w:pPr>
      <w:r>
        <w:rPr>
          <w:rFonts w:hint="eastAsia" w:hAnsi="宋体"/>
          <w:sz w:val="24"/>
          <w:szCs w:val="24"/>
        </w:rPr>
        <w:t>3</w:t>
      </w:r>
      <w:r>
        <w:rPr>
          <w:rFonts w:hint="eastAsia" w:ascii="宋体" w:hAnsi="宋体" w:cs="宋体"/>
          <w:sz w:val="24"/>
          <w:szCs w:val="24"/>
        </w:rPr>
        <w:t>.具有良好的商业信誉：</w:t>
      </w:r>
      <w:r>
        <w:rPr>
          <w:rFonts w:hint="eastAsia" w:ascii="宋体" w:hAnsi="宋体"/>
          <w:sz w:val="24"/>
          <w:szCs w:val="24"/>
        </w:rPr>
        <w:t>(1).供应商需提供由“征信中心网”（https://ipcrs.pbccrc.org.cn/）查询的信用报告。(2).供应商是企业或个体经营户的需带公司法人身份证及公司营业执照和公章去项目所在地或当地中国人民银行出具信用报告。</w:t>
      </w:r>
    </w:p>
    <w:p>
      <w:pPr>
        <w:spacing w:line="360" w:lineRule="auto"/>
        <w:ind w:firstLine="482" w:firstLineChars="201"/>
        <w:rPr>
          <w:rFonts w:ascii="宋体" w:hAnsi="宋体"/>
          <w:sz w:val="24"/>
          <w:szCs w:val="24"/>
        </w:rPr>
      </w:pPr>
      <w:r>
        <w:rPr>
          <w:rFonts w:hint="eastAsia" w:ascii="宋体" w:hAnsi="宋体"/>
          <w:sz w:val="24"/>
          <w:szCs w:val="24"/>
        </w:rPr>
        <w:t>4</w:t>
      </w:r>
      <w:r>
        <w:rPr>
          <w:rFonts w:hint="eastAsia" w:ascii="宋体" w:hAnsi="宋体" w:cs="宋体"/>
          <w:sz w:val="24"/>
          <w:szCs w:val="24"/>
        </w:rPr>
        <w:t>.供应商依法缴纳税收证明（以税务机关提供的纳税凭证或银行入账单为准）；</w:t>
      </w:r>
    </w:p>
    <w:p>
      <w:pPr>
        <w:spacing w:line="360" w:lineRule="auto"/>
        <w:ind w:firstLine="482" w:firstLineChars="201"/>
        <w:rPr>
          <w:rFonts w:ascii="宋体" w:hAnsi="宋体"/>
          <w:color w:val="0000FF"/>
          <w:sz w:val="24"/>
          <w:szCs w:val="24"/>
        </w:rPr>
      </w:pPr>
      <w:r>
        <w:rPr>
          <w:rFonts w:hint="eastAsia" w:ascii="宋体" w:hAnsi="宋体" w:cs="宋体"/>
          <w:sz w:val="24"/>
          <w:szCs w:val="24"/>
        </w:rPr>
        <w:t>5.供应商为企业员工缴纳社保资金的凭证（以社保机构出具的缴纳纪录凭证或银行入账单为准）；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kern w:val="0"/>
          <w:sz w:val="24"/>
          <w:szCs w:val="24"/>
        </w:rPr>
      </w:pPr>
      <w:r>
        <w:rPr>
          <w:rFonts w:hint="eastAsia" w:ascii="宋体" w:hAnsi="宋体" w:cs="宋体"/>
          <w:sz w:val="24"/>
          <w:szCs w:val="24"/>
        </w:rPr>
        <w:t>6.供应商参加政府采购近</w:t>
      </w:r>
      <w:r>
        <w:rPr>
          <w:rFonts w:hint="eastAsia" w:ascii="宋体" w:hAnsi="宋体" w:cs="宋体"/>
          <w:kern w:val="0"/>
          <w:sz w:val="24"/>
          <w:szCs w:val="24"/>
        </w:rPr>
        <w:t>三年内在经营活动中没有重大违法记录书面声明；</w:t>
      </w:r>
    </w:p>
    <w:p>
      <w:pPr>
        <w:spacing w:line="360" w:lineRule="auto"/>
        <w:ind w:firstLine="482" w:firstLineChars="201"/>
        <w:rPr>
          <w:rFonts w:ascii="宋体" w:hAnsi="宋体"/>
          <w:sz w:val="24"/>
          <w:szCs w:val="24"/>
        </w:rPr>
      </w:pPr>
      <w:r>
        <w:rPr>
          <w:rFonts w:hint="eastAsia" w:ascii="宋体" w:hAnsi="宋体"/>
          <w:sz w:val="24"/>
          <w:szCs w:val="24"/>
        </w:rPr>
        <w:t>7.</w:t>
      </w:r>
      <w:r>
        <w:rPr>
          <w:rFonts w:hint="eastAsia" w:hAnsi="宋体"/>
          <w:sz w:val="24"/>
          <w:szCs w:val="24"/>
        </w:rPr>
        <w:t>供应商须在投标文件中提供企业工商注册所在地或项目所在地信用管理中心出具的《信用信息查询结果》且在有效期范围内，办理步骤：详见第七章格式</w:t>
      </w:r>
      <w:r>
        <w:rPr>
          <w:rFonts w:hint="eastAsia" w:ascii="宋体" w:hAnsi="宋体"/>
          <w:sz w:val="24"/>
          <w:szCs w:val="24"/>
        </w:rPr>
        <w:t>；</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8..磋商文件（包括评审表中）对供应商的其他要求。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 xml:space="preserve"> </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color w:val="000000"/>
          <w:kern w:val="44"/>
          <w:sz w:val="24"/>
          <w:szCs w:val="24"/>
          <w:lang w:val="zh-CN"/>
        </w:rPr>
      </w:pPr>
      <w:bookmarkStart w:id="46" w:name="_Toc497408605"/>
      <w:r>
        <w:rPr>
          <w:rFonts w:hint="eastAsia" w:ascii="宋体" w:hAnsi="宋体"/>
          <w:b/>
          <w:bCs/>
          <w:color w:val="000000"/>
          <w:kern w:val="44"/>
          <w:sz w:val="24"/>
          <w:szCs w:val="24"/>
          <w:lang w:val="zh-CN"/>
        </w:rPr>
        <w:t>第六章 评标办法（综合评分）</w:t>
      </w:r>
      <w:bookmarkEnd w:id="46"/>
    </w:p>
    <w:p>
      <w:pPr>
        <w:spacing w:line="360" w:lineRule="auto"/>
        <w:ind w:firstLine="482" w:firstLineChars="200"/>
        <w:rPr>
          <w:rFonts w:ascii="宋体" w:hAnsi="宋体"/>
          <w:b/>
          <w:sz w:val="24"/>
          <w:szCs w:val="24"/>
        </w:rPr>
      </w:pPr>
      <w:r>
        <w:rPr>
          <w:rFonts w:hint="eastAsia" w:ascii="宋体" w:hAnsi="宋体"/>
          <w:b/>
          <w:sz w:val="24"/>
          <w:szCs w:val="24"/>
        </w:rPr>
        <w:t>一.评标原则</w:t>
      </w:r>
    </w:p>
    <w:p>
      <w:pPr>
        <w:spacing w:line="360" w:lineRule="auto"/>
        <w:ind w:firstLine="480" w:firstLineChars="200"/>
        <w:rPr>
          <w:rFonts w:ascii="宋体" w:hAnsi="宋体"/>
          <w:b/>
          <w:sz w:val="24"/>
          <w:szCs w:val="24"/>
        </w:rPr>
      </w:pPr>
      <w:r>
        <w:rPr>
          <w:rFonts w:hint="eastAsia" w:ascii="宋体" w:hAnsi="宋体"/>
          <w:sz w:val="24"/>
          <w:szCs w:val="24"/>
        </w:rPr>
        <w:t>评审活动遵循公开、公平、公正、择优的原则进行。评审委员会将综合分析供应商的各项指标，而不以单项指标的优劣评选出预中标人。（最低报价不是成交的唯一依据。）</w:t>
      </w:r>
    </w:p>
    <w:p>
      <w:pPr>
        <w:spacing w:after="120" w:line="360" w:lineRule="auto"/>
        <w:ind w:firstLine="448" w:firstLineChars="186"/>
        <w:rPr>
          <w:rFonts w:ascii="宋体" w:hAnsi="宋体"/>
          <w:b/>
          <w:sz w:val="24"/>
          <w:szCs w:val="24"/>
        </w:rPr>
      </w:pPr>
      <w:bookmarkStart w:id="47" w:name="_Toc355703360"/>
      <w:bookmarkStart w:id="48" w:name="_Toc355703243"/>
      <w:bookmarkStart w:id="49" w:name="_Toc257983096"/>
      <w:r>
        <w:rPr>
          <w:rFonts w:hint="eastAsia" w:ascii="宋体" w:hAnsi="宋体"/>
          <w:b/>
          <w:sz w:val="24"/>
          <w:szCs w:val="24"/>
        </w:rPr>
        <w:t>二.磋商</w:t>
      </w:r>
      <w:bookmarkEnd w:id="47"/>
      <w:bookmarkEnd w:id="48"/>
      <w:bookmarkEnd w:id="49"/>
      <w:r>
        <w:rPr>
          <w:rFonts w:hint="eastAsia" w:ascii="宋体" w:hAnsi="宋体"/>
          <w:b/>
          <w:sz w:val="24"/>
          <w:szCs w:val="24"/>
        </w:rPr>
        <w:t>程序</w:t>
      </w:r>
    </w:p>
    <w:p>
      <w:pPr>
        <w:adjustRightInd w:val="0"/>
        <w:snapToGrid w:val="0"/>
        <w:spacing w:line="360" w:lineRule="auto"/>
        <w:ind w:firstLine="482" w:firstLineChars="201"/>
        <w:rPr>
          <w:rFonts w:ascii="宋体" w:hAnsi="宋体"/>
          <w:sz w:val="24"/>
          <w:szCs w:val="24"/>
        </w:rPr>
      </w:pPr>
      <w:r>
        <w:rPr>
          <w:rFonts w:hint="eastAsia" w:ascii="宋体" w:hAnsi="宋体"/>
          <w:sz w:val="24"/>
          <w:szCs w:val="24"/>
        </w:rPr>
        <w:t>1.第一阶段：初步审查</w:t>
      </w:r>
    </w:p>
    <w:p>
      <w:pPr>
        <w:adjustRightInd w:val="0"/>
        <w:snapToGrid w:val="0"/>
        <w:spacing w:line="360" w:lineRule="auto"/>
        <w:ind w:firstLine="482" w:firstLineChars="201"/>
        <w:rPr>
          <w:rFonts w:ascii="宋体" w:hAnsi="宋体"/>
          <w:sz w:val="24"/>
          <w:szCs w:val="24"/>
        </w:rPr>
      </w:pPr>
      <w:r>
        <w:rPr>
          <w:rFonts w:ascii="宋体" w:hAnsi="宋体"/>
          <w:sz w:val="24"/>
          <w:szCs w:val="24"/>
        </w:rPr>
        <w:t>依据有关法律和</w:t>
      </w:r>
      <w:r>
        <w:rPr>
          <w:rFonts w:hint="eastAsia" w:ascii="宋体" w:hAnsi="宋体"/>
          <w:sz w:val="24"/>
          <w:szCs w:val="24"/>
        </w:rPr>
        <w:t>竞争性磋商</w:t>
      </w:r>
      <w:r>
        <w:rPr>
          <w:rFonts w:ascii="宋体" w:hAnsi="宋体"/>
          <w:sz w:val="24"/>
          <w:szCs w:val="24"/>
        </w:rPr>
        <w:t>文件的规定,对</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资格性、符合性部分</w:t>
      </w:r>
      <w:r>
        <w:rPr>
          <w:rFonts w:ascii="宋体" w:hAnsi="宋体"/>
          <w:sz w:val="24"/>
          <w:szCs w:val="24"/>
        </w:rPr>
        <w:t>进行审查，以确定</w:t>
      </w:r>
      <w:r>
        <w:rPr>
          <w:rFonts w:hint="eastAsia" w:ascii="宋体" w:hAnsi="宋体"/>
          <w:sz w:val="24"/>
          <w:szCs w:val="24"/>
        </w:rPr>
        <w:t>供应商是否可以实质性响应磋商文件要求</w:t>
      </w:r>
      <w:r>
        <w:rPr>
          <w:rFonts w:ascii="宋体" w:hAnsi="宋体"/>
          <w:sz w:val="24"/>
          <w:szCs w:val="24"/>
        </w:rPr>
        <w:t>。</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2.第二阶段：磋商</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（1）磋商小组应当通过随机方式序确定参加磋商供应商的磋商顺序，磋商小组所有成员应当集中与单一供应商分别进行磋商，并给予所有参加磋商的供应商平等的磋商机会。</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具体磋商时，由供应商法定代表人或其授权委托人须携带本人身份证或其他有效身份证明参加。</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（2）磋商内容主要包括：针对本项目的技术条款、服务要求、合同要求；磋商文件不能详细列明采购标的的技术、服务要求的，需经磋商由供应商提供最终设计方案或解决方案；其它需要磋商的事项。</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（3）在磋商过程中，磋商小组可以根据磋商文件和磋商情况实质性变动采购需求中的技术、服务要求以及合同草案条款，但不得变动磋商文件中的其他内容。实质性变动的内容，须经采购人代表确认。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对磋商文件作出的实质性变动是磋商文件的有效组成部分，磋商小组应当在《最终报价表》中载明，同时通知所有参加磋商的供应商。</w:t>
      </w:r>
    </w:p>
    <w:p>
      <w:pPr>
        <w:widowControl/>
        <w:spacing w:line="360" w:lineRule="auto"/>
        <w:ind w:firstLine="480" w:firstLineChars="200"/>
        <w:rPr>
          <w:rFonts w:ascii="宋体" w:hAnsi="宋体"/>
          <w:sz w:val="24"/>
          <w:szCs w:val="24"/>
        </w:rPr>
      </w:pPr>
      <w:r>
        <w:rPr>
          <w:rFonts w:hint="eastAsia" w:ascii="宋体" w:hAnsi="宋体"/>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5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（4）对未实质性响应磋商文件的响应文件按无效响应处理，磋商小组应当告知提交响应文件的供应商。</w:t>
      </w:r>
    </w:p>
    <w:p>
      <w:pPr>
        <w:pStyle w:val="54"/>
        <w:spacing w:line="360" w:lineRule="auto"/>
        <w:ind w:firstLine="480" w:firstLineChars="200"/>
        <w:rPr>
          <w:rFonts w:ascii="Times New Roman" w:hAnsi="Times New Roman" w:eastAsia="宋体" w:cs="Times New Roman"/>
          <w:color w:val="auto"/>
        </w:rPr>
      </w:pPr>
      <w:r>
        <w:rPr>
          <w:rFonts w:hint="eastAsia" w:ascii="宋体" w:hAnsi="宋体"/>
        </w:rPr>
        <w:t>3.第三阶段：最后报价</w:t>
      </w:r>
    </w:p>
    <w:p>
      <w:pPr>
        <w:widowControl/>
        <w:spacing w:after="156" w:afterLines="50" w:line="360" w:lineRule="auto"/>
        <w:ind w:firstLine="480" w:firstLineChars="200"/>
        <w:jc w:val="left"/>
        <w:rPr>
          <w:rFonts w:ascii="宋体" w:hAnsi="宋体"/>
          <w:sz w:val="24"/>
          <w:szCs w:val="24"/>
        </w:rPr>
      </w:pPr>
      <w:r>
        <w:rPr>
          <w:rFonts w:hint="eastAsia" w:ascii="宋体" w:hAnsi="宋体"/>
          <w:sz w:val="24"/>
          <w:szCs w:val="24"/>
        </w:rPr>
        <w:t>经磋商确定实质性响应的供应商后，磋商小组应当要求所有实质性响应的供应商在规定时间内提交最后报价。最后报价是供应商响应文件的有效组成部分。</w:t>
      </w:r>
    </w:p>
    <w:p>
      <w:pPr>
        <w:widowControl/>
        <w:spacing w:after="156" w:afterLines="50" w:line="360" w:lineRule="auto"/>
        <w:ind w:firstLine="480" w:firstLineChars="200"/>
        <w:jc w:val="left"/>
        <w:rPr>
          <w:kern w:val="0"/>
          <w:sz w:val="24"/>
          <w:szCs w:val="24"/>
        </w:rPr>
      </w:pPr>
      <w:r>
        <w:rPr>
          <w:rFonts w:hint="eastAsia"/>
          <w:kern w:val="0"/>
          <w:sz w:val="24"/>
          <w:szCs w:val="24"/>
        </w:rPr>
        <w:t>已提交响应文件的供应商，在提交最后报价之前，可以根据磋商情况退出磋商。</w:t>
      </w:r>
    </w:p>
    <w:p>
      <w:pPr>
        <w:widowControl/>
        <w:spacing w:after="156" w:afterLines="50" w:line="360" w:lineRule="auto"/>
        <w:ind w:firstLine="480" w:firstLineChars="200"/>
        <w:jc w:val="left"/>
        <w:rPr>
          <w:rFonts w:ascii="宋体" w:hAnsi="宋体"/>
          <w:sz w:val="24"/>
          <w:szCs w:val="24"/>
        </w:rPr>
      </w:pPr>
      <w:r>
        <w:rPr>
          <w:rFonts w:hint="eastAsia" w:ascii="宋体" w:hAnsi="宋体"/>
          <w:sz w:val="24"/>
          <w:szCs w:val="24"/>
        </w:rPr>
        <w:t>供应商的最后报价填写至《最后报价表》（该表在磋商过程中由工作人员统一发放），并在规定的时间内递交至磋商小组或鄂尔多斯市鄂托克前旗公共资源交易中心。待所有实质性响应竞标人最后报价完毕后，工作人员统一公布每位实质性响应供应商的最后价格。</w:t>
      </w:r>
    </w:p>
    <w:p>
      <w:pPr>
        <w:widowControl/>
        <w:tabs>
          <w:tab w:val="left" w:pos="540"/>
        </w:tabs>
        <w:spacing w:line="360" w:lineRule="auto"/>
        <w:ind w:firstLine="480" w:firstLineChars="200"/>
        <w:jc w:val="left"/>
        <w:rPr>
          <w:rFonts w:ascii="宋体" w:hAnsi="宋体"/>
          <w:sz w:val="24"/>
          <w:szCs w:val="24"/>
        </w:rPr>
      </w:pPr>
      <w:r>
        <w:rPr>
          <w:rFonts w:hint="eastAsia" w:ascii="宋体" w:hAnsi="宋体"/>
          <w:sz w:val="24"/>
          <w:szCs w:val="24"/>
        </w:rPr>
        <w:t>4.第四阶段：综合评分</w:t>
      </w:r>
    </w:p>
    <w:p>
      <w:pPr>
        <w:widowControl/>
        <w:tabs>
          <w:tab w:val="left" w:pos="540"/>
        </w:tabs>
        <w:spacing w:line="360" w:lineRule="auto"/>
        <w:ind w:firstLine="480" w:firstLineChars="200"/>
        <w:jc w:val="left"/>
        <w:rPr>
          <w:rFonts w:ascii="宋体" w:hAnsi="宋体"/>
          <w:sz w:val="24"/>
          <w:szCs w:val="24"/>
        </w:rPr>
      </w:pPr>
      <w:r>
        <w:rPr>
          <w:rFonts w:hint="eastAsia" w:ascii="宋体" w:hAnsi="宋体"/>
          <w:sz w:val="24"/>
          <w:szCs w:val="24"/>
        </w:rPr>
        <w:t>经磋商确定最终采购需求和提交最后报价的供应商后，由磋商小组采用综合评分法对提交最后报价的供应商的响应文件和最后报价进行综合评分。磋商文件中没有规定的评审标准不得作为评审依据。</w:t>
      </w:r>
    </w:p>
    <w:p>
      <w:pPr>
        <w:widowControl/>
        <w:tabs>
          <w:tab w:val="left" w:pos="540"/>
        </w:tabs>
        <w:spacing w:line="360" w:lineRule="auto"/>
        <w:ind w:firstLine="480" w:firstLineChars="200"/>
        <w:jc w:val="left"/>
        <w:rPr>
          <w:rFonts w:ascii="宋体" w:hAnsi="宋体"/>
          <w:sz w:val="24"/>
          <w:szCs w:val="24"/>
        </w:rPr>
      </w:pPr>
      <w:r>
        <w:rPr>
          <w:rFonts w:hint="eastAsia" w:ascii="宋体" w:hAnsi="宋体"/>
          <w:sz w:val="24"/>
          <w:szCs w:val="24"/>
        </w:rPr>
        <w:t>评审时，磋商小组各成员应当独立对每个有效响应的文件进行评价、打分，然后汇总每个供应商每项评分因素的得分。（其中报价部分得分计算依据满足磋商文件要求的最后报价）</w:t>
      </w:r>
    </w:p>
    <w:p>
      <w:pPr>
        <w:widowControl/>
        <w:spacing w:after="156" w:afterLines="50" w:line="360" w:lineRule="auto"/>
        <w:ind w:firstLine="480" w:firstLineChars="200"/>
        <w:jc w:val="left"/>
        <w:rPr>
          <w:rFonts w:ascii="宋体" w:hAnsi="宋体"/>
          <w:sz w:val="24"/>
          <w:szCs w:val="24"/>
        </w:rPr>
      </w:pPr>
      <w:r>
        <w:rPr>
          <w:rFonts w:hint="eastAsia" w:ascii="宋体" w:hAnsi="宋体"/>
          <w:sz w:val="24"/>
          <w:szCs w:val="24"/>
        </w:rPr>
        <w:t>三、确定成交供应商</w:t>
      </w:r>
    </w:p>
    <w:p>
      <w:pPr>
        <w:spacing w:line="360" w:lineRule="auto"/>
        <w:ind w:firstLine="570"/>
        <w:rPr>
          <w:rFonts w:ascii="宋体" w:hAnsi="宋体"/>
          <w:sz w:val="24"/>
          <w:szCs w:val="24"/>
        </w:rPr>
      </w:pPr>
      <w:r>
        <w:rPr>
          <w:rFonts w:hint="eastAsia" w:ascii="宋体" w:hAnsi="宋体"/>
          <w:sz w:val="24"/>
          <w:szCs w:val="24"/>
        </w:rPr>
        <w:t>磋商小组根据综合评分情况，按照评审得分由高到低确定成交候选供应商，并编写评审报告。评审得分相同的，按照最后报价由低到高的顺序确定，评审得分且最后报价相同的，按照技术指标（方案）优劣顺序确定成交候选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4"/>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50" w:name="OLE_LINK9"/>
      <w:bookmarkStart w:id="51" w:name="OLE_LINK1"/>
      <w:r>
        <w:rPr>
          <w:rFonts w:hint="eastAsia" w:ascii="宋体" w:hAnsi="宋体"/>
          <w:sz w:val="24"/>
          <w:szCs w:val="24"/>
        </w:rPr>
        <w:t>本项所称货物不包括使用大型企业注册商标的货物。</w:t>
      </w:r>
      <w:bookmarkEnd w:id="50"/>
      <w:bookmarkEnd w:id="51"/>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52" w:name="OLE_LINK13"/>
      <w:bookmarkStart w:id="53" w:name="OLE_LINK14"/>
      <w:r>
        <w:rPr>
          <w:rFonts w:hint="eastAsia" w:ascii="宋体" w:hAnsi="宋体"/>
          <w:sz w:val="24"/>
          <w:szCs w:val="24"/>
        </w:rPr>
        <w:t>《残疾人福利性单位声明函》</w:t>
      </w:r>
      <w:bookmarkEnd w:id="52"/>
      <w:bookmarkEnd w:id="53"/>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480" w:firstLineChars="200"/>
        <w:rPr>
          <w:rFonts w:ascii="宋体" w:hAnsi="宋体"/>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ind w:firstLine="600" w:firstLineChars="250"/>
        <w:rPr>
          <w:rFonts w:ascii="宋体" w:hAnsi="宋体"/>
          <w:sz w:val="24"/>
          <w:szCs w:val="24"/>
        </w:rPr>
      </w:pPr>
      <w:r>
        <w:rPr>
          <w:rFonts w:ascii="宋体" w:hAnsi="宋体"/>
          <w:sz w:val="24"/>
          <w:szCs w:val="24"/>
        </w:rPr>
        <w:br w:type="page"/>
      </w:r>
    </w:p>
    <w:p>
      <w:pPr>
        <w:spacing w:line="360" w:lineRule="auto"/>
        <w:rPr>
          <w:rFonts w:ascii="宋体" w:hAnsi="宋体"/>
          <w:b/>
          <w:sz w:val="24"/>
          <w:szCs w:val="24"/>
          <w:lang w:val="zh-CN"/>
        </w:rPr>
      </w:pPr>
      <w:r>
        <w:rPr>
          <w:rFonts w:hint="eastAsia" w:ascii="宋体" w:hAnsi="宋体" w:cs="宋体"/>
          <w:b/>
          <w:color w:val="000000"/>
          <w:kern w:val="0"/>
          <w:sz w:val="24"/>
          <w:szCs w:val="24"/>
        </w:rPr>
        <w:t>表一初审表：</w:t>
      </w:r>
    </w:p>
    <w:tbl>
      <w:tblPr>
        <w:tblStyle w:val="2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457" w:type="dxa"/>
            <w:vMerge w:val="restart"/>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资格性检查</w:t>
            </w:r>
          </w:p>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报名及保证金缴纳情况</w:t>
            </w:r>
          </w:p>
        </w:tc>
        <w:tc>
          <w:tcPr>
            <w:tcW w:w="684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具有独立承担民事责任的能力</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具有良好的商业信誉和健全的财务会计制度</w:t>
            </w:r>
          </w:p>
        </w:tc>
        <w:tc>
          <w:tcPr>
            <w:tcW w:w="684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1.供应商需提供由“征信中心网”（https://ipcrs.pbccrc.org.cn/）查询的信用报告。</w:t>
            </w:r>
          </w:p>
          <w:p>
            <w:pPr>
              <w:adjustRightInd w:val="0"/>
              <w:snapToGrid w:val="0"/>
              <w:jc w:val="left"/>
              <w:rPr>
                <w:rFonts w:ascii="宋体" w:hAnsi="宋体" w:cs="宋体"/>
                <w:kern w:val="0"/>
                <w:sz w:val="24"/>
                <w:szCs w:val="24"/>
              </w:rPr>
            </w:pPr>
            <w:r>
              <w:rPr>
                <w:rFonts w:hint="eastAsia" w:ascii="宋体" w:hAnsi="宋体"/>
                <w:sz w:val="24"/>
                <w:szCs w:val="24"/>
              </w:rPr>
              <w:t>2.供应商是企业或个体经营户的需带公司法人身份证及公司营业执照和公章去项目所在地或当地中国人民银行出具信用报告。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有依法缴纳税收的良好记录</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1.201</w:t>
            </w:r>
            <w:r>
              <w:rPr>
                <w:rFonts w:hint="eastAsia" w:ascii="宋体" w:hAnsi="宋体" w:cs="宋体"/>
                <w:kern w:val="0"/>
                <w:sz w:val="24"/>
                <w:szCs w:val="24"/>
                <w:lang w:val="en-US" w:eastAsia="zh-CN"/>
              </w:rPr>
              <w:t>9</w:t>
            </w:r>
            <w:r>
              <w:rPr>
                <w:rFonts w:hint="eastAsia" w:ascii="宋体" w:hAnsi="宋体" w:cs="宋体"/>
                <w:kern w:val="0"/>
                <w:sz w:val="24"/>
                <w:szCs w:val="24"/>
              </w:rPr>
              <w:t>年</w:t>
            </w:r>
            <w:r>
              <w:rPr>
                <w:rFonts w:hint="eastAsia" w:ascii="宋体" w:hAnsi="宋体" w:cs="宋体"/>
                <w:kern w:val="0"/>
                <w:sz w:val="24"/>
                <w:szCs w:val="24"/>
                <w:lang w:val="en-US" w:eastAsia="zh-CN"/>
              </w:rPr>
              <w:t>6</w:t>
            </w:r>
            <w:r>
              <w:rPr>
                <w:rFonts w:hint="eastAsia" w:ascii="宋体" w:hAnsi="宋体" w:cs="宋体"/>
                <w:kern w:val="0"/>
                <w:sz w:val="24"/>
                <w:szCs w:val="24"/>
              </w:rPr>
              <w:t>月至开标当日的任意一个月缴纳增值税或营业税或企业所得税的凭据。</w:t>
            </w:r>
          </w:p>
          <w:p>
            <w:pPr>
              <w:adjustRightInd w:val="0"/>
              <w:snapToGrid w:val="0"/>
              <w:jc w:val="left"/>
              <w:rPr>
                <w:rFonts w:ascii="宋体" w:hAnsi="宋体" w:cs="宋体"/>
                <w:kern w:val="0"/>
                <w:sz w:val="24"/>
                <w:szCs w:val="24"/>
              </w:rPr>
            </w:pPr>
            <w:r>
              <w:rPr>
                <w:rFonts w:hint="eastAsia" w:ascii="宋体" w:hAnsi="宋体" w:cs="宋体"/>
                <w:kern w:val="0"/>
                <w:sz w:val="24"/>
                <w:szCs w:val="24"/>
              </w:rPr>
              <w:t>2.201</w:t>
            </w:r>
            <w:r>
              <w:rPr>
                <w:rFonts w:hint="eastAsia" w:ascii="宋体" w:hAnsi="宋体" w:cs="宋体"/>
                <w:kern w:val="0"/>
                <w:sz w:val="24"/>
                <w:szCs w:val="24"/>
                <w:lang w:val="en-US" w:eastAsia="zh-CN"/>
              </w:rPr>
              <w:t>9</w:t>
            </w:r>
            <w:r>
              <w:rPr>
                <w:rFonts w:hint="eastAsia" w:ascii="宋体" w:hAnsi="宋体" w:cs="宋体"/>
                <w:kern w:val="0"/>
                <w:sz w:val="24"/>
                <w:szCs w:val="24"/>
              </w:rPr>
              <w:t>年</w:t>
            </w:r>
            <w:r>
              <w:rPr>
                <w:rFonts w:hint="eastAsia" w:ascii="宋体" w:hAnsi="宋体" w:cs="宋体"/>
                <w:kern w:val="0"/>
                <w:sz w:val="24"/>
                <w:szCs w:val="24"/>
                <w:lang w:val="en-US" w:eastAsia="zh-CN"/>
              </w:rPr>
              <w:t>6</w:t>
            </w:r>
            <w:r>
              <w:rPr>
                <w:rFonts w:hint="eastAsia" w:ascii="宋体" w:hAnsi="宋体" w:cs="宋体"/>
                <w:kern w:val="0"/>
                <w:sz w:val="24"/>
                <w:szCs w:val="24"/>
              </w:rPr>
              <w:t>月至开标当日的任意一个月缴纳社会保险的凭据（专用收据或社保缴纳清单）</w:t>
            </w:r>
          </w:p>
          <w:p>
            <w:pPr>
              <w:adjustRightInd w:val="0"/>
              <w:snapToGrid w:val="0"/>
              <w:jc w:val="left"/>
              <w:rPr>
                <w:rFonts w:ascii="宋体" w:hAnsi="宋体" w:cs="宋体"/>
                <w:kern w:val="0"/>
                <w:sz w:val="24"/>
                <w:szCs w:val="24"/>
              </w:rPr>
            </w:pPr>
            <w:r>
              <w:rPr>
                <w:rFonts w:hint="eastAsia" w:ascii="宋体" w:hAnsi="宋体" w:cs="宋体"/>
                <w:kern w:val="0"/>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具有履行合同所必须的设备和专业技术能力</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参加采购活动前3年内，在经营活动中没有重大违法记录</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ascii="宋体" w:hAnsi="宋体" w:cs="宋体"/>
                <w:kern w:val="0"/>
                <w:sz w:val="24"/>
                <w:szCs w:val="24"/>
              </w:rPr>
              <w:t>1.审查（20</w:t>
            </w:r>
            <w:r>
              <w:rPr>
                <w:rFonts w:hint="eastAsia" w:ascii="宋体" w:hAnsi="宋体" w:cs="宋体"/>
                <w:kern w:val="0"/>
                <w:sz w:val="24"/>
                <w:szCs w:val="24"/>
              </w:rPr>
              <w:t>17</w:t>
            </w:r>
            <w:r>
              <w:rPr>
                <w:rFonts w:ascii="宋体" w:hAnsi="宋体" w:cs="宋体"/>
                <w:kern w:val="0"/>
                <w:sz w:val="24"/>
                <w:szCs w:val="24"/>
              </w:rPr>
              <w:t>年至20</w:t>
            </w:r>
            <w:r>
              <w:rPr>
                <w:rFonts w:hint="eastAsia" w:ascii="宋体" w:hAnsi="宋体" w:cs="宋体"/>
                <w:kern w:val="0"/>
                <w:sz w:val="24"/>
                <w:szCs w:val="24"/>
              </w:rPr>
              <w:t>20</w:t>
            </w:r>
            <w:r>
              <w:rPr>
                <w:rFonts w:ascii="宋体" w:hAnsi="宋体" w:cs="宋体"/>
                <w:kern w:val="0"/>
                <w:sz w:val="24"/>
                <w:szCs w:val="24"/>
              </w:rPr>
              <w:t>年）供应商书面声明函；</w:t>
            </w:r>
            <w:r>
              <w:rPr>
                <w:rFonts w:ascii="宋体" w:hAnsi="宋体" w:cs="宋体"/>
                <w:kern w:val="0"/>
                <w:sz w:val="24"/>
                <w:szCs w:val="24"/>
              </w:rPr>
              <w:br w:type="textWrapping"/>
            </w:r>
            <w:r>
              <w:rPr>
                <w:rFonts w:ascii="宋体" w:hAnsi="宋体" w:cs="宋体"/>
                <w:kern w:val="0"/>
                <w:sz w:val="24"/>
                <w:szCs w:val="24"/>
              </w:rPr>
              <w:t>2.供应商须在投标文件中提供企业工商注册所在地或项目所在地信用管理中心出具的《信用信息查询结果》且在有效期范围内。</w:t>
            </w:r>
            <w:r>
              <w:rPr>
                <w:rFonts w:ascii="宋体" w:hAnsi="宋体" w:cs="宋体"/>
                <w:kern w:val="0"/>
                <w:sz w:val="24"/>
                <w:szCs w:val="24"/>
              </w:rPr>
              <w:br w:type="textWrapping"/>
            </w:r>
            <w:r>
              <w:rPr>
                <w:rFonts w:ascii="宋体" w:hAnsi="宋体" w:cs="宋体"/>
                <w:kern w:val="0"/>
                <w:sz w:val="24"/>
                <w:szCs w:val="24"/>
              </w:rPr>
              <w:t>3.“中国政府采购网”（</w:t>
            </w:r>
            <w:r>
              <w:rPr>
                <w:rFonts w:ascii="宋体" w:hAnsi="宋体" w:cs="宋体"/>
                <w:kern w:val="0"/>
                <w:sz w:val="24"/>
                <w:szCs w:val="24"/>
              </w:rPr>
              <w:drawing>
                <wp:inline distT="0" distB="0" distL="114300" distR="114300">
                  <wp:extent cx="190500" cy="142875"/>
                  <wp:effectExtent l="0" t="0" r="762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190500" cy="142875"/>
                          </a:xfrm>
                          <a:prstGeom prst="rect">
                            <a:avLst/>
                          </a:prstGeom>
                          <a:noFill/>
                          <a:ln w="9525">
                            <a:noFill/>
                          </a:ln>
                        </pic:spPr>
                      </pic:pic>
                    </a:graphicData>
                  </a:graphic>
                </wp:inline>
              </w:drawing>
            </w:r>
            <w:r>
              <w:rPr>
                <w:rFonts w:ascii="宋体" w:hAnsi="宋体" w:cs="宋体"/>
                <w:kern w:val="0"/>
                <w:sz w:val="24"/>
                <w:szCs w:val="24"/>
              </w:rPr>
              <w:t>www.ccgp.gov.cn）未被列入有关违法违规纪录（网上查询结果截图加盖投标企业公章，须在投标文件中提供）。</w:t>
            </w:r>
            <w:r>
              <w:rPr>
                <w:rFonts w:ascii="宋体" w:hAnsi="宋体" w:cs="宋体"/>
                <w:kern w:val="0"/>
                <w:sz w:val="24"/>
                <w:szCs w:val="24"/>
              </w:rPr>
              <w:br w:type="textWrapping"/>
            </w:r>
            <w:r>
              <w:rPr>
                <w:rFonts w:ascii="宋体" w:hAnsi="宋体" w:cs="宋体"/>
                <w:kern w:val="0"/>
                <w:sz w:val="24"/>
                <w:szCs w:val="24"/>
              </w:rPr>
              <w:t>注：1.企业提供的《信用查询结果》和中国政府采购网中有失信记录的企业，如已处理失信情况则需要提供已处理证明材料，否则评标委员会有权将否决其投标资格。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其他要求</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招标文件要求的其他无效投标情形；围标、串标和法律法规规定的其它无效投标条款。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符合性检查</w:t>
            </w:r>
          </w:p>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投标承诺书及法人授权委托书</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开标一览表</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投标文件规范性、符合性</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投标有效期</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主要商务条款</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附加条件</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联合体投标</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需求</w:t>
            </w:r>
          </w:p>
        </w:tc>
        <w:tc>
          <w:tcPr>
            <w:tcW w:w="291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服务需求内容</w:t>
            </w:r>
          </w:p>
        </w:tc>
        <w:tc>
          <w:tcPr>
            <w:tcW w:w="684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restart"/>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报价</w:t>
            </w:r>
          </w:p>
        </w:tc>
        <w:tc>
          <w:tcPr>
            <w:tcW w:w="2913" w:type="dxa"/>
            <w:vMerge w:val="restart"/>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投标报价</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未超过采购预算、符合报价明细表要求。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457" w:type="dxa"/>
            <w:tcBorders>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备注</w:t>
            </w:r>
          </w:p>
        </w:tc>
        <w:tc>
          <w:tcPr>
            <w:tcW w:w="2913" w:type="dxa"/>
            <w:tcBorders>
              <w:left w:val="single" w:color="auto" w:sz="4" w:space="0"/>
              <w:bottom w:val="single" w:color="auto" w:sz="4" w:space="0"/>
              <w:right w:val="single" w:color="auto" w:sz="4" w:space="0"/>
            </w:tcBorders>
            <w:vAlign w:val="center"/>
          </w:tcPr>
          <w:p>
            <w:pPr>
              <w:jc w:val="left"/>
              <w:rPr>
                <w:rFonts w:ascii="宋体" w:hAnsi="宋体" w:cs="宋体"/>
                <w:kern w:val="0"/>
                <w:sz w:val="24"/>
                <w:szCs w:val="24"/>
              </w:rPr>
            </w:pPr>
            <w:r>
              <w:rPr>
                <w:rFonts w:hint="eastAsia" w:ascii="宋体" w:hAnsi="宋体"/>
                <w:sz w:val="24"/>
                <w:szCs w:val="24"/>
              </w:rPr>
              <w:t>特别说明</w:t>
            </w:r>
          </w:p>
        </w:tc>
        <w:tc>
          <w:tcPr>
            <w:tcW w:w="68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bCs/>
                <w:kern w:val="36"/>
                <w:sz w:val="24"/>
                <w:szCs w:val="24"/>
              </w:rPr>
              <w:t>说明：1.供应商提供的《信用查询结果》、中国政府采购网查询截图以及</w:t>
            </w:r>
            <w:r>
              <w:rPr>
                <w:rFonts w:hint="eastAsia" w:ascii="宋体" w:hAnsi="宋体"/>
                <w:sz w:val="24"/>
                <w:szCs w:val="24"/>
              </w:rPr>
              <w:t>“征信中心网”查询的信用报告</w:t>
            </w:r>
            <w:r>
              <w:rPr>
                <w:rFonts w:hint="eastAsia" w:ascii="宋体" w:hAnsi="宋体" w:cs="宋体"/>
                <w:bCs/>
                <w:kern w:val="36"/>
                <w:sz w:val="24"/>
                <w:szCs w:val="24"/>
              </w:rPr>
              <w:t>中，如有失信记录的，已处理失信情况则需要提供已处理证明材料；2.以上要求提供的资料，供应商应在响应文件中提供，采购文件中要求提供原件的应提供原件，其他的提供复印件（加盖投标单位公章，如是自然人无公章的需本人签字确认），如有不提供、弄虚作假等行为的，评标委员会有权否决其投标资格。</w:t>
            </w:r>
          </w:p>
        </w:tc>
      </w:tr>
    </w:tbl>
    <w:p>
      <w:pPr>
        <w:adjustRightInd w:val="0"/>
        <w:snapToGrid w:val="0"/>
        <w:jc w:val="left"/>
        <w:rPr>
          <w:rFonts w:ascii="宋体" w:hAnsi="宋体" w:cs="宋体"/>
          <w:kern w:val="0"/>
          <w:sz w:val="24"/>
          <w:szCs w:val="24"/>
        </w:rPr>
      </w:pPr>
    </w:p>
    <w:p>
      <w:pPr>
        <w:adjustRightInd w:val="0"/>
        <w:snapToGrid w:val="0"/>
        <w:jc w:val="left"/>
        <w:rPr>
          <w:rFonts w:ascii="宋体" w:hAnsi="宋体" w:cs="宋体"/>
          <w:kern w:val="0"/>
          <w:sz w:val="24"/>
          <w:szCs w:val="24"/>
        </w:rPr>
      </w:pPr>
      <w:r>
        <w:rPr>
          <w:rFonts w:hint="eastAsia" w:ascii="宋体" w:hAnsi="宋体" w:cs="宋体"/>
          <w:kern w:val="0"/>
          <w:sz w:val="24"/>
          <w:szCs w:val="24"/>
        </w:rPr>
        <w:t>表二详细评审表：</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81"/>
        <w:gridCol w:w="6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286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评审因素</w:t>
            </w:r>
          </w:p>
        </w:tc>
        <w:tc>
          <w:tcPr>
            <w:tcW w:w="67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86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分值构成</w:t>
            </w:r>
          </w:p>
        </w:tc>
        <w:tc>
          <w:tcPr>
            <w:tcW w:w="67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 xml:space="preserve">1、报价得分 30分 </w:t>
            </w:r>
          </w:p>
          <w:p>
            <w:pPr>
              <w:adjustRightInd w:val="0"/>
              <w:snapToGrid w:val="0"/>
              <w:jc w:val="left"/>
              <w:rPr>
                <w:rFonts w:ascii="宋体" w:hAnsi="宋体" w:cs="宋体"/>
                <w:kern w:val="0"/>
                <w:sz w:val="24"/>
                <w:szCs w:val="24"/>
              </w:rPr>
            </w:pPr>
            <w:r>
              <w:rPr>
                <w:rFonts w:hint="eastAsia" w:ascii="宋体" w:hAnsi="宋体" w:cs="宋体"/>
                <w:kern w:val="0"/>
                <w:sz w:val="24"/>
                <w:szCs w:val="24"/>
              </w:rPr>
              <w:t>2、商务部分20分</w:t>
            </w:r>
          </w:p>
          <w:p>
            <w:pPr>
              <w:adjustRightInd w:val="0"/>
              <w:snapToGrid w:val="0"/>
              <w:jc w:val="left"/>
              <w:rPr>
                <w:rFonts w:ascii="宋体" w:hAnsi="宋体" w:cs="宋体"/>
                <w:kern w:val="0"/>
                <w:sz w:val="24"/>
                <w:szCs w:val="24"/>
              </w:rPr>
            </w:pPr>
            <w:r>
              <w:rPr>
                <w:rFonts w:hint="eastAsia" w:ascii="宋体" w:hAnsi="宋体" w:cs="宋体"/>
                <w:kern w:val="0"/>
                <w:sz w:val="24"/>
                <w:szCs w:val="24"/>
              </w:rPr>
              <w:t>3、技术部分 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投标报价（30分）</w:t>
            </w:r>
          </w:p>
        </w:tc>
        <w:tc>
          <w:tcPr>
            <w:tcW w:w="18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评标基准价确定方法</w:t>
            </w:r>
          </w:p>
        </w:tc>
        <w:tc>
          <w:tcPr>
            <w:tcW w:w="67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18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投标报价得分（30分）</w:t>
            </w:r>
          </w:p>
        </w:tc>
        <w:tc>
          <w:tcPr>
            <w:tcW w:w="67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988" w:type="dxa"/>
            <w:vMerge w:val="restart"/>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商务部分（20分）</w:t>
            </w:r>
          </w:p>
        </w:tc>
        <w:tc>
          <w:tcPr>
            <w:tcW w:w="1881" w:type="dxa"/>
            <w:tcBorders>
              <w:top w:val="single" w:color="auto" w:sz="4" w:space="0"/>
              <w:left w:val="single" w:color="auto" w:sz="4" w:space="0"/>
              <w:right w:val="single" w:color="auto" w:sz="4" w:space="0"/>
            </w:tcBorders>
            <w:vAlign w:val="center"/>
          </w:tcPr>
          <w:p>
            <w:pPr>
              <w:rPr>
                <w:rFonts w:hint="eastAsia" w:ascii="宋体" w:hAnsi="宋体" w:cs="宋体"/>
                <w:kern w:val="0"/>
                <w:sz w:val="24"/>
                <w:szCs w:val="24"/>
              </w:rPr>
            </w:pPr>
            <w:r>
              <w:rPr>
                <w:rFonts w:hint="eastAsia" w:asciiTheme="minorEastAsia" w:hAnsiTheme="minorEastAsia" w:eastAsiaTheme="minorEastAsia"/>
                <w:sz w:val="24"/>
                <w:szCs w:val="24"/>
              </w:rPr>
              <w:t>拟安排项目配备人员（10分）</w:t>
            </w:r>
          </w:p>
        </w:tc>
        <w:tc>
          <w:tcPr>
            <w:tcW w:w="6759" w:type="dxa"/>
            <w:tcBorders>
              <w:top w:val="single" w:color="auto" w:sz="4" w:space="0"/>
              <w:left w:val="single" w:color="auto" w:sz="4" w:space="0"/>
              <w:right w:val="single" w:color="auto" w:sz="4" w:space="0"/>
            </w:tcBorders>
            <w:vAlign w:val="center"/>
          </w:tcPr>
          <w:p>
            <w:pPr>
              <w:widowControl/>
              <w:rPr>
                <w:rFonts w:hint="eastAsia" w:ascii="宋体" w:hAnsi="宋体" w:cs="宋体"/>
                <w:kern w:val="0"/>
                <w:sz w:val="24"/>
                <w:szCs w:val="24"/>
              </w:rPr>
            </w:pPr>
            <w:r>
              <w:rPr>
                <w:rFonts w:asciiTheme="minorEastAsia" w:hAnsiTheme="minorEastAsia" w:eastAsiaTheme="minorEastAsia"/>
                <w:sz w:val="24"/>
                <w:szCs w:val="24"/>
              </w:rPr>
              <w:t>满足招标文件中关于人员配备的要求得</w:t>
            </w:r>
            <w:r>
              <w:rPr>
                <w:rFonts w:hint="eastAsia" w:asciiTheme="minorEastAsia" w:hAnsiTheme="minorEastAsia" w:eastAsiaTheme="minorEastAsia"/>
                <w:sz w:val="24"/>
                <w:szCs w:val="24"/>
              </w:rPr>
              <w:t>基础分2</w:t>
            </w:r>
            <w:r>
              <w:rPr>
                <w:rFonts w:asciiTheme="minorEastAsia" w:hAnsiTheme="minorEastAsia" w:eastAsiaTheme="minorEastAsia"/>
                <w:sz w:val="24"/>
                <w:szCs w:val="24"/>
              </w:rPr>
              <w:t>分，每增加1人</w:t>
            </w:r>
            <w:r>
              <w:rPr>
                <w:rFonts w:hint="eastAsia" w:asciiTheme="minorEastAsia" w:hAnsiTheme="minorEastAsia" w:eastAsiaTheme="minorEastAsia"/>
                <w:sz w:val="24"/>
                <w:szCs w:val="24"/>
              </w:rPr>
              <w:t>且</w:t>
            </w:r>
            <w:r>
              <w:rPr>
                <w:rFonts w:asciiTheme="minorEastAsia" w:hAnsiTheme="minorEastAsia" w:eastAsiaTheme="minorEastAsia"/>
                <w:sz w:val="24"/>
                <w:szCs w:val="24"/>
              </w:rPr>
              <w:t>具有相关上岗证书得</w:t>
            </w:r>
            <w:r>
              <w:rPr>
                <w:rFonts w:hint="eastAsia" w:asciiTheme="minorEastAsia" w:hAnsiTheme="minorEastAsia" w:eastAsiaTheme="minorEastAsia"/>
                <w:sz w:val="24"/>
                <w:szCs w:val="24"/>
              </w:rPr>
              <w:t>1</w:t>
            </w:r>
            <w:r>
              <w:rPr>
                <w:rFonts w:asciiTheme="minorEastAsia" w:hAnsiTheme="minorEastAsia" w:eastAsiaTheme="minorEastAsia"/>
                <w:sz w:val="24"/>
                <w:szCs w:val="24"/>
              </w:rPr>
              <w:t>分，</w:t>
            </w:r>
            <w:r>
              <w:rPr>
                <w:rFonts w:hint="eastAsia" w:asciiTheme="minorEastAsia" w:hAnsiTheme="minorEastAsia" w:eastAsiaTheme="minorEastAsia"/>
                <w:sz w:val="24"/>
                <w:szCs w:val="24"/>
              </w:rPr>
              <w:t>每个工种岗位最高得2分，总体</w:t>
            </w:r>
            <w:r>
              <w:rPr>
                <w:rFonts w:asciiTheme="minorEastAsia" w:hAnsiTheme="minorEastAsia" w:eastAsiaTheme="minorEastAsia"/>
                <w:sz w:val="24"/>
                <w:szCs w:val="24"/>
              </w:rPr>
              <w:t>最高得</w:t>
            </w:r>
            <w:r>
              <w:rPr>
                <w:rFonts w:hint="eastAsia" w:asciiTheme="minorEastAsia" w:hAnsiTheme="minorEastAsia" w:eastAsiaTheme="minorEastAsia"/>
                <w:sz w:val="24"/>
                <w:szCs w:val="24"/>
              </w:rPr>
              <w:t>10</w:t>
            </w:r>
            <w:r>
              <w:rPr>
                <w:rFonts w:asciiTheme="minorEastAsia" w:hAnsiTheme="minorEastAsia" w:eastAsiaTheme="minorEastAsia"/>
                <w:sz w:val="24"/>
                <w:szCs w:val="24"/>
              </w:rPr>
              <w:t>分。</w:t>
            </w:r>
            <w:r>
              <w:rPr>
                <w:rFonts w:hint="eastAsia" w:asciiTheme="minorEastAsia" w:hAnsiTheme="minorEastAsia" w:eastAsiaTheme="minorEastAsia"/>
                <w:sz w:val="24"/>
                <w:szCs w:val="24"/>
              </w:rPr>
              <w:t>（开标时需提供证书原件）。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88"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1881" w:type="dxa"/>
            <w:tcBorders>
              <w:top w:val="single" w:color="auto" w:sz="4" w:space="0"/>
              <w:left w:val="single" w:color="auto" w:sz="4" w:space="0"/>
              <w:right w:val="single" w:color="auto" w:sz="4" w:space="0"/>
            </w:tcBorders>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本地化服务（10分）</w:t>
            </w:r>
          </w:p>
        </w:tc>
        <w:tc>
          <w:tcPr>
            <w:tcW w:w="675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sz w:val="24"/>
                <w:szCs w:val="24"/>
              </w:rPr>
            </w:pPr>
            <w:r>
              <w:rPr>
                <w:rFonts w:hint="eastAsia" w:ascii="宋体" w:hAnsi="宋体" w:cs="宋体"/>
                <w:kern w:val="0"/>
                <w:sz w:val="24"/>
                <w:szCs w:val="24"/>
              </w:rPr>
              <w:t>1.投标人在本地有售后服务网点且提供有效营业执照的，得10分；投标人在本地以外内蒙古自治区以内具有售后服务网点且提供有效营业执照的，得5分。投标人承诺中标后在项目所在地设立售后服务网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988" w:type="dxa"/>
            <w:vMerge w:val="restart"/>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技术部分（50分）</w:t>
            </w:r>
          </w:p>
        </w:tc>
        <w:tc>
          <w:tcPr>
            <w:tcW w:w="1881" w:type="dxa"/>
            <w:tcBorders>
              <w:top w:val="single" w:color="auto" w:sz="4" w:space="0"/>
              <w:left w:val="single" w:color="auto" w:sz="4" w:space="0"/>
              <w:right w:val="single" w:color="auto" w:sz="4" w:space="0"/>
            </w:tcBorders>
            <w:vAlign w:val="center"/>
          </w:tcPr>
          <w:p>
            <w:pPr>
              <w:jc w:val="center"/>
              <w:rPr>
                <w:rFonts w:ascii="宋体" w:hAnsi="宋体" w:cs="宋体"/>
                <w:kern w:val="0"/>
                <w:sz w:val="24"/>
                <w:szCs w:val="24"/>
              </w:rPr>
            </w:pPr>
            <w:r>
              <w:rPr>
                <w:rFonts w:hint="eastAsia" w:asciiTheme="minorEastAsia" w:hAnsiTheme="minorEastAsia" w:eastAsiaTheme="minorEastAsia"/>
                <w:sz w:val="24"/>
                <w:szCs w:val="24"/>
              </w:rPr>
              <w:t>整体方案（15分）</w:t>
            </w:r>
          </w:p>
        </w:tc>
        <w:tc>
          <w:tcPr>
            <w:tcW w:w="6759" w:type="dxa"/>
            <w:tcBorders>
              <w:top w:val="single" w:color="auto" w:sz="4" w:space="0"/>
              <w:left w:val="single" w:color="auto" w:sz="4" w:space="0"/>
              <w:right w:val="single" w:color="auto" w:sz="4" w:space="0"/>
            </w:tcBorders>
            <w:vAlign w:val="center"/>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提供会议服务、秩序维护、绿化养护等物业具体服务方案；总体服务方案亮点多，针对性强,得 10-15分；总体服务方案亮点少，针对性不强，得6-9分；总体服务方案一般，得1-5分</w:t>
            </w:r>
          </w:p>
          <w:p>
            <w:pPr>
              <w:rPr>
                <w:rFonts w:ascii="宋体" w:hAnsi="宋体" w:cs="宋体"/>
                <w:kern w:val="0"/>
                <w:sz w:val="24"/>
                <w:szCs w:val="24"/>
              </w:rPr>
            </w:pPr>
            <w:r>
              <w:rPr>
                <w:rFonts w:hint="eastAsia" w:asciiTheme="minorEastAsia" w:hAnsiTheme="minorEastAsia" w:eastAsiaTheme="minorEastAsia"/>
                <w:sz w:val="24"/>
                <w:szCs w:val="24"/>
              </w:rPr>
              <w:t>未提供具体服务方案的，不得分。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988"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1881" w:type="dxa"/>
            <w:tcBorders>
              <w:left w:val="single" w:color="auto" w:sz="4" w:space="0"/>
              <w:right w:val="single" w:color="auto" w:sz="4" w:space="0"/>
            </w:tcBorders>
            <w:vAlign w:val="center"/>
          </w:tcPr>
          <w:p>
            <w:pPr>
              <w:rPr>
                <w:rFonts w:ascii="宋体" w:hAnsi="宋体" w:cs="宋体"/>
                <w:kern w:val="0"/>
                <w:sz w:val="24"/>
                <w:szCs w:val="24"/>
              </w:rPr>
            </w:pPr>
            <w:r>
              <w:rPr>
                <w:rFonts w:hint="eastAsia" w:asciiTheme="minorEastAsia" w:hAnsiTheme="minorEastAsia" w:eastAsiaTheme="minorEastAsia"/>
                <w:sz w:val="24"/>
                <w:szCs w:val="24"/>
              </w:rPr>
              <w:t>餐厅代管服务方案（15分）</w:t>
            </w:r>
          </w:p>
        </w:tc>
        <w:tc>
          <w:tcPr>
            <w:tcW w:w="6759" w:type="dxa"/>
            <w:tcBorders>
              <w:top w:val="single" w:color="auto" w:sz="4" w:space="0"/>
              <w:left w:val="single" w:color="auto" w:sz="4" w:space="0"/>
              <w:right w:val="single" w:color="auto" w:sz="4" w:space="0"/>
            </w:tcBorders>
            <w:vAlign w:val="center"/>
          </w:tcPr>
          <w:p>
            <w:pPr>
              <w:widowControl/>
              <w:rPr>
                <w:rFonts w:asciiTheme="minorEastAsia" w:hAnsiTheme="minorEastAsia" w:eastAsiaTheme="minorEastAsia"/>
                <w:sz w:val="24"/>
                <w:szCs w:val="24"/>
              </w:rPr>
            </w:pPr>
            <w:r>
              <w:rPr>
                <w:rFonts w:hint="eastAsia" w:asciiTheme="minorEastAsia" w:hAnsiTheme="minorEastAsia" w:eastAsiaTheme="minorEastAsia"/>
                <w:sz w:val="24"/>
                <w:szCs w:val="24"/>
              </w:rPr>
              <w:t>针对本项目制定餐厅代管服务方案进行评分；服务方案健全，有健全的食堂管理制度和卫生安全执行标准，列出品种及营养配比说明，菜肴营养合理、荤素搭配、管理规范得6-10分；没有详尽的餐厅代管服务方案、不够全面得1-5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988"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1881" w:type="dxa"/>
            <w:tcBorders>
              <w:left w:val="single" w:color="auto" w:sz="4" w:space="0"/>
              <w:right w:val="single" w:color="auto" w:sz="4" w:space="0"/>
            </w:tcBorders>
            <w:vAlign w:val="center"/>
          </w:tcPr>
          <w:p>
            <w:pPr>
              <w:pStyle w:val="16"/>
              <w:jc w:val="center"/>
              <w:rPr>
                <w:rFonts w:ascii="宋体" w:hAnsi="宋体" w:eastAsia="宋体" w:cs="Courier New"/>
                <w:color w:val="000000" w:themeColor="text1"/>
                <w:kern w:val="2"/>
                <w:sz w:val="24"/>
                <w:szCs w:val="24"/>
                <w:lang w:val="en-US" w:eastAsia="zh-CN" w:bidi="ar-SA"/>
                <w14:textFill>
                  <w14:solidFill>
                    <w14:schemeClr w14:val="tx1"/>
                  </w14:solidFill>
                </w14:textFill>
              </w:rPr>
            </w:pPr>
            <w:r>
              <w:rPr>
                <w:rFonts w:hint="eastAsia" w:ascii="宋体" w:hAnsi="宋体"/>
                <w:sz w:val="24"/>
                <w:szCs w:val="24"/>
                <w:lang w:eastAsia="zh-CN"/>
              </w:rPr>
              <w:t>投标文件的制作</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分）</w:t>
            </w:r>
          </w:p>
        </w:tc>
        <w:tc>
          <w:tcPr>
            <w:tcW w:w="6759"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sz w:val="24"/>
                <w:szCs w:val="24"/>
                <w:lang w:eastAsia="zh-CN"/>
              </w:rPr>
              <w:t>投标文件编制完成、格式规范、装订整齐、内容清晰符合招标文件要求的，得</w:t>
            </w:r>
            <w:r>
              <w:rPr>
                <w:rFonts w:hint="eastAsia" w:ascii="宋体" w:hAnsi="宋体"/>
                <w:sz w:val="24"/>
                <w:szCs w:val="24"/>
                <w:lang w:val="en-US" w:eastAsia="zh-CN"/>
              </w:rPr>
              <w:t>3</w:t>
            </w:r>
            <w:r>
              <w:rPr>
                <w:rFonts w:hint="eastAsia" w:ascii="宋体" w:hAnsi="宋体"/>
                <w:sz w:val="24"/>
                <w:szCs w:val="24"/>
                <w:lang w:eastAsia="zh-CN"/>
              </w:rPr>
              <w:t>分；投标文件内容前后矛盾、相关资料复印件模糊不清、编排混乱的，得</w:t>
            </w:r>
            <w:r>
              <w:rPr>
                <w:rFonts w:hint="eastAsia" w:ascii="宋体" w:hAnsi="宋体"/>
                <w:sz w:val="24"/>
                <w:szCs w:val="24"/>
                <w:lang w:val="en-US" w:eastAsia="zh-CN"/>
              </w:rPr>
              <w:t>1</w:t>
            </w:r>
            <w:r>
              <w:rPr>
                <w:rFonts w:hint="eastAsia" w:ascii="宋体" w:hAnsi="宋体"/>
                <w:sz w:val="24"/>
                <w:szCs w:val="24"/>
                <w:lang w:eastAsia="zh-CN"/>
              </w:rPr>
              <w:t>分；</w:t>
            </w:r>
            <w:r>
              <w:rPr>
                <w:rFonts w:hint="eastAsia" w:ascii="宋体" w:hAnsi="宋体"/>
                <w:sz w:val="24"/>
                <w:szCs w:val="24"/>
                <w:lang w:val="en-US" w:eastAsia="zh-CN"/>
              </w:rPr>
              <w:t>完全不满足采购文件要求的不得分。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988"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1881" w:type="dxa"/>
            <w:tcBorders>
              <w:left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应急事件处理方案（10分）</w:t>
            </w:r>
          </w:p>
        </w:tc>
        <w:tc>
          <w:tcPr>
            <w:tcW w:w="67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对本项目指定的应急措施的科学性、可行性、针对性和合理性进行综合比较评分；有针对性、方案合理可行、操作性强的得6-10分；有应急方案、不够全面和合理得1-5分；否则不得分。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988"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1881" w:type="dxa"/>
            <w:tcBorders>
              <w:left w:val="single" w:color="auto" w:sz="4" w:space="0"/>
              <w:right w:val="single" w:color="auto" w:sz="4" w:space="0"/>
            </w:tcBorders>
            <w:vAlign w:val="center"/>
          </w:tcPr>
          <w:p>
            <w:pPr>
              <w:rPr>
                <w:rFonts w:hint="eastAsia" w:asciiTheme="minorEastAsia" w:hAnsiTheme="minorEastAsia" w:eastAsiaTheme="minorEastAsia"/>
                <w:color w:val="000000"/>
                <w:sz w:val="24"/>
                <w:szCs w:val="24"/>
              </w:rPr>
            </w:pPr>
            <w:r>
              <w:rPr>
                <w:rFonts w:hint="eastAsia" w:ascii="宋体" w:hAnsi="宋体"/>
                <w:color w:val="000000"/>
                <w:sz w:val="24"/>
                <w:szCs w:val="24"/>
              </w:rPr>
              <w:t>劳动力计划（</w:t>
            </w:r>
            <w:r>
              <w:rPr>
                <w:rFonts w:hint="eastAsia" w:ascii="宋体" w:hAnsi="宋体"/>
                <w:color w:val="000000"/>
                <w:sz w:val="24"/>
                <w:szCs w:val="24"/>
                <w:lang w:val="en-US" w:eastAsia="zh-CN"/>
              </w:rPr>
              <w:t>7</w:t>
            </w:r>
            <w:r>
              <w:rPr>
                <w:rFonts w:hint="eastAsia" w:ascii="宋体" w:hAnsi="宋体"/>
                <w:color w:val="000000"/>
                <w:sz w:val="24"/>
                <w:szCs w:val="24"/>
              </w:rPr>
              <w:t>分）</w:t>
            </w:r>
          </w:p>
        </w:tc>
        <w:tc>
          <w:tcPr>
            <w:tcW w:w="675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olor w:val="000000"/>
                <w:sz w:val="24"/>
                <w:szCs w:val="24"/>
              </w:rPr>
            </w:pPr>
            <w:r>
              <w:rPr>
                <w:rFonts w:hint="eastAsia" w:ascii="宋体" w:hAnsi="宋体"/>
                <w:color w:val="000000"/>
                <w:sz w:val="24"/>
                <w:szCs w:val="24"/>
              </w:rPr>
              <w:t>劳动力投入科学合理的，得1-</w:t>
            </w:r>
            <w:r>
              <w:rPr>
                <w:rFonts w:hint="eastAsia" w:ascii="宋体" w:hAnsi="宋体"/>
                <w:color w:val="000000"/>
                <w:sz w:val="24"/>
                <w:szCs w:val="24"/>
                <w:lang w:val="en-US" w:eastAsia="zh-CN"/>
              </w:rPr>
              <w:t>7</w:t>
            </w:r>
            <w:r>
              <w:rPr>
                <w:rFonts w:hint="eastAsia" w:ascii="宋体" w:hAnsi="宋体"/>
                <w:color w:val="000000"/>
                <w:sz w:val="24"/>
                <w:szCs w:val="24"/>
              </w:rPr>
              <w:t>分。未提供不得分。</w:t>
            </w:r>
          </w:p>
        </w:tc>
      </w:tr>
    </w:tbl>
    <w:p>
      <w:pPr>
        <w:pStyle w:val="3"/>
        <w:keepNext w:val="0"/>
        <w:keepLines w:val="0"/>
        <w:spacing w:line="360" w:lineRule="auto"/>
        <w:jc w:val="both"/>
        <w:rPr>
          <w:rFonts w:ascii="宋体" w:hAnsi="宋体"/>
          <w:sz w:val="24"/>
          <w:szCs w:val="24"/>
        </w:rPr>
      </w:pPr>
      <w:r>
        <w:rPr>
          <w:rFonts w:ascii="宋体" w:hAnsi="宋体"/>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54" w:name="_Toc497290561"/>
      <w:bookmarkStart w:id="55" w:name="_Toc497408597"/>
      <w:r>
        <w:rPr>
          <w:rFonts w:hint="eastAsia" w:ascii="宋体" w:hAnsi="宋体"/>
          <w:color w:val="000000"/>
          <w:sz w:val="24"/>
          <w:szCs w:val="24"/>
        </w:rPr>
        <w:t>第七章 响应文件格式与要求</w:t>
      </w:r>
      <w:bookmarkEnd w:id="54"/>
      <w:bookmarkEnd w:id="55"/>
    </w:p>
    <w:p>
      <w:pPr>
        <w:spacing w:line="360" w:lineRule="auto"/>
        <w:rPr>
          <w:sz w:val="24"/>
          <w:szCs w:val="24"/>
          <w:lang w:val="zh-CN"/>
        </w:rPr>
      </w:pPr>
    </w:p>
    <w:p>
      <w:pPr>
        <w:widowControl/>
        <w:jc w:val="left"/>
      </w:pPr>
      <w:r>
        <w:rPr>
          <w:rFonts w:ascii="宋体" w:hAnsi="宋体" w:cs="宋体"/>
          <w:kern w:val="0"/>
          <w:sz w:val="24"/>
          <w:szCs w:val="24"/>
          <w:lang w:bidi="ar"/>
        </w:rPr>
        <w:t>供应商提供响应文件应当按照以下格式及要求进行编制，具体要求见所附各格式及说明。</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56" w:name="_Toc482026546"/>
    </w:p>
    <w:bookmarkEnd w:id="56"/>
    <w:p>
      <w:pPr>
        <w:spacing w:line="360" w:lineRule="auto"/>
        <w:rPr>
          <w:rFonts w:ascii="宋体" w:hAnsi="宋体" w:cs="宋体"/>
          <w:sz w:val="24"/>
          <w:szCs w:val="24"/>
        </w:rPr>
      </w:pPr>
      <w:bookmarkStart w:id="57" w:name="_Toc482196940"/>
      <w:r>
        <w:rPr>
          <w:rFonts w:ascii="宋体" w:hAnsi="宋体" w:cs="宋体"/>
          <w:sz w:val="24"/>
          <w:szCs w:val="24"/>
        </w:rPr>
        <w:br w:type="page"/>
      </w:r>
    </w:p>
    <w:bookmarkEnd w:id="57"/>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pPr>
        <w:spacing w:line="360" w:lineRule="auto"/>
        <w:jc w:val="center"/>
        <w:rPr>
          <w:rFonts w:ascii="宋体" w:hAnsi="宋体"/>
          <w:color w:val="000000"/>
          <w:sz w:val="24"/>
          <w:szCs w:val="24"/>
        </w:rPr>
      </w:pPr>
      <w:r>
        <w:rPr>
          <w:rFonts w:hint="eastAsia" w:ascii="宋体" w:hAnsi="宋体"/>
          <w:color w:val="000000"/>
          <w:sz w:val="24"/>
          <w:szCs w:val="24"/>
        </w:rPr>
        <w:t>响应文件目录</w:t>
      </w:r>
    </w:p>
    <w:p>
      <w:pPr>
        <w:spacing w:line="360" w:lineRule="auto"/>
        <w:rPr>
          <w:rFonts w:ascii="宋体" w:hAnsi="宋体"/>
          <w:color w:val="000000"/>
          <w:sz w:val="24"/>
          <w:szCs w:val="24"/>
        </w:rPr>
      </w:pPr>
      <w:r>
        <w:rPr>
          <w:rFonts w:hint="eastAsia" w:ascii="宋体" w:hAnsi="宋体"/>
          <w:color w:val="000000"/>
          <w:sz w:val="24"/>
          <w:szCs w:val="24"/>
        </w:rPr>
        <w:t>一. 投标承诺书………………………………………………………</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 开标一览表……………………………………………………</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三. 法定代表人身份证明……………………………………………………</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八．本项目服务人员简表……………………………………………………    （ ）</w:t>
      </w:r>
    </w:p>
    <w:p>
      <w:pPr>
        <w:spacing w:line="360" w:lineRule="auto"/>
        <w:rPr>
          <w:rFonts w:ascii="宋体" w:hAnsi="宋体"/>
          <w:color w:val="000000"/>
          <w:sz w:val="24"/>
          <w:szCs w:val="24"/>
        </w:rPr>
      </w:pPr>
      <w:r>
        <w:rPr>
          <w:rFonts w:hint="eastAsia" w:ascii="宋体" w:hAnsi="宋体"/>
          <w:color w:val="000000"/>
          <w:sz w:val="24"/>
          <w:szCs w:val="24"/>
        </w:rPr>
        <w:t>九.分项报价明细表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十.服务需求响应表………………………………………………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十一.项目服务方案………………………………………………</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十三.供应商业绩情况表…………………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十四.供应商基本情况表……………………………………………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十五.</w:t>
      </w:r>
      <w:r>
        <w:rPr>
          <w:rFonts w:hint="eastAsia" w:ascii="宋体" w:hAnsi="宋体"/>
          <w:sz w:val="24"/>
          <w:szCs w:val="24"/>
        </w:rPr>
        <w:t>商业信誉报告</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十六.缴纳增值税、营业税或企业所得税的凭据</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十七.缴纳社会保险的凭据………………………………………</w:t>
      </w:r>
      <w:r>
        <w:rPr>
          <w:rFonts w:ascii="宋体" w:hAnsi="宋体"/>
          <w:color w:val="000000"/>
          <w:sz w:val="24"/>
          <w:szCs w:val="24"/>
        </w:rPr>
        <w:t>…………</w:t>
      </w:r>
      <w:r>
        <w:rPr>
          <w:rFonts w:hint="eastAsia" w:ascii="宋体" w:hAnsi="宋体"/>
          <w:color w:val="000000"/>
          <w:sz w:val="24"/>
          <w:szCs w:val="24"/>
        </w:rPr>
        <w:t>…   （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十九.政府采购政策情况表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二十一.残疾人福利性单位声明函</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二十二.各类证明材料…………………………………………………</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
          <w:color w:val="000000"/>
          <w:sz w:val="24"/>
          <w:szCs w:val="24"/>
        </w:rPr>
      </w:pPr>
      <w:bookmarkStart w:id="58" w:name="_Toc482026547"/>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格式三：</w:t>
      </w:r>
      <w:bookmarkEnd w:id="58"/>
      <w:r>
        <w:rPr>
          <w:rFonts w:hint="eastAsia" w:ascii="宋体" w:hAnsi="宋体"/>
          <w:b/>
          <w:color w:val="000000"/>
          <w:sz w:val="24"/>
          <w:szCs w:val="24"/>
        </w:rPr>
        <w:t xml:space="preserve">  </w:t>
      </w:r>
    </w:p>
    <w:p>
      <w:pPr>
        <w:keepNext w:val="0"/>
        <w:keepLines w:val="0"/>
        <w:pageBreakBefore w:val="0"/>
        <w:widowControl w:val="0"/>
        <w:kinsoku/>
        <w:wordWrap/>
        <w:overflowPunct/>
        <w:topLinePunct w:val="0"/>
        <w:bidi w:val="0"/>
        <w:spacing w:line="400" w:lineRule="exact"/>
        <w:jc w:val="center"/>
        <w:textAlignment w:val="auto"/>
        <w:rPr>
          <w:rFonts w:ascii="宋体" w:hAnsi="宋体"/>
          <w:bCs/>
          <w:sz w:val="24"/>
          <w:szCs w:val="24"/>
        </w:rPr>
      </w:pPr>
      <w:r>
        <w:rPr>
          <w:rFonts w:hint="eastAsia" w:ascii="宋体" w:hAnsi="宋体"/>
          <w:bCs/>
          <w:sz w:val="24"/>
          <w:szCs w:val="24"/>
          <w:lang w:eastAsia="zh-CN"/>
        </w:rPr>
        <w:t>一、政府采购诚信</w:t>
      </w:r>
      <w:r>
        <w:rPr>
          <w:rFonts w:hint="eastAsia" w:ascii="宋体" w:hAnsi="宋体"/>
          <w:bCs/>
          <w:sz w:val="24"/>
          <w:szCs w:val="24"/>
        </w:rPr>
        <w:t>投标承诺书</w:t>
      </w:r>
    </w:p>
    <w:p>
      <w:pPr>
        <w:keepNext w:val="0"/>
        <w:keepLines w:val="0"/>
        <w:pageBreakBefore w:val="0"/>
        <w:widowControl w:val="0"/>
        <w:kinsoku/>
        <w:wordWrap/>
        <w:overflowPunct/>
        <w:topLinePunct w:val="0"/>
        <w:bidi w:val="0"/>
        <w:spacing w:line="400" w:lineRule="exact"/>
        <w:textAlignment w:val="auto"/>
        <w:rPr>
          <w:rFonts w:ascii="宋体" w:hAnsi="宋体"/>
          <w:sz w:val="24"/>
          <w:szCs w:val="24"/>
        </w:rPr>
      </w:pPr>
      <w:r>
        <w:rPr>
          <w:rFonts w:hint="eastAsia" w:ascii="宋体" w:hAnsi="宋体"/>
          <w:sz w:val="24"/>
          <w:szCs w:val="24"/>
          <w:lang w:eastAsia="zh-CN"/>
        </w:rPr>
        <w:t>鄂托克前旗财政局、</w:t>
      </w:r>
      <w:r>
        <w:rPr>
          <w:rFonts w:hint="eastAsia" w:ascii="宋体" w:hAnsi="宋体"/>
          <w:sz w:val="24"/>
          <w:szCs w:val="24"/>
          <w:lang w:val="en-US" w:eastAsia="zh-CN"/>
        </w:rPr>
        <w:t xml:space="preserve"> </w:t>
      </w:r>
      <w:r>
        <w:rPr>
          <w:rFonts w:hint="eastAsia" w:ascii="宋体" w:hAnsi="宋体"/>
          <w:sz w:val="24"/>
          <w:szCs w:val="24"/>
          <w:u w:val="single"/>
        </w:rPr>
        <w:t>（采购人名称）</w:t>
      </w:r>
      <w:r>
        <w:rPr>
          <w:rFonts w:hint="eastAsia" w:ascii="宋体" w:hAnsi="宋体"/>
          <w:sz w:val="24"/>
          <w:szCs w:val="24"/>
          <w:u w:val="single"/>
          <w:lang w:val="en-US" w:eastAsia="zh-CN"/>
        </w:rPr>
        <w:t xml:space="preserve"> 、</w:t>
      </w:r>
      <w:r>
        <w:rPr>
          <w:rFonts w:hint="eastAsia" w:ascii="宋体" w:hAnsi="宋体"/>
          <w:sz w:val="24"/>
          <w:szCs w:val="24"/>
          <w:lang w:eastAsia="zh-CN"/>
        </w:rPr>
        <w:t>鄂尔多斯市鄂托克前旗公共资源交易中心</w:t>
      </w:r>
      <w:r>
        <w:rPr>
          <w:rFonts w:hint="eastAsia" w:ascii="宋体" w:hAnsi="宋体"/>
          <w:sz w:val="24"/>
          <w:szCs w:val="24"/>
        </w:rPr>
        <w:t xml:space="preserve">： </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w:t>
      </w:r>
      <w:r>
        <w:rPr>
          <w:rFonts w:hint="eastAsia" w:ascii="宋体" w:hAnsi="宋体"/>
          <w:color w:val="auto"/>
          <w:sz w:val="24"/>
          <w:szCs w:val="24"/>
          <w:u w:val="single"/>
        </w:rPr>
        <w:t>供应商</w:t>
      </w:r>
      <w:r>
        <w:rPr>
          <w:rFonts w:hint="eastAsia" w:ascii="宋体" w:hAnsi="宋体"/>
          <w:color w:val="000000"/>
          <w:sz w:val="24"/>
          <w:szCs w:val="24"/>
          <w:u w:val="single"/>
        </w:rPr>
        <w:t xml:space="preserve">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keepNext w:val="0"/>
        <w:keepLines w:val="0"/>
        <w:pageBreakBefore w:val="0"/>
        <w:widowControl w:val="0"/>
        <w:kinsoku/>
        <w:wordWrap/>
        <w:overflowPunct/>
        <w:topLinePunct w:val="0"/>
        <w:bidi w:val="0"/>
        <w:spacing w:line="400" w:lineRule="exact"/>
        <w:ind w:firstLine="57"/>
        <w:textAlignment w:val="auto"/>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w:t>
      </w:r>
      <w:r>
        <w:rPr>
          <w:rFonts w:hint="eastAsia" w:ascii="宋体" w:hAnsi="宋体"/>
          <w:kern w:val="0"/>
          <w:sz w:val="24"/>
          <w:szCs w:val="24"/>
          <w:lang w:eastAsia="zh-CN"/>
        </w:rPr>
        <w:t>记入诚信档案、媒体通报，</w:t>
      </w:r>
      <w:r>
        <w:rPr>
          <w:rFonts w:hint="eastAsia" w:ascii="宋体" w:hAnsi="宋体"/>
          <w:kern w:val="0"/>
          <w:sz w:val="24"/>
          <w:szCs w:val="24"/>
          <w:lang w:val="en-US" w:eastAsia="zh-CN"/>
        </w:rPr>
        <w:t>2年内不参加地区政府采购活动，并</w:t>
      </w:r>
      <w:r>
        <w:rPr>
          <w:rFonts w:hint="eastAsia" w:ascii="宋体" w:hAnsi="宋体"/>
          <w:kern w:val="0"/>
          <w:sz w:val="24"/>
          <w:szCs w:val="24"/>
        </w:rPr>
        <w:t>接受有关监督部门处罚等后果：</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（1）中标后，无正当理由放弃中标资格；</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（2）中标后，无正当理由不与招标人签订合同；</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（3）在签订合同时，向招标人提出附加条件；</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（4）不按照谈判文件要求提交履约保证金；</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（5）要求修改、补充和撤销响应文件的实质性内容；</w:t>
      </w:r>
    </w:p>
    <w:p>
      <w:pPr>
        <w:keepNext w:val="0"/>
        <w:keepLines w:val="0"/>
        <w:pageBreakBefore w:val="0"/>
        <w:widowControl w:val="0"/>
        <w:kinsoku/>
        <w:wordWrap/>
        <w:overflowPunct/>
        <w:topLinePunct w:val="0"/>
        <w:bidi w:val="0"/>
        <w:spacing w:line="400" w:lineRule="exact"/>
        <w:ind w:firstLine="528" w:firstLineChars="220"/>
        <w:textAlignment w:val="auto"/>
      </w:pPr>
      <w:r>
        <w:rPr>
          <w:rFonts w:hint="eastAsia" w:ascii="宋体" w:hAnsi="宋体"/>
          <w:kern w:val="0"/>
          <w:sz w:val="24"/>
          <w:szCs w:val="24"/>
        </w:rPr>
        <w:t>（6）要求更改谈判文件和中标结果公告的实质性内容；</w:t>
      </w:r>
    </w:p>
    <w:p>
      <w:pPr>
        <w:keepNext w:val="0"/>
        <w:keepLines w:val="0"/>
        <w:pageBreakBefore w:val="0"/>
        <w:widowControl w:val="0"/>
        <w:kinsoku/>
        <w:wordWrap/>
        <w:overflowPunct/>
        <w:topLinePunct w:val="0"/>
        <w:bidi w:val="0"/>
        <w:spacing w:line="400" w:lineRule="exact"/>
        <w:ind w:firstLine="528" w:firstLineChars="220"/>
        <w:textAlignment w:val="auto"/>
        <w:rPr>
          <w:rFonts w:hint="eastAsia" w:ascii="宋体" w:hAnsi="宋体" w:eastAsia="宋体"/>
          <w:kern w:val="0"/>
          <w:sz w:val="24"/>
          <w:szCs w:val="24"/>
          <w:lang w:eastAsia="zh-CN"/>
        </w:rPr>
      </w:pPr>
      <w:r>
        <w:rPr>
          <w:rFonts w:hint="eastAsia" w:ascii="宋体" w:hAnsi="宋体"/>
          <w:kern w:val="0"/>
          <w:sz w:val="24"/>
          <w:szCs w:val="24"/>
        </w:rPr>
        <w:t>（7）</w:t>
      </w:r>
      <w:r>
        <w:rPr>
          <w:rFonts w:hint="eastAsia" w:ascii="宋体" w:hAnsi="宋体"/>
          <w:kern w:val="0"/>
          <w:sz w:val="24"/>
          <w:szCs w:val="24"/>
          <w:lang w:eastAsia="zh-CN"/>
        </w:rPr>
        <w:t>响应文件中签字、盖章不是真实有效的；</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8）</w:t>
      </w:r>
      <w:r>
        <w:rPr>
          <w:rFonts w:hint="eastAsia" w:ascii="宋体" w:hAnsi="宋体"/>
          <w:kern w:val="0"/>
          <w:sz w:val="24"/>
          <w:szCs w:val="24"/>
        </w:rPr>
        <w:t>法律法规和谈判文件规定的其他情形。</w:t>
      </w:r>
    </w:p>
    <w:p>
      <w:pPr>
        <w:keepNext w:val="0"/>
        <w:keepLines w:val="0"/>
        <w:pageBreakBefore w:val="0"/>
        <w:widowControl w:val="0"/>
        <w:kinsoku/>
        <w:wordWrap/>
        <w:overflowPunct/>
        <w:topLinePunct w:val="0"/>
        <w:autoSpaceDE w:val="0"/>
        <w:autoSpaceDN w:val="0"/>
        <w:bidi w:val="0"/>
        <w:adjustRightInd w:val="0"/>
        <w:spacing w:line="400" w:lineRule="exact"/>
        <w:ind w:right="246" w:firstLine="480" w:firstLineChars="200"/>
        <w:textAlignment w:val="auto"/>
        <w:rPr>
          <w:rFonts w:ascii="宋体" w:hAnsi="宋体"/>
          <w:sz w:val="24"/>
          <w:szCs w:val="24"/>
        </w:rPr>
      </w:pPr>
      <w:r>
        <w:rPr>
          <w:rFonts w:hint="eastAsia" w:ascii="宋体" w:hAnsi="宋体"/>
          <w:kern w:val="0"/>
          <w:sz w:val="24"/>
          <w:szCs w:val="24"/>
        </w:rPr>
        <w:t xml:space="preserve">详细地址：                        </w:t>
      </w:r>
      <w:r>
        <w:rPr>
          <w:rFonts w:hint="eastAsia" w:ascii="宋体" w:hAnsi="宋体"/>
          <w:kern w:val="0"/>
          <w:sz w:val="24"/>
          <w:szCs w:val="24"/>
          <w:lang w:val="en-US" w:eastAsia="zh-CN"/>
        </w:rPr>
        <w:t xml:space="preserve">    </w:t>
      </w:r>
      <w:r>
        <w:rPr>
          <w:rFonts w:hint="eastAsia" w:ascii="宋体" w:hAnsi="宋体"/>
          <w:sz w:val="24"/>
          <w:szCs w:val="24"/>
        </w:rPr>
        <w:t>邮政编码：</w:t>
      </w:r>
    </w:p>
    <w:p>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ascii="宋体" w:hAnsi="宋体"/>
          <w:sz w:val="24"/>
          <w:szCs w:val="24"/>
        </w:rPr>
      </w:pPr>
      <w:r>
        <w:rPr>
          <w:rFonts w:hint="eastAsia" w:ascii="宋体" w:hAnsi="宋体"/>
          <w:kern w:val="0"/>
          <w:sz w:val="24"/>
          <w:szCs w:val="24"/>
        </w:rPr>
        <w:t xml:space="preserve">电    话：                       </w:t>
      </w:r>
    </w:p>
    <w:p>
      <w:pPr>
        <w:keepNext w:val="0"/>
        <w:keepLines w:val="0"/>
        <w:pageBreakBefore w:val="0"/>
        <w:widowControl w:val="0"/>
        <w:kinsoku/>
        <w:wordWrap/>
        <w:overflowPunct/>
        <w:topLinePunct w:val="0"/>
        <w:bidi w:val="0"/>
        <w:spacing w:line="400" w:lineRule="exact"/>
        <w:textAlignment w:val="auto"/>
        <w:rPr>
          <w:rFonts w:hint="eastAsia" w:ascii="宋体" w:hAnsi="宋体"/>
          <w:sz w:val="24"/>
          <w:szCs w:val="24"/>
          <w:lang w:eastAsia="zh-CN"/>
        </w:rPr>
      </w:pP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eastAsia="zh-CN"/>
        </w:rPr>
        <w:t>供应商名称</w:t>
      </w:r>
      <w:r>
        <w:rPr>
          <w:rFonts w:hint="eastAsia" w:ascii="宋体" w:hAnsi="宋体"/>
          <w:sz w:val="24"/>
          <w:szCs w:val="24"/>
        </w:rPr>
        <w:t>（加盖公章）</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eastAsia="zh-CN"/>
        </w:rPr>
        <w:t>法定代表人（签字）：</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宋体" w:hAnsi="宋体" w:eastAsia="宋体"/>
          <w:sz w:val="24"/>
          <w:szCs w:val="24"/>
          <w:lang w:eastAsia="zh-CN"/>
        </w:rPr>
      </w:pPr>
    </w:p>
    <w:p>
      <w:pPr>
        <w:keepNext w:val="0"/>
        <w:keepLines w:val="0"/>
        <w:pageBreakBefore w:val="0"/>
        <w:widowControl w:val="0"/>
        <w:kinsoku/>
        <w:wordWrap/>
        <w:overflowPunct/>
        <w:topLinePunct w:val="0"/>
        <w:bidi w:val="0"/>
        <w:spacing w:line="400" w:lineRule="exact"/>
        <w:ind w:firstLine="4800" w:firstLineChars="2000"/>
        <w:textAlignment w:val="auto"/>
      </w:pPr>
      <w:r>
        <w:rPr>
          <w:rFonts w:hint="eastAsia" w:ascii="宋体" w:hAnsi="宋体"/>
          <w:sz w:val="24"/>
          <w:szCs w:val="24"/>
        </w:rPr>
        <w:t>年 月 日</w:t>
      </w:r>
    </w:p>
    <w:p>
      <w:pPr>
        <w:ind w:firstLine="723" w:firstLineChars="300"/>
        <w:rPr>
          <w:rFonts w:ascii="宋体" w:hAnsi="宋体"/>
          <w:color w:val="000000"/>
          <w:sz w:val="24"/>
          <w:szCs w:val="24"/>
        </w:rPr>
      </w:pPr>
      <w:r>
        <w:rPr>
          <w:rFonts w:ascii="宋体" w:hAnsi="宋体"/>
          <w:b/>
          <w:bCs/>
          <w:color w:val="000000"/>
          <w:kern w:val="0"/>
          <w:sz w:val="24"/>
          <w:szCs w:val="24"/>
          <w:lang w:val="zh-CN"/>
        </w:rPr>
        <w:br w:type="page"/>
      </w:r>
    </w:p>
    <w:p>
      <w:pPr>
        <w:adjustRightInd w:val="0"/>
        <w:snapToGrid w:val="0"/>
        <w:spacing w:line="360" w:lineRule="auto"/>
        <w:jc w:val="left"/>
        <w:rPr>
          <w:rFonts w:ascii="宋体" w:hAnsi="宋体"/>
          <w:color w:val="000000"/>
          <w:sz w:val="24"/>
          <w:szCs w:val="24"/>
        </w:rPr>
      </w:pPr>
      <w:r>
        <w:rPr>
          <w:rFonts w:hint="eastAsia" w:hAnsi="宋体"/>
          <w:b/>
          <w:bCs/>
          <w:color w:val="000000"/>
          <w:sz w:val="24"/>
          <w:szCs w:val="24"/>
        </w:rPr>
        <w:t>格式四：</w:t>
      </w:r>
      <w:r>
        <w:rPr>
          <w:rFonts w:hint="eastAsia" w:ascii="宋体" w:hAnsi="宋体"/>
          <w:color w:val="000000"/>
          <w:sz w:val="24"/>
          <w:szCs w:val="24"/>
        </w:rPr>
        <w:t xml:space="preserve">                   </w:t>
      </w:r>
    </w:p>
    <w:p>
      <w:pPr>
        <w:adjustRightInd w:val="0"/>
        <w:snapToGrid w:val="0"/>
        <w:spacing w:line="360" w:lineRule="auto"/>
        <w:jc w:val="center"/>
        <w:rPr>
          <w:rFonts w:ascii="宋体" w:hAnsi="宋体"/>
          <w:b/>
          <w:color w:val="000000"/>
          <w:sz w:val="24"/>
          <w:szCs w:val="24"/>
        </w:rPr>
      </w:pPr>
      <w:r>
        <w:rPr>
          <w:rFonts w:hint="eastAsia" w:ascii="宋体" w:hAnsi="宋体"/>
          <w:color w:val="000000"/>
          <w:sz w:val="24"/>
          <w:szCs w:val="24"/>
        </w:rPr>
        <w:t>二、开标一览表</w:t>
      </w:r>
    </w:p>
    <w:p>
      <w:pPr>
        <w:pStyle w:val="16"/>
        <w:spacing w:line="360" w:lineRule="auto"/>
        <w:ind w:left="57" w:right="57" w:firstLine="57"/>
        <w:rPr>
          <w:rFonts w:hAnsi="宋体"/>
          <w:bCs/>
          <w:color w:val="000000"/>
          <w:sz w:val="24"/>
          <w:szCs w:val="24"/>
        </w:rPr>
      </w:pPr>
    </w:p>
    <w:p>
      <w:pPr>
        <w:pStyle w:val="16"/>
        <w:spacing w:line="360" w:lineRule="auto"/>
        <w:ind w:left="57" w:right="57" w:firstLine="57"/>
        <w:rPr>
          <w:rFonts w:hAnsi="宋体"/>
          <w:color w:val="000000"/>
          <w:sz w:val="24"/>
          <w:szCs w:val="24"/>
        </w:rPr>
      </w:pPr>
      <w:r>
        <w:rPr>
          <w:rFonts w:hint="eastAsia" w:hAnsi="宋体"/>
          <w:color w:val="000000"/>
          <w:sz w:val="24"/>
          <w:szCs w:val="24"/>
        </w:rPr>
        <w:t>供应商名称（加盖公章）</w:t>
      </w:r>
    </w:p>
    <w:p>
      <w:pPr>
        <w:spacing w:line="360" w:lineRule="auto"/>
        <w:ind w:firstLine="120" w:firstLineChars="50"/>
        <w:rPr>
          <w:rFonts w:ascii="宋体" w:hAnsi="宋体"/>
          <w:color w:val="000000"/>
          <w:sz w:val="24"/>
          <w:szCs w:val="24"/>
        </w:rPr>
      </w:pPr>
      <w:r>
        <w:rPr>
          <w:rFonts w:hint="eastAsia" w:ascii="宋体" w:hAnsi="宋体"/>
          <w:color w:val="000000"/>
          <w:sz w:val="24"/>
          <w:szCs w:val="24"/>
        </w:rPr>
        <w:t>项目名称、包号：                          项目编号：</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9"/>
        <w:gridCol w:w="3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779" w:type="dxa"/>
            <w:vAlign w:val="center"/>
          </w:tcPr>
          <w:p>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投标总报价（元）</w:t>
            </w:r>
          </w:p>
        </w:tc>
        <w:tc>
          <w:tcPr>
            <w:tcW w:w="3849"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大写：</w:t>
            </w:r>
          </w:p>
        </w:tc>
        <w:tc>
          <w:tcPr>
            <w:tcW w:w="3849" w:type="dxa"/>
            <w:vMerge w:val="restart"/>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小写：</w:t>
            </w:r>
          </w:p>
        </w:tc>
        <w:tc>
          <w:tcPr>
            <w:tcW w:w="3849" w:type="dxa"/>
            <w:vMerge w:val="continue"/>
            <w:vAlign w:val="center"/>
          </w:tcPr>
          <w:p>
            <w:pPr>
              <w:spacing w:line="360" w:lineRule="auto"/>
              <w:ind w:left="57" w:right="57" w:firstLine="57"/>
              <w:jc w:val="center"/>
              <w:outlineLvl w:val="0"/>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5.此表除保留在投标文件中外，还要将另一份完全相同的本表密封装在一个信封中，单独递交，作为唱标之用。</w:t>
      </w: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r>
        <w:rPr>
          <w:rFonts w:hint="eastAsia" w:ascii="宋体" w:hAnsi="宋体"/>
          <w:color w:val="000000"/>
          <w:sz w:val="24"/>
          <w:szCs w:val="24"/>
        </w:rPr>
        <w:t>法定代表人或法人授权代表（签字）：</w:t>
      </w:r>
    </w:p>
    <w:p>
      <w:pPr>
        <w:adjustRightInd w:val="0"/>
        <w:snapToGrid w:val="0"/>
        <w:spacing w:line="360" w:lineRule="auto"/>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                                              年    月     日</w:t>
      </w:r>
    </w:p>
    <w:p>
      <w:pPr>
        <w:pStyle w:val="4"/>
        <w:keepNext w:val="0"/>
        <w:keepLines w:val="0"/>
        <w:spacing w:line="360" w:lineRule="auto"/>
        <w:rPr>
          <w:rFonts w:ascii="宋体" w:hAnsi="宋体" w:eastAsia="宋体"/>
          <w:color w:val="000000"/>
          <w:sz w:val="24"/>
          <w:szCs w:val="24"/>
        </w:rPr>
      </w:pPr>
      <w:bookmarkStart w:id="59" w:name="_Toc482026549"/>
      <w:r>
        <w:rPr>
          <w:rFonts w:ascii="宋体" w:hAnsi="宋体" w:eastAsia="宋体"/>
          <w:color w:val="000000"/>
          <w:sz w:val="24"/>
          <w:szCs w:val="24"/>
        </w:rPr>
        <w:br w:type="page"/>
      </w:r>
    </w:p>
    <w:bookmarkEnd w:id="59"/>
    <w:p>
      <w:pPr>
        <w:spacing w:line="360" w:lineRule="auto"/>
        <w:rPr>
          <w:rFonts w:asciiTheme="minorEastAsia" w:hAnsiTheme="minorEastAsia" w:eastAsiaTheme="minorEastAsia"/>
          <w:b/>
          <w:sz w:val="24"/>
          <w:szCs w:val="24"/>
        </w:rPr>
      </w:pPr>
      <w:bookmarkStart w:id="60" w:name="_Toc491862100"/>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b/>
          <w:sz w:val="24"/>
          <w:szCs w:val="24"/>
        </w:rPr>
      </w:pPr>
      <w:bookmarkStart w:id="61" w:name="_Toc496001220"/>
      <w:r>
        <w:rPr>
          <w:rFonts w:hint="eastAsia" w:asciiTheme="minorEastAsia" w:hAnsiTheme="minorEastAsia" w:eastAsiaTheme="minorEastAsia"/>
          <w:b/>
          <w:sz w:val="24"/>
          <w:szCs w:val="24"/>
        </w:rPr>
        <w:t>格式七：</w:t>
      </w:r>
      <w:bookmarkEnd w:id="61"/>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6"/>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格式八：</w:t>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六、</w:t>
      </w: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格式九：</w:t>
      </w:r>
    </w:p>
    <w:p>
      <w:pPr>
        <w:spacing w:line="36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七、</w:t>
      </w: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说明：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sz w:val="24"/>
          <w:szCs w:val="24"/>
        </w:rPr>
      </w:pPr>
    </w:p>
    <w:p>
      <w:pPr>
        <w:pStyle w:val="2"/>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1.如接受联合体投标项目，供应商需按要求填写联合体协议书。</w:t>
      </w:r>
    </w:p>
    <w:p>
      <w:pPr>
        <w:pStyle w:val="2"/>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2.不接受联合体投标项目，只需提供空表。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格式十：</w:t>
      </w:r>
    </w:p>
    <w:p>
      <w:pPr>
        <w:jc w:val="center"/>
        <w:rPr>
          <w:sz w:val="24"/>
          <w:szCs w:val="24"/>
          <w:lang w:val="zh-CN"/>
        </w:rPr>
      </w:pPr>
      <w:r>
        <w:rPr>
          <w:rFonts w:hint="eastAsia"/>
          <w:sz w:val="24"/>
          <w:szCs w:val="24"/>
          <w:lang w:val="zh-CN"/>
        </w:rPr>
        <w:t>八、本项目服务人员简表</w:t>
      </w:r>
    </w:p>
    <w:tbl>
      <w:tblPr>
        <w:tblStyle w:val="2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275"/>
        <w:gridCol w:w="850"/>
        <w:gridCol w:w="993"/>
        <w:gridCol w:w="1275"/>
        <w:gridCol w:w="851"/>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r>
              <w:rPr>
                <w:rFonts w:hint="eastAsia"/>
                <w:sz w:val="24"/>
                <w:szCs w:val="24"/>
                <w:lang w:val="zh-CN"/>
              </w:rPr>
              <w:t>姓名</w:t>
            </w:r>
          </w:p>
        </w:tc>
        <w:tc>
          <w:tcPr>
            <w:tcW w:w="851" w:type="dxa"/>
            <w:vAlign w:val="center"/>
          </w:tcPr>
          <w:p>
            <w:pPr>
              <w:jc w:val="center"/>
              <w:rPr>
                <w:sz w:val="24"/>
                <w:szCs w:val="24"/>
                <w:lang w:val="zh-CN"/>
              </w:rPr>
            </w:pPr>
            <w:r>
              <w:rPr>
                <w:rFonts w:hint="eastAsia"/>
                <w:sz w:val="24"/>
                <w:szCs w:val="24"/>
                <w:lang w:val="zh-CN"/>
              </w:rPr>
              <w:t>年龄</w:t>
            </w:r>
          </w:p>
        </w:tc>
        <w:tc>
          <w:tcPr>
            <w:tcW w:w="1275" w:type="dxa"/>
            <w:vAlign w:val="center"/>
          </w:tcPr>
          <w:p>
            <w:pPr>
              <w:jc w:val="center"/>
              <w:rPr>
                <w:sz w:val="24"/>
                <w:szCs w:val="24"/>
                <w:lang w:val="zh-CN"/>
              </w:rPr>
            </w:pPr>
            <w:r>
              <w:rPr>
                <w:rFonts w:hint="eastAsia"/>
                <w:sz w:val="24"/>
                <w:szCs w:val="24"/>
                <w:lang w:val="zh-CN"/>
              </w:rPr>
              <w:t>取得相关证书</w:t>
            </w:r>
          </w:p>
        </w:tc>
        <w:tc>
          <w:tcPr>
            <w:tcW w:w="850" w:type="dxa"/>
            <w:vAlign w:val="center"/>
          </w:tcPr>
          <w:p>
            <w:pPr>
              <w:jc w:val="center"/>
              <w:rPr>
                <w:sz w:val="24"/>
                <w:szCs w:val="24"/>
                <w:lang w:val="zh-CN"/>
              </w:rPr>
            </w:pPr>
            <w:r>
              <w:rPr>
                <w:rFonts w:hint="eastAsia"/>
                <w:sz w:val="24"/>
                <w:szCs w:val="24"/>
                <w:lang w:val="zh-CN"/>
              </w:rPr>
              <w:t>职务</w:t>
            </w:r>
          </w:p>
        </w:tc>
        <w:tc>
          <w:tcPr>
            <w:tcW w:w="993" w:type="dxa"/>
            <w:vAlign w:val="center"/>
          </w:tcPr>
          <w:p>
            <w:pPr>
              <w:jc w:val="center"/>
              <w:rPr>
                <w:sz w:val="24"/>
                <w:szCs w:val="24"/>
                <w:lang w:val="zh-CN"/>
              </w:rPr>
            </w:pPr>
            <w:r>
              <w:rPr>
                <w:rFonts w:hint="eastAsia"/>
                <w:sz w:val="24"/>
                <w:szCs w:val="24"/>
                <w:lang w:val="zh-CN"/>
              </w:rPr>
              <w:t>学历</w:t>
            </w:r>
          </w:p>
        </w:tc>
        <w:tc>
          <w:tcPr>
            <w:tcW w:w="1275" w:type="dxa"/>
            <w:vAlign w:val="center"/>
          </w:tcPr>
          <w:p>
            <w:pPr>
              <w:jc w:val="center"/>
              <w:rPr>
                <w:sz w:val="24"/>
                <w:szCs w:val="24"/>
                <w:lang w:val="zh-CN"/>
              </w:rPr>
            </w:pPr>
            <w:r>
              <w:rPr>
                <w:rFonts w:hint="eastAsia"/>
                <w:sz w:val="24"/>
                <w:szCs w:val="24"/>
                <w:lang w:val="zh-CN"/>
              </w:rPr>
              <w:t>从事本工作年限</w:t>
            </w:r>
          </w:p>
        </w:tc>
        <w:tc>
          <w:tcPr>
            <w:tcW w:w="851" w:type="dxa"/>
            <w:vAlign w:val="center"/>
          </w:tcPr>
          <w:p>
            <w:pPr>
              <w:jc w:val="center"/>
              <w:rPr>
                <w:sz w:val="24"/>
                <w:szCs w:val="24"/>
                <w:lang w:val="zh-CN"/>
              </w:rPr>
            </w:pPr>
            <w:r>
              <w:rPr>
                <w:rFonts w:hint="eastAsia"/>
                <w:sz w:val="24"/>
                <w:szCs w:val="24"/>
                <w:lang w:val="zh-CN"/>
              </w:rPr>
              <w:t>职责分配</w:t>
            </w:r>
          </w:p>
        </w:tc>
        <w:tc>
          <w:tcPr>
            <w:tcW w:w="2148" w:type="dxa"/>
            <w:vAlign w:val="center"/>
          </w:tcPr>
          <w:p>
            <w:pPr>
              <w:jc w:val="center"/>
              <w:rPr>
                <w:sz w:val="24"/>
                <w:szCs w:val="24"/>
                <w:lang w:val="zh-CN"/>
              </w:rPr>
            </w:pPr>
            <w:r>
              <w:rPr>
                <w:rFonts w:hint="eastAsia"/>
                <w:sz w:val="24"/>
                <w:szCs w:val="24"/>
                <w:lang w:val="zh-CN"/>
              </w:rPr>
              <w:t>工作简历（承担过的项目）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bl>
    <w:p>
      <w:pPr>
        <w:ind w:firstLine="120" w:firstLineChars="50"/>
        <w:rPr>
          <w:rFonts w:ascii="宋体" w:hAnsi="宋体"/>
          <w:sz w:val="24"/>
          <w:szCs w:val="24"/>
        </w:rPr>
      </w:pPr>
    </w:p>
    <w:p>
      <w:pPr>
        <w:rPr>
          <w:lang w:val="zh-CN"/>
        </w:rPr>
      </w:pPr>
      <w:r>
        <w:rPr>
          <w:rFonts w:hint="eastAsia" w:ascii="宋体" w:hAnsi="宋体"/>
          <w:sz w:val="24"/>
          <w:szCs w:val="24"/>
          <w:lang w:val="zh-CN"/>
        </w:rPr>
        <w:t>注：供应商在本表后附人员证书等复印件。</w:t>
      </w:r>
    </w:p>
    <w:p>
      <w:pPr>
        <w:widowControl/>
        <w:jc w:val="left"/>
        <w:rPr>
          <w:lang w:val="zh-CN"/>
        </w:rPr>
      </w:pPr>
      <w:r>
        <w:rPr>
          <w:lang w:val="zh-CN"/>
        </w:rPr>
        <w:br w:type="page"/>
      </w:r>
    </w:p>
    <w:p>
      <w:pPr>
        <w:adjustRightInd w:val="0"/>
        <w:snapToGrid w:val="0"/>
        <w:spacing w:line="360" w:lineRule="auto"/>
        <w:jc w:val="left"/>
        <w:rPr>
          <w:rFonts w:hAnsi="宋体"/>
          <w:b/>
          <w:bCs/>
          <w:color w:val="000000"/>
          <w:sz w:val="24"/>
          <w:szCs w:val="24"/>
        </w:rPr>
      </w:pPr>
      <w:r>
        <w:rPr>
          <w:rFonts w:hint="eastAsia" w:hAnsi="宋体"/>
          <w:b/>
          <w:bCs/>
          <w:color w:val="000000"/>
          <w:sz w:val="24"/>
          <w:szCs w:val="24"/>
        </w:rPr>
        <w:t>格式十一：</w:t>
      </w:r>
      <w:bookmarkEnd w:id="60"/>
      <w:r>
        <w:rPr>
          <w:rFonts w:hint="eastAsia" w:hAnsi="宋体"/>
          <w:b/>
          <w:bCs/>
          <w:color w:val="000000"/>
          <w:sz w:val="24"/>
          <w:szCs w:val="24"/>
        </w:rPr>
        <w:t xml:space="preserve"> </w:t>
      </w:r>
    </w:p>
    <w:p>
      <w:pPr>
        <w:adjustRightInd w:val="0"/>
        <w:snapToGrid w:val="0"/>
        <w:spacing w:line="360" w:lineRule="auto"/>
        <w:ind w:firstLine="3960" w:firstLineChars="1650"/>
        <w:jc w:val="left"/>
        <w:rPr>
          <w:rFonts w:ascii="宋体" w:hAnsi="宋体" w:cs="Courier New"/>
          <w:color w:val="000000"/>
          <w:kern w:val="0"/>
          <w:sz w:val="24"/>
          <w:szCs w:val="24"/>
        </w:rPr>
      </w:pPr>
      <w:r>
        <w:rPr>
          <w:rFonts w:hint="eastAsia" w:ascii="宋体" w:hAnsi="宋体" w:cs="Courier New"/>
          <w:color w:val="000000"/>
          <w:kern w:val="0"/>
          <w:sz w:val="24"/>
          <w:szCs w:val="24"/>
        </w:rPr>
        <w:t>九、分项报价明细表</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1498"/>
        <w:gridCol w:w="1227"/>
        <w:gridCol w:w="1415"/>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2010"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服务项目</w:t>
            </w:r>
          </w:p>
        </w:tc>
        <w:tc>
          <w:tcPr>
            <w:tcW w:w="1920" w:type="dxa"/>
            <w:tcBorders>
              <w:top w:val="single" w:color="auto" w:sz="4" w:space="0"/>
            </w:tcBorders>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主要服务内容</w:t>
            </w:r>
          </w:p>
        </w:tc>
        <w:tc>
          <w:tcPr>
            <w:tcW w:w="1498"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227"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15"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766"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1</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2</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3</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4</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2010"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Borders>
              <w:bottom w:val="single" w:color="auto" w:sz="4" w:space="0"/>
            </w:tcBorders>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bl>
    <w:p>
      <w:pPr>
        <w:adjustRightInd w:val="0"/>
        <w:snapToGrid w:val="0"/>
        <w:spacing w:line="360" w:lineRule="auto"/>
        <w:ind w:firstLine="3960" w:firstLineChars="1650"/>
        <w:jc w:val="left"/>
        <w:rPr>
          <w:rFonts w:ascii="宋体" w:hAnsi="宋体" w:cs="Courier New"/>
          <w:color w:val="000000"/>
          <w:kern w:val="0"/>
          <w:sz w:val="24"/>
          <w:szCs w:val="24"/>
        </w:rPr>
      </w:pPr>
    </w:p>
    <w:p>
      <w:pPr>
        <w:suppressAutoHyphens/>
        <w:spacing w:line="360" w:lineRule="auto"/>
        <w:ind w:left="432"/>
        <w:rPr>
          <w:rFonts w:ascii="宋体" w:hAnsi="宋体"/>
          <w:sz w:val="21"/>
          <w:szCs w:val="21"/>
          <w:lang w:val="en-GB"/>
        </w:rPr>
      </w:pPr>
      <w:r>
        <w:rPr>
          <w:rFonts w:hint="eastAsia" w:ascii="宋体" w:hAnsi="宋体"/>
          <w:sz w:val="21"/>
          <w:szCs w:val="21"/>
        </w:rPr>
        <w:t>注：</w:t>
      </w:r>
    </w:p>
    <w:p>
      <w:pPr>
        <w:suppressAutoHyphens/>
        <w:spacing w:line="360" w:lineRule="auto"/>
        <w:rPr>
          <w:rFonts w:ascii="宋体" w:hAnsi="宋体"/>
          <w:sz w:val="21"/>
          <w:szCs w:val="21"/>
          <w:lang w:val="en-GB"/>
        </w:rPr>
      </w:pPr>
      <w:r>
        <w:rPr>
          <w:rFonts w:hint="eastAsia" w:ascii="宋体" w:hAnsi="宋体"/>
          <w:sz w:val="21"/>
          <w:szCs w:val="21"/>
          <w:lang w:val="en-GB"/>
        </w:rPr>
        <w:t>（1）以上内容必须全部填写；</w:t>
      </w:r>
    </w:p>
    <w:p>
      <w:pPr>
        <w:suppressAutoHyphens/>
        <w:spacing w:line="360" w:lineRule="auto"/>
        <w:rPr>
          <w:rFonts w:ascii="宋体" w:hAnsi="宋体"/>
          <w:sz w:val="21"/>
          <w:szCs w:val="21"/>
          <w:lang w:val="en-GB"/>
        </w:rPr>
      </w:pPr>
      <w:r>
        <w:rPr>
          <w:rFonts w:hint="eastAsia"/>
          <w:snapToGrid w:val="0"/>
          <w:sz w:val="21"/>
        </w:rPr>
        <w:t>（2）“</w:t>
      </w:r>
      <w:r>
        <w:rPr>
          <w:rFonts w:hint="eastAsia"/>
          <w:sz w:val="21"/>
        </w:rPr>
        <w:t>服务项目</w:t>
      </w:r>
      <w:r>
        <w:rPr>
          <w:rFonts w:hint="eastAsia"/>
          <w:snapToGrid w:val="0"/>
          <w:sz w:val="21"/>
        </w:rPr>
        <w:t>”应当按照“第四章 服务需求”的要求进行分项填写；</w:t>
      </w:r>
    </w:p>
    <w:p>
      <w:pPr>
        <w:suppressAutoHyphens/>
        <w:spacing w:line="360" w:lineRule="auto"/>
        <w:rPr>
          <w:rFonts w:ascii="宋体" w:hAnsi="宋体"/>
          <w:sz w:val="21"/>
          <w:szCs w:val="21"/>
          <w:lang w:val="en-GB"/>
        </w:rPr>
      </w:pPr>
      <w:r>
        <w:rPr>
          <w:rFonts w:hint="eastAsia"/>
          <w:snapToGrid w:val="0"/>
          <w:sz w:val="21"/>
        </w:rPr>
        <w:t>（3）根据合同或本表未列明的其它可能产生的费用应由供应商支付、负责；</w:t>
      </w:r>
    </w:p>
    <w:p>
      <w:pPr>
        <w:suppressAutoHyphens/>
        <w:spacing w:line="360" w:lineRule="auto"/>
        <w:rPr>
          <w:snapToGrid w:val="0"/>
          <w:sz w:val="21"/>
        </w:rPr>
      </w:pPr>
      <w:r>
        <w:rPr>
          <w:rFonts w:hint="eastAsia"/>
          <w:snapToGrid w:val="0"/>
          <w:sz w:val="21"/>
        </w:rPr>
        <w:t>（4）此表将随中标公告一并公示，请供应商认真填写；</w:t>
      </w:r>
    </w:p>
    <w:p>
      <w:pPr>
        <w:suppressAutoHyphens/>
        <w:snapToGrid w:val="0"/>
        <w:spacing w:line="360" w:lineRule="auto"/>
        <w:rPr>
          <w:rFonts w:ascii="宋体" w:hAnsi="宋体" w:cs="宋体"/>
          <w:sz w:val="21"/>
          <w:szCs w:val="21"/>
        </w:rPr>
      </w:pPr>
    </w:p>
    <w:p>
      <w:pPr>
        <w:suppressAutoHyphens/>
        <w:snapToGrid w:val="0"/>
        <w:spacing w:line="360" w:lineRule="auto"/>
        <w:ind w:left="432"/>
        <w:rPr>
          <w:rFonts w:ascii="宋体" w:hAnsi="宋体" w:cs="宋体"/>
          <w:sz w:val="21"/>
          <w:szCs w:val="21"/>
        </w:rPr>
      </w:pPr>
      <w:r>
        <w:rPr>
          <w:rFonts w:hint="eastAsia" w:ascii="宋体" w:hAnsi="宋体" w:cs="宋体"/>
          <w:sz w:val="21"/>
          <w:szCs w:val="21"/>
        </w:rPr>
        <w:t xml:space="preserve">                                      供应商名称（盖章）：</w:t>
      </w:r>
      <w:r>
        <w:rPr>
          <w:rFonts w:hint="eastAsia" w:ascii="宋体" w:hAnsi="宋体" w:cs="宋体"/>
          <w:sz w:val="21"/>
          <w:szCs w:val="21"/>
          <w:u w:val="single"/>
        </w:rPr>
        <w:t xml:space="preserve">                        </w:t>
      </w:r>
    </w:p>
    <w:p>
      <w:pPr>
        <w:suppressAutoHyphens/>
        <w:spacing w:line="360" w:lineRule="auto"/>
        <w:ind w:left="432"/>
        <w:rPr>
          <w:rFonts w:ascii="宋体" w:hAnsi="宋体" w:cs="宋体"/>
          <w:sz w:val="21"/>
          <w:szCs w:val="21"/>
        </w:rPr>
      </w:pPr>
      <w:r>
        <w:rPr>
          <w:rFonts w:hint="eastAsia" w:ascii="宋体" w:hAnsi="宋体" w:cs="宋体"/>
          <w:sz w:val="21"/>
          <w:szCs w:val="21"/>
        </w:rPr>
        <w:t xml:space="preserve">                                                    日期：   年   月   日</w:t>
      </w:r>
    </w:p>
    <w:p>
      <w:pPr>
        <w:adjustRightInd w:val="0"/>
        <w:snapToGrid w:val="0"/>
        <w:spacing w:line="360" w:lineRule="auto"/>
        <w:ind w:firstLine="480" w:firstLineChars="200"/>
        <w:rPr>
          <w:rFonts w:ascii="宋体" w:hAnsi="宋体"/>
          <w:color w:val="000000"/>
          <w:sz w:val="24"/>
          <w:szCs w:val="24"/>
        </w:rPr>
      </w:pPr>
    </w:p>
    <w:p>
      <w:pPr>
        <w:rPr>
          <w:b/>
          <w:sz w:val="24"/>
          <w:szCs w:val="24"/>
        </w:rPr>
      </w:pPr>
      <w:r>
        <w:rPr>
          <w:b/>
          <w:sz w:val="24"/>
          <w:szCs w:val="24"/>
        </w:rPr>
        <w:br w:type="page"/>
      </w:r>
    </w:p>
    <w:p>
      <w:pPr>
        <w:rPr>
          <w:b/>
          <w:sz w:val="24"/>
          <w:szCs w:val="24"/>
        </w:rPr>
      </w:pPr>
      <w:r>
        <w:rPr>
          <w:rFonts w:hint="eastAsia"/>
          <w:b/>
          <w:sz w:val="24"/>
          <w:szCs w:val="24"/>
          <w:lang w:val="zh-CN"/>
        </w:rPr>
        <w:t>格式十二</w:t>
      </w:r>
      <w:r>
        <w:rPr>
          <w:rFonts w:hint="eastAsia"/>
          <w:b/>
          <w:sz w:val="24"/>
          <w:szCs w:val="24"/>
        </w:rPr>
        <w:t>：</w:t>
      </w:r>
    </w:p>
    <w:p>
      <w:pPr>
        <w:rPr>
          <w:sz w:val="24"/>
          <w:szCs w:val="24"/>
        </w:rPr>
      </w:pPr>
    </w:p>
    <w:p>
      <w:pPr>
        <w:spacing w:line="360" w:lineRule="auto"/>
        <w:jc w:val="center"/>
        <w:rPr>
          <w:rFonts w:ascii="宋体" w:hAnsi="宋体"/>
          <w:color w:val="000000"/>
          <w:sz w:val="24"/>
          <w:szCs w:val="24"/>
        </w:rPr>
      </w:pPr>
      <w:r>
        <w:rPr>
          <w:rFonts w:hint="eastAsia" w:ascii="宋体" w:hAnsi="宋体"/>
          <w:color w:val="000000"/>
          <w:sz w:val="24"/>
          <w:szCs w:val="24"/>
        </w:rPr>
        <w:t>十、服务需求响应表</w:t>
      </w:r>
    </w:p>
    <w:p>
      <w:pPr>
        <w:spacing w:line="360" w:lineRule="auto"/>
        <w:rPr>
          <w:rFonts w:ascii="宋体" w:hAnsi="宋体"/>
          <w:b/>
          <w:color w:val="000000"/>
          <w:sz w:val="24"/>
          <w:szCs w:val="24"/>
        </w:rPr>
      </w:pPr>
      <w:r>
        <w:rPr>
          <w:rFonts w:hint="eastAsia" w:ascii="宋体" w:hAnsi="宋体" w:cs="宋体"/>
          <w:kern w:val="0"/>
          <w:sz w:val="24"/>
          <w:szCs w:val="24"/>
        </w:rPr>
        <w:t>1.服务项目名称：</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93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磋商文件要求服务要求及标准</w:t>
            </w:r>
          </w:p>
        </w:tc>
        <w:tc>
          <w:tcPr>
            <w:tcW w:w="166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供应商提供服务指标</w:t>
            </w:r>
          </w:p>
        </w:tc>
        <w:tc>
          <w:tcPr>
            <w:tcW w:w="129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761" w:type="dxa"/>
            <w:vAlign w:val="center"/>
          </w:tcPr>
          <w:p>
            <w:pPr>
              <w:spacing w:line="360" w:lineRule="auto"/>
              <w:jc w:val="center"/>
              <w:rPr>
                <w:rFonts w:ascii="宋体" w:hAnsi="宋体"/>
                <w:color w:val="000000"/>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935"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2" w:type="dxa"/>
            <w:vAlign w:val="center"/>
          </w:tcPr>
          <w:p>
            <w:pPr>
              <w:spacing w:line="360" w:lineRule="auto"/>
              <w:rPr>
                <w:rFonts w:ascii="宋体" w:hAnsi="宋体"/>
                <w:color w:val="000000"/>
                <w:sz w:val="24"/>
                <w:szCs w:val="24"/>
              </w:rPr>
            </w:pPr>
          </w:p>
        </w:tc>
        <w:tc>
          <w:tcPr>
            <w:tcW w:w="2761" w:type="dxa"/>
            <w:vAlign w:val="center"/>
          </w:tcPr>
          <w:p>
            <w:pPr>
              <w:spacing w:line="360" w:lineRule="auto"/>
              <w:ind w:left="2201" w:leftChars="786"/>
              <w:rPr>
                <w:rFonts w:ascii="宋体" w:hAnsi="宋体"/>
                <w:color w:val="000000"/>
                <w:sz w:val="24"/>
                <w:szCs w:val="24"/>
              </w:rPr>
            </w:pPr>
          </w:p>
        </w:tc>
        <w:tc>
          <w:tcPr>
            <w:tcW w:w="1298"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935"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2" w:type="dxa"/>
            <w:vAlign w:val="center"/>
          </w:tcPr>
          <w:p>
            <w:pPr>
              <w:spacing w:line="360" w:lineRule="auto"/>
              <w:rPr>
                <w:rFonts w:ascii="宋体" w:hAnsi="宋体"/>
                <w:color w:val="000000"/>
                <w:sz w:val="24"/>
                <w:szCs w:val="24"/>
              </w:rPr>
            </w:pPr>
          </w:p>
        </w:tc>
        <w:tc>
          <w:tcPr>
            <w:tcW w:w="2761" w:type="dxa"/>
            <w:vAlign w:val="center"/>
          </w:tcPr>
          <w:p>
            <w:pPr>
              <w:spacing w:line="360" w:lineRule="auto"/>
              <w:rPr>
                <w:rFonts w:ascii="宋体" w:hAnsi="宋体"/>
                <w:color w:val="000000"/>
                <w:sz w:val="24"/>
                <w:szCs w:val="24"/>
              </w:rPr>
            </w:pPr>
          </w:p>
        </w:tc>
        <w:tc>
          <w:tcPr>
            <w:tcW w:w="1298" w:type="dxa"/>
          </w:tcPr>
          <w:p>
            <w:pPr>
              <w:spacing w:line="360" w:lineRule="auto"/>
              <w:rPr>
                <w:rFonts w:ascii="宋体" w:hAnsi="宋体"/>
                <w:color w:val="000000"/>
                <w:sz w:val="24"/>
                <w:szCs w:val="24"/>
              </w:rPr>
            </w:pPr>
          </w:p>
        </w:tc>
      </w:tr>
    </w:tbl>
    <w:p>
      <w:pPr>
        <w:spacing w:line="360" w:lineRule="auto"/>
        <w:rPr>
          <w:rFonts w:ascii="宋体" w:hAnsi="宋体"/>
          <w:b/>
          <w:color w:val="000000"/>
          <w:sz w:val="24"/>
          <w:szCs w:val="24"/>
        </w:rPr>
      </w:pPr>
      <w:r>
        <w:rPr>
          <w:rFonts w:hint="eastAsia" w:ascii="宋体" w:hAnsi="宋体" w:cs="宋体"/>
          <w:kern w:val="0"/>
          <w:sz w:val="24"/>
          <w:szCs w:val="24"/>
        </w:rPr>
        <w:t>2. 服务项目名称：：</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3"/>
        <w:gridCol w:w="1666"/>
        <w:gridCol w:w="1294"/>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93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磋商文件要求服务要求及标准</w:t>
            </w:r>
          </w:p>
        </w:tc>
        <w:tc>
          <w:tcPr>
            <w:tcW w:w="166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供应商提供服务指标</w:t>
            </w:r>
          </w:p>
        </w:tc>
        <w:tc>
          <w:tcPr>
            <w:tcW w:w="12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761" w:type="dxa"/>
            <w:vAlign w:val="center"/>
          </w:tcPr>
          <w:p>
            <w:pPr>
              <w:spacing w:line="360" w:lineRule="auto"/>
              <w:jc w:val="center"/>
              <w:rPr>
                <w:rFonts w:ascii="宋体" w:hAnsi="宋体"/>
                <w:color w:val="000000"/>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933"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4" w:type="dxa"/>
            <w:vAlign w:val="center"/>
          </w:tcPr>
          <w:p>
            <w:pPr>
              <w:spacing w:line="360" w:lineRule="auto"/>
              <w:rPr>
                <w:rFonts w:ascii="宋体" w:hAnsi="宋体"/>
                <w:color w:val="000000"/>
                <w:sz w:val="24"/>
                <w:szCs w:val="24"/>
              </w:rPr>
            </w:pPr>
          </w:p>
        </w:tc>
        <w:tc>
          <w:tcPr>
            <w:tcW w:w="2761" w:type="dxa"/>
            <w:vAlign w:val="center"/>
          </w:tcPr>
          <w:p>
            <w:pPr>
              <w:spacing w:line="360" w:lineRule="auto"/>
              <w:ind w:left="2201" w:leftChars="786"/>
              <w:rPr>
                <w:rFonts w:ascii="宋体" w:hAnsi="宋体"/>
                <w:color w:val="000000"/>
                <w:sz w:val="24"/>
                <w:szCs w:val="24"/>
              </w:rPr>
            </w:pPr>
          </w:p>
        </w:tc>
        <w:tc>
          <w:tcPr>
            <w:tcW w:w="1298"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933"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4" w:type="dxa"/>
            <w:vAlign w:val="center"/>
          </w:tcPr>
          <w:p>
            <w:pPr>
              <w:spacing w:line="360" w:lineRule="auto"/>
              <w:rPr>
                <w:rFonts w:ascii="宋体" w:hAnsi="宋体"/>
                <w:color w:val="000000"/>
                <w:sz w:val="24"/>
                <w:szCs w:val="24"/>
              </w:rPr>
            </w:pPr>
          </w:p>
        </w:tc>
        <w:tc>
          <w:tcPr>
            <w:tcW w:w="2761" w:type="dxa"/>
            <w:vAlign w:val="center"/>
          </w:tcPr>
          <w:p>
            <w:pPr>
              <w:spacing w:line="360" w:lineRule="auto"/>
              <w:rPr>
                <w:rFonts w:ascii="宋体" w:hAnsi="宋体"/>
                <w:color w:val="000000"/>
                <w:sz w:val="24"/>
                <w:szCs w:val="24"/>
              </w:rPr>
            </w:pPr>
          </w:p>
        </w:tc>
        <w:tc>
          <w:tcPr>
            <w:tcW w:w="1298" w:type="dxa"/>
          </w:tcPr>
          <w:p>
            <w:pPr>
              <w:spacing w:line="360" w:lineRule="auto"/>
              <w:rPr>
                <w:rFonts w:ascii="宋体" w:hAnsi="宋体"/>
                <w:color w:val="000000"/>
                <w:sz w:val="24"/>
                <w:szCs w:val="24"/>
              </w:rPr>
            </w:pPr>
          </w:p>
        </w:tc>
      </w:tr>
    </w:tbl>
    <w:p>
      <w:pPr>
        <w:spacing w:line="360" w:lineRule="auto"/>
        <w:ind w:right="57"/>
        <w:rPr>
          <w:rFonts w:ascii="宋体" w:hAnsi="宋体"/>
          <w:b/>
          <w:bCs/>
          <w:color w:val="000000"/>
          <w:sz w:val="24"/>
          <w:szCs w:val="24"/>
        </w:rPr>
      </w:pPr>
    </w:p>
    <w:p>
      <w:pPr>
        <w:spacing w:line="360" w:lineRule="auto"/>
        <w:ind w:right="57"/>
        <w:rPr>
          <w:rFonts w:ascii="宋体" w:hAnsi="宋体"/>
          <w:color w:val="000000"/>
          <w:sz w:val="24"/>
          <w:szCs w:val="24"/>
        </w:rPr>
      </w:pPr>
      <w:r>
        <w:rPr>
          <w:rFonts w:hint="eastAsia" w:ascii="宋体" w:hAnsi="宋体"/>
          <w:b/>
          <w:bCs/>
          <w:color w:val="000000"/>
          <w:sz w:val="24"/>
          <w:szCs w:val="24"/>
        </w:rPr>
        <w:t>说明</w:t>
      </w:r>
      <w:r>
        <w:rPr>
          <w:rFonts w:hint="eastAsia" w:ascii="宋体" w:hAnsi="宋体"/>
          <w:b/>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供应商应按照本磋商文件第四章“服务需求一览表”中的要求，将</w:t>
      </w:r>
      <w:r>
        <w:rPr>
          <w:rFonts w:hint="eastAsia" w:ascii="宋体" w:hAnsi="宋体"/>
          <w:color w:val="000000"/>
          <w:sz w:val="24"/>
          <w:szCs w:val="24"/>
        </w:rPr>
        <w:t>服务要求及标准</w:t>
      </w:r>
      <w:r>
        <w:rPr>
          <w:rFonts w:hint="eastAsia" w:ascii="宋体" w:hAnsi="宋体" w:cs="宋体"/>
          <w:sz w:val="24"/>
          <w:szCs w:val="24"/>
        </w:rPr>
        <w:t>逐一列出，以证明供应商对磋商文件要求的服务内容做出实质性响应。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的服务指标应达到或优于磋商文件中所列要求。磋商文件中所列服务指标仅列出了最低限度，供应商在提供的服务指标中必须列出具体数值或内容。对磋商文件原文复制或只注明符合、满足等无具体内容的表述，将视为不符合磋商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 “备注”处可填写偏离情况的具体说明。</w:t>
      </w:r>
    </w:p>
    <w:p>
      <w:pPr>
        <w:widowControl/>
        <w:rPr>
          <w:sz w:val="21"/>
        </w:rPr>
      </w:pPr>
      <w:r>
        <w:rPr>
          <w:sz w:val="21"/>
        </w:rPr>
        <w:br w:type="page"/>
      </w:r>
    </w:p>
    <w:p>
      <w:pPr>
        <w:widowControl/>
        <w:rPr>
          <w:sz w:val="21"/>
        </w:rPr>
      </w:pPr>
    </w:p>
    <w:p>
      <w:pPr>
        <w:spacing w:line="360" w:lineRule="auto"/>
        <w:rPr>
          <w:rFonts w:ascii="宋体" w:hAnsi="宋体"/>
          <w:b/>
          <w:color w:val="000000"/>
          <w:sz w:val="24"/>
          <w:szCs w:val="24"/>
        </w:rPr>
      </w:pPr>
      <w:r>
        <w:rPr>
          <w:rFonts w:hint="eastAsia"/>
          <w:b/>
          <w:sz w:val="24"/>
        </w:rPr>
        <w:t>格式十三：</w:t>
      </w:r>
    </w:p>
    <w:p>
      <w:pPr>
        <w:spacing w:line="480" w:lineRule="exact"/>
        <w:ind w:firstLine="3465" w:firstLineChars="1650"/>
        <w:rPr>
          <w:rFonts w:ascii="宋体" w:hAnsi="Courier New"/>
          <w:b/>
          <w:snapToGrid w:val="0"/>
          <w:kern w:val="0"/>
          <w:sz w:val="21"/>
          <w:szCs w:val="21"/>
        </w:rPr>
      </w:pPr>
      <w:r>
        <w:rPr>
          <w:rFonts w:hint="eastAsia" w:ascii="宋体" w:hAnsi="Courier New"/>
          <w:snapToGrid w:val="0"/>
          <w:kern w:val="0"/>
          <w:sz w:val="21"/>
          <w:szCs w:val="21"/>
        </w:rPr>
        <w:t>十一、项目服务方案</w:t>
      </w:r>
      <w:r>
        <w:rPr>
          <w:rFonts w:hint="eastAsia" w:ascii="宋体" w:hAnsi="Courier New"/>
          <w:b/>
          <w:snapToGrid w:val="0"/>
          <w:kern w:val="0"/>
          <w:sz w:val="21"/>
          <w:szCs w:val="21"/>
        </w:rPr>
        <w:t>（</w:t>
      </w:r>
      <w:r>
        <w:rPr>
          <w:rFonts w:hint="eastAsia" w:ascii="宋体" w:hAnsi="宋体"/>
          <w:color w:val="000000"/>
          <w:sz w:val="24"/>
          <w:szCs w:val="24"/>
        </w:rPr>
        <w:t>整体实施方案</w:t>
      </w:r>
      <w:r>
        <w:rPr>
          <w:rFonts w:hint="eastAsia" w:ascii="宋体" w:hAnsi="Courier New"/>
          <w:b/>
          <w:snapToGrid w:val="0"/>
          <w:kern w:val="0"/>
          <w:sz w:val="21"/>
          <w:szCs w:val="21"/>
        </w:rPr>
        <w:t>）</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（由供应商自行编制）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r>
        <w:rPr>
          <w:rFonts w:hint="eastAsia" w:ascii="宋体" w:hAnsi="Courier New"/>
          <w:snapToGrid w:val="0"/>
          <w:kern w:val="0"/>
          <w:sz w:val="21"/>
          <w:szCs w:val="21"/>
        </w:rPr>
        <w:t>注：本部分内容应包含但不限于本磋商文件服务要求的相关的内容。</w:t>
      </w:r>
    </w:p>
    <w:p>
      <w:r>
        <w:br w:type="page"/>
      </w:r>
    </w:p>
    <w:p>
      <w:pPr>
        <w:spacing w:line="360" w:lineRule="auto"/>
        <w:rPr>
          <w:rFonts w:ascii="宋体" w:hAnsi="宋体"/>
          <w:b/>
          <w:color w:val="000000"/>
          <w:sz w:val="24"/>
          <w:szCs w:val="24"/>
        </w:rPr>
      </w:pPr>
      <w:r>
        <w:rPr>
          <w:rFonts w:hint="eastAsia" w:ascii="宋体" w:hAnsi="宋体"/>
          <w:b/>
          <w:bCs/>
          <w:color w:val="000000"/>
          <w:kern w:val="0"/>
          <w:sz w:val="24"/>
          <w:szCs w:val="24"/>
          <w:lang w:val="zh-CN"/>
        </w:rPr>
        <w:t>格式十四：</w:t>
      </w:r>
    </w:p>
    <w:p>
      <w:pPr>
        <w:spacing w:line="360" w:lineRule="auto"/>
        <w:jc w:val="center"/>
        <w:rPr>
          <w:rFonts w:ascii="宋体" w:hAnsi="宋体"/>
          <w:b/>
          <w:bCs/>
          <w:color w:val="000000"/>
          <w:sz w:val="24"/>
          <w:szCs w:val="24"/>
        </w:rPr>
      </w:pPr>
      <w:r>
        <w:rPr>
          <w:rFonts w:hint="eastAsia" w:ascii="宋体" w:hAnsi="宋体"/>
          <w:sz w:val="24"/>
          <w:szCs w:val="24"/>
          <w:lang w:val="zh-CN"/>
        </w:rPr>
        <w:t>十二、商务规格响应表</w:t>
      </w:r>
    </w:p>
    <w:tbl>
      <w:tblPr>
        <w:tblStyle w:val="24"/>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磋商文件商务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服务时间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46"/>
              <w:ind w:firstLine="0" w:firstLineChars="0"/>
              <w:jc w:val="center"/>
              <w:rPr>
                <w:rFonts w:ascii="宋体" w:hAnsi="宋体"/>
                <w:sz w:val="24"/>
                <w:szCs w:val="24"/>
              </w:rPr>
            </w:pPr>
            <w:r>
              <w:rPr>
                <w:rFonts w:hint="eastAsia" w:ascii="宋体" w:hAnsi="宋体"/>
                <w:sz w:val="24"/>
                <w:szCs w:val="24"/>
              </w:rPr>
              <w:t>服务地点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6"/>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6"/>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46"/>
              <w:ind w:firstLine="0" w:firstLineChars="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1" w:firstLineChars="150"/>
        <w:rPr>
          <w:rFonts w:ascii="宋体" w:hAnsi="宋体"/>
          <w:sz w:val="24"/>
          <w:szCs w:val="24"/>
        </w:rPr>
      </w:pPr>
      <w:r>
        <w:rPr>
          <w:rFonts w:hint="eastAsia" w:ascii="宋体" w:hAnsi="宋体"/>
          <w:b/>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 xml:space="preserve">格式十五：               </w:t>
      </w:r>
    </w:p>
    <w:p>
      <w:pPr>
        <w:spacing w:line="360" w:lineRule="auto"/>
        <w:jc w:val="center"/>
        <w:rPr>
          <w:rFonts w:ascii="宋体" w:hAnsi="宋体"/>
          <w:b/>
          <w:color w:val="000000"/>
          <w:sz w:val="24"/>
          <w:szCs w:val="24"/>
        </w:rPr>
      </w:pPr>
      <w:r>
        <w:rPr>
          <w:rFonts w:hint="eastAsia" w:ascii="宋体" w:hAnsi="宋体"/>
          <w:color w:val="000000"/>
          <w:sz w:val="24"/>
          <w:szCs w:val="24"/>
        </w:rPr>
        <w:t>十三、供应商业绩情况表</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057"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使用单位</w:t>
            </w:r>
          </w:p>
        </w:tc>
        <w:tc>
          <w:tcPr>
            <w:tcW w:w="3539"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业绩名称</w:t>
            </w:r>
          </w:p>
        </w:tc>
        <w:tc>
          <w:tcPr>
            <w:tcW w:w="1708"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合同总价</w:t>
            </w:r>
          </w:p>
        </w:tc>
        <w:tc>
          <w:tcPr>
            <w:tcW w:w="1706"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hint="eastAsia" w:ascii="宋体" w:hAnsi="宋体"/>
                <w:color w:val="000000"/>
                <w:kern w:val="0"/>
                <w:sz w:val="24"/>
                <w:szCs w:val="24"/>
                <w:lang w:val="zh-CN"/>
              </w:rPr>
              <w:t>1</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hint="eastAsia" w:ascii="宋体" w:hAnsi="宋体"/>
                <w:color w:val="000000"/>
                <w:kern w:val="0"/>
                <w:sz w:val="24"/>
                <w:szCs w:val="24"/>
                <w:lang w:val="zh-CN"/>
              </w:rPr>
              <w:t>2</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hint="eastAsia" w:ascii="宋体" w:hAnsi="宋体"/>
                <w:color w:val="000000"/>
                <w:kern w:val="0"/>
                <w:sz w:val="24"/>
                <w:szCs w:val="24"/>
                <w:lang w:val="zh-CN"/>
              </w:rPr>
              <w:t>3</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hint="eastAsia" w:ascii="宋体" w:hAnsi="宋体"/>
                <w:color w:val="000000"/>
                <w:kern w:val="0"/>
                <w:sz w:val="24"/>
                <w:szCs w:val="24"/>
                <w:lang w:val="zh-CN"/>
              </w:rPr>
              <w:t>4</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ascii="宋体" w:hAnsi="宋体"/>
                <w:color w:val="000000"/>
                <w:kern w:val="0"/>
                <w:sz w:val="24"/>
                <w:szCs w:val="24"/>
                <w:lang w:val="zh-CN"/>
              </w:rPr>
              <w:t>…</w:t>
            </w:r>
          </w:p>
        </w:tc>
        <w:tc>
          <w:tcPr>
            <w:tcW w:w="2057" w:type="dxa"/>
            <w:shd w:val="clear" w:color="auto" w:fill="auto"/>
          </w:tcPr>
          <w:p>
            <w:pPr>
              <w:spacing w:line="360" w:lineRule="auto"/>
              <w:jc w:val="center"/>
              <w:rPr>
                <w:rFonts w:ascii="宋体" w:hAnsi="宋体"/>
                <w:color w:val="000000"/>
                <w:kern w:val="0"/>
                <w:sz w:val="24"/>
                <w:szCs w:val="24"/>
                <w:lang w:val="zh-CN"/>
              </w:rPr>
            </w:pPr>
          </w:p>
        </w:tc>
        <w:tc>
          <w:tcPr>
            <w:tcW w:w="3539" w:type="dxa"/>
            <w:shd w:val="clear" w:color="auto" w:fill="auto"/>
            <w:vAlign w:val="center"/>
          </w:tcPr>
          <w:p>
            <w:pPr>
              <w:spacing w:line="360" w:lineRule="auto"/>
              <w:jc w:val="center"/>
              <w:rPr>
                <w:rFonts w:ascii="宋体" w:hAnsi="宋体"/>
                <w:color w:val="000000"/>
                <w:kern w:val="0"/>
                <w:sz w:val="24"/>
                <w:szCs w:val="24"/>
                <w:lang w:val="zh-CN"/>
              </w:rPr>
            </w:pPr>
          </w:p>
        </w:tc>
        <w:tc>
          <w:tcPr>
            <w:tcW w:w="1708" w:type="dxa"/>
            <w:shd w:val="clear" w:color="auto" w:fill="auto"/>
            <w:vAlign w:val="center"/>
          </w:tcPr>
          <w:p>
            <w:pPr>
              <w:spacing w:line="360" w:lineRule="auto"/>
              <w:jc w:val="center"/>
              <w:rPr>
                <w:rFonts w:ascii="宋体" w:hAnsi="宋体"/>
                <w:color w:val="000000"/>
                <w:kern w:val="0"/>
                <w:sz w:val="24"/>
                <w:szCs w:val="24"/>
                <w:lang w:val="zh-CN"/>
              </w:rPr>
            </w:pPr>
          </w:p>
        </w:tc>
        <w:tc>
          <w:tcPr>
            <w:tcW w:w="1706" w:type="dxa"/>
            <w:shd w:val="clear" w:color="auto" w:fill="auto"/>
            <w:vAlign w:val="center"/>
          </w:tcPr>
          <w:p>
            <w:pPr>
              <w:spacing w:line="360" w:lineRule="auto"/>
              <w:jc w:val="center"/>
              <w:rPr>
                <w:rFonts w:ascii="宋体" w:hAnsi="宋体"/>
                <w:color w:val="000000"/>
                <w:kern w:val="0"/>
                <w:sz w:val="24"/>
                <w:szCs w:val="24"/>
                <w:lang w:val="zh-CN"/>
              </w:rPr>
            </w:pPr>
          </w:p>
        </w:tc>
      </w:tr>
    </w:tbl>
    <w:p>
      <w:pPr>
        <w:rPr>
          <w:rFonts w:ascii="宋体" w:hAnsi="宋体"/>
          <w:sz w:val="24"/>
          <w:szCs w:val="24"/>
          <w:lang w:val="zh-CN"/>
        </w:rPr>
      </w:pPr>
      <w:r>
        <w:rPr>
          <w:rFonts w:hint="eastAsia" w:ascii="宋体" w:hAnsi="宋体"/>
          <w:sz w:val="24"/>
          <w:szCs w:val="24"/>
          <w:lang w:val="zh-CN"/>
        </w:rPr>
        <w:t>注：供应商根据上述业绩情况后附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格式十六：              </w:t>
      </w:r>
    </w:p>
    <w:p>
      <w:pPr>
        <w:spacing w:line="360" w:lineRule="auto"/>
        <w:jc w:val="center"/>
        <w:rPr>
          <w:rFonts w:ascii="宋体" w:hAnsi="宋体"/>
          <w:b/>
          <w:color w:val="000000"/>
          <w:sz w:val="24"/>
          <w:szCs w:val="24"/>
        </w:rPr>
      </w:pPr>
      <w:r>
        <w:rPr>
          <w:rFonts w:hint="eastAsia" w:ascii="宋体" w:hAnsi="宋体"/>
          <w:sz w:val="24"/>
          <w:szCs w:val="24"/>
          <w:lang w:val="zh-CN"/>
        </w:rPr>
        <w:t>十四、供应商基本情况表</w:t>
      </w:r>
    </w:p>
    <w:tbl>
      <w:tblPr>
        <w:tblStyle w:val="24"/>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供应商名称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b/>
                <w:sz w:val="24"/>
                <w:szCs w:val="24"/>
                <w:lang w:val="zh-CN"/>
              </w:rPr>
            </w:pPr>
            <w:r>
              <w:rPr>
                <w:rFonts w:hint="eastAsia" w:ascii="宋体" w:hAnsi="宋体"/>
                <w:b/>
                <w:sz w:val="24"/>
                <w:szCs w:val="24"/>
              </w:rPr>
              <w:t>注：投标单位须在该表后附</w:t>
            </w:r>
            <w:r>
              <w:rPr>
                <w:rFonts w:hint="eastAsia" w:ascii="宋体" w:hAnsi="宋体" w:cs="宋体"/>
                <w:b/>
                <w:bCs/>
                <w:sz w:val="24"/>
                <w:szCs w:val="24"/>
              </w:rPr>
              <w:t>法人或其他组织的营业执照副本、自然人的身份证明</w:t>
            </w:r>
            <w:r>
              <w:rPr>
                <w:rFonts w:hint="eastAsia" w:ascii="宋体" w:hAnsi="宋体"/>
                <w:b/>
                <w:sz w:val="24"/>
                <w:szCs w:val="24"/>
              </w:rPr>
              <w:t>及招标公告中供应商资质要求的其他资质证明等</w:t>
            </w:r>
            <w:r>
              <w:rPr>
                <w:rFonts w:hint="eastAsia" w:ascii="宋体" w:hAnsi="宋体"/>
                <w:b/>
                <w:sz w:val="24"/>
                <w:szCs w:val="24"/>
                <w:lang w:val="zh-CN"/>
              </w:rPr>
              <w:t>。</w:t>
            </w:r>
          </w:p>
        </w:tc>
      </w:tr>
    </w:tbl>
    <w:p>
      <w:pPr>
        <w:spacing w:line="360" w:lineRule="auto"/>
        <w:rPr>
          <w:rFonts w:ascii="宋体" w:hAnsi="宋体"/>
          <w:b/>
          <w:sz w:val="24"/>
          <w:szCs w:val="24"/>
        </w:rPr>
      </w:pPr>
      <w:r>
        <w:rPr>
          <w:rFonts w:hint="eastAsia" w:ascii="宋体" w:hAnsi="宋体"/>
          <w:b/>
          <w:sz w:val="24"/>
          <w:szCs w:val="24"/>
        </w:rPr>
        <w:t>说明：</w:t>
      </w:r>
    </w:p>
    <w:p>
      <w:pPr>
        <w:ind w:firstLine="480" w:firstLineChars="200"/>
        <w:rPr>
          <w:rFonts w:ascii="宋体" w:hAnsi="宋体"/>
          <w:sz w:val="24"/>
          <w:szCs w:val="24"/>
        </w:rPr>
      </w:pPr>
      <w:r>
        <w:rPr>
          <w:rFonts w:hint="eastAsia" w:ascii="宋体" w:hAnsi="宋体"/>
          <w:sz w:val="24"/>
          <w:szCs w:val="24"/>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格式十七：          </w:t>
      </w:r>
    </w:p>
    <w:p>
      <w:pPr>
        <w:spacing w:line="360" w:lineRule="auto"/>
        <w:jc w:val="center"/>
        <w:rPr>
          <w:rFonts w:ascii="宋体" w:hAnsi="宋体"/>
          <w:sz w:val="24"/>
          <w:szCs w:val="24"/>
        </w:rPr>
      </w:pPr>
      <w:bookmarkStart w:id="62" w:name="_Toc482026556"/>
      <w:bookmarkStart w:id="63" w:name="_Toc438655702"/>
      <w:bookmarkStart w:id="64" w:name="_Toc438714732"/>
      <w:r>
        <w:rPr>
          <w:rFonts w:hint="eastAsia" w:ascii="宋体" w:hAnsi="宋体"/>
          <w:sz w:val="24"/>
          <w:szCs w:val="24"/>
        </w:rPr>
        <w:t>十五、商业信誉报告</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按照本招标文件第六章资格性审查的要求，提供供应商的具有良好的商业信誉的佐证材料</w:t>
      </w:r>
      <w:r>
        <w:rPr>
          <w:rFonts w:hint="eastAsia" w:ascii="宋体" w:hAnsi="宋体"/>
          <w:sz w:val="24"/>
          <w:szCs w:val="24"/>
        </w:rPr>
        <w:t>。</w:t>
      </w:r>
    </w:p>
    <w:p>
      <w:pPr>
        <w:spacing w:line="360" w:lineRule="auto"/>
        <w:rPr>
          <w:rFonts w:ascii="宋体" w:hAnsi="宋体"/>
          <w:b/>
          <w:sz w:val="24"/>
          <w:szCs w:val="24"/>
        </w:rPr>
      </w:pPr>
      <w:r>
        <w:rPr>
          <w:rFonts w:hint="eastAsia" w:ascii="宋体" w:hAnsi="宋体"/>
          <w:b/>
          <w:sz w:val="24"/>
          <w:szCs w:val="24"/>
        </w:rPr>
        <w:t>说明：</w:t>
      </w:r>
    </w:p>
    <w:p>
      <w:pPr>
        <w:rPr>
          <w:rFonts w:ascii="宋体" w:hAnsi="宋体"/>
          <w:sz w:val="24"/>
          <w:szCs w:val="24"/>
        </w:rPr>
      </w:pPr>
      <w:r>
        <w:rPr>
          <w:rFonts w:hint="eastAsia" w:ascii="宋体" w:hAnsi="宋体"/>
          <w:sz w:val="24"/>
          <w:szCs w:val="24"/>
        </w:rPr>
        <w:t>1.供应商需提供由“征信中心网”（https://ipcrs.pbccrc.org.cn/）查询的信用报告。</w:t>
      </w:r>
    </w:p>
    <w:p>
      <w:r>
        <w:rPr>
          <w:rFonts w:hint="eastAsia" w:ascii="宋体" w:hAnsi="宋体"/>
          <w:sz w:val="24"/>
          <w:szCs w:val="24"/>
        </w:rPr>
        <w:t>2.供应商是企业或个体经营户的需带公司法人身份证及公司营业执照和公章去项目所在地或当地中国人民银行出具信用报告。</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62"/>
      <w:bookmarkEnd w:id="63"/>
      <w:bookmarkEnd w:id="64"/>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十六、缴纳增值税、营业税或企业所得税的凭据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65" w:name="_Toc482026557"/>
      <w:bookmarkStart w:id="66" w:name="_Toc438714733"/>
      <w:bookmarkStart w:id="67" w:name="_Toc438655703"/>
      <w:r>
        <w:rPr>
          <w:rFonts w:ascii="宋体" w:hAnsi="宋体"/>
          <w:b/>
          <w:color w:val="000000"/>
          <w:sz w:val="24"/>
          <w:szCs w:val="24"/>
        </w:rPr>
        <w:br w:type="page"/>
      </w:r>
      <w:r>
        <w:rPr>
          <w:rFonts w:hint="eastAsia" w:ascii="宋体" w:hAnsi="宋体"/>
          <w:b/>
          <w:color w:val="000000"/>
          <w:sz w:val="24"/>
          <w:szCs w:val="24"/>
        </w:rPr>
        <w:t>格式十九：</w:t>
      </w:r>
      <w:bookmarkEnd w:id="65"/>
      <w:bookmarkEnd w:id="66"/>
      <w:bookmarkEnd w:id="67"/>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十七、缴纳社会保险的凭据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格式二十：</w:t>
      </w:r>
    </w:p>
    <w:p>
      <w:pPr>
        <w:rPr>
          <w:sz w:val="24"/>
          <w:szCs w:val="24"/>
        </w:rPr>
      </w:pPr>
    </w:p>
    <w:p>
      <w:pPr>
        <w:ind w:firstLine="1440" w:firstLineChars="600"/>
        <w:rPr>
          <w:rFonts w:ascii="宋体" w:hAnsi="宋体" w:cs="宋体"/>
          <w:kern w:val="0"/>
          <w:sz w:val="24"/>
          <w:szCs w:val="24"/>
        </w:rPr>
      </w:pPr>
      <w:r>
        <w:rPr>
          <w:rFonts w:hint="eastAsia" w:ascii="宋体" w:hAnsi="宋体" w:cs="宋体"/>
          <w:kern w:val="0"/>
          <w:sz w:val="24"/>
          <w:szCs w:val="24"/>
        </w:rPr>
        <w:t>十八、参加政府采购前三年内在经营活动中无重大违法记录书面声明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u w:val="single"/>
        </w:rPr>
        <w:t xml:space="preserve">（采购单位）     </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在参加此次政府采购活动前3年内，本公司在经营活动中无重大违法记录，并在企业工商注册所在地或项目所在地信用管理中心出具的《信用信息查询结果》、“中国政府采购网”网站（www.ccgp.gov.cn）上均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2"/>
        <w:rPr>
          <w:rFonts w:ascii="宋体" w:hAnsi="宋体"/>
          <w:color w:val="000000"/>
          <w:sz w:val="24"/>
          <w:szCs w:val="24"/>
        </w:rPr>
      </w:pPr>
      <w:r>
        <w:rPr>
          <w:rFonts w:hint="eastAsia" w:ascii="宋体" w:hAnsi="宋体"/>
          <w:color w:val="000000"/>
          <w:sz w:val="24"/>
          <w:szCs w:val="24"/>
        </w:rPr>
        <w:t>说明：供应商应提供《信用信息查询结果》和“中国政府采购网”查询截图。</w:t>
      </w:r>
    </w:p>
    <w:p>
      <w:pPr>
        <w:pStyle w:val="2"/>
        <w:rPr>
          <w:rFonts w:ascii="宋体" w:hAnsi="宋体"/>
          <w:color w:val="000000"/>
          <w:sz w:val="24"/>
          <w:szCs w:val="24"/>
        </w:rPr>
      </w:pPr>
      <w:r>
        <w:rPr>
          <w:rFonts w:hint="eastAsia" w:ascii="宋体" w:hAnsi="宋体"/>
          <w:color w:val="000000"/>
          <w:sz w:val="24"/>
          <w:szCs w:val="24"/>
        </w:rPr>
        <w:br w:type="page"/>
      </w:r>
    </w:p>
    <w:p>
      <w:pPr>
        <w:pStyle w:val="2"/>
        <w:rPr>
          <w:rFonts w:ascii="宋体" w:hAnsi="宋体"/>
          <w:color w:val="000000"/>
          <w:sz w:val="24"/>
          <w:szCs w:val="24"/>
        </w:rPr>
      </w:pPr>
    </w:p>
    <w:p>
      <w:pPr>
        <w:autoSpaceDE w:val="0"/>
        <w:autoSpaceDN w:val="0"/>
        <w:spacing w:line="500" w:lineRule="exact"/>
        <w:ind w:firstLine="602" w:firstLineChars="200"/>
        <w:jc w:val="center"/>
        <w:rPr>
          <w:rFonts w:ascii="宋体" w:hAnsi="宋体"/>
          <w:color w:val="000000"/>
          <w:sz w:val="24"/>
          <w:szCs w:val="24"/>
        </w:rPr>
      </w:pPr>
      <w:r>
        <w:rPr>
          <w:rFonts w:hint="eastAsia" w:ascii="宋体" w:hAnsi="宋体"/>
          <w:b/>
          <w:bCs/>
          <w:color w:val="000000"/>
          <w:sz w:val="30"/>
          <w:szCs w:val="30"/>
        </w:rPr>
        <w:t>《信用信息查询结果》</w:t>
      </w:r>
    </w:p>
    <w:p>
      <w:pPr>
        <w:autoSpaceDE w:val="0"/>
        <w:autoSpaceDN w:val="0"/>
        <w:spacing w:line="360" w:lineRule="auto"/>
        <w:rPr>
          <w:rFonts w:ascii="宋体" w:hAnsi="宋体"/>
          <w:b/>
          <w:bCs/>
          <w:color w:val="000000"/>
          <w:kern w:val="0"/>
          <w:sz w:val="24"/>
          <w:szCs w:val="24"/>
          <w:lang w:val="zh-CN"/>
        </w:rPr>
      </w:pPr>
    </w:p>
    <w:p>
      <w:pPr>
        <w:autoSpaceDE w:val="0"/>
        <w:autoSpaceDN w:val="0"/>
        <w:spacing w:line="360" w:lineRule="auto"/>
        <w:rPr>
          <w:rFonts w:ascii="宋体" w:hAnsi="宋体"/>
          <w:b/>
          <w:bCs/>
          <w:color w:val="000000"/>
          <w:kern w:val="0"/>
          <w:sz w:val="24"/>
          <w:szCs w:val="24"/>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sz w:val="44"/>
          <w:szCs w:val="44"/>
        </w:rPr>
      </w:pPr>
      <w:r>
        <w:rPr>
          <w:rFonts w:hint="eastAsia" w:ascii="宋体" w:hAnsi="宋体"/>
          <w:b/>
          <w:bCs/>
          <w:color w:val="000000"/>
          <w:sz w:val="30"/>
          <w:szCs w:val="30"/>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仿宋_GB2312" w:hAnsi="华文中宋" w:eastAsia="仿宋_GB2312"/>
          <w:szCs w:val="21"/>
        </w:rPr>
      </w:pPr>
      <w:r>
        <w:rPr>
          <w:rFonts w:hint="eastAsia" w:ascii="宋体" w:hAnsi="宋体" w:cs="Arial"/>
          <w:szCs w:val="21"/>
        </w:rPr>
        <w:t xml:space="preserve">编号：           </w:t>
      </w:r>
    </w:p>
    <w:tbl>
      <w:tblPr>
        <w:tblStyle w:val="24"/>
        <w:tblW w:w="108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3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spacing w:line="360" w:lineRule="auto"/>
              <w:jc w:val="center"/>
              <w:rPr>
                <w:rFonts w:ascii="宋体" w:hAnsi="宋体"/>
                <w:sz w:val="24"/>
              </w:rPr>
            </w:pPr>
            <w:r>
              <w:rPr>
                <w:rFonts w:hint="eastAsia" w:ascii="宋体" w:hAnsi="宋体"/>
                <w:sz w:val="24"/>
              </w:rPr>
              <w:t>申请企业</w:t>
            </w:r>
          </w:p>
        </w:tc>
        <w:tc>
          <w:tcPr>
            <w:tcW w:w="8424" w:type="dxa"/>
            <w:gridSpan w:val="5"/>
            <w:tcBorders>
              <w:top w:val="single" w:color="auto" w:sz="8" w:space="0"/>
              <w:bottom w:val="single" w:color="auto" w:sz="8" w:space="0"/>
            </w:tcBorders>
            <w:vAlign w:val="center"/>
          </w:tcPr>
          <w:p>
            <w:pPr>
              <w:spacing w:line="360" w:lineRule="auto"/>
              <w:ind w:firstLine="360" w:firstLineChars="150"/>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spacing w:line="360" w:lineRule="auto"/>
              <w:jc w:val="center"/>
              <w:rPr>
                <w:rFonts w:ascii="宋体" w:hAnsi="宋体"/>
                <w:sz w:val="24"/>
              </w:rPr>
            </w:pPr>
            <w:r>
              <w:rPr>
                <w:rFonts w:hint="eastAsia" w:ascii="宋体" w:hAnsi="宋体"/>
                <w:sz w:val="24"/>
              </w:rPr>
              <w:t>查询企业</w:t>
            </w:r>
          </w:p>
        </w:tc>
        <w:tc>
          <w:tcPr>
            <w:tcW w:w="1698" w:type="dxa"/>
            <w:tcBorders>
              <w:top w:val="single" w:color="auto" w:sz="8" w:space="0"/>
              <w:bottom w:val="single" w:color="auto" w:sz="4" w:space="0"/>
            </w:tcBorders>
            <w:vAlign w:val="center"/>
          </w:tcPr>
          <w:p>
            <w:pPr>
              <w:spacing w:line="400" w:lineRule="exact"/>
              <w:jc w:val="left"/>
              <w:rPr>
                <w:rFonts w:ascii="宋体" w:hAnsi="宋体"/>
                <w:sz w:val="24"/>
              </w:rPr>
            </w:pPr>
            <w:r>
              <w:rPr>
                <w:rFonts w:hint="eastAsia" w:ascii="宋体" w:hAnsi="宋体"/>
                <w:sz w:val="24"/>
              </w:rPr>
              <w:t>所查询企业</w:t>
            </w:r>
          </w:p>
          <w:p>
            <w:pPr>
              <w:spacing w:line="400" w:lineRule="exact"/>
              <w:jc w:val="left"/>
              <w:rPr>
                <w:rFonts w:ascii="宋体" w:hAnsi="宋体"/>
                <w:sz w:val="24"/>
              </w:rPr>
            </w:pPr>
            <w:r>
              <w:rPr>
                <w:rFonts w:hint="eastAsia" w:ascii="宋体" w:hAnsi="宋体"/>
                <w:sz w:val="24"/>
              </w:rPr>
              <w:t>全称</w:t>
            </w:r>
          </w:p>
        </w:tc>
        <w:tc>
          <w:tcPr>
            <w:tcW w:w="8424" w:type="dxa"/>
            <w:gridSpan w:val="5"/>
            <w:tcBorders>
              <w:top w:val="single" w:color="auto" w:sz="8" w:space="0"/>
            </w:tcBorders>
            <w:vAlign w:val="center"/>
          </w:tcPr>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05" w:type="dxa"/>
            <w:vMerge w:val="continue"/>
            <w:vAlign w:val="center"/>
          </w:tcPr>
          <w:p>
            <w:pPr>
              <w:spacing w:line="360" w:lineRule="auto"/>
              <w:jc w:val="left"/>
            </w:pPr>
          </w:p>
        </w:tc>
        <w:tc>
          <w:tcPr>
            <w:tcW w:w="1698" w:type="dxa"/>
            <w:tcBorders>
              <w:top w:val="single" w:color="auto" w:sz="8" w:space="0"/>
              <w:bottom w:val="single" w:color="auto" w:sz="4" w:space="0"/>
            </w:tcBorders>
            <w:vAlign w:val="center"/>
          </w:tcPr>
          <w:p>
            <w:pPr>
              <w:spacing w:line="400" w:lineRule="exact"/>
              <w:jc w:val="left"/>
              <w:rPr>
                <w:rFonts w:ascii="宋体" w:hAnsi="宋体"/>
                <w:sz w:val="24"/>
              </w:rPr>
            </w:pPr>
            <w:r>
              <w:rPr>
                <w:rFonts w:hint="eastAsia" w:ascii="宋体" w:hAnsi="宋体"/>
                <w:sz w:val="24"/>
              </w:rPr>
              <w:t>企业统一社会信用代码</w:t>
            </w:r>
          </w:p>
        </w:tc>
        <w:tc>
          <w:tcPr>
            <w:tcW w:w="8424" w:type="dxa"/>
            <w:gridSpan w:val="5"/>
            <w:tcBorders>
              <w:bottom w:val="single" w:color="auto" w:sz="4" w:space="0"/>
            </w:tcBorders>
            <w:vAlign w:val="center"/>
          </w:tcPr>
          <w:p>
            <w:pPr>
              <w:spacing w:line="360" w:lineRule="auto"/>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05" w:type="dxa"/>
            <w:vMerge w:val="continue"/>
            <w:vAlign w:val="center"/>
          </w:tcPr>
          <w:p>
            <w:pPr>
              <w:spacing w:line="360" w:lineRule="auto"/>
              <w:jc w:val="center"/>
              <w:rPr>
                <w:rFonts w:ascii="宋体" w:hAnsi="宋体"/>
                <w:sz w:val="24"/>
              </w:rP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rPr>
            </w:pPr>
            <w:r>
              <w:rPr>
                <w:rFonts w:hint="eastAsia" w:ascii="宋体" w:hAnsi="宋体"/>
                <w:sz w:val="24"/>
              </w:rPr>
              <w:t>法人姓名</w:t>
            </w:r>
          </w:p>
        </w:tc>
        <w:tc>
          <w:tcPr>
            <w:tcW w:w="8424" w:type="dxa"/>
            <w:gridSpan w:val="5"/>
            <w:tcBorders>
              <w:top w:val="single" w:color="auto" w:sz="8" w:space="0"/>
            </w:tcBorders>
            <w:vAlign w:val="center"/>
          </w:tcPr>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spacing w:line="360" w:lineRule="auto"/>
              <w:jc w:val="cente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rPr>
            </w:pPr>
            <w:r>
              <w:rPr>
                <w:rFonts w:hint="eastAsia" w:ascii="宋体" w:hAnsi="宋体"/>
                <w:sz w:val="24"/>
              </w:rPr>
              <w:t>身份证号码</w:t>
            </w:r>
          </w:p>
        </w:tc>
        <w:tc>
          <w:tcPr>
            <w:tcW w:w="8424" w:type="dxa"/>
            <w:gridSpan w:val="5"/>
            <w:tcBorders>
              <w:bottom w:val="single" w:color="auto" w:sz="4" w:space="0"/>
            </w:tcBorders>
            <w:vAlign w:val="center"/>
          </w:tcPr>
          <w:tbl>
            <w:tblPr>
              <w:tblStyle w:val="24"/>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r>
          </w:tbl>
          <w:p>
            <w:pPr>
              <w:spacing w:line="360"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b/>
                <w:bCs/>
                <w:sz w:val="24"/>
              </w:rPr>
            </w:pPr>
            <w:r>
              <w:rPr>
                <w:rFonts w:hint="eastAsia" w:ascii="宋体" w:hAnsi="宋体"/>
                <w:sz w:val="24"/>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sz w:val="24"/>
              </w:rPr>
            </w:pPr>
            <w:r>
              <w:rPr>
                <w:rFonts w:hint="eastAsia" w:ascii="宋体" w:hAnsi="宋体"/>
                <w:sz w:val="24"/>
              </w:rPr>
              <w:t>联系电话</w:t>
            </w:r>
          </w:p>
        </w:tc>
        <w:tc>
          <w:tcPr>
            <w:tcW w:w="314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bCs/>
                <w:sz w:val="24"/>
              </w:rPr>
            </w:pPr>
            <w:r>
              <w:rPr>
                <w:rFonts w:hint="eastAsia" w:ascii="宋体" w:hAnsi="宋体" w:cs="宋体"/>
                <w:kern w:val="0"/>
                <w:sz w:val="24"/>
              </w:rPr>
              <w:t>申请查询企业信用信息事由及用途</w:t>
            </w:r>
          </w:p>
        </w:tc>
        <w:tc>
          <w:tcPr>
            <w:tcW w:w="8424"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s="宋体"/>
                <w:kern w:val="0"/>
                <w:sz w:val="24"/>
              </w:rPr>
            </w:pPr>
            <w:r>
              <w:rPr>
                <w:rFonts w:hint="eastAsia" w:ascii="宋体" w:hAnsi="宋体" w:cs="宋体"/>
                <w:kern w:val="0"/>
                <w:sz w:val="24"/>
              </w:rPr>
              <w:t>□办理相关业务。</w:t>
            </w:r>
          </w:p>
          <w:p>
            <w:pPr>
              <w:spacing w:line="360" w:lineRule="auto"/>
              <w:jc w:val="left"/>
              <w:rPr>
                <w:rFonts w:ascii="宋体" w:hAnsi="宋体"/>
                <w:bCs/>
                <w:sz w:val="24"/>
              </w:rPr>
            </w:pPr>
            <w:r>
              <w:rPr>
                <w:rFonts w:hint="eastAsia" w:ascii="宋体" w:hAnsi="宋体" w:cs="宋体"/>
                <w:kern w:val="0"/>
                <w:sz w:val="24"/>
              </w:rPr>
              <w:t>□</w:t>
            </w:r>
            <w:r>
              <w:rPr>
                <w:rFonts w:hint="eastAsia" w:ascii="宋体" w:hAnsi="宋体"/>
                <w:sz w:val="24"/>
              </w:rPr>
              <w:t>其他</w:t>
            </w:r>
            <w:r>
              <w:rPr>
                <w:rFonts w:hint="eastAsia" w:ascii="宋体" w:hAnsi="宋体" w:cs="宋体"/>
                <w:kern w:val="0"/>
                <w:sz w:val="24"/>
                <w:u w:val="single"/>
              </w:rPr>
              <w:t xml:space="preserve">                                             　　　 </w:t>
            </w:r>
            <w:r>
              <w:rPr>
                <w:rFonts w:hint="eastAsia" w:ascii="宋体" w:hAnsi="宋体" w:cs="宋体"/>
                <w:kern w:val="0"/>
                <w:sz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0827"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ind w:firstLine="5570" w:firstLineChars="2321"/>
              <w:rPr>
                <w:rFonts w:ascii="宋体" w:hAnsi="宋体"/>
                <w:sz w:val="24"/>
              </w:rPr>
            </w:pPr>
          </w:p>
          <w:p>
            <w:pPr>
              <w:spacing w:line="360" w:lineRule="auto"/>
              <w:jc w:val="right"/>
              <w:rPr>
                <w:rFonts w:ascii="宋体" w:hAnsi="宋体"/>
                <w:bCs/>
                <w:sz w:val="24"/>
              </w:rPr>
            </w:pPr>
            <w:r>
              <w:rPr>
                <w:rFonts w:hint="eastAsia" w:ascii="宋体" w:hAnsi="宋体"/>
                <w:sz w:val="24"/>
              </w:rPr>
              <w:t>申请人签名：</w:t>
            </w:r>
            <w:r>
              <w:rPr>
                <w:rFonts w:hint="eastAsia" w:ascii="宋体" w:hAnsi="宋体"/>
                <w:bCs/>
                <w:sz w:val="24"/>
              </w:rPr>
              <w:t xml:space="preserve">                       年      月    日</w:t>
            </w:r>
          </w:p>
          <w:p>
            <w:pPr>
              <w:spacing w:line="360" w:lineRule="auto"/>
              <w:jc w:val="right"/>
              <w:rPr>
                <w:rFonts w:ascii="宋体" w:hAnsi="宋体"/>
                <w:bCs/>
                <w:sz w:val="24"/>
              </w:rPr>
            </w:pPr>
          </w:p>
          <w:p>
            <w:pPr>
              <w:spacing w:line="360" w:lineRule="auto"/>
              <w:ind w:firstLine="4560" w:firstLineChars="1900"/>
              <w:rPr>
                <w:rFonts w:ascii="宋体" w:hAnsi="宋体" w:cs="宋体"/>
                <w:kern w:val="0"/>
                <w:sz w:val="24"/>
              </w:rPr>
            </w:pPr>
            <w:r>
              <w:rPr>
                <w:rFonts w:hint="eastAsia" w:ascii="宋体" w:hAnsi="宋体"/>
                <w:bCs/>
                <w:sz w:val="24"/>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rPr>
            </w:pPr>
            <w:r>
              <w:rPr>
                <w:rFonts w:hint="eastAsia" w:ascii="宋体" w:hAnsi="宋体" w:cs="宋体"/>
                <w:kern w:val="0"/>
                <w:sz w:val="24"/>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rPr>
            </w:pPr>
          </w:p>
        </w:tc>
        <w:tc>
          <w:tcPr>
            <w:tcW w:w="1513"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rPr>
            </w:pPr>
            <w:r>
              <w:rPr>
                <w:rFonts w:hint="eastAsia" w:ascii="宋体" w:hAnsi="宋体" w:cs="宋体"/>
                <w:kern w:val="0"/>
                <w:sz w:val="24"/>
              </w:rPr>
              <w:t>审核人意见：</w:t>
            </w:r>
          </w:p>
        </w:tc>
        <w:tc>
          <w:tcPr>
            <w:tcW w:w="3437"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签名：</w:t>
            </w:r>
          </w:p>
        </w:tc>
      </w:tr>
    </w:tbl>
    <w:p>
      <w:pPr>
        <w:spacing w:line="0" w:lineRule="atLeast"/>
        <w:rPr>
          <w:rFonts w:ascii="宋体" w:hAnsi="宋体"/>
          <w:b/>
          <w:szCs w:val="21"/>
        </w:rPr>
      </w:pPr>
      <w:r>
        <w:rPr>
          <w:rFonts w:hint="eastAsia" w:ascii="宋体" w:hAnsi="宋体"/>
          <w:b/>
          <w:szCs w:val="21"/>
        </w:rPr>
        <w:t xml:space="preserve">　　　　　　　　　　　　　　　　　　　　 </w:t>
      </w:r>
    </w:p>
    <w:p>
      <w:pPr>
        <w:spacing w:line="0" w:lineRule="atLeast"/>
        <w:rPr>
          <w:rFonts w:ascii="宋体" w:hAnsi="宋体"/>
          <w:szCs w:val="21"/>
        </w:rPr>
      </w:pPr>
    </w:p>
    <w:p>
      <w:pPr>
        <w:spacing w:line="0" w:lineRule="atLeast"/>
        <w:rPr>
          <w:rFonts w:ascii="宋体" w:hAnsi="宋体"/>
          <w:szCs w:val="21"/>
          <w:lang w:val="zh-CN"/>
        </w:rPr>
      </w:pPr>
      <w:r>
        <w:rPr>
          <w:rFonts w:hint="eastAsia" w:ascii="宋体" w:hAnsi="宋体"/>
          <w:b/>
          <w:szCs w:val="21"/>
        </w:rPr>
        <w:t>注：</w:t>
      </w:r>
      <w:r>
        <w:rPr>
          <w:rFonts w:hint="eastAsia" w:ascii="宋体" w:hAnsi="宋体"/>
          <w:szCs w:val="21"/>
        </w:rPr>
        <w:t>1.请</w:t>
      </w:r>
      <w:r>
        <w:rPr>
          <w:rFonts w:hint="eastAsia" w:ascii="宋体" w:hAnsi="宋体"/>
          <w:szCs w:val="21"/>
          <w:lang w:val="zh-CN"/>
        </w:rPr>
        <w:t>如实、完整地填写有关内容。</w:t>
      </w:r>
    </w:p>
    <w:p>
      <w:pPr>
        <w:spacing w:line="0" w:lineRule="atLeast"/>
        <w:ind w:firstLine="420"/>
        <w:rPr>
          <w:rFonts w:ascii="宋体" w:hAnsi="宋体"/>
          <w:szCs w:val="21"/>
          <w:lang w:val="zh-CN"/>
        </w:rPr>
      </w:pPr>
      <w:r>
        <w:rPr>
          <w:rFonts w:hint="eastAsia" w:ascii="宋体" w:hAnsi="宋体"/>
          <w:szCs w:val="21"/>
        </w:rPr>
        <w:t>2.</w:t>
      </w:r>
      <w:r>
        <w:rPr>
          <w:rFonts w:hint="eastAsia" w:ascii="宋体" w:hAnsi="宋体"/>
          <w:szCs w:val="21"/>
          <w:lang w:val="zh-CN"/>
        </w:rPr>
        <w:t>请使用黑色钢笔、中性笔签字。</w:t>
      </w:r>
    </w:p>
    <w:p>
      <w:pPr>
        <w:spacing w:line="0" w:lineRule="atLeast"/>
        <w:ind w:firstLine="560" w:firstLineChars="200"/>
        <w:rPr>
          <w:rFonts w:ascii="宋体" w:hAnsi="宋体"/>
          <w:szCs w:val="21"/>
          <w:lang w:val="zh-CN"/>
        </w:rPr>
      </w:pPr>
      <w:r>
        <w:rPr>
          <w:rFonts w:hint="eastAsia" w:ascii="宋体" w:hAnsi="宋体"/>
          <w:szCs w:val="21"/>
        </w:rPr>
        <w:t>3.</w:t>
      </w:r>
      <w:r>
        <w:rPr>
          <w:rFonts w:hint="eastAsia" w:ascii="宋体" w:hAnsi="宋体"/>
          <w:szCs w:val="21"/>
          <w:lang w:val="zh-CN"/>
        </w:rPr>
        <w:t>受理查询后</w:t>
      </w:r>
      <w:r>
        <w:rPr>
          <w:rFonts w:hint="eastAsia" w:ascii="宋体" w:hAnsi="宋体"/>
          <w:szCs w:val="21"/>
        </w:rPr>
        <w:t>5个工作日</w:t>
      </w:r>
      <w:r>
        <w:rPr>
          <w:rFonts w:hint="eastAsia" w:ascii="宋体" w:hAnsi="宋体"/>
          <w:szCs w:val="21"/>
          <w:lang w:val="zh-CN"/>
        </w:rPr>
        <w:t>提供所申请的企业信用信息情况。</w:t>
      </w:r>
    </w:p>
    <w:p>
      <w:pPr>
        <w:spacing w:line="0" w:lineRule="atLeast"/>
        <w:rPr>
          <w:rFonts w:ascii="宋体" w:hAnsi="宋体"/>
          <w:szCs w:val="21"/>
          <w:lang w:val="zh-CN"/>
        </w:rPr>
      </w:pPr>
    </w:p>
    <w:p>
      <w:pPr>
        <w:pStyle w:val="2"/>
        <w:rPr>
          <w:rFonts w:ascii="宋体" w:hAnsi="宋体"/>
          <w:szCs w:val="21"/>
          <w:lang w:val="zh-CN"/>
        </w:rPr>
      </w:pPr>
    </w:p>
    <w:p>
      <w:pPr>
        <w:pStyle w:val="2"/>
        <w:rPr>
          <w:rFonts w:ascii="宋体" w:hAnsi="宋体"/>
          <w:szCs w:val="21"/>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sz w:val="36"/>
          <w:szCs w:val="36"/>
        </w:rPr>
      </w:pPr>
      <w:r>
        <w:rPr>
          <w:rFonts w:hint="eastAsia" w:ascii="黑体" w:hAnsi="华文中宋" w:eastAsia="黑体"/>
          <w:b/>
          <w:sz w:val="32"/>
          <w:szCs w:val="32"/>
        </w:rPr>
        <w:t>鄂托克前旗社会信用管理中心制表</w:t>
      </w:r>
    </w:p>
    <w:p>
      <w:pPr>
        <w:autoSpaceDE w:val="0"/>
        <w:autoSpaceDN w:val="0"/>
        <w:spacing w:line="500" w:lineRule="exact"/>
        <w:ind w:firstLine="480" w:firstLineChars="200"/>
        <w:rPr>
          <w:rFonts w:ascii="宋体" w:hAnsi="宋体"/>
          <w:color w:val="000000"/>
          <w:sz w:val="24"/>
          <w:szCs w:val="24"/>
        </w:rPr>
      </w:pPr>
    </w:p>
    <w:p>
      <w:pPr>
        <w:autoSpaceDE w:val="0"/>
        <w:autoSpaceDN w:val="0"/>
        <w:spacing w:line="500" w:lineRule="exact"/>
        <w:ind w:firstLine="480" w:firstLineChars="200"/>
        <w:rPr>
          <w:rFonts w:ascii="宋体" w:hAnsi="宋体"/>
          <w:b/>
          <w:bCs/>
          <w:kern w:val="0"/>
          <w:sz w:val="24"/>
          <w:szCs w:val="24"/>
        </w:rPr>
      </w:pPr>
      <w:r>
        <w:rPr>
          <w:rFonts w:hint="eastAsia" w:ascii="宋体" w:hAnsi="宋体"/>
          <w:sz w:val="24"/>
          <w:szCs w:val="24"/>
        </w:rPr>
        <w:t>供应商须在投标文件中提供企业工商注册所在地或项目所在地信用管理中心出具的《信用信息查询结果》且在有效期范围内（注：鄂托克前旗社会信用管理中心：地址．鄂托克前旗城川镇综合办公楼7003房间；　电话：0477-7625899）。</w:t>
      </w:r>
    </w:p>
    <w:p>
      <w:pPr>
        <w:autoSpaceDE w:val="0"/>
        <w:autoSpaceDN w:val="0"/>
        <w:spacing w:line="500" w:lineRule="exact"/>
        <w:rPr>
          <w:rFonts w:ascii="宋体" w:hAnsi="宋体"/>
          <w:sz w:val="24"/>
          <w:szCs w:val="24"/>
        </w:rPr>
      </w:pPr>
      <w:r>
        <w:rPr>
          <w:rFonts w:hint="eastAsia" w:ascii="宋体" w:hAnsi="宋体"/>
          <w:sz w:val="24"/>
          <w:szCs w:val="24"/>
        </w:rPr>
        <w:t>办理步骤：</w:t>
      </w:r>
    </w:p>
    <w:p>
      <w:pPr>
        <w:autoSpaceDE w:val="0"/>
        <w:autoSpaceDN w:val="0"/>
        <w:spacing w:line="500" w:lineRule="exact"/>
        <w:rPr>
          <w:rFonts w:ascii="宋体" w:hAnsi="宋体"/>
          <w:sz w:val="24"/>
          <w:szCs w:val="24"/>
        </w:rPr>
      </w:pPr>
      <w:r>
        <w:rPr>
          <w:rFonts w:hint="eastAsia" w:ascii="宋体" w:hAnsi="宋体"/>
          <w:sz w:val="24"/>
          <w:szCs w:val="24"/>
        </w:rPr>
        <w:t>1.营业执照彩色扫描件jpeg图片格式。（必须能够清楚的分辨统一社会信用代码以及企业名称）。</w:t>
      </w:r>
    </w:p>
    <w:p>
      <w:pPr>
        <w:autoSpaceDE w:val="0"/>
        <w:autoSpaceDN w:val="0"/>
        <w:spacing w:line="500" w:lineRule="exact"/>
        <w:rPr>
          <w:rFonts w:ascii="宋体" w:hAnsi="宋体"/>
          <w:sz w:val="24"/>
          <w:szCs w:val="24"/>
        </w:rPr>
      </w:pPr>
      <w:r>
        <w:rPr>
          <w:rFonts w:hint="eastAsia" w:ascii="宋体" w:hAnsi="宋体"/>
          <w:sz w:val="24"/>
          <w:szCs w:val="24"/>
        </w:rPr>
        <w:t>2.法人身份证彩色扫描件jpeg图片格式（A4纸，正反面左右对齐，必须能够清楚的分辨出身份证及姓名）。</w:t>
      </w:r>
    </w:p>
    <w:p>
      <w:pPr>
        <w:autoSpaceDE w:val="0"/>
        <w:autoSpaceDN w:val="0"/>
        <w:spacing w:line="500" w:lineRule="exact"/>
        <w:rPr>
          <w:rFonts w:ascii="宋体" w:hAnsi="宋体"/>
          <w:sz w:val="24"/>
          <w:szCs w:val="24"/>
        </w:rPr>
      </w:pPr>
      <w:r>
        <w:rPr>
          <w:rFonts w:hint="eastAsia" w:ascii="宋体" w:hAnsi="宋体"/>
          <w:sz w:val="24"/>
          <w:szCs w:val="24"/>
        </w:rPr>
        <w:t>3.鄂托克前旗企业信用信息查询申请表盖章彩色扫描件jpeg图片格式。</w:t>
      </w:r>
    </w:p>
    <w:p>
      <w:pPr>
        <w:autoSpaceDE w:val="0"/>
        <w:autoSpaceDN w:val="0"/>
        <w:spacing w:line="500" w:lineRule="exact"/>
        <w:rPr>
          <w:rFonts w:ascii="宋体" w:hAnsi="宋体"/>
          <w:sz w:val="24"/>
          <w:szCs w:val="24"/>
        </w:rPr>
      </w:pPr>
      <w:r>
        <w:rPr>
          <w:rFonts w:hint="eastAsia" w:ascii="宋体" w:hAnsi="宋体"/>
          <w:sz w:val="24"/>
          <w:szCs w:val="24"/>
        </w:rPr>
        <w:t xml:space="preserve">申请材料发送到  </w:t>
      </w:r>
      <w:r>
        <w:fldChar w:fldCharType="begin"/>
      </w:r>
      <w:r>
        <w:instrText xml:space="preserve"> HYPERLINK "mailto:eqqfgjxyglzx@163.com" </w:instrText>
      </w:r>
      <w:r>
        <w:fldChar w:fldCharType="separate"/>
      </w:r>
      <w:r>
        <w:rPr>
          <w:rStyle w:val="30"/>
          <w:rFonts w:hint="eastAsia" w:ascii="宋体" w:hAnsi="宋体"/>
          <w:sz w:val="24"/>
          <w:szCs w:val="24"/>
        </w:rPr>
        <w:t>eqqfgjxyglzx@163.com</w:t>
      </w:r>
      <w:r>
        <w:rPr>
          <w:rStyle w:val="30"/>
          <w:rFonts w:hint="eastAsia" w:ascii="宋体" w:hAnsi="宋体"/>
          <w:sz w:val="24"/>
          <w:szCs w:val="24"/>
        </w:rPr>
        <w:fldChar w:fldCharType="end"/>
      </w:r>
    </w:p>
    <w:p>
      <w:pPr>
        <w:pStyle w:val="2"/>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bCs/>
          <w:color w:val="000000"/>
          <w:sz w:val="30"/>
          <w:szCs w:val="30"/>
        </w:rPr>
      </w:pPr>
      <w:r>
        <w:rPr>
          <w:rFonts w:ascii="宋体" w:hAnsi="宋体"/>
          <w:b/>
          <w:bCs/>
          <w:color w:val="000000"/>
          <w:kern w:val="0"/>
          <w:sz w:val="24"/>
          <w:szCs w:val="24"/>
        </w:rPr>
        <w:br w:type="page"/>
      </w:r>
      <w:r>
        <w:rPr>
          <w:rFonts w:hint="eastAsia" w:ascii="宋体" w:hAnsi="宋体"/>
          <w:b/>
          <w:bCs/>
          <w:color w:val="000000"/>
          <w:sz w:val="30"/>
          <w:szCs w:val="30"/>
        </w:rPr>
        <w:t>二、查询记录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2" w:firstLineChars="200"/>
        <w:rPr>
          <w:rFonts w:ascii="宋体" w:hAnsi="宋体"/>
          <w:b/>
          <w:bCs/>
          <w:color w:val="000000"/>
          <w:sz w:val="30"/>
          <w:szCs w:val="30"/>
        </w:rPr>
      </w:pPr>
      <w:r>
        <w:rPr>
          <w:rFonts w:hint="eastAsia" w:ascii="宋体" w:hAnsi="宋体"/>
          <w:b/>
          <w:bCs/>
          <w:color w:val="000000"/>
          <w:sz w:val="30"/>
          <w:szCs w:val="30"/>
        </w:rPr>
        <w:t>供应商需登录“中国政府采购网”网站（www.ccgp.gov.cn）查询，并提供近一个月内的任意一天的查询截图。</w:t>
      </w:r>
    </w:p>
    <w:p>
      <w:pPr>
        <w:autoSpaceDE w:val="0"/>
        <w:autoSpaceDN w:val="0"/>
        <w:spacing w:line="500" w:lineRule="exact"/>
        <w:rPr>
          <w:rFonts w:ascii="宋体" w:hAnsi="宋体"/>
          <w:sz w:val="24"/>
          <w:szCs w:val="24"/>
          <w:u w:val="single"/>
        </w:rPr>
      </w:pPr>
      <w:r>
        <w:rPr>
          <w:rFonts w:hint="eastAsia" w:ascii="宋体" w:hAnsi="宋体"/>
          <w:bCs/>
          <w:color w:val="000000"/>
          <w:kern w:val="0"/>
          <w:sz w:val="24"/>
          <w:szCs w:val="24"/>
          <w:lang w:val="zh-CN"/>
        </w:rPr>
        <w:t>说明：</w:t>
      </w:r>
      <w:r>
        <w:rPr>
          <w:rFonts w:hint="eastAsia" w:ascii="宋体" w:hAnsi="宋体" w:cs="宋体"/>
          <w:bCs/>
          <w:kern w:val="36"/>
          <w:sz w:val="24"/>
          <w:szCs w:val="24"/>
        </w:rPr>
        <w:t>如有不提供、失效的、弄虚作假等行为的，评标委员会有权否决其投标资格</w:t>
      </w:r>
    </w:p>
    <w:p>
      <w:pPr>
        <w:autoSpaceDE w:val="0"/>
        <w:autoSpaceDN w:val="0"/>
        <w:spacing w:line="360" w:lineRule="auto"/>
        <w:rPr>
          <w:rFonts w:ascii="宋体" w:hAnsi="宋体"/>
          <w:b/>
          <w:bCs/>
          <w:color w:val="000000"/>
          <w:kern w:val="0"/>
          <w:sz w:val="24"/>
          <w:szCs w:val="24"/>
          <w:lang w:val="zh-CN"/>
        </w:rPr>
      </w:pPr>
      <w:r>
        <w:rPr>
          <w:rFonts w:hint="eastAsia" w:ascii="宋体" w:hAnsi="宋体"/>
          <w:b/>
          <w:bCs/>
          <w:color w:val="000000"/>
          <w:kern w:val="0"/>
          <w:sz w:val="24"/>
          <w:szCs w:val="24"/>
          <w:lang w:val="zh-CN"/>
        </w:rPr>
        <w:br w:type="page"/>
      </w:r>
    </w:p>
    <w:p>
      <w:pPr>
        <w:autoSpaceDE w:val="0"/>
        <w:autoSpaceDN w:val="0"/>
        <w:spacing w:line="360" w:lineRule="auto"/>
        <w:rPr>
          <w:rFonts w:ascii="宋体" w:hAnsi="宋体"/>
          <w:b/>
          <w:bCs/>
          <w:color w:val="000000"/>
          <w:kern w:val="0"/>
          <w:sz w:val="24"/>
          <w:szCs w:val="24"/>
          <w:lang w:val="zh-CN"/>
        </w:rPr>
      </w:pPr>
      <w:r>
        <w:rPr>
          <w:rFonts w:hint="eastAsia" w:ascii="宋体" w:hAnsi="宋体"/>
          <w:b/>
          <w:bCs/>
          <w:color w:val="000000"/>
          <w:kern w:val="0"/>
          <w:sz w:val="24"/>
          <w:szCs w:val="24"/>
          <w:lang w:val="zh-CN"/>
        </w:rPr>
        <w:t>格式二十一：</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十九、政府采购政策情况表</w:t>
      </w:r>
    </w:p>
    <w:tbl>
      <w:tblPr>
        <w:tblStyle w:val="2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shd w:val="clear" w:color="auto" w:fill="auto"/>
            <w:vAlign w:val="center"/>
          </w:tcPr>
          <w:p>
            <w:pPr>
              <w:pStyle w:val="55"/>
              <w:tabs>
                <w:tab w:val="left" w:pos="1260"/>
              </w:tabs>
              <w:spacing w:before="156" w:after="156"/>
              <w:rPr>
                <w:rFonts w:ascii="宋体" w:hAnsi="宋体" w:cs="宋体"/>
                <w:kern w:val="0"/>
                <w:sz w:val="24"/>
              </w:rPr>
            </w:pPr>
            <w:r>
              <w:rPr>
                <w:rFonts w:hint="eastAsia" w:ascii="宋体" w:hAnsi="宋体" w:cs="宋体"/>
                <w:kern w:val="0"/>
                <w:sz w:val="24"/>
              </w:rPr>
              <w:t>中小企业扶持政策</w:t>
            </w:r>
          </w:p>
        </w:tc>
        <w:tc>
          <w:tcPr>
            <w:tcW w:w="7898" w:type="dxa"/>
            <w:shd w:val="clear" w:color="auto" w:fill="auto"/>
            <w:vAlign w:val="center"/>
          </w:tcPr>
          <w:p>
            <w:pPr>
              <w:pStyle w:val="55"/>
              <w:tabs>
                <w:tab w:val="left" w:pos="1260"/>
              </w:tabs>
              <w:spacing w:before="40" w:after="40" w:line="360" w:lineRule="auto"/>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小微企业</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中小企业声明函</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5"/>
              <w:tabs>
                <w:tab w:val="left" w:pos="1260"/>
              </w:tabs>
              <w:spacing w:before="156" w:after="156"/>
              <w:rPr>
                <w:rFonts w:ascii="宋体" w:hAnsi="宋体" w:cs="宋体"/>
                <w:kern w:val="0"/>
                <w:sz w:val="24"/>
              </w:rPr>
            </w:pPr>
            <w:r>
              <w:rPr>
                <w:rFonts w:ascii="宋体" w:hAnsi="宋体" w:cs="宋体"/>
                <w:kern w:val="0"/>
                <w:sz w:val="24"/>
              </w:rPr>
              <w:t>监狱企业</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5"/>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5"/>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5"/>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r>
        <w:rPr>
          <w:rFonts w:hint="eastAsia"/>
          <w:sz w:val="24"/>
        </w:rPr>
        <w:t>填报要求：</w:t>
      </w:r>
      <w:r>
        <w:rPr>
          <w:rFonts w:hint="eastAsia" w:ascii="宋体" w:hAnsi="宋体" w:cs="宋体"/>
          <w:kern w:val="0"/>
          <w:sz w:val="24"/>
        </w:rPr>
        <w:t>如属所列情形的，请在括号内打“√”</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
          <w:bCs/>
          <w:sz w:val="24"/>
        </w:rPr>
      </w:pPr>
      <w:r>
        <w:rPr>
          <w:rFonts w:hint="eastAsia"/>
          <w:b/>
          <w:bCs/>
          <w:sz w:val="24"/>
        </w:rPr>
        <w:t>格式二十二：</w:t>
      </w:r>
    </w:p>
    <w:p>
      <w:pPr>
        <w:spacing w:line="588" w:lineRule="exact"/>
        <w:jc w:val="center"/>
        <w:rPr>
          <w:rFonts w:ascii="宋体" w:hAnsi="宋体" w:cs="宋体"/>
          <w:kern w:val="0"/>
          <w:sz w:val="24"/>
          <w:szCs w:val="24"/>
        </w:rPr>
      </w:pPr>
      <w:r>
        <w:rPr>
          <w:rFonts w:hint="eastAsia" w:ascii="宋体" w:hAnsi="宋体" w:cs="宋体"/>
          <w:kern w:val="0"/>
          <w:sz w:val="24"/>
          <w:szCs w:val="24"/>
        </w:rPr>
        <w:t>二十、中小企业声明函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68" w:name="OLE_LINK5"/>
      <w:bookmarkStart w:id="69" w:name="OLE_LINK2"/>
      <w:r>
        <w:rPr>
          <w:rFonts w:hint="eastAsia" w:ascii="宋体" w:hAnsi="宋体" w:cs="宋体"/>
          <w:kern w:val="0"/>
          <w:sz w:val="24"/>
          <w:szCs w:val="24"/>
        </w:rPr>
        <w:t>______（请填写：中型、小型、微型）企业</w:t>
      </w:r>
      <w:bookmarkEnd w:id="68"/>
      <w:bookmarkEnd w:id="69"/>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说明：供应商不按要求填写、盖章的将不享受中小微企业有关政策。</w:t>
      </w:r>
      <w:r>
        <w:rPr>
          <w:rFonts w:ascii="宋体" w:hAnsi="宋体" w:cs="宋体"/>
          <w:kern w:val="0"/>
          <w:sz w:val="24"/>
          <w:szCs w:val="24"/>
        </w:rPr>
        <w:br w:type="page"/>
      </w:r>
    </w:p>
    <w:p>
      <w:pPr>
        <w:spacing w:line="588" w:lineRule="exact"/>
        <w:rPr>
          <w:rFonts w:ascii="宋体" w:hAnsi="宋体"/>
          <w:b/>
          <w:bCs/>
          <w:color w:val="000000"/>
          <w:kern w:val="0"/>
          <w:sz w:val="24"/>
          <w:szCs w:val="24"/>
          <w:lang w:val="zh-CN"/>
        </w:rPr>
      </w:pPr>
      <w:r>
        <w:rPr>
          <w:rFonts w:hint="eastAsia" w:ascii="宋体" w:hAnsi="宋体"/>
          <w:b/>
          <w:bCs/>
          <w:color w:val="000000"/>
          <w:kern w:val="0"/>
          <w:sz w:val="24"/>
          <w:szCs w:val="24"/>
          <w:lang w:val="zh-CN"/>
        </w:rPr>
        <w:t>格式二十三：</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二十一、残疾人福利性单位声明函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rFonts w:hint="eastAsia"/>
          <w:sz w:val="24"/>
        </w:rPr>
        <w:t>说明：供应商不按要求填写、盖章的将不享受残疾人企业有关政策。</w:t>
      </w:r>
      <w:r>
        <w:rPr>
          <w:sz w:val="24"/>
        </w:rPr>
        <w:br w:type="page"/>
      </w:r>
    </w:p>
    <w:p>
      <w:pPr>
        <w:autoSpaceDE w:val="0"/>
        <w:autoSpaceDN w:val="0"/>
        <w:spacing w:line="360" w:lineRule="auto"/>
        <w:ind w:left="3132" w:hanging="3132" w:hangingChars="1300"/>
        <w:rPr>
          <w:rFonts w:ascii="宋体" w:hAnsi="宋体"/>
          <w:color w:val="000000"/>
          <w:sz w:val="24"/>
          <w:szCs w:val="24"/>
          <w:lang w:val="zh-CN"/>
        </w:rPr>
      </w:pPr>
      <w:r>
        <w:rPr>
          <w:rFonts w:hint="eastAsia" w:ascii="宋体" w:hAnsi="宋体"/>
          <w:b/>
          <w:bCs/>
          <w:color w:val="000000"/>
          <w:kern w:val="0"/>
          <w:sz w:val="24"/>
          <w:szCs w:val="24"/>
          <w:lang w:val="zh-CN"/>
        </w:rPr>
        <w:t>格式二十四：</w:t>
      </w:r>
      <w:r>
        <w:rPr>
          <w:rFonts w:ascii="宋体" w:hAnsi="宋体"/>
          <w:bCs/>
          <w:color w:val="000000"/>
          <w:kern w:val="0"/>
          <w:sz w:val="24"/>
          <w:szCs w:val="24"/>
          <w:lang w:val="zh-CN"/>
        </w:rPr>
        <w:br w:type="textWrapping"/>
      </w:r>
      <w:r>
        <w:rPr>
          <w:rFonts w:hint="eastAsia" w:ascii="宋体" w:hAnsi="宋体"/>
          <w:bCs/>
          <w:color w:val="000000"/>
          <w:kern w:val="0"/>
          <w:sz w:val="24"/>
          <w:szCs w:val="24"/>
          <w:lang w:val="zh-CN"/>
        </w:rPr>
        <w:t>二十二、</w:t>
      </w: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1.磋商文件要求提供的其他资料。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2650" w:firstLineChars="1100"/>
        <w:rPr>
          <w:rFonts w:ascii="宋体" w:hAnsi="宋体" w:eastAsia="宋体"/>
          <w:bCs w:val="0"/>
          <w:color w:val="000000"/>
          <w:kern w:val="2"/>
          <w:sz w:val="24"/>
          <w:szCs w:val="24"/>
          <w:lang w:val="en-US"/>
        </w:rPr>
      </w:pPr>
      <w:r>
        <w:rPr>
          <w:rFonts w:ascii="宋体" w:hAnsi="宋体" w:eastAsia="宋体"/>
          <w:bCs w:val="0"/>
          <w:color w:val="000000"/>
          <w:kern w:val="2"/>
          <w:sz w:val="24"/>
          <w:szCs w:val="24"/>
          <w:lang w:val="en-US"/>
        </w:rPr>
        <w:br w:type="page"/>
      </w:r>
    </w:p>
    <w:p>
      <w:pPr>
        <w:pStyle w:val="3"/>
        <w:keepNext w:val="0"/>
        <w:keepLines w:val="0"/>
        <w:spacing w:line="360" w:lineRule="auto"/>
        <w:rPr>
          <w:rFonts w:ascii="宋体" w:hAnsi="宋体"/>
          <w:color w:val="000000"/>
          <w:sz w:val="24"/>
          <w:szCs w:val="24"/>
        </w:rPr>
      </w:pPr>
      <w:bookmarkStart w:id="70" w:name="_Toc497408598"/>
      <w:bookmarkStart w:id="71" w:name="_Toc497290562"/>
      <w:r>
        <w:rPr>
          <w:rFonts w:hint="eastAsia" w:ascii="宋体" w:hAnsi="宋体"/>
          <w:color w:val="000000"/>
          <w:sz w:val="24"/>
          <w:szCs w:val="24"/>
        </w:rPr>
        <w:t>温馨提示</w:t>
      </w:r>
      <w:bookmarkEnd w:id="70"/>
      <w:bookmarkEnd w:id="71"/>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widowControl/>
        <w:jc w:val="left"/>
        <w:rPr>
          <w:rFonts w:ascii="宋体" w:hAnsi="宋体" w:cs="宋体"/>
          <w:kern w:val="0"/>
          <w:sz w:val="24"/>
          <w:szCs w:val="24"/>
          <w:lang w:bidi="ar"/>
        </w:rPr>
      </w:pPr>
    </w:p>
    <w:p>
      <w:pPr>
        <w:widowControl/>
        <w:jc w:val="left"/>
        <w:rPr>
          <w:rFonts w:ascii="宋体" w:hAnsi="宋体" w:cs="宋体"/>
          <w:kern w:val="0"/>
          <w:sz w:val="24"/>
          <w:szCs w:val="24"/>
          <w:lang w:bidi="ar"/>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请在编制响应文件前请认真阅读并理解磋商文件。现就容易导致废标或无效投标的条款特别提示如下：</w:t>
      </w:r>
      <w:r>
        <w:rPr>
          <w:rFonts w:hint="eastAsia" w:ascii="宋体" w:hAnsi="宋体" w:cs="宋体"/>
          <w:kern w:val="0"/>
          <w:sz w:val="24"/>
          <w:szCs w:val="24"/>
        </w:rPr>
        <w:br w:type="textWrapping"/>
      </w:r>
      <w:r>
        <w:rPr>
          <w:rFonts w:hint="eastAsia" w:ascii="宋体" w:hAnsi="宋体" w:cs="宋体"/>
          <w:kern w:val="0"/>
          <w:sz w:val="24"/>
          <w:szCs w:val="24"/>
        </w:rPr>
        <w:t>1. 及时查看投标项目的相关信息公告，如磋商公告、变更公告、废标公告等。</w:t>
      </w:r>
      <w:r>
        <w:rPr>
          <w:rFonts w:hint="eastAsia" w:ascii="宋体" w:hAnsi="宋体" w:cs="宋体"/>
          <w:kern w:val="0"/>
          <w:sz w:val="24"/>
          <w:szCs w:val="24"/>
        </w:rPr>
        <w:br w:type="textWrapping"/>
      </w:r>
      <w:r>
        <w:rPr>
          <w:rFonts w:hint="eastAsia" w:ascii="宋体" w:hAnsi="宋体" w:cs="宋体"/>
          <w:kern w:val="0"/>
          <w:sz w:val="24"/>
          <w:szCs w:val="24"/>
        </w:rPr>
        <w:t xml:space="preserve">2. 认真填写报名信息，在递交响应文件截止时间前核对保证金缴纳情况，若报名成功、       </w:t>
      </w:r>
    </w:p>
    <w:p>
      <w:pPr>
        <w:spacing w:line="588" w:lineRule="exact"/>
        <w:rPr>
          <w:rFonts w:ascii="宋体" w:hAnsi="宋体" w:cs="宋体"/>
          <w:kern w:val="0"/>
          <w:sz w:val="24"/>
          <w:szCs w:val="24"/>
          <w:lang w:bidi="ar"/>
        </w:rPr>
      </w:pPr>
      <w:r>
        <w:rPr>
          <w:rFonts w:hint="eastAsia" w:ascii="宋体" w:hAnsi="宋体" w:cs="宋体"/>
          <w:kern w:val="0"/>
          <w:sz w:val="24"/>
          <w:szCs w:val="24"/>
        </w:rPr>
        <w:t>保证金缴纳之后，如保证金状态仍显示“未缴纳”，请及时与我单位联系。</w:t>
      </w:r>
      <w:r>
        <w:rPr>
          <w:rFonts w:hint="eastAsia" w:ascii="宋体" w:hAnsi="宋体" w:cs="宋体"/>
          <w:kern w:val="0"/>
          <w:sz w:val="24"/>
          <w:szCs w:val="24"/>
        </w:rPr>
        <w:br w:type="textWrapping"/>
      </w:r>
      <w:r>
        <w:rPr>
          <w:rFonts w:hint="eastAsia" w:ascii="宋体" w:hAnsi="宋体" w:cs="宋体"/>
          <w:kern w:val="0"/>
          <w:sz w:val="24"/>
          <w:szCs w:val="24"/>
        </w:rPr>
        <w:t>3. 注意响应文件的密封、装订及签署、盖章，如项目分包，响应文件务必分包、分别编制。</w:t>
      </w:r>
      <w:r>
        <w:rPr>
          <w:rFonts w:hint="eastAsia" w:ascii="宋体" w:hAnsi="宋体" w:cs="宋体"/>
          <w:kern w:val="0"/>
          <w:sz w:val="24"/>
          <w:szCs w:val="24"/>
        </w:rPr>
        <w:br w:type="textWrapping"/>
      </w:r>
      <w:r>
        <w:rPr>
          <w:rFonts w:hint="eastAsia" w:ascii="宋体" w:hAnsi="宋体" w:cs="宋体"/>
          <w:kern w:val="0"/>
          <w:sz w:val="24"/>
          <w:szCs w:val="24"/>
        </w:rPr>
        <w:t>4. 注意《开标一览表》应单独密封、单独递交一份，用于唱标之用。</w:t>
      </w:r>
      <w:r>
        <w:rPr>
          <w:rFonts w:hint="eastAsia" w:ascii="宋体" w:hAnsi="宋体" w:cs="宋体"/>
          <w:kern w:val="0"/>
          <w:sz w:val="24"/>
          <w:szCs w:val="24"/>
        </w:rPr>
        <w:br w:type="textWrapping"/>
      </w:r>
      <w:r>
        <w:rPr>
          <w:rFonts w:hint="eastAsia" w:ascii="宋体" w:hAnsi="宋体" w:cs="宋体"/>
          <w:kern w:val="0"/>
          <w:sz w:val="24"/>
          <w:szCs w:val="24"/>
        </w:rPr>
        <w:t>5. 注意响应文件中相关证明材料的完整性及有效期限。</w:t>
      </w:r>
      <w:r>
        <w:rPr>
          <w:rFonts w:ascii="宋体" w:hAnsi="宋体" w:cs="宋体"/>
          <w:kern w:val="0"/>
          <w:sz w:val="24"/>
          <w:szCs w:val="24"/>
          <w:lang w:bidi="ar"/>
        </w:rPr>
        <w:br w:type="textWrapping"/>
      </w:r>
    </w:p>
    <w:p>
      <w:pPr>
        <w:widowControl/>
        <w:spacing w:line="360" w:lineRule="auto"/>
        <w:ind w:firstLine="480"/>
        <w:jc w:val="left"/>
        <w:rPr>
          <w:rFonts w:ascii="宋体" w:hAnsi="宋体" w:cs="宋体"/>
          <w:kern w:val="0"/>
          <w:sz w:val="24"/>
          <w:szCs w:val="24"/>
          <w:lang w:bidi="ar"/>
        </w:rPr>
      </w:pPr>
    </w:p>
    <w:p>
      <w:pPr>
        <w:pStyle w:val="3"/>
        <w:keepNext w:val="0"/>
        <w:keepLines w:val="0"/>
        <w:spacing w:line="360" w:lineRule="auto"/>
        <w:jc w:val="both"/>
        <w:rPr>
          <w:sz w:val="24"/>
          <w:szCs w:val="24"/>
          <w:lang w:val="en-US"/>
        </w:rPr>
      </w:pPr>
      <w:r>
        <w:rPr>
          <w:rFonts w:ascii="宋体" w:hAnsi="宋体" w:cs="宋体"/>
          <w:kern w:val="0"/>
          <w:sz w:val="24"/>
          <w:szCs w:val="24"/>
          <w:lang w:val="en-US" w:bidi="ar"/>
        </w:rPr>
        <w:t>请各供应商严格遵守《中华人民共和国政府采购法》及其条例，如出现违法、违规行为，将承担响应法律责任。</w:t>
      </w:r>
    </w:p>
    <w:sectPr>
      <w:headerReference r:id="rId3" w:type="default"/>
      <w:footerReference r:id="rId4" w:type="default"/>
      <w:pgSz w:w="11906" w:h="16838"/>
      <w:pgMar w:top="737" w:right="1247" w:bottom="737" w:left="1247"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010743"/>
    </w:sdtPr>
    <w:sdtContent>
      <w:p>
        <w:pPr>
          <w:pStyle w:val="18"/>
          <w:jc w:val="center"/>
        </w:pPr>
        <w:r>
          <w:fldChar w:fldCharType="begin"/>
        </w:r>
        <w:r>
          <w:instrText xml:space="preserve">PAGE   \* MERGEFORMAT</w:instrText>
        </w:r>
        <w:r>
          <w:fldChar w:fldCharType="separate"/>
        </w:r>
        <w:r>
          <w:rPr>
            <w:lang w:val="zh-CN"/>
          </w:rPr>
          <w:t>58</w:t>
        </w:r>
        <w:r>
          <w:rPr>
            <w:lang w:val="zh-CN"/>
          </w:rPr>
          <w:fldChar w:fldCharType="end"/>
        </w:r>
      </w:p>
    </w:sdtContent>
  </w:sdt>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8"/>
      <w:lvlText w:val="%5)"/>
      <w:lvlJc w:val="left"/>
      <w:pPr>
        <w:tabs>
          <w:tab w:val="left" w:pos="2649"/>
        </w:tabs>
        <w:ind w:left="2649" w:hanging="420"/>
      </w:pPr>
    </w:lvl>
    <w:lvl w:ilvl="5" w:tentative="0">
      <w:start w:val="1"/>
      <w:numFmt w:val="lowerRoman"/>
      <w:pStyle w:val="9"/>
      <w:lvlText w:val="%6."/>
      <w:lvlJc w:val="right"/>
      <w:pPr>
        <w:tabs>
          <w:tab w:val="left" w:pos="3069"/>
        </w:tabs>
        <w:ind w:left="3069" w:hanging="420"/>
      </w:pPr>
    </w:lvl>
    <w:lvl w:ilvl="6" w:tentative="0">
      <w:start w:val="1"/>
      <w:numFmt w:val="decimal"/>
      <w:pStyle w:val="10"/>
      <w:lvlText w:val="%7."/>
      <w:lvlJc w:val="left"/>
      <w:pPr>
        <w:tabs>
          <w:tab w:val="left" w:pos="3489"/>
        </w:tabs>
        <w:ind w:left="3489" w:hanging="420"/>
      </w:pPr>
    </w:lvl>
    <w:lvl w:ilvl="7" w:tentative="0">
      <w:start w:val="1"/>
      <w:numFmt w:val="lowerLetter"/>
      <w:pStyle w:val="11"/>
      <w:lvlText w:val="%8)"/>
      <w:lvlJc w:val="left"/>
      <w:pPr>
        <w:tabs>
          <w:tab w:val="left" w:pos="3909"/>
        </w:tabs>
        <w:ind w:left="3909" w:hanging="420"/>
      </w:pPr>
    </w:lvl>
    <w:lvl w:ilvl="8" w:tentative="0">
      <w:start w:val="1"/>
      <w:numFmt w:val="lowerRoman"/>
      <w:pStyle w:val="12"/>
      <w:lvlText w:val="%9."/>
      <w:lvlJc w:val="right"/>
      <w:pPr>
        <w:tabs>
          <w:tab w:val="left" w:pos="4329"/>
        </w:tabs>
        <w:ind w:left="4329" w:hanging="420"/>
      </w:pPr>
    </w:lvl>
  </w:abstractNum>
  <w:abstractNum w:abstractNumId="1">
    <w:nsid w:val="03F74DEB"/>
    <w:multiLevelType w:val="singleLevel"/>
    <w:tmpl w:val="03F74DEB"/>
    <w:lvl w:ilvl="0" w:tentative="0">
      <w:start w:val="2"/>
      <w:numFmt w:val="chineseCounting"/>
      <w:lvlText w:val="%1."/>
      <w:lvlJc w:val="left"/>
      <w:pPr>
        <w:tabs>
          <w:tab w:val="left" w:pos="312"/>
        </w:tabs>
      </w:pPr>
      <w:rPr>
        <w:rFonts w:hint="eastAsia"/>
      </w:rPr>
    </w:lvl>
  </w:abstractNum>
  <w:abstractNum w:abstractNumId="2">
    <w:nsid w:val="38FA1E0F"/>
    <w:multiLevelType w:val="multilevel"/>
    <w:tmpl w:val="38FA1E0F"/>
    <w:lvl w:ilvl="0" w:tentative="0">
      <w:start w:val="1"/>
      <w:numFmt w:val="japaneseCounting"/>
      <w:lvlText w:val="第%1章"/>
      <w:lvlJc w:val="left"/>
      <w:pPr>
        <w:ind w:left="846" w:hanging="84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01"/>
    <w:rsid w:val="000019B5"/>
    <w:rsid w:val="00001E33"/>
    <w:rsid w:val="000037F2"/>
    <w:rsid w:val="0000526C"/>
    <w:rsid w:val="00005FCE"/>
    <w:rsid w:val="000064F9"/>
    <w:rsid w:val="00010FBE"/>
    <w:rsid w:val="000124B7"/>
    <w:rsid w:val="00015A02"/>
    <w:rsid w:val="00015B44"/>
    <w:rsid w:val="000217ED"/>
    <w:rsid w:val="00021C1D"/>
    <w:rsid w:val="00022CDF"/>
    <w:rsid w:val="00024348"/>
    <w:rsid w:val="00024DB1"/>
    <w:rsid w:val="000275BE"/>
    <w:rsid w:val="000277B6"/>
    <w:rsid w:val="00030745"/>
    <w:rsid w:val="000314D8"/>
    <w:rsid w:val="0003153C"/>
    <w:rsid w:val="00032217"/>
    <w:rsid w:val="00032340"/>
    <w:rsid w:val="00032A72"/>
    <w:rsid w:val="00032C24"/>
    <w:rsid w:val="00035A5E"/>
    <w:rsid w:val="00035AB0"/>
    <w:rsid w:val="0003623F"/>
    <w:rsid w:val="00040454"/>
    <w:rsid w:val="0004101F"/>
    <w:rsid w:val="0004149A"/>
    <w:rsid w:val="00042767"/>
    <w:rsid w:val="00043181"/>
    <w:rsid w:val="00044995"/>
    <w:rsid w:val="00044B0F"/>
    <w:rsid w:val="000501AD"/>
    <w:rsid w:val="000521B0"/>
    <w:rsid w:val="0005338C"/>
    <w:rsid w:val="000545A4"/>
    <w:rsid w:val="0005504F"/>
    <w:rsid w:val="000554EC"/>
    <w:rsid w:val="000555A7"/>
    <w:rsid w:val="000558A5"/>
    <w:rsid w:val="00060357"/>
    <w:rsid w:val="00060549"/>
    <w:rsid w:val="000629DD"/>
    <w:rsid w:val="00063168"/>
    <w:rsid w:val="0006359A"/>
    <w:rsid w:val="0006757D"/>
    <w:rsid w:val="00071A78"/>
    <w:rsid w:val="000750A4"/>
    <w:rsid w:val="00076D91"/>
    <w:rsid w:val="00077EEC"/>
    <w:rsid w:val="00082D2C"/>
    <w:rsid w:val="00083CDD"/>
    <w:rsid w:val="000841B6"/>
    <w:rsid w:val="00086144"/>
    <w:rsid w:val="00086FD7"/>
    <w:rsid w:val="00087037"/>
    <w:rsid w:val="00087150"/>
    <w:rsid w:val="000876AB"/>
    <w:rsid w:val="0008773A"/>
    <w:rsid w:val="000900FC"/>
    <w:rsid w:val="00090186"/>
    <w:rsid w:val="00090F39"/>
    <w:rsid w:val="000912B9"/>
    <w:rsid w:val="00091D78"/>
    <w:rsid w:val="0009262E"/>
    <w:rsid w:val="000944D7"/>
    <w:rsid w:val="00096C31"/>
    <w:rsid w:val="000971DF"/>
    <w:rsid w:val="0009744B"/>
    <w:rsid w:val="000A0964"/>
    <w:rsid w:val="000A0F1D"/>
    <w:rsid w:val="000A132A"/>
    <w:rsid w:val="000A1428"/>
    <w:rsid w:val="000A3313"/>
    <w:rsid w:val="000A5AB3"/>
    <w:rsid w:val="000A5DA4"/>
    <w:rsid w:val="000A5E27"/>
    <w:rsid w:val="000A6071"/>
    <w:rsid w:val="000B18EE"/>
    <w:rsid w:val="000B1DD4"/>
    <w:rsid w:val="000B2D92"/>
    <w:rsid w:val="000B4FD6"/>
    <w:rsid w:val="000B5551"/>
    <w:rsid w:val="000B57D8"/>
    <w:rsid w:val="000B7161"/>
    <w:rsid w:val="000C01A6"/>
    <w:rsid w:val="000C1341"/>
    <w:rsid w:val="000C19EE"/>
    <w:rsid w:val="000C3A16"/>
    <w:rsid w:val="000C3E86"/>
    <w:rsid w:val="000C4079"/>
    <w:rsid w:val="000C5C82"/>
    <w:rsid w:val="000C612E"/>
    <w:rsid w:val="000C6D84"/>
    <w:rsid w:val="000D02AA"/>
    <w:rsid w:val="000D0A17"/>
    <w:rsid w:val="000D17C6"/>
    <w:rsid w:val="000D515C"/>
    <w:rsid w:val="000D5C01"/>
    <w:rsid w:val="000D7557"/>
    <w:rsid w:val="000D7A79"/>
    <w:rsid w:val="000E15BD"/>
    <w:rsid w:val="000E51AB"/>
    <w:rsid w:val="000E550B"/>
    <w:rsid w:val="000E6319"/>
    <w:rsid w:val="000F082D"/>
    <w:rsid w:val="000F2095"/>
    <w:rsid w:val="000F333E"/>
    <w:rsid w:val="000F422E"/>
    <w:rsid w:val="000F4763"/>
    <w:rsid w:val="000F6D0F"/>
    <w:rsid w:val="001016F2"/>
    <w:rsid w:val="00103E0C"/>
    <w:rsid w:val="00104530"/>
    <w:rsid w:val="001066A5"/>
    <w:rsid w:val="00107117"/>
    <w:rsid w:val="0010792E"/>
    <w:rsid w:val="001117FE"/>
    <w:rsid w:val="00111FA5"/>
    <w:rsid w:val="00117038"/>
    <w:rsid w:val="00117F1A"/>
    <w:rsid w:val="00120A63"/>
    <w:rsid w:val="001246B6"/>
    <w:rsid w:val="001247E2"/>
    <w:rsid w:val="00126F44"/>
    <w:rsid w:val="00127E2F"/>
    <w:rsid w:val="00130354"/>
    <w:rsid w:val="00131C8E"/>
    <w:rsid w:val="00132AC3"/>
    <w:rsid w:val="00134349"/>
    <w:rsid w:val="00137FFA"/>
    <w:rsid w:val="00141011"/>
    <w:rsid w:val="00141C9F"/>
    <w:rsid w:val="0014232F"/>
    <w:rsid w:val="00142373"/>
    <w:rsid w:val="00143F98"/>
    <w:rsid w:val="0014459C"/>
    <w:rsid w:val="00146DBB"/>
    <w:rsid w:val="00147FB1"/>
    <w:rsid w:val="001523A9"/>
    <w:rsid w:val="00154774"/>
    <w:rsid w:val="00155388"/>
    <w:rsid w:val="001556DC"/>
    <w:rsid w:val="00156723"/>
    <w:rsid w:val="00156A89"/>
    <w:rsid w:val="00157C1F"/>
    <w:rsid w:val="00160171"/>
    <w:rsid w:val="00160C4C"/>
    <w:rsid w:val="00161123"/>
    <w:rsid w:val="001611B8"/>
    <w:rsid w:val="00161328"/>
    <w:rsid w:val="00161331"/>
    <w:rsid w:val="00161CC8"/>
    <w:rsid w:val="00162B44"/>
    <w:rsid w:val="00164422"/>
    <w:rsid w:val="00165EB9"/>
    <w:rsid w:val="00166437"/>
    <w:rsid w:val="001669A9"/>
    <w:rsid w:val="00170333"/>
    <w:rsid w:val="00171AA8"/>
    <w:rsid w:val="001740A1"/>
    <w:rsid w:val="00176355"/>
    <w:rsid w:val="00177528"/>
    <w:rsid w:val="00180D8E"/>
    <w:rsid w:val="0018304A"/>
    <w:rsid w:val="00183D05"/>
    <w:rsid w:val="00183F40"/>
    <w:rsid w:val="00186AFA"/>
    <w:rsid w:val="00190BA3"/>
    <w:rsid w:val="00194A15"/>
    <w:rsid w:val="001955F0"/>
    <w:rsid w:val="00196723"/>
    <w:rsid w:val="001A0A5F"/>
    <w:rsid w:val="001A0B92"/>
    <w:rsid w:val="001A22C1"/>
    <w:rsid w:val="001A3186"/>
    <w:rsid w:val="001A3257"/>
    <w:rsid w:val="001A45B1"/>
    <w:rsid w:val="001A4ADD"/>
    <w:rsid w:val="001A5910"/>
    <w:rsid w:val="001A6850"/>
    <w:rsid w:val="001A69EF"/>
    <w:rsid w:val="001B2547"/>
    <w:rsid w:val="001B5F8B"/>
    <w:rsid w:val="001B631D"/>
    <w:rsid w:val="001C4C6E"/>
    <w:rsid w:val="001C620B"/>
    <w:rsid w:val="001C66C5"/>
    <w:rsid w:val="001C7085"/>
    <w:rsid w:val="001C780A"/>
    <w:rsid w:val="001C7988"/>
    <w:rsid w:val="001D1224"/>
    <w:rsid w:val="001D128E"/>
    <w:rsid w:val="001D3AE5"/>
    <w:rsid w:val="001D44B5"/>
    <w:rsid w:val="001D470F"/>
    <w:rsid w:val="001D5189"/>
    <w:rsid w:val="001D7C35"/>
    <w:rsid w:val="001E0168"/>
    <w:rsid w:val="001E146C"/>
    <w:rsid w:val="001E2F8C"/>
    <w:rsid w:val="001E3E6E"/>
    <w:rsid w:val="001E6B2B"/>
    <w:rsid w:val="001F0A48"/>
    <w:rsid w:val="001F3324"/>
    <w:rsid w:val="001F38E6"/>
    <w:rsid w:val="001F3A9C"/>
    <w:rsid w:val="001F3CF4"/>
    <w:rsid w:val="001F46E4"/>
    <w:rsid w:val="001F50D5"/>
    <w:rsid w:val="00200C69"/>
    <w:rsid w:val="002024F8"/>
    <w:rsid w:val="00203A97"/>
    <w:rsid w:val="00203C57"/>
    <w:rsid w:val="00204D35"/>
    <w:rsid w:val="00205A07"/>
    <w:rsid w:val="002134E7"/>
    <w:rsid w:val="00213704"/>
    <w:rsid w:val="002138E0"/>
    <w:rsid w:val="002141C4"/>
    <w:rsid w:val="0021704B"/>
    <w:rsid w:val="00217885"/>
    <w:rsid w:val="00217F36"/>
    <w:rsid w:val="00220C2D"/>
    <w:rsid w:val="002216D2"/>
    <w:rsid w:val="002309C7"/>
    <w:rsid w:val="00233EB5"/>
    <w:rsid w:val="002349C2"/>
    <w:rsid w:val="002359DD"/>
    <w:rsid w:val="00236BF6"/>
    <w:rsid w:val="00236FE0"/>
    <w:rsid w:val="00241C9F"/>
    <w:rsid w:val="00243EC4"/>
    <w:rsid w:val="00246923"/>
    <w:rsid w:val="00247981"/>
    <w:rsid w:val="00247D3C"/>
    <w:rsid w:val="002520A9"/>
    <w:rsid w:val="002523A4"/>
    <w:rsid w:val="00252A85"/>
    <w:rsid w:val="00252E75"/>
    <w:rsid w:val="002531F7"/>
    <w:rsid w:val="002618B9"/>
    <w:rsid w:val="00262286"/>
    <w:rsid w:val="00263625"/>
    <w:rsid w:val="00264652"/>
    <w:rsid w:val="00267255"/>
    <w:rsid w:val="002677C5"/>
    <w:rsid w:val="0026789F"/>
    <w:rsid w:val="002706A8"/>
    <w:rsid w:val="00273036"/>
    <w:rsid w:val="00274A75"/>
    <w:rsid w:val="002758D1"/>
    <w:rsid w:val="00275B60"/>
    <w:rsid w:val="00276325"/>
    <w:rsid w:val="00276D08"/>
    <w:rsid w:val="00277A59"/>
    <w:rsid w:val="00280DF6"/>
    <w:rsid w:val="002813D5"/>
    <w:rsid w:val="00283220"/>
    <w:rsid w:val="002833E4"/>
    <w:rsid w:val="00283570"/>
    <w:rsid w:val="002847EC"/>
    <w:rsid w:val="00285F7D"/>
    <w:rsid w:val="00286176"/>
    <w:rsid w:val="002900C6"/>
    <w:rsid w:val="00290210"/>
    <w:rsid w:val="00290AF1"/>
    <w:rsid w:val="00290EA5"/>
    <w:rsid w:val="00291B09"/>
    <w:rsid w:val="0029262E"/>
    <w:rsid w:val="00292903"/>
    <w:rsid w:val="00293351"/>
    <w:rsid w:val="00294C80"/>
    <w:rsid w:val="002954F1"/>
    <w:rsid w:val="00297645"/>
    <w:rsid w:val="002A033D"/>
    <w:rsid w:val="002A0B4D"/>
    <w:rsid w:val="002A1E57"/>
    <w:rsid w:val="002A3538"/>
    <w:rsid w:val="002A3C54"/>
    <w:rsid w:val="002A5FA3"/>
    <w:rsid w:val="002B07D2"/>
    <w:rsid w:val="002B086D"/>
    <w:rsid w:val="002B46C2"/>
    <w:rsid w:val="002B5D5C"/>
    <w:rsid w:val="002B6555"/>
    <w:rsid w:val="002B6ACB"/>
    <w:rsid w:val="002C0752"/>
    <w:rsid w:val="002C0BE8"/>
    <w:rsid w:val="002C1118"/>
    <w:rsid w:val="002C179F"/>
    <w:rsid w:val="002C1AB6"/>
    <w:rsid w:val="002C2541"/>
    <w:rsid w:val="002C435A"/>
    <w:rsid w:val="002C5CB7"/>
    <w:rsid w:val="002C5EBE"/>
    <w:rsid w:val="002C7284"/>
    <w:rsid w:val="002C72B3"/>
    <w:rsid w:val="002D18D1"/>
    <w:rsid w:val="002D274A"/>
    <w:rsid w:val="002D27A1"/>
    <w:rsid w:val="002D2ABF"/>
    <w:rsid w:val="002D3A79"/>
    <w:rsid w:val="002D3B81"/>
    <w:rsid w:val="002D4130"/>
    <w:rsid w:val="002D5A33"/>
    <w:rsid w:val="002D5B54"/>
    <w:rsid w:val="002D6C15"/>
    <w:rsid w:val="002E38DF"/>
    <w:rsid w:val="002E3D50"/>
    <w:rsid w:val="002E4F95"/>
    <w:rsid w:val="002E5B7A"/>
    <w:rsid w:val="002E5EAB"/>
    <w:rsid w:val="002E5EDD"/>
    <w:rsid w:val="002E6E32"/>
    <w:rsid w:val="002E7061"/>
    <w:rsid w:val="002E7AC9"/>
    <w:rsid w:val="002F14A2"/>
    <w:rsid w:val="002F15B6"/>
    <w:rsid w:val="002F4D72"/>
    <w:rsid w:val="002F4ECE"/>
    <w:rsid w:val="002F5648"/>
    <w:rsid w:val="002F692A"/>
    <w:rsid w:val="002F6E44"/>
    <w:rsid w:val="002F6F9E"/>
    <w:rsid w:val="002F7057"/>
    <w:rsid w:val="002F7ADE"/>
    <w:rsid w:val="002F7E87"/>
    <w:rsid w:val="003028A1"/>
    <w:rsid w:val="003036D1"/>
    <w:rsid w:val="00305086"/>
    <w:rsid w:val="0030511C"/>
    <w:rsid w:val="00305EF3"/>
    <w:rsid w:val="00307C6D"/>
    <w:rsid w:val="0031146F"/>
    <w:rsid w:val="003166E1"/>
    <w:rsid w:val="003175DD"/>
    <w:rsid w:val="00317A60"/>
    <w:rsid w:val="00322C67"/>
    <w:rsid w:val="0032346F"/>
    <w:rsid w:val="00323C62"/>
    <w:rsid w:val="003252DF"/>
    <w:rsid w:val="00330DC1"/>
    <w:rsid w:val="00330FBC"/>
    <w:rsid w:val="00331EF4"/>
    <w:rsid w:val="0033413C"/>
    <w:rsid w:val="0034009B"/>
    <w:rsid w:val="00340152"/>
    <w:rsid w:val="00342063"/>
    <w:rsid w:val="00343DE1"/>
    <w:rsid w:val="00343EA9"/>
    <w:rsid w:val="003453A3"/>
    <w:rsid w:val="003456D5"/>
    <w:rsid w:val="00346797"/>
    <w:rsid w:val="00350415"/>
    <w:rsid w:val="00351A42"/>
    <w:rsid w:val="00354113"/>
    <w:rsid w:val="00354D79"/>
    <w:rsid w:val="00355D59"/>
    <w:rsid w:val="003562A9"/>
    <w:rsid w:val="00356C8B"/>
    <w:rsid w:val="0035724C"/>
    <w:rsid w:val="00357BB1"/>
    <w:rsid w:val="003601BC"/>
    <w:rsid w:val="003605DA"/>
    <w:rsid w:val="00360873"/>
    <w:rsid w:val="00361AFB"/>
    <w:rsid w:val="00361E13"/>
    <w:rsid w:val="003620B6"/>
    <w:rsid w:val="00363A25"/>
    <w:rsid w:val="00363FBE"/>
    <w:rsid w:val="00364753"/>
    <w:rsid w:val="0036589D"/>
    <w:rsid w:val="00366FF7"/>
    <w:rsid w:val="00367583"/>
    <w:rsid w:val="00372CDD"/>
    <w:rsid w:val="00374800"/>
    <w:rsid w:val="0037604A"/>
    <w:rsid w:val="00377304"/>
    <w:rsid w:val="0037796F"/>
    <w:rsid w:val="00381798"/>
    <w:rsid w:val="003850C1"/>
    <w:rsid w:val="0038661D"/>
    <w:rsid w:val="00386C41"/>
    <w:rsid w:val="00386F2E"/>
    <w:rsid w:val="00387C9F"/>
    <w:rsid w:val="00387FA9"/>
    <w:rsid w:val="00391691"/>
    <w:rsid w:val="0039586D"/>
    <w:rsid w:val="003962BB"/>
    <w:rsid w:val="00396A34"/>
    <w:rsid w:val="0039754F"/>
    <w:rsid w:val="003978E6"/>
    <w:rsid w:val="003A0038"/>
    <w:rsid w:val="003A059F"/>
    <w:rsid w:val="003A1A29"/>
    <w:rsid w:val="003A231E"/>
    <w:rsid w:val="003A5489"/>
    <w:rsid w:val="003A585F"/>
    <w:rsid w:val="003A60CE"/>
    <w:rsid w:val="003A7970"/>
    <w:rsid w:val="003A7FDC"/>
    <w:rsid w:val="003B5C3F"/>
    <w:rsid w:val="003C24C3"/>
    <w:rsid w:val="003C4C9F"/>
    <w:rsid w:val="003C57A9"/>
    <w:rsid w:val="003C62D0"/>
    <w:rsid w:val="003C719D"/>
    <w:rsid w:val="003C76CA"/>
    <w:rsid w:val="003D175D"/>
    <w:rsid w:val="003D1807"/>
    <w:rsid w:val="003D198A"/>
    <w:rsid w:val="003D305F"/>
    <w:rsid w:val="003D3113"/>
    <w:rsid w:val="003D3190"/>
    <w:rsid w:val="003D5B83"/>
    <w:rsid w:val="003D7194"/>
    <w:rsid w:val="003D73A0"/>
    <w:rsid w:val="003E303A"/>
    <w:rsid w:val="003E309A"/>
    <w:rsid w:val="003E3399"/>
    <w:rsid w:val="003E4CA7"/>
    <w:rsid w:val="003E53CD"/>
    <w:rsid w:val="003E61FE"/>
    <w:rsid w:val="003E6776"/>
    <w:rsid w:val="003E6A63"/>
    <w:rsid w:val="003E6B9C"/>
    <w:rsid w:val="003E7A65"/>
    <w:rsid w:val="003F1BED"/>
    <w:rsid w:val="003F1EF2"/>
    <w:rsid w:val="003F43DD"/>
    <w:rsid w:val="003F6293"/>
    <w:rsid w:val="0040058C"/>
    <w:rsid w:val="004010B1"/>
    <w:rsid w:val="0040126E"/>
    <w:rsid w:val="004023C0"/>
    <w:rsid w:val="00404152"/>
    <w:rsid w:val="00406E46"/>
    <w:rsid w:val="0040743F"/>
    <w:rsid w:val="00410D25"/>
    <w:rsid w:val="004115E2"/>
    <w:rsid w:val="004117C1"/>
    <w:rsid w:val="00411877"/>
    <w:rsid w:val="004127CA"/>
    <w:rsid w:val="00414241"/>
    <w:rsid w:val="00414662"/>
    <w:rsid w:val="00414951"/>
    <w:rsid w:val="00415F8D"/>
    <w:rsid w:val="00417D84"/>
    <w:rsid w:val="00420B58"/>
    <w:rsid w:val="004223BB"/>
    <w:rsid w:val="004230C7"/>
    <w:rsid w:val="00425C9D"/>
    <w:rsid w:val="00425DB7"/>
    <w:rsid w:val="004261E5"/>
    <w:rsid w:val="00426A2D"/>
    <w:rsid w:val="00431475"/>
    <w:rsid w:val="00431F27"/>
    <w:rsid w:val="00432AB7"/>
    <w:rsid w:val="00432F40"/>
    <w:rsid w:val="00433011"/>
    <w:rsid w:val="00433E74"/>
    <w:rsid w:val="004352F5"/>
    <w:rsid w:val="00435D31"/>
    <w:rsid w:val="00435D5B"/>
    <w:rsid w:val="004374BE"/>
    <w:rsid w:val="0043759A"/>
    <w:rsid w:val="00437EBB"/>
    <w:rsid w:val="00440E33"/>
    <w:rsid w:val="00441C6D"/>
    <w:rsid w:val="00441CA8"/>
    <w:rsid w:val="004431F8"/>
    <w:rsid w:val="00443247"/>
    <w:rsid w:val="00445BD5"/>
    <w:rsid w:val="00446442"/>
    <w:rsid w:val="00447B3B"/>
    <w:rsid w:val="00450BD2"/>
    <w:rsid w:val="00452F0B"/>
    <w:rsid w:val="00456764"/>
    <w:rsid w:val="004575B1"/>
    <w:rsid w:val="004607BE"/>
    <w:rsid w:val="00461B30"/>
    <w:rsid w:val="00461F1F"/>
    <w:rsid w:val="0046293D"/>
    <w:rsid w:val="0046308F"/>
    <w:rsid w:val="00473067"/>
    <w:rsid w:val="004755C8"/>
    <w:rsid w:val="00475A7A"/>
    <w:rsid w:val="004771B0"/>
    <w:rsid w:val="00477F94"/>
    <w:rsid w:val="00481182"/>
    <w:rsid w:val="00481B1C"/>
    <w:rsid w:val="004825C2"/>
    <w:rsid w:val="004827A6"/>
    <w:rsid w:val="00482AEC"/>
    <w:rsid w:val="00482DE0"/>
    <w:rsid w:val="00483816"/>
    <w:rsid w:val="004842AA"/>
    <w:rsid w:val="004857AE"/>
    <w:rsid w:val="00486BCF"/>
    <w:rsid w:val="0049094E"/>
    <w:rsid w:val="00491598"/>
    <w:rsid w:val="00493B4C"/>
    <w:rsid w:val="00493C31"/>
    <w:rsid w:val="0049481A"/>
    <w:rsid w:val="004A044D"/>
    <w:rsid w:val="004A17D2"/>
    <w:rsid w:val="004A2179"/>
    <w:rsid w:val="004A32E9"/>
    <w:rsid w:val="004A6F4D"/>
    <w:rsid w:val="004A7401"/>
    <w:rsid w:val="004B1CE0"/>
    <w:rsid w:val="004B22B2"/>
    <w:rsid w:val="004B24B8"/>
    <w:rsid w:val="004B565B"/>
    <w:rsid w:val="004B6B8B"/>
    <w:rsid w:val="004B6BB2"/>
    <w:rsid w:val="004C28F6"/>
    <w:rsid w:val="004C331A"/>
    <w:rsid w:val="004C336B"/>
    <w:rsid w:val="004C362D"/>
    <w:rsid w:val="004C3BB3"/>
    <w:rsid w:val="004C4646"/>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7D1"/>
    <w:rsid w:val="004E3BE0"/>
    <w:rsid w:val="004F0876"/>
    <w:rsid w:val="004F0A5E"/>
    <w:rsid w:val="004F1447"/>
    <w:rsid w:val="004F5583"/>
    <w:rsid w:val="00500436"/>
    <w:rsid w:val="00500D74"/>
    <w:rsid w:val="0050117C"/>
    <w:rsid w:val="005049B8"/>
    <w:rsid w:val="005055B0"/>
    <w:rsid w:val="005064F0"/>
    <w:rsid w:val="005109E3"/>
    <w:rsid w:val="00510CE7"/>
    <w:rsid w:val="00511267"/>
    <w:rsid w:val="00511FC6"/>
    <w:rsid w:val="00517A47"/>
    <w:rsid w:val="00517F41"/>
    <w:rsid w:val="0052071C"/>
    <w:rsid w:val="00520A53"/>
    <w:rsid w:val="005214EC"/>
    <w:rsid w:val="00521F2A"/>
    <w:rsid w:val="0052378F"/>
    <w:rsid w:val="00523827"/>
    <w:rsid w:val="00523AF4"/>
    <w:rsid w:val="00525B1D"/>
    <w:rsid w:val="0052688C"/>
    <w:rsid w:val="005269E2"/>
    <w:rsid w:val="00526A3E"/>
    <w:rsid w:val="005275B1"/>
    <w:rsid w:val="00531038"/>
    <w:rsid w:val="005323F9"/>
    <w:rsid w:val="00532CEC"/>
    <w:rsid w:val="005351EA"/>
    <w:rsid w:val="0053557A"/>
    <w:rsid w:val="00535A01"/>
    <w:rsid w:val="00535BD1"/>
    <w:rsid w:val="00536ACA"/>
    <w:rsid w:val="00536CC2"/>
    <w:rsid w:val="0053771F"/>
    <w:rsid w:val="00540583"/>
    <w:rsid w:val="00541140"/>
    <w:rsid w:val="00542B4D"/>
    <w:rsid w:val="005441BD"/>
    <w:rsid w:val="00544F6C"/>
    <w:rsid w:val="00545552"/>
    <w:rsid w:val="0054733A"/>
    <w:rsid w:val="00552AF4"/>
    <w:rsid w:val="00552C27"/>
    <w:rsid w:val="00556CAB"/>
    <w:rsid w:val="00557212"/>
    <w:rsid w:val="005611C9"/>
    <w:rsid w:val="005655C3"/>
    <w:rsid w:val="0056676F"/>
    <w:rsid w:val="00566FEB"/>
    <w:rsid w:val="00570A65"/>
    <w:rsid w:val="00571223"/>
    <w:rsid w:val="00572B6C"/>
    <w:rsid w:val="00575115"/>
    <w:rsid w:val="0057590C"/>
    <w:rsid w:val="00575C09"/>
    <w:rsid w:val="005771EF"/>
    <w:rsid w:val="00577D22"/>
    <w:rsid w:val="0058246C"/>
    <w:rsid w:val="00584B37"/>
    <w:rsid w:val="00585EC9"/>
    <w:rsid w:val="00586746"/>
    <w:rsid w:val="00587E08"/>
    <w:rsid w:val="00587FA2"/>
    <w:rsid w:val="00591026"/>
    <w:rsid w:val="005937B4"/>
    <w:rsid w:val="00594B92"/>
    <w:rsid w:val="00594ECC"/>
    <w:rsid w:val="00595358"/>
    <w:rsid w:val="00595AC9"/>
    <w:rsid w:val="0059662E"/>
    <w:rsid w:val="00596711"/>
    <w:rsid w:val="0059698F"/>
    <w:rsid w:val="005969F9"/>
    <w:rsid w:val="00597732"/>
    <w:rsid w:val="005A2315"/>
    <w:rsid w:val="005A30D6"/>
    <w:rsid w:val="005A5BF4"/>
    <w:rsid w:val="005A63BF"/>
    <w:rsid w:val="005A75B9"/>
    <w:rsid w:val="005B275E"/>
    <w:rsid w:val="005B37A7"/>
    <w:rsid w:val="005B37DC"/>
    <w:rsid w:val="005B51C7"/>
    <w:rsid w:val="005B72CA"/>
    <w:rsid w:val="005C02F2"/>
    <w:rsid w:val="005C0AAB"/>
    <w:rsid w:val="005C1201"/>
    <w:rsid w:val="005C24D1"/>
    <w:rsid w:val="005C46EF"/>
    <w:rsid w:val="005C597A"/>
    <w:rsid w:val="005C70A7"/>
    <w:rsid w:val="005C7788"/>
    <w:rsid w:val="005C7BB8"/>
    <w:rsid w:val="005D1575"/>
    <w:rsid w:val="005D18E5"/>
    <w:rsid w:val="005D20F2"/>
    <w:rsid w:val="005D31AF"/>
    <w:rsid w:val="005D3ABE"/>
    <w:rsid w:val="005D450D"/>
    <w:rsid w:val="005D49D6"/>
    <w:rsid w:val="005D6E75"/>
    <w:rsid w:val="005D7B0E"/>
    <w:rsid w:val="005E0C34"/>
    <w:rsid w:val="005E1B00"/>
    <w:rsid w:val="005E1E22"/>
    <w:rsid w:val="005E28DB"/>
    <w:rsid w:val="005E31CC"/>
    <w:rsid w:val="005E3EC1"/>
    <w:rsid w:val="005E40D6"/>
    <w:rsid w:val="005E4F1E"/>
    <w:rsid w:val="005E78F1"/>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1AED"/>
    <w:rsid w:val="006033B9"/>
    <w:rsid w:val="00603405"/>
    <w:rsid w:val="0061529A"/>
    <w:rsid w:val="00615A8D"/>
    <w:rsid w:val="00616936"/>
    <w:rsid w:val="00616A52"/>
    <w:rsid w:val="00620B2E"/>
    <w:rsid w:val="006215ED"/>
    <w:rsid w:val="0062221E"/>
    <w:rsid w:val="0062246E"/>
    <w:rsid w:val="00622B32"/>
    <w:rsid w:val="00624825"/>
    <w:rsid w:val="00624BAD"/>
    <w:rsid w:val="00625939"/>
    <w:rsid w:val="00633946"/>
    <w:rsid w:val="00633E76"/>
    <w:rsid w:val="006356FD"/>
    <w:rsid w:val="006370B3"/>
    <w:rsid w:val="00637903"/>
    <w:rsid w:val="00637E93"/>
    <w:rsid w:val="00637F2E"/>
    <w:rsid w:val="00641217"/>
    <w:rsid w:val="006414FE"/>
    <w:rsid w:val="00645BC8"/>
    <w:rsid w:val="0064782F"/>
    <w:rsid w:val="00650FB0"/>
    <w:rsid w:val="0065161B"/>
    <w:rsid w:val="006530CE"/>
    <w:rsid w:val="0065564E"/>
    <w:rsid w:val="0065785E"/>
    <w:rsid w:val="00657D10"/>
    <w:rsid w:val="00657D1A"/>
    <w:rsid w:val="00660E62"/>
    <w:rsid w:val="00661376"/>
    <w:rsid w:val="006615E5"/>
    <w:rsid w:val="00663483"/>
    <w:rsid w:val="00663B6F"/>
    <w:rsid w:val="00663DD3"/>
    <w:rsid w:val="0066477C"/>
    <w:rsid w:val="00666A3E"/>
    <w:rsid w:val="0066731C"/>
    <w:rsid w:val="00670FAA"/>
    <w:rsid w:val="006718B0"/>
    <w:rsid w:val="006719FE"/>
    <w:rsid w:val="00673EB8"/>
    <w:rsid w:val="0067569A"/>
    <w:rsid w:val="006820F4"/>
    <w:rsid w:val="00682E13"/>
    <w:rsid w:val="00683D35"/>
    <w:rsid w:val="00685872"/>
    <w:rsid w:val="006869C4"/>
    <w:rsid w:val="0068719C"/>
    <w:rsid w:val="00687D18"/>
    <w:rsid w:val="0069019B"/>
    <w:rsid w:val="00694C2F"/>
    <w:rsid w:val="006974C8"/>
    <w:rsid w:val="00697604"/>
    <w:rsid w:val="00697B24"/>
    <w:rsid w:val="00697EA9"/>
    <w:rsid w:val="006A06EE"/>
    <w:rsid w:val="006A25CE"/>
    <w:rsid w:val="006A3281"/>
    <w:rsid w:val="006A4BA2"/>
    <w:rsid w:val="006A4C44"/>
    <w:rsid w:val="006A7FBB"/>
    <w:rsid w:val="006B0E96"/>
    <w:rsid w:val="006B1ADB"/>
    <w:rsid w:val="006B3C71"/>
    <w:rsid w:val="006B4252"/>
    <w:rsid w:val="006B4351"/>
    <w:rsid w:val="006B46E3"/>
    <w:rsid w:val="006C0054"/>
    <w:rsid w:val="006C0F1D"/>
    <w:rsid w:val="006C2162"/>
    <w:rsid w:val="006C227A"/>
    <w:rsid w:val="006C344B"/>
    <w:rsid w:val="006C3C87"/>
    <w:rsid w:val="006C3D88"/>
    <w:rsid w:val="006C480E"/>
    <w:rsid w:val="006C5F7E"/>
    <w:rsid w:val="006D30BE"/>
    <w:rsid w:val="006D567A"/>
    <w:rsid w:val="006D58D2"/>
    <w:rsid w:val="006D5943"/>
    <w:rsid w:val="006D5ACF"/>
    <w:rsid w:val="006E010B"/>
    <w:rsid w:val="006E16A8"/>
    <w:rsid w:val="006E382F"/>
    <w:rsid w:val="006E3A9E"/>
    <w:rsid w:val="006E6765"/>
    <w:rsid w:val="006E6953"/>
    <w:rsid w:val="006F04D9"/>
    <w:rsid w:val="006F1AAC"/>
    <w:rsid w:val="006F2097"/>
    <w:rsid w:val="006F344D"/>
    <w:rsid w:val="006F5052"/>
    <w:rsid w:val="006F5776"/>
    <w:rsid w:val="006F63B1"/>
    <w:rsid w:val="006F7539"/>
    <w:rsid w:val="00700CD9"/>
    <w:rsid w:val="00701BA9"/>
    <w:rsid w:val="00701EF4"/>
    <w:rsid w:val="007020B5"/>
    <w:rsid w:val="007029E6"/>
    <w:rsid w:val="00702AB7"/>
    <w:rsid w:val="007055F3"/>
    <w:rsid w:val="0070594F"/>
    <w:rsid w:val="00706DA6"/>
    <w:rsid w:val="007071EB"/>
    <w:rsid w:val="00710463"/>
    <w:rsid w:val="00710837"/>
    <w:rsid w:val="00710B71"/>
    <w:rsid w:val="00710CD0"/>
    <w:rsid w:val="00711612"/>
    <w:rsid w:val="00712A3E"/>
    <w:rsid w:val="00713350"/>
    <w:rsid w:val="00714859"/>
    <w:rsid w:val="00714F92"/>
    <w:rsid w:val="00717FD3"/>
    <w:rsid w:val="00720C41"/>
    <w:rsid w:val="00722FBA"/>
    <w:rsid w:val="0072313F"/>
    <w:rsid w:val="00724F07"/>
    <w:rsid w:val="0072792D"/>
    <w:rsid w:val="00727F36"/>
    <w:rsid w:val="0073012D"/>
    <w:rsid w:val="00732742"/>
    <w:rsid w:val="0073370C"/>
    <w:rsid w:val="00733A3B"/>
    <w:rsid w:val="00744479"/>
    <w:rsid w:val="007444F9"/>
    <w:rsid w:val="00744FCC"/>
    <w:rsid w:val="0075190A"/>
    <w:rsid w:val="00752753"/>
    <w:rsid w:val="00752854"/>
    <w:rsid w:val="00753180"/>
    <w:rsid w:val="00754E54"/>
    <w:rsid w:val="00755E9B"/>
    <w:rsid w:val="00756C4C"/>
    <w:rsid w:val="00757E08"/>
    <w:rsid w:val="00765CFE"/>
    <w:rsid w:val="007667D9"/>
    <w:rsid w:val="00766ADF"/>
    <w:rsid w:val="007676EF"/>
    <w:rsid w:val="00770711"/>
    <w:rsid w:val="00772676"/>
    <w:rsid w:val="007726C3"/>
    <w:rsid w:val="00773D9F"/>
    <w:rsid w:val="00774571"/>
    <w:rsid w:val="00780E8E"/>
    <w:rsid w:val="007812FA"/>
    <w:rsid w:val="0078207C"/>
    <w:rsid w:val="00782676"/>
    <w:rsid w:val="007830D7"/>
    <w:rsid w:val="0078499E"/>
    <w:rsid w:val="007854C9"/>
    <w:rsid w:val="0078591F"/>
    <w:rsid w:val="0078611D"/>
    <w:rsid w:val="0078682A"/>
    <w:rsid w:val="00786E67"/>
    <w:rsid w:val="00786E7B"/>
    <w:rsid w:val="00787879"/>
    <w:rsid w:val="0079071B"/>
    <w:rsid w:val="00791867"/>
    <w:rsid w:val="007919E4"/>
    <w:rsid w:val="0079216A"/>
    <w:rsid w:val="00792D96"/>
    <w:rsid w:val="00793656"/>
    <w:rsid w:val="00794032"/>
    <w:rsid w:val="00795189"/>
    <w:rsid w:val="007969EF"/>
    <w:rsid w:val="007A0737"/>
    <w:rsid w:val="007A1182"/>
    <w:rsid w:val="007A341B"/>
    <w:rsid w:val="007A40A7"/>
    <w:rsid w:val="007A5951"/>
    <w:rsid w:val="007A5D58"/>
    <w:rsid w:val="007A6419"/>
    <w:rsid w:val="007A7335"/>
    <w:rsid w:val="007B06C6"/>
    <w:rsid w:val="007B16B5"/>
    <w:rsid w:val="007B4372"/>
    <w:rsid w:val="007B50EE"/>
    <w:rsid w:val="007B79A8"/>
    <w:rsid w:val="007C0FB3"/>
    <w:rsid w:val="007C17CD"/>
    <w:rsid w:val="007C17F7"/>
    <w:rsid w:val="007C1873"/>
    <w:rsid w:val="007C1EAB"/>
    <w:rsid w:val="007C2177"/>
    <w:rsid w:val="007C3E96"/>
    <w:rsid w:val="007C4F12"/>
    <w:rsid w:val="007C6D29"/>
    <w:rsid w:val="007C6DE3"/>
    <w:rsid w:val="007C7806"/>
    <w:rsid w:val="007C7D9A"/>
    <w:rsid w:val="007D0240"/>
    <w:rsid w:val="007D064F"/>
    <w:rsid w:val="007D06D2"/>
    <w:rsid w:val="007D06EA"/>
    <w:rsid w:val="007D16B3"/>
    <w:rsid w:val="007D1ACE"/>
    <w:rsid w:val="007D2830"/>
    <w:rsid w:val="007D2F8A"/>
    <w:rsid w:val="007D4AB8"/>
    <w:rsid w:val="007D4FF0"/>
    <w:rsid w:val="007D6050"/>
    <w:rsid w:val="007D63C9"/>
    <w:rsid w:val="007E1654"/>
    <w:rsid w:val="007E1922"/>
    <w:rsid w:val="007E4109"/>
    <w:rsid w:val="007E6083"/>
    <w:rsid w:val="007E6348"/>
    <w:rsid w:val="007E7BC7"/>
    <w:rsid w:val="007E7F1E"/>
    <w:rsid w:val="007F425A"/>
    <w:rsid w:val="007F5F08"/>
    <w:rsid w:val="007F5FD5"/>
    <w:rsid w:val="007F6127"/>
    <w:rsid w:val="007F6812"/>
    <w:rsid w:val="007F7180"/>
    <w:rsid w:val="007F7A75"/>
    <w:rsid w:val="00803208"/>
    <w:rsid w:val="00804218"/>
    <w:rsid w:val="00807358"/>
    <w:rsid w:val="00810769"/>
    <w:rsid w:val="0081336F"/>
    <w:rsid w:val="008151FE"/>
    <w:rsid w:val="008160B8"/>
    <w:rsid w:val="008175B3"/>
    <w:rsid w:val="008209C0"/>
    <w:rsid w:val="0082268F"/>
    <w:rsid w:val="008237E0"/>
    <w:rsid w:val="00823D48"/>
    <w:rsid w:val="008244AF"/>
    <w:rsid w:val="00825E02"/>
    <w:rsid w:val="00825F3D"/>
    <w:rsid w:val="008261CD"/>
    <w:rsid w:val="00827211"/>
    <w:rsid w:val="00827C96"/>
    <w:rsid w:val="008305B2"/>
    <w:rsid w:val="008314C9"/>
    <w:rsid w:val="00831F79"/>
    <w:rsid w:val="00833423"/>
    <w:rsid w:val="008342B6"/>
    <w:rsid w:val="0083503B"/>
    <w:rsid w:val="00836F57"/>
    <w:rsid w:val="0083719D"/>
    <w:rsid w:val="008372F3"/>
    <w:rsid w:val="00837C3F"/>
    <w:rsid w:val="00840E26"/>
    <w:rsid w:val="00841F9C"/>
    <w:rsid w:val="00842A8E"/>
    <w:rsid w:val="00844F0C"/>
    <w:rsid w:val="00845391"/>
    <w:rsid w:val="00846755"/>
    <w:rsid w:val="00847B72"/>
    <w:rsid w:val="00852B2F"/>
    <w:rsid w:val="00853159"/>
    <w:rsid w:val="00855499"/>
    <w:rsid w:val="0085576F"/>
    <w:rsid w:val="00856B60"/>
    <w:rsid w:val="00857D31"/>
    <w:rsid w:val="00860870"/>
    <w:rsid w:val="0086264D"/>
    <w:rsid w:val="00862DFA"/>
    <w:rsid w:val="00863D3F"/>
    <w:rsid w:val="008640A9"/>
    <w:rsid w:val="00864A68"/>
    <w:rsid w:val="0086561A"/>
    <w:rsid w:val="00867A66"/>
    <w:rsid w:val="00867D40"/>
    <w:rsid w:val="00871360"/>
    <w:rsid w:val="008714CE"/>
    <w:rsid w:val="0087161E"/>
    <w:rsid w:val="00872F54"/>
    <w:rsid w:val="00874F1E"/>
    <w:rsid w:val="00874F94"/>
    <w:rsid w:val="008759F2"/>
    <w:rsid w:val="00876D6E"/>
    <w:rsid w:val="0088080F"/>
    <w:rsid w:val="0088134E"/>
    <w:rsid w:val="00881C7A"/>
    <w:rsid w:val="00881CC4"/>
    <w:rsid w:val="008820EB"/>
    <w:rsid w:val="0088395D"/>
    <w:rsid w:val="0088652E"/>
    <w:rsid w:val="00887695"/>
    <w:rsid w:val="00887B1A"/>
    <w:rsid w:val="00890105"/>
    <w:rsid w:val="008920CE"/>
    <w:rsid w:val="008A090F"/>
    <w:rsid w:val="008A1B4C"/>
    <w:rsid w:val="008A3F3D"/>
    <w:rsid w:val="008A4B18"/>
    <w:rsid w:val="008B2560"/>
    <w:rsid w:val="008B4F77"/>
    <w:rsid w:val="008B58CB"/>
    <w:rsid w:val="008B6131"/>
    <w:rsid w:val="008B773A"/>
    <w:rsid w:val="008B7839"/>
    <w:rsid w:val="008B7C2B"/>
    <w:rsid w:val="008C069A"/>
    <w:rsid w:val="008C0BB8"/>
    <w:rsid w:val="008C141C"/>
    <w:rsid w:val="008C2460"/>
    <w:rsid w:val="008C61E1"/>
    <w:rsid w:val="008C7CCE"/>
    <w:rsid w:val="008C7EF5"/>
    <w:rsid w:val="008D03BD"/>
    <w:rsid w:val="008D1CB0"/>
    <w:rsid w:val="008D4577"/>
    <w:rsid w:val="008D4B46"/>
    <w:rsid w:val="008D51C7"/>
    <w:rsid w:val="008D6598"/>
    <w:rsid w:val="008D6D39"/>
    <w:rsid w:val="008D6E21"/>
    <w:rsid w:val="008D7F22"/>
    <w:rsid w:val="008E1103"/>
    <w:rsid w:val="008E3AA7"/>
    <w:rsid w:val="008E5FD0"/>
    <w:rsid w:val="008E64B5"/>
    <w:rsid w:val="008E6CB3"/>
    <w:rsid w:val="008F1E56"/>
    <w:rsid w:val="008F23DD"/>
    <w:rsid w:val="008F6418"/>
    <w:rsid w:val="008F66DE"/>
    <w:rsid w:val="008F70B1"/>
    <w:rsid w:val="008F7C65"/>
    <w:rsid w:val="00900237"/>
    <w:rsid w:val="009023CD"/>
    <w:rsid w:val="00903251"/>
    <w:rsid w:val="009035CB"/>
    <w:rsid w:val="0090439C"/>
    <w:rsid w:val="00904D56"/>
    <w:rsid w:val="00904F9C"/>
    <w:rsid w:val="00907078"/>
    <w:rsid w:val="00907B49"/>
    <w:rsid w:val="009101B9"/>
    <w:rsid w:val="00910961"/>
    <w:rsid w:val="0091105D"/>
    <w:rsid w:val="009132A8"/>
    <w:rsid w:val="00913BC2"/>
    <w:rsid w:val="00913F0D"/>
    <w:rsid w:val="009149DE"/>
    <w:rsid w:val="0091581B"/>
    <w:rsid w:val="009169B4"/>
    <w:rsid w:val="00916B94"/>
    <w:rsid w:val="0091754C"/>
    <w:rsid w:val="009175DE"/>
    <w:rsid w:val="00920046"/>
    <w:rsid w:val="00920A46"/>
    <w:rsid w:val="00923416"/>
    <w:rsid w:val="00924D6A"/>
    <w:rsid w:val="00925DCD"/>
    <w:rsid w:val="00925EC5"/>
    <w:rsid w:val="00927B96"/>
    <w:rsid w:val="009303B7"/>
    <w:rsid w:val="0093237F"/>
    <w:rsid w:val="00934288"/>
    <w:rsid w:val="0093717B"/>
    <w:rsid w:val="00942C3B"/>
    <w:rsid w:val="00943FF4"/>
    <w:rsid w:val="00945EC2"/>
    <w:rsid w:val="009464E6"/>
    <w:rsid w:val="0095029C"/>
    <w:rsid w:val="00950A42"/>
    <w:rsid w:val="009510CA"/>
    <w:rsid w:val="00953BAA"/>
    <w:rsid w:val="00954B1F"/>
    <w:rsid w:val="00954CD1"/>
    <w:rsid w:val="00957FDA"/>
    <w:rsid w:val="00964157"/>
    <w:rsid w:val="009654D6"/>
    <w:rsid w:val="0096721B"/>
    <w:rsid w:val="00967439"/>
    <w:rsid w:val="00970AEB"/>
    <w:rsid w:val="0097254D"/>
    <w:rsid w:val="00972E53"/>
    <w:rsid w:val="0097461E"/>
    <w:rsid w:val="00974ADC"/>
    <w:rsid w:val="00974D6B"/>
    <w:rsid w:val="00975CFC"/>
    <w:rsid w:val="00976EEF"/>
    <w:rsid w:val="00977590"/>
    <w:rsid w:val="00977707"/>
    <w:rsid w:val="00977DF3"/>
    <w:rsid w:val="0098116C"/>
    <w:rsid w:val="00982532"/>
    <w:rsid w:val="009836C4"/>
    <w:rsid w:val="0098497D"/>
    <w:rsid w:val="009854E2"/>
    <w:rsid w:val="00986A6C"/>
    <w:rsid w:val="00987331"/>
    <w:rsid w:val="00987443"/>
    <w:rsid w:val="00991D87"/>
    <w:rsid w:val="009923B4"/>
    <w:rsid w:val="009939F1"/>
    <w:rsid w:val="009943FA"/>
    <w:rsid w:val="00994A54"/>
    <w:rsid w:val="00996755"/>
    <w:rsid w:val="00997359"/>
    <w:rsid w:val="009A0BCB"/>
    <w:rsid w:val="009A53E3"/>
    <w:rsid w:val="009C2E57"/>
    <w:rsid w:val="009C401C"/>
    <w:rsid w:val="009C4254"/>
    <w:rsid w:val="009D1A5A"/>
    <w:rsid w:val="009D2091"/>
    <w:rsid w:val="009D3425"/>
    <w:rsid w:val="009D37AC"/>
    <w:rsid w:val="009D3A35"/>
    <w:rsid w:val="009D3D2E"/>
    <w:rsid w:val="009D3EA9"/>
    <w:rsid w:val="009D54CB"/>
    <w:rsid w:val="009D6F8D"/>
    <w:rsid w:val="009D799E"/>
    <w:rsid w:val="009E0628"/>
    <w:rsid w:val="009E1506"/>
    <w:rsid w:val="009E391F"/>
    <w:rsid w:val="009E4F61"/>
    <w:rsid w:val="009E55D8"/>
    <w:rsid w:val="009E66B3"/>
    <w:rsid w:val="009E68E2"/>
    <w:rsid w:val="009E6BCD"/>
    <w:rsid w:val="009F074C"/>
    <w:rsid w:val="009F204C"/>
    <w:rsid w:val="009F31F8"/>
    <w:rsid w:val="009F354C"/>
    <w:rsid w:val="009F49BA"/>
    <w:rsid w:val="009F4F17"/>
    <w:rsid w:val="009F63E3"/>
    <w:rsid w:val="00A00403"/>
    <w:rsid w:val="00A031CD"/>
    <w:rsid w:val="00A03B8F"/>
    <w:rsid w:val="00A04AB7"/>
    <w:rsid w:val="00A04F9A"/>
    <w:rsid w:val="00A05DF3"/>
    <w:rsid w:val="00A07D1A"/>
    <w:rsid w:val="00A10757"/>
    <w:rsid w:val="00A10B3D"/>
    <w:rsid w:val="00A13C8B"/>
    <w:rsid w:val="00A153E9"/>
    <w:rsid w:val="00A177BC"/>
    <w:rsid w:val="00A17933"/>
    <w:rsid w:val="00A17C95"/>
    <w:rsid w:val="00A2085E"/>
    <w:rsid w:val="00A21494"/>
    <w:rsid w:val="00A2176D"/>
    <w:rsid w:val="00A21819"/>
    <w:rsid w:val="00A22C5E"/>
    <w:rsid w:val="00A23968"/>
    <w:rsid w:val="00A277B8"/>
    <w:rsid w:val="00A27998"/>
    <w:rsid w:val="00A32952"/>
    <w:rsid w:val="00A342F7"/>
    <w:rsid w:val="00A34CA2"/>
    <w:rsid w:val="00A3579C"/>
    <w:rsid w:val="00A35E73"/>
    <w:rsid w:val="00A3653F"/>
    <w:rsid w:val="00A36877"/>
    <w:rsid w:val="00A37132"/>
    <w:rsid w:val="00A41B11"/>
    <w:rsid w:val="00A43596"/>
    <w:rsid w:val="00A4479C"/>
    <w:rsid w:val="00A463C5"/>
    <w:rsid w:val="00A46519"/>
    <w:rsid w:val="00A467CB"/>
    <w:rsid w:val="00A472B6"/>
    <w:rsid w:val="00A47C96"/>
    <w:rsid w:val="00A524BA"/>
    <w:rsid w:val="00A5438D"/>
    <w:rsid w:val="00A54921"/>
    <w:rsid w:val="00A553D4"/>
    <w:rsid w:val="00A5679A"/>
    <w:rsid w:val="00A570F3"/>
    <w:rsid w:val="00A57517"/>
    <w:rsid w:val="00A579B0"/>
    <w:rsid w:val="00A57FBF"/>
    <w:rsid w:val="00A6030F"/>
    <w:rsid w:val="00A6233D"/>
    <w:rsid w:val="00A639B9"/>
    <w:rsid w:val="00A70302"/>
    <w:rsid w:val="00A70CD9"/>
    <w:rsid w:val="00A70F46"/>
    <w:rsid w:val="00A7112C"/>
    <w:rsid w:val="00A71C5A"/>
    <w:rsid w:val="00A744A6"/>
    <w:rsid w:val="00A75A4D"/>
    <w:rsid w:val="00A770AD"/>
    <w:rsid w:val="00A801A7"/>
    <w:rsid w:val="00A847DE"/>
    <w:rsid w:val="00A84B75"/>
    <w:rsid w:val="00A8522A"/>
    <w:rsid w:val="00A85806"/>
    <w:rsid w:val="00A858E6"/>
    <w:rsid w:val="00A8750F"/>
    <w:rsid w:val="00A90680"/>
    <w:rsid w:val="00A90976"/>
    <w:rsid w:val="00A90D02"/>
    <w:rsid w:val="00A9329E"/>
    <w:rsid w:val="00A93EE5"/>
    <w:rsid w:val="00A97F0E"/>
    <w:rsid w:val="00AA02D4"/>
    <w:rsid w:val="00AA1B71"/>
    <w:rsid w:val="00AA2404"/>
    <w:rsid w:val="00AA31B0"/>
    <w:rsid w:val="00AA4062"/>
    <w:rsid w:val="00AA56A4"/>
    <w:rsid w:val="00AB019D"/>
    <w:rsid w:val="00AB33A7"/>
    <w:rsid w:val="00AB4EF5"/>
    <w:rsid w:val="00AB6D27"/>
    <w:rsid w:val="00AB6FD5"/>
    <w:rsid w:val="00AC08EC"/>
    <w:rsid w:val="00AC1C33"/>
    <w:rsid w:val="00AC445C"/>
    <w:rsid w:val="00AC5CD4"/>
    <w:rsid w:val="00AC7611"/>
    <w:rsid w:val="00AD0D4D"/>
    <w:rsid w:val="00AD23D0"/>
    <w:rsid w:val="00AD2B93"/>
    <w:rsid w:val="00AD3D67"/>
    <w:rsid w:val="00AD497A"/>
    <w:rsid w:val="00AD5BBB"/>
    <w:rsid w:val="00AD6104"/>
    <w:rsid w:val="00AD63F6"/>
    <w:rsid w:val="00AD6F69"/>
    <w:rsid w:val="00AD7033"/>
    <w:rsid w:val="00AD7399"/>
    <w:rsid w:val="00AE4E5E"/>
    <w:rsid w:val="00AE731A"/>
    <w:rsid w:val="00AE7FD2"/>
    <w:rsid w:val="00AF0EC5"/>
    <w:rsid w:val="00AF15E2"/>
    <w:rsid w:val="00AF1E0E"/>
    <w:rsid w:val="00AF23DE"/>
    <w:rsid w:val="00AF3A3E"/>
    <w:rsid w:val="00AF45AC"/>
    <w:rsid w:val="00AF5290"/>
    <w:rsid w:val="00AF594A"/>
    <w:rsid w:val="00AF5E5E"/>
    <w:rsid w:val="00AF6ADB"/>
    <w:rsid w:val="00B035D1"/>
    <w:rsid w:val="00B03A28"/>
    <w:rsid w:val="00B06E77"/>
    <w:rsid w:val="00B07498"/>
    <w:rsid w:val="00B075FF"/>
    <w:rsid w:val="00B10A94"/>
    <w:rsid w:val="00B1130E"/>
    <w:rsid w:val="00B1143D"/>
    <w:rsid w:val="00B11984"/>
    <w:rsid w:val="00B11D81"/>
    <w:rsid w:val="00B1296E"/>
    <w:rsid w:val="00B12A12"/>
    <w:rsid w:val="00B12C31"/>
    <w:rsid w:val="00B1362E"/>
    <w:rsid w:val="00B142E0"/>
    <w:rsid w:val="00B15F39"/>
    <w:rsid w:val="00B16ACB"/>
    <w:rsid w:val="00B1742A"/>
    <w:rsid w:val="00B204A1"/>
    <w:rsid w:val="00B21F10"/>
    <w:rsid w:val="00B22517"/>
    <w:rsid w:val="00B2465D"/>
    <w:rsid w:val="00B2713A"/>
    <w:rsid w:val="00B27C5F"/>
    <w:rsid w:val="00B31F5D"/>
    <w:rsid w:val="00B32CDD"/>
    <w:rsid w:val="00B33034"/>
    <w:rsid w:val="00B33BD3"/>
    <w:rsid w:val="00B34FEA"/>
    <w:rsid w:val="00B401C4"/>
    <w:rsid w:val="00B402A9"/>
    <w:rsid w:val="00B41184"/>
    <w:rsid w:val="00B4234F"/>
    <w:rsid w:val="00B423FA"/>
    <w:rsid w:val="00B4289E"/>
    <w:rsid w:val="00B434A7"/>
    <w:rsid w:val="00B44434"/>
    <w:rsid w:val="00B452D0"/>
    <w:rsid w:val="00B45571"/>
    <w:rsid w:val="00B46FB3"/>
    <w:rsid w:val="00B51B8B"/>
    <w:rsid w:val="00B51D74"/>
    <w:rsid w:val="00B5229B"/>
    <w:rsid w:val="00B54ADE"/>
    <w:rsid w:val="00B55C34"/>
    <w:rsid w:val="00B56F75"/>
    <w:rsid w:val="00B57F03"/>
    <w:rsid w:val="00B619EA"/>
    <w:rsid w:val="00B61A7F"/>
    <w:rsid w:val="00B63244"/>
    <w:rsid w:val="00B636AC"/>
    <w:rsid w:val="00B64C82"/>
    <w:rsid w:val="00B65A95"/>
    <w:rsid w:val="00B66062"/>
    <w:rsid w:val="00B66D42"/>
    <w:rsid w:val="00B66E41"/>
    <w:rsid w:val="00B712A6"/>
    <w:rsid w:val="00B71CB3"/>
    <w:rsid w:val="00B721FD"/>
    <w:rsid w:val="00B7294E"/>
    <w:rsid w:val="00B72BAF"/>
    <w:rsid w:val="00B73AB7"/>
    <w:rsid w:val="00B74AEE"/>
    <w:rsid w:val="00B75348"/>
    <w:rsid w:val="00B762DB"/>
    <w:rsid w:val="00B76FD5"/>
    <w:rsid w:val="00B815FD"/>
    <w:rsid w:val="00B81725"/>
    <w:rsid w:val="00B82DAE"/>
    <w:rsid w:val="00B83520"/>
    <w:rsid w:val="00B858AE"/>
    <w:rsid w:val="00B8697F"/>
    <w:rsid w:val="00B86BC8"/>
    <w:rsid w:val="00B90A9E"/>
    <w:rsid w:val="00B941A6"/>
    <w:rsid w:val="00B95A1E"/>
    <w:rsid w:val="00B97AC6"/>
    <w:rsid w:val="00BA4166"/>
    <w:rsid w:val="00BA55A8"/>
    <w:rsid w:val="00BA6AF0"/>
    <w:rsid w:val="00BA74C6"/>
    <w:rsid w:val="00BA7A10"/>
    <w:rsid w:val="00BB1479"/>
    <w:rsid w:val="00BB1844"/>
    <w:rsid w:val="00BB1D5E"/>
    <w:rsid w:val="00BB216F"/>
    <w:rsid w:val="00BB3DB9"/>
    <w:rsid w:val="00BB407C"/>
    <w:rsid w:val="00BB4686"/>
    <w:rsid w:val="00BB4B11"/>
    <w:rsid w:val="00BB7E3F"/>
    <w:rsid w:val="00BC1EC4"/>
    <w:rsid w:val="00BC256F"/>
    <w:rsid w:val="00BC356E"/>
    <w:rsid w:val="00BC362E"/>
    <w:rsid w:val="00BC671A"/>
    <w:rsid w:val="00BC7718"/>
    <w:rsid w:val="00BC7CB0"/>
    <w:rsid w:val="00BD24D1"/>
    <w:rsid w:val="00BD2DF6"/>
    <w:rsid w:val="00BD404C"/>
    <w:rsid w:val="00BD4981"/>
    <w:rsid w:val="00BD5066"/>
    <w:rsid w:val="00BD545C"/>
    <w:rsid w:val="00BD7D7A"/>
    <w:rsid w:val="00BE0D1F"/>
    <w:rsid w:val="00BE2A8C"/>
    <w:rsid w:val="00BE328A"/>
    <w:rsid w:val="00BE371B"/>
    <w:rsid w:val="00BE3FD8"/>
    <w:rsid w:val="00BE64FC"/>
    <w:rsid w:val="00BE7999"/>
    <w:rsid w:val="00BF2325"/>
    <w:rsid w:val="00BF2A58"/>
    <w:rsid w:val="00BF31CC"/>
    <w:rsid w:val="00BF379A"/>
    <w:rsid w:val="00BF5677"/>
    <w:rsid w:val="00BF6A75"/>
    <w:rsid w:val="00BF7B2E"/>
    <w:rsid w:val="00C025F2"/>
    <w:rsid w:val="00C03E0E"/>
    <w:rsid w:val="00C04324"/>
    <w:rsid w:val="00C04E1A"/>
    <w:rsid w:val="00C06133"/>
    <w:rsid w:val="00C06595"/>
    <w:rsid w:val="00C10324"/>
    <w:rsid w:val="00C1035C"/>
    <w:rsid w:val="00C105D7"/>
    <w:rsid w:val="00C107EE"/>
    <w:rsid w:val="00C11493"/>
    <w:rsid w:val="00C14B78"/>
    <w:rsid w:val="00C16510"/>
    <w:rsid w:val="00C20838"/>
    <w:rsid w:val="00C2217B"/>
    <w:rsid w:val="00C223CD"/>
    <w:rsid w:val="00C23E02"/>
    <w:rsid w:val="00C24386"/>
    <w:rsid w:val="00C25776"/>
    <w:rsid w:val="00C27AE9"/>
    <w:rsid w:val="00C27E3E"/>
    <w:rsid w:val="00C325DA"/>
    <w:rsid w:val="00C327F3"/>
    <w:rsid w:val="00C3556B"/>
    <w:rsid w:val="00C3609F"/>
    <w:rsid w:val="00C36118"/>
    <w:rsid w:val="00C36337"/>
    <w:rsid w:val="00C3696F"/>
    <w:rsid w:val="00C37D9B"/>
    <w:rsid w:val="00C413E4"/>
    <w:rsid w:val="00C41917"/>
    <w:rsid w:val="00C426E9"/>
    <w:rsid w:val="00C4548B"/>
    <w:rsid w:val="00C50596"/>
    <w:rsid w:val="00C51ABB"/>
    <w:rsid w:val="00C53BB6"/>
    <w:rsid w:val="00C57BDD"/>
    <w:rsid w:val="00C60605"/>
    <w:rsid w:val="00C60D33"/>
    <w:rsid w:val="00C61528"/>
    <w:rsid w:val="00C61E6E"/>
    <w:rsid w:val="00C64F93"/>
    <w:rsid w:val="00C66124"/>
    <w:rsid w:val="00C667AE"/>
    <w:rsid w:val="00C70C7A"/>
    <w:rsid w:val="00C73054"/>
    <w:rsid w:val="00C733D3"/>
    <w:rsid w:val="00C73BF4"/>
    <w:rsid w:val="00C7527E"/>
    <w:rsid w:val="00C7685A"/>
    <w:rsid w:val="00C76C70"/>
    <w:rsid w:val="00C7707E"/>
    <w:rsid w:val="00C80D9D"/>
    <w:rsid w:val="00C854C5"/>
    <w:rsid w:val="00C85B2E"/>
    <w:rsid w:val="00C90015"/>
    <w:rsid w:val="00C90333"/>
    <w:rsid w:val="00C90685"/>
    <w:rsid w:val="00C90A41"/>
    <w:rsid w:val="00C93B88"/>
    <w:rsid w:val="00C94759"/>
    <w:rsid w:val="00C94EE5"/>
    <w:rsid w:val="00C95166"/>
    <w:rsid w:val="00CA08FD"/>
    <w:rsid w:val="00CA11E5"/>
    <w:rsid w:val="00CA172D"/>
    <w:rsid w:val="00CA335D"/>
    <w:rsid w:val="00CA4C51"/>
    <w:rsid w:val="00CA58E1"/>
    <w:rsid w:val="00CA5ADB"/>
    <w:rsid w:val="00CA68E7"/>
    <w:rsid w:val="00CB0EA5"/>
    <w:rsid w:val="00CB0FCE"/>
    <w:rsid w:val="00CB513A"/>
    <w:rsid w:val="00CB53F8"/>
    <w:rsid w:val="00CB5EE9"/>
    <w:rsid w:val="00CB6153"/>
    <w:rsid w:val="00CB6C02"/>
    <w:rsid w:val="00CC1280"/>
    <w:rsid w:val="00CC3A13"/>
    <w:rsid w:val="00CC3A49"/>
    <w:rsid w:val="00CC4D5E"/>
    <w:rsid w:val="00CC5132"/>
    <w:rsid w:val="00CC6071"/>
    <w:rsid w:val="00CC7248"/>
    <w:rsid w:val="00CD0605"/>
    <w:rsid w:val="00CD1436"/>
    <w:rsid w:val="00CD22F9"/>
    <w:rsid w:val="00CD2825"/>
    <w:rsid w:val="00CD343A"/>
    <w:rsid w:val="00CD3648"/>
    <w:rsid w:val="00CD462C"/>
    <w:rsid w:val="00CD48EE"/>
    <w:rsid w:val="00CD5687"/>
    <w:rsid w:val="00CD6EC2"/>
    <w:rsid w:val="00CD75C7"/>
    <w:rsid w:val="00CD7DE1"/>
    <w:rsid w:val="00CE19FA"/>
    <w:rsid w:val="00CE1B16"/>
    <w:rsid w:val="00CE1E0A"/>
    <w:rsid w:val="00CE24FB"/>
    <w:rsid w:val="00CE75AC"/>
    <w:rsid w:val="00CF0668"/>
    <w:rsid w:val="00CF1ABC"/>
    <w:rsid w:val="00CF21D8"/>
    <w:rsid w:val="00CF32FA"/>
    <w:rsid w:val="00CF3AA6"/>
    <w:rsid w:val="00CF3B7F"/>
    <w:rsid w:val="00CF4FC4"/>
    <w:rsid w:val="00CF5117"/>
    <w:rsid w:val="00CF5E1C"/>
    <w:rsid w:val="00CF5ECB"/>
    <w:rsid w:val="00CF6383"/>
    <w:rsid w:val="00CF653E"/>
    <w:rsid w:val="00CF6F9E"/>
    <w:rsid w:val="00CF7BE0"/>
    <w:rsid w:val="00D013FD"/>
    <w:rsid w:val="00D02798"/>
    <w:rsid w:val="00D02BE8"/>
    <w:rsid w:val="00D040DA"/>
    <w:rsid w:val="00D04195"/>
    <w:rsid w:val="00D046D6"/>
    <w:rsid w:val="00D05CEF"/>
    <w:rsid w:val="00D10303"/>
    <w:rsid w:val="00D12282"/>
    <w:rsid w:val="00D13446"/>
    <w:rsid w:val="00D13817"/>
    <w:rsid w:val="00D13A24"/>
    <w:rsid w:val="00D15A4A"/>
    <w:rsid w:val="00D201DA"/>
    <w:rsid w:val="00D215CB"/>
    <w:rsid w:val="00D22056"/>
    <w:rsid w:val="00D220E2"/>
    <w:rsid w:val="00D222A1"/>
    <w:rsid w:val="00D243A5"/>
    <w:rsid w:val="00D2526B"/>
    <w:rsid w:val="00D264BE"/>
    <w:rsid w:val="00D26B73"/>
    <w:rsid w:val="00D2726D"/>
    <w:rsid w:val="00D274DC"/>
    <w:rsid w:val="00D30BF3"/>
    <w:rsid w:val="00D31203"/>
    <w:rsid w:val="00D31B6C"/>
    <w:rsid w:val="00D33F5B"/>
    <w:rsid w:val="00D356CC"/>
    <w:rsid w:val="00D367A9"/>
    <w:rsid w:val="00D3768D"/>
    <w:rsid w:val="00D37A5C"/>
    <w:rsid w:val="00D4093A"/>
    <w:rsid w:val="00D426BF"/>
    <w:rsid w:val="00D4281E"/>
    <w:rsid w:val="00D42BC6"/>
    <w:rsid w:val="00D4301E"/>
    <w:rsid w:val="00D4525A"/>
    <w:rsid w:val="00D506E9"/>
    <w:rsid w:val="00D519D1"/>
    <w:rsid w:val="00D553E5"/>
    <w:rsid w:val="00D5774E"/>
    <w:rsid w:val="00D60913"/>
    <w:rsid w:val="00D61B3A"/>
    <w:rsid w:val="00D62D47"/>
    <w:rsid w:val="00D64FD0"/>
    <w:rsid w:val="00D66013"/>
    <w:rsid w:val="00D67284"/>
    <w:rsid w:val="00D67679"/>
    <w:rsid w:val="00D67C8B"/>
    <w:rsid w:val="00D70AA6"/>
    <w:rsid w:val="00D7189B"/>
    <w:rsid w:val="00D72E41"/>
    <w:rsid w:val="00D73960"/>
    <w:rsid w:val="00D7398D"/>
    <w:rsid w:val="00D740A7"/>
    <w:rsid w:val="00D74E38"/>
    <w:rsid w:val="00D7522F"/>
    <w:rsid w:val="00D758EC"/>
    <w:rsid w:val="00D773D8"/>
    <w:rsid w:val="00D77699"/>
    <w:rsid w:val="00D77A17"/>
    <w:rsid w:val="00D77B3F"/>
    <w:rsid w:val="00D80224"/>
    <w:rsid w:val="00D8071D"/>
    <w:rsid w:val="00D82A8B"/>
    <w:rsid w:val="00D83AF5"/>
    <w:rsid w:val="00D84F53"/>
    <w:rsid w:val="00D85920"/>
    <w:rsid w:val="00D85D82"/>
    <w:rsid w:val="00D85FAA"/>
    <w:rsid w:val="00D865BB"/>
    <w:rsid w:val="00D877C3"/>
    <w:rsid w:val="00D9048A"/>
    <w:rsid w:val="00D92142"/>
    <w:rsid w:val="00D94A7B"/>
    <w:rsid w:val="00D95D5D"/>
    <w:rsid w:val="00DA1FCB"/>
    <w:rsid w:val="00DA397E"/>
    <w:rsid w:val="00DA4E92"/>
    <w:rsid w:val="00DB1635"/>
    <w:rsid w:val="00DB1BF7"/>
    <w:rsid w:val="00DB4E19"/>
    <w:rsid w:val="00DB5509"/>
    <w:rsid w:val="00DB5848"/>
    <w:rsid w:val="00DC1103"/>
    <w:rsid w:val="00DC46B8"/>
    <w:rsid w:val="00DC53EC"/>
    <w:rsid w:val="00DC5610"/>
    <w:rsid w:val="00DC59F9"/>
    <w:rsid w:val="00DC5EDB"/>
    <w:rsid w:val="00DC6D9D"/>
    <w:rsid w:val="00DC7CF8"/>
    <w:rsid w:val="00DD0764"/>
    <w:rsid w:val="00DD3477"/>
    <w:rsid w:val="00DD3D93"/>
    <w:rsid w:val="00DD5AAA"/>
    <w:rsid w:val="00DD6928"/>
    <w:rsid w:val="00DE042B"/>
    <w:rsid w:val="00DE0BE2"/>
    <w:rsid w:val="00DE1CF8"/>
    <w:rsid w:val="00DE2DEA"/>
    <w:rsid w:val="00DE3F40"/>
    <w:rsid w:val="00DE4AD2"/>
    <w:rsid w:val="00DE5B64"/>
    <w:rsid w:val="00DE5B7E"/>
    <w:rsid w:val="00DE61A4"/>
    <w:rsid w:val="00DE6E2C"/>
    <w:rsid w:val="00DE74E0"/>
    <w:rsid w:val="00DE75C5"/>
    <w:rsid w:val="00DF002B"/>
    <w:rsid w:val="00DF2AE4"/>
    <w:rsid w:val="00DF42DE"/>
    <w:rsid w:val="00DF47E7"/>
    <w:rsid w:val="00DF49C8"/>
    <w:rsid w:val="00DF53E5"/>
    <w:rsid w:val="00DF767C"/>
    <w:rsid w:val="00E00781"/>
    <w:rsid w:val="00E01BC1"/>
    <w:rsid w:val="00E01BEC"/>
    <w:rsid w:val="00E026DC"/>
    <w:rsid w:val="00E02E0C"/>
    <w:rsid w:val="00E036B1"/>
    <w:rsid w:val="00E04FDA"/>
    <w:rsid w:val="00E06326"/>
    <w:rsid w:val="00E06C1A"/>
    <w:rsid w:val="00E06F24"/>
    <w:rsid w:val="00E13B0E"/>
    <w:rsid w:val="00E15C59"/>
    <w:rsid w:val="00E15D7F"/>
    <w:rsid w:val="00E16261"/>
    <w:rsid w:val="00E16651"/>
    <w:rsid w:val="00E16D06"/>
    <w:rsid w:val="00E20312"/>
    <w:rsid w:val="00E20403"/>
    <w:rsid w:val="00E209B5"/>
    <w:rsid w:val="00E20DB7"/>
    <w:rsid w:val="00E2232F"/>
    <w:rsid w:val="00E2425E"/>
    <w:rsid w:val="00E26544"/>
    <w:rsid w:val="00E302BE"/>
    <w:rsid w:val="00E3075F"/>
    <w:rsid w:val="00E319E6"/>
    <w:rsid w:val="00E31F3F"/>
    <w:rsid w:val="00E321C8"/>
    <w:rsid w:val="00E32815"/>
    <w:rsid w:val="00E33AAC"/>
    <w:rsid w:val="00E40203"/>
    <w:rsid w:val="00E40D51"/>
    <w:rsid w:val="00E415A3"/>
    <w:rsid w:val="00E41A31"/>
    <w:rsid w:val="00E41AAA"/>
    <w:rsid w:val="00E443DE"/>
    <w:rsid w:val="00E46A38"/>
    <w:rsid w:val="00E4722B"/>
    <w:rsid w:val="00E50C23"/>
    <w:rsid w:val="00E52314"/>
    <w:rsid w:val="00E52942"/>
    <w:rsid w:val="00E52AE4"/>
    <w:rsid w:val="00E54F51"/>
    <w:rsid w:val="00E611A0"/>
    <w:rsid w:val="00E61AC7"/>
    <w:rsid w:val="00E631C1"/>
    <w:rsid w:val="00E638CF"/>
    <w:rsid w:val="00E64DBF"/>
    <w:rsid w:val="00E66D37"/>
    <w:rsid w:val="00E67310"/>
    <w:rsid w:val="00E71663"/>
    <w:rsid w:val="00E72050"/>
    <w:rsid w:val="00E7366F"/>
    <w:rsid w:val="00E74A9C"/>
    <w:rsid w:val="00E74CD6"/>
    <w:rsid w:val="00E751D0"/>
    <w:rsid w:val="00E8218C"/>
    <w:rsid w:val="00E8244F"/>
    <w:rsid w:val="00E8295B"/>
    <w:rsid w:val="00E83A0B"/>
    <w:rsid w:val="00E83B6C"/>
    <w:rsid w:val="00E83C20"/>
    <w:rsid w:val="00E877D7"/>
    <w:rsid w:val="00E87BF0"/>
    <w:rsid w:val="00E91FB2"/>
    <w:rsid w:val="00E9217E"/>
    <w:rsid w:val="00E93B3E"/>
    <w:rsid w:val="00E93C4D"/>
    <w:rsid w:val="00E93F42"/>
    <w:rsid w:val="00E95506"/>
    <w:rsid w:val="00E9604D"/>
    <w:rsid w:val="00E966AC"/>
    <w:rsid w:val="00E96B0E"/>
    <w:rsid w:val="00E96F9A"/>
    <w:rsid w:val="00E97B7D"/>
    <w:rsid w:val="00EA00D9"/>
    <w:rsid w:val="00EA076E"/>
    <w:rsid w:val="00EA0B15"/>
    <w:rsid w:val="00EA167E"/>
    <w:rsid w:val="00EA16B2"/>
    <w:rsid w:val="00EA3CB8"/>
    <w:rsid w:val="00EA4914"/>
    <w:rsid w:val="00EA7570"/>
    <w:rsid w:val="00EA7E87"/>
    <w:rsid w:val="00EB0871"/>
    <w:rsid w:val="00EB0B22"/>
    <w:rsid w:val="00EB1045"/>
    <w:rsid w:val="00EB18A9"/>
    <w:rsid w:val="00EB18D5"/>
    <w:rsid w:val="00EB1ADC"/>
    <w:rsid w:val="00EB36C9"/>
    <w:rsid w:val="00EB6A35"/>
    <w:rsid w:val="00EB6FF5"/>
    <w:rsid w:val="00EC30C5"/>
    <w:rsid w:val="00EC47C9"/>
    <w:rsid w:val="00EC61C4"/>
    <w:rsid w:val="00EC6461"/>
    <w:rsid w:val="00EC6A69"/>
    <w:rsid w:val="00ED0367"/>
    <w:rsid w:val="00ED1E24"/>
    <w:rsid w:val="00ED2A12"/>
    <w:rsid w:val="00ED3ACC"/>
    <w:rsid w:val="00ED4CDC"/>
    <w:rsid w:val="00ED67BD"/>
    <w:rsid w:val="00EE10D5"/>
    <w:rsid w:val="00EE1CC5"/>
    <w:rsid w:val="00EE22EE"/>
    <w:rsid w:val="00EE2FF5"/>
    <w:rsid w:val="00EE337A"/>
    <w:rsid w:val="00EE6B97"/>
    <w:rsid w:val="00EE6FBC"/>
    <w:rsid w:val="00EE7EB4"/>
    <w:rsid w:val="00EF149F"/>
    <w:rsid w:val="00EF1D9D"/>
    <w:rsid w:val="00EF52FD"/>
    <w:rsid w:val="00EF56C0"/>
    <w:rsid w:val="00EF731B"/>
    <w:rsid w:val="00EF7E88"/>
    <w:rsid w:val="00F009C1"/>
    <w:rsid w:val="00F023B2"/>
    <w:rsid w:val="00F025D4"/>
    <w:rsid w:val="00F037F8"/>
    <w:rsid w:val="00F03E93"/>
    <w:rsid w:val="00F041A6"/>
    <w:rsid w:val="00F0437A"/>
    <w:rsid w:val="00F05B2F"/>
    <w:rsid w:val="00F05F49"/>
    <w:rsid w:val="00F11341"/>
    <w:rsid w:val="00F11819"/>
    <w:rsid w:val="00F11B46"/>
    <w:rsid w:val="00F12D43"/>
    <w:rsid w:val="00F13062"/>
    <w:rsid w:val="00F1328B"/>
    <w:rsid w:val="00F146D7"/>
    <w:rsid w:val="00F14EC6"/>
    <w:rsid w:val="00F14EF2"/>
    <w:rsid w:val="00F1665D"/>
    <w:rsid w:val="00F17582"/>
    <w:rsid w:val="00F20CD4"/>
    <w:rsid w:val="00F236A0"/>
    <w:rsid w:val="00F24C7C"/>
    <w:rsid w:val="00F26503"/>
    <w:rsid w:val="00F26B75"/>
    <w:rsid w:val="00F277E6"/>
    <w:rsid w:val="00F278D2"/>
    <w:rsid w:val="00F31131"/>
    <w:rsid w:val="00F313D5"/>
    <w:rsid w:val="00F31E1E"/>
    <w:rsid w:val="00F348AE"/>
    <w:rsid w:val="00F3543A"/>
    <w:rsid w:val="00F35761"/>
    <w:rsid w:val="00F35C6B"/>
    <w:rsid w:val="00F416FF"/>
    <w:rsid w:val="00F4353D"/>
    <w:rsid w:val="00F43B30"/>
    <w:rsid w:val="00F44352"/>
    <w:rsid w:val="00F44AF7"/>
    <w:rsid w:val="00F44E60"/>
    <w:rsid w:val="00F46A1D"/>
    <w:rsid w:val="00F46DA2"/>
    <w:rsid w:val="00F5021A"/>
    <w:rsid w:val="00F511C1"/>
    <w:rsid w:val="00F52D81"/>
    <w:rsid w:val="00F54D93"/>
    <w:rsid w:val="00F56BC9"/>
    <w:rsid w:val="00F56C79"/>
    <w:rsid w:val="00F57598"/>
    <w:rsid w:val="00F57C43"/>
    <w:rsid w:val="00F61401"/>
    <w:rsid w:val="00F618D9"/>
    <w:rsid w:val="00F6248E"/>
    <w:rsid w:val="00F63C33"/>
    <w:rsid w:val="00F63F80"/>
    <w:rsid w:val="00F64437"/>
    <w:rsid w:val="00F64578"/>
    <w:rsid w:val="00F64AF9"/>
    <w:rsid w:val="00F64B41"/>
    <w:rsid w:val="00F64E90"/>
    <w:rsid w:val="00F65EEF"/>
    <w:rsid w:val="00F664EB"/>
    <w:rsid w:val="00F665F5"/>
    <w:rsid w:val="00F70136"/>
    <w:rsid w:val="00F703A6"/>
    <w:rsid w:val="00F70E7C"/>
    <w:rsid w:val="00F70FE2"/>
    <w:rsid w:val="00F71348"/>
    <w:rsid w:val="00F724A8"/>
    <w:rsid w:val="00F73151"/>
    <w:rsid w:val="00F737D0"/>
    <w:rsid w:val="00F74504"/>
    <w:rsid w:val="00F75BE7"/>
    <w:rsid w:val="00F765FE"/>
    <w:rsid w:val="00F76F26"/>
    <w:rsid w:val="00F77442"/>
    <w:rsid w:val="00F77737"/>
    <w:rsid w:val="00F82BC4"/>
    <w:rsid w:val="00F8489B"/>
    <w:rsid w:val="00F85BC6"/>
    <w:rsid w:val="00F8666A"/>
    <w:rsid w:val="00F86941"/>
    <w:rsid w:val="00F86E63"/>
    <w:rsid w:val="00F90A2B"/>
    <w:rsid w:val="00F93CC9"/>
    <w:rsid w:val="00F964B8"/>
    <w:rsid w:val="00F9750D"/>
    <w:rsid w:val="00F97F19"/>
    <w:rsid w:val="00FA0B1C"/>
    <w:rsid w:val="00FA1723"/>
    <w:rsid w:val="00FA2730"/>
    <w:rsid w:val="00FA477A"/>
    <w:rsid w:val="00FA4E3B"/>
    <w:rsid w:val="00FA59B2"/>
    <w:rsid w:val="00FA6128"/>
    <w:rsid w:val="00FA691C"/>
    <w:rsid w:val="00FA6FF9"/>
    <w:rsid w:val="00FA7683"/>
    <w:rsid w:val="00FA7E4C"/>
    <w:rsid w:val="00FB0E65"/>
    <w:rsid w:val="00FB380D"/>
    <w:rsid w:val="00FB4A30"/>
    <w:rsid w:val="00FC08BE"/>
    <w:rsid w:val="00FC375D"/>
    <w:rsid w:val="00FC5551"/>
    <w:rsid w:val="00FC5C1A"/>
    <w:rsid w:val="00FC5D48"/>
    <w:rsid w:val="00FC751A"/>
    <w:rsid w:val="00FD0A07"/>
    <w:rsid w:val="00FD0F69"/>
    <w:rsid w:val="00FD1490"/>
    <w:rsid w:val="00FD6052"/>
    <w:rsid w:val="00FD71B1"/>
    <w:rsid w:val="00FE04C4"/>
    <w:rsid w:val="00FE0938"/>
    <w:rsid w:val="00FE0C24"/>
    <w:rsid w:val="00FE22B0"/>
    <w:rsid w:val="00FE2B9B"/>
    <w:rsid w:val="00FE6E59"/>
    <w:rsid w:val="00FE6E67"/>
    <w:rsid w:val="00FF17AC"/>
    <w:rsid w:val="00FF1D02"/>
    <w:rsid w:val="00FF2A96"/>
    <w:rsid w:val="00FF306B"/>
    <w:rsid w:val="00FF4262"/>
    <w:rsid w:val="00FF64D3"/>
    <w:rsid w:val="00FF6919"/>
    <w:rsid w:val="00FF71FD"/>
    <w:rsid w:val="03545522"/>
    <w:rsid w:val="0BF6023B"/>
    <w:rsid w:val="0BF87840"/>
    <w:rsid w:val="0FC450F7"/>
    <w:rsid w:val="102E2AAA"/>
    <w:rsid w:val="1038510C"/>
    <w:rsid w:val="10910BDD"/>
    <w:rsid w:val="170236F8"/>
    <w:rsid w:val="19DD1868"/>
    <w:rsid w:val="1CE976DC"/>
    <w:rsid w:val="1DD97C85"/>
    <w:rsid w:val="222728ED"/>
    <w:rsid w:val="22577A8F"/>
    <w:rsid w:val="2354517E"/>
    <w:rsid w:val="275E609C"/>
    <w:rsid w:val="28C77F98"/>
    <w:rsid w:val="29FF5B5D"/>
    <w:rsid w:val="2AE35478"/>
    <w:rsid w:val="30CE650F"/>
    <w:rsid w:val="344D0F52"/>
    <w:rsid w:val="3523755E"/>
    <w:rsid w:val="36D00D3C"/>
    <w:rsid w:val="373134D9"/>
    <w:rsid w:val="381E1B2E"/>
    <w:rsid w:val="38565E57"/>
    <w:rsid w:val="39401E50"/>
    <w:rsid w:val="3DA06EF1"/>
    <w:rsid w:val="42033A2F"/>
    <w:rsid w:val="432C580D"/>
    <w:rsid w:val="438023E1"/>
    <w:rsid w:val="443E0938"/>
    <w:rsid w:val="44A90D46"/>
    <w:rsid w:val="45B92952"/>
    <w:rsid w:val="48D017AD"/>
    <w:rsid w:val="4BD729A6"/>
    <w:rsid w:val="4BD73FEC"/>
    <w:rsid w:val="4CF60ECC"/>
    <w:rsid w:val="4E213562"/>
    <w:rsid w:val="4E866ADB"/>
    <w:rsid w:val="4F9A4720"/>
    <w:rsid w:val="51664E84"/>
    <w:rsid w:val="574C7AEE"/>
    <w:rsid w:val="57AD4027"/>
    <w:rsid w:val="5D0E4BD9"/>
    <w:rsid w:val="60713545"/>
    <w:rsid w:val="60AE0C82"/>
    <w:rsid w:val="60D2475F"/>
    <w:rsid w:val="63656D4A"/>
    <w:rsid w:val="64F77D1A"/>
    <w:rsid w:val="66586F8B"/>
    <w:rsid w:val="70290A71"/>
    <w:rsid w:val="773601B7"/>
    <w:rsid w:val="780244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2"/>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5"/>
    <w:link w:val="33"/>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6">
    <w:name w:val="heading 3"/>
    <w:basedOn w:val="1"/>
    <w:next w:val="1"/>
    <w:link w:val="34"/>
    <w:qFormat/>
    <w:uiPriority w:val="0"/>
    <w:pPr>
      <w:keepNext/>
      <w:keepLines/>
      <w:spacing w:before="260" w:after="260" w:line="413" w:lineRule="auto"/>
      <w:outlineLvl w:val="2"/>
    </w:pPr>
    <w:rPr>
      <w:b/>
      <w:bCs/>
      <w:kern w:val="0"/>
      <w:sz w:val="32"/>
      <w:szCs w:val="32"/>
    </w:rPr>
  </w:style>
  <w:style w:type="paragraph" w:styleId="7">
    <w:name w:val="heading 4"/>
    <w:basedOn w:val="1"/>
    <w:next w:val="1"/>
    <w:link w:val="35"/>
    <w:qFormat/>
    <w:uiPriority w:val="0"/>
    <w:pPr>
      <w:keepNext/>
      <w:spacing w:line="440" w:lineRule="exact"/>
      <w:jc w:val="center"/>
      <w:outlineLvl w:val="3"/>
    </w:pPr>
    <w:rPr>
      <w:rFonts w:ascii="仿宋_GB2312" w:eastAsia="仿宋_GB2312"/>
      <w:kern w:val="0"/>
      <w:szCs w:val="24"/>
    </w:rPr>
  </w:style>
  <w:style w:type="paragraph" w:styleId="8">
    <w:name w:val="heading 5"/>
    <w:basedOn w:val="1"/>
    <w:next w:val="1"/>
    <w:link w:val="36"/>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9">
    <w:name w:val="heading 6"/>
    <w:basedOn w:val="1"/>
    <w:next w:val="1"/>
    <w:link w:val="37"/>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10">
    <w:name w:val="heading 7"/>
    <w:basedOn w:val="1"/>
    <w:next w:val="1"/>
    <w:link w:val="38"/>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1">
    <w:name w:val="heading 8"/>
    <w:basedOn w:val="1"/>
    <w:next w:val="1"/>
    <w:link w:val="39"/>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2">
    <w:name w:val="heading 9"/>
    <w:basedOn w:val="1"/>
    <w:next w:val="1"/>
    <w:link w:val="40"/>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2"/>
    <w:basedOn w:val="1"/>
    <w:unhideWhenUsed/>
    <w:qFormat/>
    <w:uiPriority w:val="99"/>
    <w:pPr>
      <w:spacing w:line="480" w:lineRule="auto"/>
    </w:pPr>
  </w:style>
  <w:style w:type="paragraph" w:styleId="5">
    <w:name w:val="Normal Indent"/>
    <w:basedOn w:val="1"/>
    <w:qFormat/>
    <w:uiPriority w:val="0"/>
    <w:pPr>
      <w:ind w:firstLine="420"/>
    </w:pPr>
  </w:style>
  <w:style w:type="paragraph" w:styleId="13">
    <w:name w:val="Body Text 3"/>
    <w:basedOn w:val="1"/>
    <w:link w:val="48"/>
    <w:qFormat/>
    <w:uiPriority w:val="0"/>
    <w:rPr>
      <w:rFonts w:ascii="黑体" w:hAnsi="Arial" w:eastAsia="黑体"/>
      <w:b/>
      <w:kern w:val="0"/>
    </w:rPr>
  </w:style>
  <w:style w:type="paragraph" w:styleId="14">
    <w:name w:val="Body Text Indent"/>
    <w:basedOn w:val="1"/>
    <w:link w:val="51"/>
    <w:semiHidden/>
    <w:unhideWhenUsed/>
    <w:qFormat/>
    <w:uiPriority w:val="99"/>
    <w:pPr>
      <w:spacing w:after="120"/>
      <w:ind w:left="420" w:leftChars="200"/>
    </w:pPr>
  </w:style>
  <w:style w:type="paragraph" w:styleId="15">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43"/>
    <w:qFormat/>
    <w:uiPriority w:val="0"/>
    <w:rPr>
      <w:rFonts w:ascii="宋体" w:hAnsi="Courier New" w:cs="Courier New"/>
      <w:kern w:val="0"/>
      <w:sz w:val="20"/>
      <w:szCs w:val="21"/>
    </w:rPr>
  </w:style>
  <w:style w:type="paragraph" w:styleId="17">
    <w:name w:val="Balloon Text"/>
    <w:basedOn w:val="1"/>
    <w:link w:val="50"/>
    <w:semiHidden/>
    <w:unhideWhenUsed/>
    <w:qFormat/>
    <w:uiPriority w:val="99"/>
    <w:rPr>
      <w:sz w:val="18"/>
      <w:szCs w:val="18"/>
    </w:rPr>
  </w:style>
  <w:style w:type="paragraph" w:styleId="18">
    <w:name w:val="footer"/>
    <w:basedOn w:val="1"/>
    <w:link w:val="53"/>
    <w:unhideWhenUsed/>
    <w:qFormat/>
    <w:uiPriority w:val="99"/>
    <w:pPr>
      <w:tabs>
        <w:tab w:val="center" w:pos="4153"/>
        <w:tab w:val="right" w:pos="8306"/>
      </w:tabs>
      <w:snapToGrid w:val="0"/>
      <w:jc w:val="left"/>
    </w:pPr>
    <w:rPr>
      <w:sz w:val="18"/>
      <w:szCs w:val="18"/>
    </w:rPr>
  </w:style>
  <w:style w:type="paragraph" w:styleId="19">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rPr>
  </w:style>
  <w:style w:type="paragraph" w:styleId="21">
    <w:name w:val="Subtitle"/>
    <w:basedOn w:val="1"/>
    <w:next w:val="1"/>
    <w:link w:val="42"/>
    <w:qFormat/>
    <w:uiPriority w:val="0"/>
    <w:pPr>
      <w:spacing w:before="240" w:after="60" w:line="312" w:lineRule="auto"/>
      <w:jc w:val="center"/>
      <w:outlineLvl w:val="1"/>
    </w:pPr>
    <w:rPr>
      <w:rFonts w:ascii="Cambria" w:hAnsi="Cambria" w:eastAsia="方正楷体简体"/>
      <w:bCs/>
      <w:kern w:val="28"/>
      <w:sz w:val="20"/>
      <w:szCs w:val="32"/>
    </w:rPr>
  </w:style>
  <w:style w:type="paragraph" w:styleId="22">
    <w:name w:val="toc 2"/>
    <w:basedOn w:val="1"/>
    <w:next w:val="1"/>
    <w:qFormat/>
    <w:uiPriority w:val="39"/>
    <w:pPr>
      <w:ind w:left="420" w:leftChars="200"/>
    </w:pPr>
    <w:rPr>
      <w:sz w:val="24"/>
    </w:rPr>
  </w:style>
  <w:style w:type="paragraph" w:styleId="23">
    <w:name w:val="Title"/>
    <w:basedOn w:val="1"/>
    <w:next w:val="1"/>
    <w:link w:val="41"/>
    <w:qFormat/>
    <w:uiPriority w:val="99"/>
    <w:pPr>
      <w:spacing w:before="240" w:after="60"/>
      <w:jc w:val="center"/>
      <w:outlineLvl w:val="0"/>
    </w:pPr>
    <w:rPr>
      <w:rFonts w:ascii="Cambria" w:hAnsi="Cambria" w:eastAsia="方正小标宋简体"/>
      <w:b/>
      <w:bCs/>
      <w:kern w:val="0"/>
      <w:sz w:val="44"/>
      <w:szCs w:val="32"/>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rPr>
  </w:style>
  <w:style w:type="character" w:styleId="28">
    <w:name w:val="FollowedHyperlink"/>
    <w:basedOn w:val="26"/>
    <w:semiHidden/>
    <w:unhideWhenUsed/>
    <w:qFormat/>
    <w:uiPriority w:val="99"/>
    <w:rPr>
      <w:color w:val="0D203D"/>
      <w:u w:val="none"/>
    </w:rPr>
  </w:style>
  <w:style w:type="character" w:styleId="29">
    <w:name w:val="Emphasis"/>
    <w:qFormat/>
    <w:uiPriority w:val="0"/>
    <w:rPr>
      <w:rFonts w:hint="default" w:ascii="Times New Roman" w:hAnsi="Times New Roman" w:cs="Times New Roman"/>
    </w:rPr>
  </w:style>
  <w:style w:type="character" w:styleId="30">
    <w:name w:val="Hyperlink"/>
    <w:qFormat/>
    <w:uiPriority w:val="99"/>
    <w:rPr>
      <w:color w:val="0000FF"/>
      <w:u w:val="single"/>
    </w:rPr>
  </w:style>
  <w:style w:type="paragraph" w:customStyle="1" w:styleId="31">
    <w:name w:val="列出段落1"/>
    <w:basedOn w:val="1"/>
    <w:qFormat/>
    <w:uiPriority w:val="34"/>
    <w:pPr>
      <w:ind w:firstLine="420" w:firstLineChars="200"/>
    </w:pPr>
    <w:rPr>
      <w:rFonts w:ascii="Calibri" w:hAnsi="Calibri"/>
      <w:szCs w:val="22"/>
    </w:rPr>
  </w:style>
  <w:style w:type="character" w:customStyle="1" w:styleId="32">
    <w:name w:val="标题 1 字符"/>
    <w:link w:val="3"/>
    <w:qFormat/>
    <w:uiPriority w:val="0"/>
    <w:rPr>
      <w:rFonts w:ascii="Times New Roman" w:hAnsi="Times New Roman"/>
      <w:b/>
      <w:bCs/>
      <w:kern w:val="44"/>
      <w:sz w:val="36"/>
      <w:szCs w:val="44"/>
      <w:lang w:val="zh-CN" w:eastAsia="zh-CN"/>
    </w:rPr>
  </w:style>
  <w:style w:type="character" w:customStyle="1" w:styleId="33">
    <w:name w:val="标题 2 字符"/>
    <w:link w:val="4"/>
    <w:qFormat/>
    <w:uiPriority w:val="0"/>
    <w:rPr>
      <w:rFonts w:ascii="Arial" w:hAnsi="Arial" w:eastAsia="黑体"/>
      <w:b/>
      <w:bCs/>
      <w:sz w:val="32"/>
      <w:szCs w:val="32"/>
      <w:lang w:val="zh-CN" w:eastAsia="zh-CN"/>
    </w:rPr>
  </w:style>
  <w:style w:type="character" w:customStyle="1" w:styleId="34">
    <w:name w:val="标题 3 字符"/>
    <w:link w:val="6"/>
    <w:qFormat/>
    <w:uiPriority w:val="0"/>
    <w:rPr>
      <w:rFonts w:ascii="Times New Roman" w:hAnsi="Times New Roman"/>
      <w:b/>
      <w:bCs/>
      <w:sz w:val="32"/>
      <w:szCs w:val="32"/>
    </w:rPr>
  </w:style>
  <w:style w:type="character" w:customStyle="1" w:styleId="35">
    <w:name w:val="标题 4 字符"/>
    <w:link w:val="7"/>
    <w:qFormat/>
    <w:uiPriority w:val="0"/>
    <w:rPr>
      <w:rFonts w:ascii="仿宋_GB2312" w:hAnsi="Times New Roman" w:eastAsia="仿宋_GB2312"/>
      <w:sz w:val="28"/>
      <w:szCs w:val="24"/>
    </w:rPr>
  </w:style>
  <w:style w:type="character" w:customStyle="1" w:styleId="36">
    <w:name w:val="标题 5 字符"/>
    <w:link w:val="8"/>
    <w:qFormat/>
    <w:uiPriority w:val="0"/>
    <w:rPr>
      <w:rFonts w:ascii="宋体" w:hAnsi="宋体"/>
      <w:b/>
      <w:kern w:val="21"/>
      <w:sz w:val="28"/>
      <w:lang w:eastAsia="ar-SA"/>
    </w:rPr>
  </w:style>
  <w:style w:type="character" w:customStyle="1" w:styleId="37">
    <w:name w:val="标题 6 字符"/>
    <w:link w:val="9"/>
    <w:qFormat/>
    <w:uiPriority w:val="0"/>
    <w:rPr>
      <w:rFonts w:ascii="Arial" w:hAnsi="Arial" w:eastAsia="黑体"/>
      <w:b/>
      <w:kern w:val="21"/>
      <w:sz w:val="24"/>
      <w:lang w:eastAsia="ar-SA"/>
    </w:rPr>
  </w:style>
  <w:style w:type="character" w:customStyle="1" w:styleId="38">
    <w:name w:val="标题 7 字符"/>
    <w:link w:val="10"/>
    <w:qFormat/>
    <w:uiPriority w:val="0"/>
    <w:rPr>
      <w:rFonts w:ascii="宋体" w:hAnsi="宋体"/>
      <w:b/>
      <w:kern w:val="21"/>
      <w:sz w:val="24"/>
      <w:lang w:eastAsia="ar-SA"/>
    </w:rPr>
  </w:style>
  <w:style w:type="character" w:customStyle="1" w:styleId="39">
    <w:name w:val="标题 8 字符"/>
    <w:link w:val="11"/>
    <w:qFormat/>
    <w:uiPriority w:val="0"/>
    <w:rPr>
      <w:rFonts w:ascii="Arial" w:hAnsi="Arial" w:eastAsia="黑体"/>
      <w:kern w:val="21"/>
      <w:sz w:val="24"/>
      <w:lang w:eastAsia="ar-SA"/>
    </w:rPr>
  </w:style>
  <w:style w:type="character" w:customStyle="1" w:styleId="40">
    <w:name w:val="标题 9 字符"/>
    <w:link w:val="12"/>
    <w:qFormat/>
    <w:uiPriority w:val="0"/>
    <w:rPr>
      <w:rFonts w:ascii="Arial" w:hAnsi="Arial" w:eastAsia="黑体"/>
      <w:kern w:val="21"/>
      <w:sz w:val="21"/>
      <w:lang w:eastAsia="ar-SA"/>
    </w:rPr>
  </w:style>
  <w:style w:type="character" w:customStyle="1" w:styleId="41">
    <w:name w:val="标题 字符"/>
    <w:link w:val="23"/>
    <w:qFormat/>
    <w:uiPriority w:val="99"/>
    <w:rPr>
      <w:rFonts w:ascii="Cambria" w:hAnsi="Cambria" w:eastAsia="方正小标宋简体"/>
      <w:b/>
      <w:bCs/>
      <w:sz w:val="44"/>
      <w:szCs w:val="32"/>
    </w:rPr>
  </w:style>
  <w:style w:type="character" w:customStyle="1" w:styleId="42">
    <w:name w:val="副标题 字符"/>
    <w:link w:val="21"/>
    <w:qFormat/>
    <w:uiPriority w:val="0"/>
    <w:rPr>
      <w:rFonts w:ascii="Cambria" w:hAnsi="Cambria" w:eastAsia="方正楷体简体"/>
      <w:bCs/>
      <w:kern w:val="28"/>
      <w:szCs w:val="32"/>
    </w:rPr>
  </w:style>
  <w:style w:type="character" w:customStyle="1" w:styleId="43">
    <w:name w:val="纯文本 字符"/>
    <w:link w:val="16"/>
    <w:qFormat/>
    <w:uiPriority w:val="99"/>
    <w:rPr>
      <w:rFonts w:ascii="宋体" w:hAnsi="Courier New" w:cs="Courier New"/>
      <w:szCs w:val="21"/>
    </w:rPr>
  </w:style>
  <w:style w:type="paragraph" w:styleId="44">
    <w:name w:val="No Spacing"/>
    <w:link w:val="45"/>
    <w:qFormat/>
    <w:uiPriority w:val="0"/>
    <w:rPr>
      <w:rFonts w:ascii="Calibri" w:hAnsi="Calibri" w:eastAsia="宋体" w:cs="Times New Roman"/>
      <w:sz w:val="22"/>
      <w:lang w:val="en-US" w:eastAsia="zh-CN" w:bidi="ar-SA"/>
    </w:rPr>
  </w:style>
  <w:style w:type="character" w:customStyle="1" w:styleId="45">
    <w:name w:val="无间隔 字符"/>
    <w:link w:val="44"/>
    <w:qFormat/>
    <w:uiPriority w:val="0"/>
    <w:rPr>
      <w:sz w:val="22"/>
    </w:rPr>
  </w:style>
  <w:style w:type="paragraph" w:styleId="46">
    <w:name w:val="List Paragraph"/>
    <w:basedOn w:val="1"/>
    <w:qFormat/>
    <w:uiPriority w:val="34"/>
    <w:pPr>
      <w:ind w:firstLine="420" w:firstLineChars="200"/>
    </w:pPr>
    <w:rPr>
      <w:szCs w:val="21"/>
    </w:rPr>
  </w:style>
  <w:style w:type="paragraph" w:customStyle="1" w:styleId="47">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8">
    <w:name w:val="正文文本 3 字符"/>
    <w:link w:val="13"/>
    <w:qFormat/>
    <w:uiPriority w:val="0"/>
    <w:rPr>
      <w:rFonts w:ascii="黑体" w:hAnsi="Arial" w:eastAsia="黑体"/>
      <w:b/>
      <w:sz w:val="28"/>
    </w:rPr>
  </w:style>
  <w:style w:type="character" w:customStyle="1" w:styleId="49">
    <w:name w:val="正文文本 3 Char1"/>
    <w:basedOn w:val="26"/>
    <w:semiHidden/>
    <w:qFormat/>
    <w:uiPriority w:val="99"/>
    <w:rPr>
      <w:rFonts w:ascii="Times New Roman" w:hAnsi="Times New Roman"/>
      <w:kern w:val="2"/>
      <w:sz w:val="16"/>
      <w:szCs w:val="16"/>
    </w:rPr>
  </w:style>
  <w:style w:type="character" w:customStyle="1" w:styleId="50">
    <w:name w:val="批注框文本 字符"/>
    <w:basedOn w:val="26"/>
    <w:link w:val="17"/>
    <w:semiHidden/>
    <w:qFormat/>
    <w:uiPriority w:val="99"/>
    <w:rPr>
      <w:rFonts w:ascii="Times New Roman" w:hAnsi="Times New Roman"/>
      <w:kern w:val="2"/>
      <w:sz w:val="18"/>
      <w:szCs w:val="18"/>
    </w:rPr>
  </w:style>
  <w:style w:type="character" w:customStyle="1" w:styleId="51">
    <w:name w:val="正文文本缩进 字符"/>
    <w:basedOn w:val="26"/>
    <w:link w:val="14"/>
    <w:semiHidden/>
    <w:qFormat/>
    <w:uiPriority w:val="99"/>
    <w:rPr>
      <w:rFonts w:ascii="Times New Roman" w:hAnsi="Times New Roman"/>
      <w:kern w:val="2"/>
      <w:sz w:val="28"/>
    </w:rPr>
  </w:style>
  <w:style w:type="character" w:customStyle="1" w:styleId="52">
    <w:name w:val="页眉 字符"/>
    <w:basedOn w:val="26"/>
    <w:link w:val="19"/>
    <w:qFormat/>
    <w:uiPriority w:val="99"/>
    <w:rPr>
      <w:rFonts w:ascii="Times New Roman" w:hAnsi="Times New Roman"/>
      <w:kern w:val="2"/>
      <w:sz w:val="18"/>
      <w:szCs w:val="18"/>
    </w:rPr>
  </w:style>
  <w:style w:type="character" w:customStyle="1" w:styleId="53">
    <w:name w:val="页脚 字符"/>
    <w:basedOn w:val="26"/>
    <w:link w:val="18"/>
    <w:qFormat/>
    <w:uiPriority w:val="99"/>
    <w:rPr>
      <w:rFonts w:ascii="Times New Roman" w:hAnsi="Times New Roman"/>
      <w:kern w:val="2"/>
      <w:sz w:val="18"/>
      <w:szCs w:val="18"/>
    </w:rPr>
  </w:style>
  <w:style w:type="paragraph" w:customStyle="1" w:styleId="54">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纯文本1"/>
    <w:basedOn w:val="1"/>
    <w:qFormat/>
    <w:uiPriority w:val="0"/>
    <w:rPr>
      <w:rFonts w:ascii="宋体" w:hAnsi="Courier New"/>
    </w:rPr>
  </w:style>
  <w:style w:type="character" w:customStyle="1" w:styleId="57">
    <w:name w:val="纯文本 Char"/>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86A04-244A-41B2-874D-FFD6E37C200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60</Pages>
  <Words>4512</Words>
  <Characters>25720</Characters>
  <Lines>214</Lines>
  <Paragraphs>60</Paragraphs>
  <TotalTime>12</TotalTime>
  <ScaleCrop>false</ScaleCrop>
  <LinksUpToDate>false</LinksUpToDate>
  <CharactersWithSpaces>30172</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2020-02-25T14:03:00Z</dcterms:created>
  <dc:creator>Administrator</dc:creator>
  <cp:lastModifiedBy>♔ ゛S</cp:lastModifiedBy>
  <cp:lastPrinted>2020-03-19T09:55:16Z</cp:lastPrinted>
  <dcterms:modified xsi:type="dcterms:W3CDTF">2020-03-19T09:57:14Z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