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72"/>
          <w:szCs w:val="72"/>
        </w:rPr>
      </w:pPr>
    </w:p>
    <w:p>
      <w:pPr>
        <w:tabs>
          <w:tab w:val="left" w:pos="420"/>
        </w:tabs>
        <w:spacing w:line="360" w:lineRule="auto"/>
        <w:jc w:val="center"/>
        <w:rPr>
          <w:rFonts w:hint="eastAsia" w:ascii="宋体" w:hAnsi="宋体" w:eastAsia="宋体"/>
          <w:b/>
          <w:bCs/>
          <w:color w:val="000000"/>
          <w:spacing w:val="36"/>
          <w:w w:val="66"/>
          <w:sz w:val="72"/>
          <w:szCs w:val="72"/>
          <w:lang w:eastAsia="zh-CN"/>
        </w:rPr>
      </w:pPr>
      <w:r>
        <w:rPr>
          <w:rFonts w:hint="eastAsia" w:ascii="宋体" w:hAnsi="宋体"/>
          <w:b/>
          <w:bCs/>
          <w:color w:val="000000"/>
          <w:spacing w:val="36"/>
          <w:w w:val="66"/>
          <w:sz w:val="72"/>
          <w:szCs w:val="72"/>
          <w:lang w:eastAsia="zh-CN"/>
        </w:rPr>
        <w:t>鄂托克前旗和信项目管理有限公司</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磋 商 文 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312" w:beforeLines="100" w:after="156" w:afterLines="50" w:line="360" w:lineRule="auto"/>
        <w:ind w:right="356" w:rightChars="127"/>
        <w:jc w:val="center"/>
        <w:rPr>
          <w:rFonts w:ascii="宋体" w:hAnsi="宋体"/>
          <w:b/>
          <w:color w:val="000000"/>
          <w:szCs w:val="28"/>
        </w:rPr>
      </w:pPr>
      <w:r>
        <w:rPr>
          <w:rFonts w:hint="eastAsia" w:ascii="宋体" w:hAnsi="宋体"/>
          <w:b/>
          <w:color w:val="000000"/>
          <w:szCs w:val="28"/>
        </w:rPr>
        <w:t>20</w:t>
      </w:r>
      <w:r>
        <w:rPr>
          <w:rFonts w:hint="eastAsia" w:ascii="宋体" w:hAnsi="宋体"/>
          <w:b/>
          <w:color w:val="000000"/>
          <w:szCs w:val="28"/>
          <w:lang w:val="en-US" w:eastAsia="zh-CN"/>
        </w:rPr>
        <w:t>20</w:t>
      </w:r>
      <w:r>
        <w:rPr>
          <w:rFonts w:hint="eastAsia" w:ascii="宋体" w:hAnsi="宋体"/>
          <w:b/>
          <w:color w:val="000000"/>
          <w:szCs w:val="28"/>
        </w:rPr>
        <w:t>年货物类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2"/>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项目名称：</w:t>
      </w:r>
      <w:r>
        <w:rPr>
          <w:rFonts w:hint="eastAsia" w:ascii="宋体" w:hAnsi="宋体" w:eastAsia="宋体"/>
          <w:color w:val="000000"/>
          <w:szCs w:val="28"/>
          <w:lang w:eastAsia="zh-CN"/>
        </w:rPr>
        <w:t>鄂托克前旗水利局</w:t>
      </w:r>
      <w:r>
        <w:rPr>
          <w:rFonts w:hint="eastAsia" w:ascii="宋体" w:hAnsi="宋体" w:eastAsia="宋体"/>
          <w:color w:val="000000"/>
          <w:szCs w:val="28"/>
          <w:lang w:val="en-US" w:eastAsia="zh-CN"/>
        </w:rPr>
        <w:t>采购</w:t>
      </w:r>
      <w:r>
        <w:rPr>
          <w:rFonts w:hint="eastAsia" w:ascii="宋体" w:hAnsi="宋体" w:eastAsia="宋体"/>
          <w:color w:val="000000"/>
          <w:szCs w:val="28"/>
          <w:lang w:eastAsia="zh-CN"/>
        </w:rPr>
        <w:t>农村基层防汛预报预警体系建设</w:t>
      </w:r>
      <w:r>
        <w:rPr>
          <w:rFonts w:hint="eastAsia" w:ascii="宋体" w:hAnsi="宋体" w:eastAsia="宋体"/>
          <w:color w:val="000000"/>
          <w:szCs w:val="28"/>
        </w:rPr>
        <w:t>项目</w:t>
      </w:r>
    </w:p>
    <w:p>
      <w:pPr>
        <w:pStyle w:val="12"/>
        <w:spacing w:line="360" w:lineRule="auto"/>
        <w:ind w:left="2335" w:leftChars="337" w:hanging="1391" w:hangingChars="495"/>
        <w:rPr>
          <w:rFonts w:hint="eastAsia" w:ascii="宋体" w:hAnsi="宋体" w:eastAsia="宋体"/>
          <w:color w:val="000000"/>
          <w:szCs w:val="28"/>
          <w:lang w:eastAsia="zh-CN"/>
        </w:rPr>
      </w:pPr>
      <w:r>
        <w:rPr>
          <w:rFonts w:hint="eastAsia" w:ascii="宋体" w:hAnsi="宋体" w:eastAsia="宋体"/>
          <w:color w:val="000000"/>
          <w:szCs w:val="28"/>
        </w:rPr>
        <w:t>项目编号：</w:t>
      </w:r>
      <w:r>
        <w:rPr>
          <w:rFonts w:hint="eastAsia" w:ascii="宋体" w:hAnsi="宋体" w:eastAsia="宋体"/>
          <w:color w:val="000000"/>
          <w:szCs w:val="28"/>
          <w:lang w:eastAsia="zh-CN"/>
        </w:rPr>
        <w:t>CG2020HCS069</w:t>
      </w:r>
    </w:p>
    <w:p>
      <w:pPr>
        <w:pStyle w:val="12"/>
        <w:spacing w:line="360" w:lineRule="auto"/>
        <w:ind w:left="2335" w:leftChars="337" w:hanging="1391" w:hangingChars="495"/>
        <w:rPr>
          <w:rFonts w:ascii="宋体" w:hAnsi="宋体" w:eastAsia="宋体"/>
          <w:color w:val="000000"/>
          <w:szCs w:val="28"/>
        </w:rPr>
      </w:pPr>
    </w:p>
    <w:p>
      <w:pPr>
        <w:pStyle w:val="12"/>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lang w:eastAsia="zh-CN"/>
        </w:rPr>
        <w:t>20</w:t>
      </w:r>
      <w:r>
        <w:rPr>
          <w:rFonts w:hint="eastAsia" w:ascii="宋体" w:hAnsi="宋体"/>
          <w:color w:val="000000"/>
          <w:szCs w:val="28"/>
          <w:lang w:val="en-US" w:eastAsia="zh-CN"/>
        </w:rPr>
        <w:t>20</w:t>
      </w:r>
      <w:r>
        <w:rPr>
          <w:rFonts w:hint="eastAsia" w:ascii="宋体" w:hAnsi="宋体"/>
          <w:color w:val="000000"/>
          <w:szCs w:val="28"/>
          <w:lang w:eastAsia="zh-CN"/>
        </w:rPr>
        <w:t>年</w:t>
      </w:r>
      <w:r>
        <w:rPr>
          <w:rFonts w:hint="eastAsia" w:ascii="宋体" w:hAnsi="宋体"/>
          <w:color w:val="000000"/>
          <w:szCs w:val="28"/>
          <w:lang w:val="en-US" w:eastAsia="zh-CN"/>
        </w:rPr>
        <w:t>3</w:t>
      </w:r>
      <w:r>
        <w:rPr>
          <w:rFonts w:hint="eastAsia" w:ascii="宋体" w:hAnsi="宋体"/>
          <w:color w:val="000000"/>
          <w:szCs w:val="28"/>
          <w:lang w:eastAsia="zh-CN"/>
        </w:rPr>
        <w:t>月</w:t>
      </w:r>
      <w:r>
        <w:rPr>
          <w:rFonts w:hint="eastAsia" w:ascii="宋体" w:hAnsi="宋体"/>
          <w:color w:val="000000"/>
          <w:szCs w:val="28"/>
          <w:lang w:val="en-US" w:eastAsia="zh-CN"/>
        </w:rPr>
        <w:t>16</w:t>
      </w:r>
      <w:r>
        <w:rPr>
          <w:rFonts w:hint="eastAsia" w:ascii="宋体" w:hAnsi="宋体"/>
          <w:color w:val="000000"/>
          <w:szCs w:val="28"/>
          <w:lang w:eastAsia="zh-CN"/>
        </w:rPr>
        <w:t>日</w:t>
      </w:r>
      <w:r>
        <w:rPr>
          <w:rFonts w:ascii="宋体" w:hAnsi="宋体"/>
          <w:color w:val="000000"/>
          <w:szCs w:val="28"/>
        </w:rPr>
        <w:br w:type="page"/>
      </w:r>
    </w:p>
    <w:p>
      <w:pPr>
        <w:pStyle w:val="46"/>
        <w:keepNext w:val="0"/>
        <w:keepLines w:val="0"/>
        <w:spacing w:before="0" w:line="360" w:lineRule="auto"/>
        <w:jc w:val="center"/>
        <w:rPr>
          <w:rFonts w:ascii="宋体" w:hAnsi="宋体"/>
          <w:color w:val="000000"/>
        </w:rPr>
      </w:pPr>
      <w:r>
        <w:rPr>
          <w:rFonts w:hint="eastAsia" w:ascii="宋体" w:hAnsi="宋体"/>
          <w:color w:val="000000"/>
        </w:rPr>
        <w:t>目   录</w:t>
      </w:r>
    </w:p>
    <w:p>
      <w:pPr>
        <w:pStyle w:val="19"/>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"_Toc497408600" </w:instrText>
      </w:r>
      <w:r>
        <w:fldChar w:fldCharType="separate"/>
      </w:r>
      <w:r>
        <w:rPr>
          <w:rStyle w:val="29"/>
          <w:rFonts w:hint="eastAsia" w:ascii="宋体" w:hAnsi="宋体"/>
        </w:rPr>
        <w:t>第一章</w:t>
      </w:r>
      <w:r>
        <w:rPr>
          <w:rStyle w:val="29"/>
          <w:rFonts w:ascii="宋体" w:hAnsi="宋体"/>
        </w:rPr>
        <w:t xml:space="preserve"> </w:t>
      </w:r>
      <w:r>
        <w:rPr>
          <w:rStyle w:val="29"/>
          <w:rFonts w:hint="eastAsia" w:ascii="宋体" w:hAnsi="宋体"/>
        </w:rPr>
        <w:t>磋商公告</w:t>
      </w:r>
      <w:r>
        <w:tab/>
      </w:r>
      <w:r>
        <w:fldChar w:fldCharType="begin"/>
      </w:r>
      <w:r>
        <w:instrText xml:space="preserve"> PAGEREF _Toc497408600 \h </w:instrText>
      </w:r>
      <w:r>
        <w:fldChar w:fldCharType="separate"/>
      </w:r>
      <w:r>
        <w:t>2</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"_Toc497408601" </w:instrText>
      </w:r>
      <w:r>
        <w:fldChar w:fldCharType="separate"/>
      </w:r>
      <w:r>
        <w:rPr>
          <w:rStyle w:val="29"/>
          <w:rFonts w:hint="eastAsia" w:ascii="宋体" w:hAnsi="宋体"/>
        </w:rPr>
        <w:t>第二章</w:t>
      </w:r>
      <w:r>
        <w:rPr>
          <w:rStyle w:val="29"/>
          <w:rFonts w:ascii="宋体" w:hAnsi="宋体"/>
        </w:rPr>
        <w:t xml:space="preserve"> </w:t>
      </w:r>
      <w:r>
        <w:rPr>
          <w:rStyle w:val="29"/>
          <w:rFonts w:hint="eastAsia" w:ascii="宋体" w:hAnsi="宋体"/>
        </w:rPr>
        <w:t>供应商须知</w:t>
      </w:r>
      <w:r>
        <w:tab/>
      </w:r>
      <w:r>
        <w:fldChar w:fldCharType="begin"/>
      </w:r>
      <w:r>
        <w:instrText xml:space="preserve"> PAGEREF _Toc497408601 \h </w:instrText>
      </w:r>
      <w:r>
        <w:fldChar w:fldCharType="separate"/>
      </w:r>
      <w:r>
        <w:t>4</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"_Toc497408602" </w:instrText>
      </w:r>
      <w:r>
        <w:fldChar w:fldCharType="separate"/>
      </w:r>
      <w:r>
        <w:rPr>
          <w:rStyle w:val="29"/>
          <w:rFonts w:hint="eastAsia" w:ascii="宋体" w:hAnsi="宋体" w:cs="宋体"/>
        </w:rPr>
        <w:t>第三章</w:t>
      </w:r>
      <w:r>
        <w:rPr>
          <w:rStyle w:val="29"/>
          <w:rFonts w:ascii="宋体" w:hAnsi="宋体" w:cs="宋体"/>
        </w:rPr>
        <w:t xml:space="preserve"> </w:t>
      </w:r>
      <w:r>
        <w:rPr>
          <w:rStyle w:val="29"/>
          <w:rFonts w:hint="eastAsia" w:ascii="宋体" w:hAnsi="宋体" w:cs="宋体"/>
        </w:rPr>
        <w:t>合同与验收</w:t>
      </w:r>
      <w:r>
        <w:tab/>
      </w:r>
      <w:r>
        <w:fldChar w:fldCharType="begin"/>
      </w:r>
      <w:r>
        <w:instrText xml:space="preserve"> PAGEREF _Toc497408602 \h </w:instrText>
      </w:r>
      <w:r>
        <w:fldChar w:fldCharType="separate"/>
      </w:r>
      <w:r>
        <w:t>17</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"_Toc497408603" </w:instrText>
      </w:r>
      <w:r>
        <w:fldChar w:fldCharType="separate"/>
      </w:r>
      <w:r>
        <w:rPr>
          <w:rStyle w:val="29"/>
          <w:rFonts w:hint="eastAsia" w:ascii="宋体" w:hAnsi="宋体"/>
          <w:kern w:val="44"/>
          <w:lang w:val="zh-CN"/>
        </w:rPr>
        <w:t>第四章</w:t>
      </w:r>
      <w:r>
        <w:rPr>
          <w:rStyle w:val="29"/>
          <w:rFonts w:ascii="宋体" w:hAnsi="宋体"/>
          <w:kern w:val="44"/>
          <w:lang w:val="zh-CN"/>
        </w:rPr>
        <w:t xml:space="preserve"> </w:t>
      </w:r>
      <w:r>
        <w:rPr>
          <w:rStyle w:val="29"/>
          <w:rFonts w:hint="eastAsia" w:ascii="宋体" w:hAnsi="宋体"/>
          <w:kern w:val="44"/>
          <w:lang w:val="zh-CN"/>
        </w:rPr>
        <w:t>磋商内容与技术要求</w:t>
      </w:r>
      <w:r>
        <w:tab/>
      </w:r>
      <w:r>
        <w:fldChar w:fldCharType="begin"/>
      </w:r>
      <w:r>
        <w:instrText xml:space="preserve"> PAGEREF _Toc497408603 \h </w:instrText>
      </w:r>
      <w:r>
        <w:fldChar w:fldCharType="separate"/>
      </w:r>
      <w:r>
        <w:t>20</w:t>
      </w:r>
      <w:r>
        <w:fldChar w:fldCharType="end"/>
      </w:r>
      <w:r>
        <w:fldChar w:fldCharType="end"/>
      </w:r>
    </w:p>
    <w:p>
      <w:pPr>
        <w:pStyle w:val="19"/>
        <w:tabs>
          <w:tab w:val="right" w:leader="dot" w:pos="9402"/>
        </w:tabs>
        <w:rPr>
          <w:rFonts w:hint="eastAsia" w:eastAsia="宋体" w:asciiTheme="minorHAnsi" w:hAnsiTheme="minorHAnsi" w:cstheme="minorBidi"/>
          <w:b w:val="0"/>
          <w:bCs w:val="0"/>
          <w:caps w:val="0"/>
          <w:sz w:val="21"/>
          <w:szCs w:val="22"/>
          <w:lang w:val="en-US" w:eastAsia="zh-CN"/>
        </w:rPr>
      </w:pPr>
      <w:r>
        <w:fldChar w:fldCharType="begin"/>
      </w:r>
      <w:r>
        <w:instrText xml:space="preserve"> HYPERLINK \l "_Toc497408604" </w:instrText>
      </w:r>
      <w:r>
        <w:fldChar w:fldCharType="separate"/>
      </w:r>
      <w:r>
        <w:rPr>
          <w:rStyle w:val="29"/>
          <w:rFonts w:hint="eastAsia" w:ascii="宋体" w:hAnsi="宋体"/>
          <w:kern w:val="44"/>
          <w:lang w:val="zh-CN"/>
        </w:rPr>
        <w:t>第五章</w:t>
      </w:r>
      <w:r>
        <w:rPr>
          <w:rStyle w:val="29"/>
          <w:rFonts w:ascii="宋体" w:hAnsi="宋体"/>
          <w:kern w:val="44"/>
          <w:lang w:val="zh-CN"/>
        </w:rPr>
        <w:t xml:space="preserve"> </w:t>
      </w:r>
      <w:r>
        <w:rPr>
          <w:rStyle w:val="29"/>
          <w:rFonts w:hint="eastAsia" w:ascii="宋体" w:hAnsi="宋体"/>
          <w:kern w:val="44"/>
          <w:lang w:val="zh-CN"/>
        </w:rPr>
        <w:t>供应商资格证明及相关文件要求</w:t>
      </w:r>
      <w:r>
        <w:tab/>
      </w:r>
      <w:r>
        <w:rPr>
          <w:rFonts w:hint="eastAsia"/>
          <w:lang w:val="en-US" w:eastAsia="zh-CN"/>
        </w:rPr>
        <w:t>2</w:t>
      </w:r>
      <w:r>
        <w:fldChar w:fldCharType="end"/>
      </w:r>
      <w:r>
        <w:rPr>
          <w:rFonts w:hint="eastAsia"/>
          <w:lang w:val="en-US" w:eastAsia="zh-CN"/>
        </w:rPr>
        <w:t>6</w:t>
      </w:r>
    </w:p>
    <w:p>
      <w:pPr>
        <w:pStyle w:val="19"/>
        <w:tabs>
          <w:tab w:val="right" w:leader="dot" w:pos="9402"/>
        </w:tabs>
        <w:rPr>
          <w:rFonts w:hint="eastAsia" w:eastAsia="宋体" w:asciiTheme="minorHAnsi" w:hAnsiTheme="minorHAnsi" w:cstheme="minorBidi"/>
          <w:b w:val="0"/>
          <w:bCs w:val="0"/>
          <w:caps w:val="0"/>
          <w:sz w:val="21"/>
          <w:szCs w:val="22"/>
          <w:lang w:val="en-US" w:eastAsia="zh-CN"/>
        </w:rPr>
      </w:pPr>
      <w:r>
        <w:fldChar w:fldCharType="begin"/>
      </w:r>
      <w:r>
        <w:instrText xml:space="preserve"> HYPERLINK \l "_Toc497408605" </w:instrText>
      </w:r>
      <w:r>
        <w:fldChar w:fldCharType="separate"/>
      </w:r>
      <w:r>
        <w:rPr>
          <w:rStyle w:val="29"/>
          <w:rFonts w:hint="eastAsia" w:ascii="宋体" w:hAnsi="宋体"/>
          <w:kern w:val="44"/>
          <w:lang w:val="zh-CN"/>
        </w:rPr>
        <w:t>第六章</w:t>
      </w:r>
      <w:r>
        <w:rPr>
          <w:rStyle w:val="29"/>
          <w:rFonts w:ascii="宋体" w:hAnsi="宋体"/>
          <w:kern w:val="44"/>
          <w:lang w:val="zh-CN"/>
        </w:rPr>
        <w:t xml:space="preserve"> </w:t>
      </w:r>
      <w:r>
        <w:rPr>
          <w:rStyle w:val="29"/>
          <w:rFonts w:hint="eastAsia" w:ascii="宋体" w:hAnsi="宋体"/>
          <w:kern w:val="44"/>
          <w:lang w:val="zh-CN"/>
        </w:rPr>
        <w:t>评标办法（综合评分）</w:t>
      </w:r>
      <w:r>
        <w:tab/>
      </w:r>
      <w:r>
        <w:rPr>
          <w:rFonts w:hint="eastAsia"/>
          <w:lang w:val="en-US" w:eastAsia="zh-CN"/>
        </w:rPr>
        <w:t>2</w:t>
      </w:r>
      <w:r>
        <w:fldChar w:fldCharType="end"/>
      </w:r>
      <w:r>
        <w:rPr>
          <w:rFonts w:hint="eastAsia"/>
          <w:lang w:val="en-US" w:eastAsia="zh-CN"/>
        </w:rPr>
        <w:t>8</w:t>
      </w:r>
    </w:p>
    <w:p>
      <w:pPr>
        <w:pStyle w:val="19"/>
        <w:tabs>
          <w:tab w:val="right" w:leader="dot" w:pos="9402"/>
        </w:tabs>
        <w:rPr>
          <w:rFonts w:hint="eastAsia" w:eastAsia="宋体" w:asciiTheme="minorHAnsi" w:hAnsiTheme="minorHAnsi" w:cstheme="minorBidi"/>
          <w:b w:val="0"/>
          <w:bCs w:val="0"/>
          <w:caps w:val="0"/>
          <w:sz w:val="21"/>
          <w:szCs w:val="22"/>
          <w:lang w:val="en-US" w:eastAsia="zh-CN"/>
        </w:rPr>
      </w:pPr>
      <w:r>
        <w:fldChar w:fldCharType="begin"/>
      </w:r>
      <w:r>
        <w:instrText xml:space="preserve"> HYPERLINK \l "_Toc497408606" </w:instrText>
      </w:r>
      <w:r>
        <w:fldChar w:fldCharType="separate"/>
      </w:r>
      <w:r>
        <w:rPr>
          <w:rStyle w:val="29"/>
          <w:rFonts w:hint="eastAsia" w:ascii="宋体" w:hAnsi="宋体"/>
        </w:rPr>
        <w:t>第七章</w:t>
      </w:r>
      <w:r>
        <w:rPr>
          <w:rStyle w:val="29"/>
          <w:rFonts w:ascii="宋体" w:hAnsi="宋体"/>
        </w:rPr>
        <w:t xml:space="preserve"> </w:t>
      </w:r>
      <w:r>
        <w:rPr>
          <w:rStyle w:val="29"/>
          <w:rFonts w:hint="eastAsia" w:ascii="宋体" w:hAnsi="宋体"/>
        </w:rPr>
        <w:t>响应文件格式与要求</w:t>
      </w:r>
      <w:r>
        <w:tab/>
      </w:r>
      <w:r>
        <w:rPr>
          <w:rFonts w:hint="eastAsia"/>
          <w:lang w:val="en-US" w:eastAsia="zh-CN"/>
        </w:rPr>
        <w:t>3</w:t>
      </w:r>
      <w:r>
        <w:fldChar w:fldCharType="end"/>
      </w:r>
      <w:r>
        <w:rPr>
          <w:rFonts w:hint="eastAsia"/>
          <w:lang w:val="en-US" w:eastAsia="zh-CN"/>
        </w:rPr>
        <w:t>4</w:t>
      </w:r>
    </w:p>
    <w:p>
      <w:pPr>
        <w:pStyle w:val="19"/>
        <w:tabs>
          <w:tab w:val="right" w:leader="dot" w:pos="9402"/>
        </w:tabs>
        <w:rPr>
          <w:rFonts w:hint="eastAsia" w:eastAsia="宋体" w:asciiTheme="minorHAnsi" w:hAnsiTheme="minorHAnsi" w:cstheme="minorBidi"/>
          <w:b w:val="0"/>
          <w:bCs w:val="0"/>
          <w:caps w:val="0"/>
          <w:sz w:val="21"/>
          <w:szCs w:val="22"/>
          <w:lang w:val="en-US" w:eastAsia="zh-CN"/>
        </w:rPr>
      </w:pPr>
      <w:r>
        <w:fldChar w:fldCharType="begin"/>
      </w:r>
      <w:r>
        <w:instrText xml:space="preserve"> HYPERLINK \l "_Toc497408607" </w:instrText>
      </w:r>
      <w:r>
        <w:fldChar w:fldCharType="separate"/>
      </w:r>
      <w:r>
        <w:rPr>
          <w:rStyle w:val="29"/>
          <w:rFonts w:hint="eastAsia" w:ascii="宋体" w:hAnsi="宋体"/>
          <w:lang w:val="zh-CN"/>
        </w:rPr>
        <w:t>温馨提示</w:t>
      </w:r>
      <w:r>
        <w:tab/>
      </w:r>
      <w:r>
        <w:rPr>
          <w:rFonts w:hint="eastAsia"/>
          <w:lang w:val="en-US" w:eastAsia="zh-CN"/>
        </w:rPr>
        <w:t>6</w:t>
      </w:r>
      <w:r>
        <w:fldChar w:fldCharType="end"/>
      </w:r>
      <w:r>
        <w:rPr>
          <w:rFonts w:hint="eastAsia"/>
          <w:lang w:val="en-US" w:eastAsia="zh-CN"/>
        </w:rPr>
        <w:t>1</w:t>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00"/>
      <w:r>
        <w:rPr>
          <w:rFonts w:hint="eastAsia" w:ascii="宋体" w:hAnsi="宋体"/>
          <w:b/>
          <w:sz w:val="24"/>
          <w:szCs w:val="24"/>
        </w:rPr>
        <w:t>第一章 磋商公告</w:t>
      </w:r>
      <w:bookmarkEnd w:id="0"/>
    </w:p>
    <w:p>
      <w:pPr>
        <w:widowControl/>
        <w:jc w:val="center"/>
        <w:rPr>
          <w:rFonts w:ascii="宋体" w:hAnsi="宋体"/>
          <w:bCs/>
          <w:color w:val="000000"/>
          <w:kern w:val="44"/>
          <w:szCs w:val="28"/>
          <w:lang w:val="zh-CN"/>
        </w:rPr>
      </w:pPr>
      <w:r>
        <w:rPr>
          <w:rFonts w:hint="eastAsia" w:ascii="宋体" w:hAnsi="宋体"/>
          <w:b/>
          <w:sz w:val="24"/>
          <w:szCs w:val="24"/>
          <w:lang w:eastAsia="zh-CN"/>
        </w:rPr>
        <w:t>鄂托克前旗水利局</w:t>
      </w:r>
      <w:r>
        <w:rPr>
          <w:rFonts w:hint="eastAsia" w:ascii="宋体" w:hAnsi="宋体"/>
          <w:b/>
          <w:sz w:val="24"/>
          <w:szCs w:val="24"/>
          <w:lang w:val="en-US" w:eastAsia="zh-CN"/>
        </w:rPr>
        <w:t>采购</w:t>
      </w:r>
      <w:r>
        <w:rPr>
          <w:rFonts w:hint="eastAsia" w:ascii="宋体" w:hAnsi="宋体"/>
          <w:b/>
          <w:sz w:val="24"/>
          <w:szCs w:val="24"/>
          <w:lang w:eastAsia="zh-CN"/>
        </w:rPr>
        <w:t>农村基层防汛预报预警体系建设</w:t>
      </w:r>
      <w:r>
        <w:rPr>
          <w:rFonts w:hint="eastAsia" w:ascii="宋体" w:hAnsi="宋体"/>
          <w:b/>
          <w:sz w:val="24"/>
          <w:szCs w:val="24"/>
        </w:rPr>
        <w:t>项目竞争性磋商招标公告</w:t>
      </w:r>
    </w:p>
    <w:p>
      <w:pPr>
        <w:spacing w:line="360" w:lineRule="auto"/>
        <w:ind w:firstLine="550" w:firstLineChars="250"/>
        <w:rPr>
          <w:rFonts w:ascii="宋体" w:hAnsi="宋体"/>
          <w:color w:val="000000"/>
          <w:sz w:val="22"/>
          <w:szCs w:val="22"/>
        </w:rPr>
      </w:pPr>
      <w:r>
        <w:rPr>
          <w:rFonts w:hint="eastAsia" w:ascii="宋体" w:hAnsi="宋体"/>
          <w:sz w:val="22"/>
          <w:szCs w:val="22"/>
          <w:lang w:eastAsia="zh-CN"/>
        </w:rPr>
        <w:t>鄂托克前旗和信项目管理有限公司</w:t>
      </w:r>
      <w:r>
        <w:rPr>
          <w:rFonts w:hint="eastAsia" w:ascii="宋体" w:hAnsi="宋体"/>
          <w:sz w:val="22"/>
          <w:szCs w:val="22"/>
        </w:rPr>
        <w:t>受</w:t>
      </w:r>
      <w:r>
        <w:rPr>
          <w:rFonts w:hint="eastAsia" w:ascii="宋体" w:hAnsi="宋体"/>
          <w:sz w:val="22"/>
          <w:szCs w:val="22"/>
          <w:lang w:eastAsia="zh-CN"/>
        </w:rPr>
        <w:t>鄂托克前旗水利局</w:t>
      </w:r>
      <w:r>
        <w:rPr>
          <w:rFonts w:hint="eastAsia" w:ascii="宋体" w:hAnsi="宋体"/>
          <w:sz w:val="22"/>
          <w:szCs w:val="22"/>
        </w:rPr>
        <w:t>委托，按照财管办审批（竞争性磋商）方式组织采购</w:t>
      </w:r>
      <w:r>
        <w:rPr>
          <w:rFonts w:hint="eastAsia" w:ascii="宋体" w:hAnsi="宋体"/>
          <w:color w:val="000000"/>
          <w:sz w:val="22"/>
          <w:szCs w:val="22"/>
          <w:lang w:eastAsia="zh-CN"/>
        </w:rPr>
        <w:t>农村基层防汛预报预警体系建设</w:t>
      </w:r>
      <w:r>
        <w:rPr>
          <w:rFonts w:hint="eastAsia" w:ascii="宋体" w:hAnsi="宋体"/>
          <w:color w:val="000000"/>
          <w:sz w:val="22"/>
          <w:szCs w:val="22"/>
        </w:rPr>
        <w:t>项目。欢迎符合资格条件的供应商前来报名参加。</w:t>
      </w:r>
    </w:p>
    <w:p>
      <w:pPr>
        <w:spacing w:line="360" w:lineRule="auto"/>
        <w:rPr>
          <w:rFonts w:ascii="宋体" w:hAnsi="宋体"/>
          <w:b/>
          <w:color w:val="000000"/>
          <w:sz w:val="22"/>
          <w:szCs w:val="22"/>
        </w:rPr>
      </w:pPr>
      <w:r>
        <w:rPr>
          <w:rFonts w:hint="eastAsia" w:ascii="宋体" w:hAnsi="宋体"/>
          <w:b/>
          <w:color w:val="000000"/>
          <w:sz w:val="22"/>
          <w:szCs w:val="22"/>
        </w:rPr>
        <w:t>一.项目概述</w:t>
      </w:r>
    </w:p>
    <w:p>
      <w:pPr>
        <w:pStyle w:val="45"/>
        <w:spacing w:line="360" w:lineRule="auto"/>
        <w:ind w:firstLine="440"/>
        <w:rPr>
          <w:rFonts w:ascii="宋体" w:hAnsi="宋体"/>
          <w:b/>
          <w:color w:val="000000"/>
          <w:sz w:val="22"/>
          <w:szCs w:val="22"/>
        </w:rPr>
      </w:pPr>
      <w:r>
        <w:rPr>
          <w:rFonts w:hint="eastAsia" w:ascii="宋体" w:hAnsi="宋体"/>
          <w:sz w:val="22"/>
          <w:szCs w:val="22"/>
        </w:rPr>
        <w:t>1.名称与编号</w:t>
      </w:r>
    </w:p>
    <w:p>
      <w:pPr>
        <w:spacing w:line="360" w:lineRule="auto"/>
        <w:ind w:firstLine="440" w:firstLineChars="200"/>
        <w:rPr>
          <w:rFonts w:ascii="宋体" w:hAnsi="宋体"/>
          <w:color w:val="000000"/>
          <w:sz w:val="22"/>
          <w:szCs w:val="22"/>
        </w:rPr>
      </w:pPr>
      <w:r>
        <w:rPr>
          <w:rFonts w:hint="eastAsia" w:ascii="宋体" w:hAnsi="宋体"/>
          <w:sz w:val="22"/>
          <w:szCs w:val="22"/>
        </w:rPr>
        <w:t>项目名称：</w:t>
      </w:r>
      <w:r>
        <w:rPr>
          <w:rFonts w:hint="eastAsia" w:ascii="宋体" w:hAnsi="宋体"/>
          <w:sz w:val="22"/>
          <w:szCs w:val="22"/>
          <w:lang w:eastAsia="zh-CN"/>
        </w:rPr>
        <w:t>鄂托克前旗水利局</w:t>
      </w:r>
      <w:r>
        <w:rPr>
          <w:rFonts w:hint="eastAsia" w:ascii="宋体" w:hAnsi="宋体"/>
          <w:sz w:val="22"/>
          <w:szCs w:val="22"/>
          <w:lang w:val="en-US" w:eastAsia="zh-CN"/>
        </w:rPr>
        <w:t>采购</w:t>
      </w:r>
      <w:r>
        <w:rPr>
          <w:rFonts w:hint="eastAsia" w:ascii="宋体" w:hAnsi="宋体"/>
          <w:sz w:val="22"/>
          <w:szCs w:val="22"/>
          <w:lang w:eastAsia="zh-CN"/>
        </w:rPr>
        <w:t>农村基层防汛预报预警体系建设</w:t>
      </w:r>
      <w:r>
        <w:rPr>
          <w:rFonts w:hint="eastAsia" w:ascii="宋体" w:hAnsi="宋体"/>
          <w:sz w:val="22"/>
          <w:szCs w:val="22"/>
        </w:rPr>
        <w:t>项目</w:t>
      </w:r>
    </w:p>
    <w:p>
      <w:pPr>
        <w:adjustRightInd w:val="0"/>
        <w:snapToGrid w:val="0"/>
        <w:spacing w:line="360" w:lineRule="auto"/>
        <w:ind w:firstLine="44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sz w:val="22"/>
          <w:szCs w:val="22"/>
        </w:rPr>
        <w:t>批准文件编号</w:t>
      </w:r>
      <w:r>
        <w:rPr>
          <w:rFonts w:hint="eastAsia" w:ascii="宋体" w:hAnsi="宋体"/>
          <w:color w:val="000000"/>
          <w:sz w:val="22"/>
          <w:szCs w:val="22"/>
          <w:lang w:eastAsia="zh-CN"/>
        </w:rPr>
        <w:t>：</w:t>
      </w:r>
      <w:r>
        <w:rPr>
          <w:rFonts w:hint="eastAsia" w:ascii="宋体" w:hAnsi="宋体"/>
          <w:color w:val="000000" w:themeColor="text1"/>
          <w:sz w:val="24"/>
          <w:szCs w:val="24"/>
          <w14:textFill>
            <w14:solidFill>
              <w14:schemeClr w14:val="tx1"/>
            </w14:solidFill>
          </w14:textFill>
        </w:rPr>
        <w:t>鄂财购准字（电子）</w:t>
      </w:r>
      <w:r>
        <w:rPr>
          <w:rFonts w:ascii="宋体" w:hAnsi="宋体"/>
          <w:color w:val="000000" w:themeColor="text1"/>
          <w:sz w:val="24"/>
          <w:szCs w:val="24"/>
          <w14:textFill>
            <w14:solidFill>
              <w14:schemeClr w14:val="tx1"/>
            </w14:solidFill>
          </w14:textFill>
        </w:rPr>
        <w:t>[2020]QQ0000</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号</w:t>
      </w:r>
    </w:p>
    <w:p>
      <w:pPr>
        <w:adjustRightInd w:val="0"/>
        <w:snapToGrid w:val="0"/>
        <w:spacing w:line="360" w:lineRule="auto"/>
        <w:ind w:firstLine="440" w:firstLineChars="200"/>
        <w:rPr>
          <w:rFonts w:hint="eastAsia" w:ascii="宋体" w:hAnsi="宋体" w:eastAsia="宋体"/>
          <w:color w:val="000000"/>
          <w:sz w:val="22"/>
          <w:szCs w:val="22"/>
          <w:lang w:eastAsia="zh-CN"/>
        </w:rPr>
      </w:pPr>
      <w:r>
        <w:rPr>
          <w:rFonts w:hint="eastAsia" w:ascii="宋体" w:hAnsi="宋体"/>
          <w:sz w:val="22"/>
          <w:szCs w:val="22"/>
        </w:rPr>
        <w:t>采购文件编号：</w:t>
      </w:r>
      <w:r>
        <w:rPr>
          <w:rFonts w:hint="eastAsia" w:ascii="宋体" w:hAnsi="宋体"/>
          <w:color w:val="000000"/>
          <w:sz w:val="22"/>
          <w:szCs w:val="22"/>
          <w:lang w:eastAsia="zh-CN"/>
        </w:rPr>
        <w:t>CG2020HCS069</w:t>
      </w:r>
    </w:p>
    <w:p>
      <w:pPr>
        <w:spacing w:line="360" w:lineRule="auto"/>
        <w:ind w:firstLine="440" w:firstLineChars="200"/>
        <w:jc w:val="left"/>
        <w:rPr>
          <w:rFonts w:ascii="宋体" w:hAnsi="宋体"/>
          <w:color w:val="000000"/>
          <w:sz w:val="22"/>
          <w:szCs w:val="22"/>
        </w:rPr>
      </w:pPr>
      <w:r>
        <w:rPr>
          <w:rFonts w:hint="eastAsia" w:ascii="宋体" w:hAnsi="宋体"/>
          <w:color w:val="000000"/>
          <w:sz w:val="22"/>
          <w:szCs w:val="22"/>
        </w:rPr>
        <w:t>2.内容及分包情况（技术规格、参数及要求）</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40" w:firstLineChars="200"/>
              <w:jc w:val="left"/>
              <w:rPr>
                <w:rFonts w:hint="eastAsia" w:ascii="宋体" w:hAnsi="宋体"/>
                <w:color w:val="000000"/>
                <w:sz w:val="22"/>
                <w:szCs w:val="22"/>
              </w:rPr>
            </w:pPr>
            <w:r>
              <w:rPr>
                <w:rFonts w:hint="eastAsia" w:ascii="宋体" w:hAnsi="宋体"/>
                <w:color w:val="000000"/>
                <w:sz w:val="22"/>
                <w:szCs w:val="22"/>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default" w:ascii="宋体" w:hAnsi="宋体"/>
                <w:color w:val="000000"/>
                <w:sz w:val="22"/>
                <w:szCs w:val="22"/>
                <w:lang w:val="en-US"/>
              </w:rPr>
            </w:pPr>
            <w:r>
              <w:rPr>
                <w:rFonts w:hint="eastAsia" w:ascii="宋体" w:hAnsi="宋体"/>
                <w:b w:val="0"/>
                <w:bCs/>
                <w:sz w:val="24"/>
                <w:szCs w:val="24"/>
                <w:lang w:eastAsia="zh-CN"/>
              </w:rPr>
              <w:t>农村基层防汛预报预警体系建设</w:t>
            </w:r>
            <w:r>
              <w:rPr>
                <w:rFonts w:hint="eastAsia" w:ascii="宋体" w:hAnsi="宋体"/>
                <w:b w:val="0"/>
                <w:bCs/>
                <w:sz w:val="24"/>
                <w:szCs w:val="24"/>
                <w:lang w:val="en-US" w:eastAsia="zh-CN"/>
              </w:rPr>
              <w:t>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40" w:firstLineChars="200"/>
              <w:jc w:val="left"/>
              <w:rPr>
                <w:rFonts w:hint="eastAsia" w:ascii="宋体" w:hAnsi="宋体"/>
                <w:color w:val="000000"/>
                <w:sz w:val="22"/>
                <w:szCs w:val="22"/>
              </w:rPr>
            </w:pPr>
            <w:r>
              <w:rPr>
                <w:rFonts w:hint="eastAsia" w:ascii="宋体" w:hAnsi="宋体"/>
                <w:color w:val="000000"/>
                <w:sz w:val="22"/>
                <w:szCs w:val="22"/>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40" w:firstLineChars="200"/>
              <w:jc w:val="left"/>
              <w:rPr>
                <w:rFonts w:hint="eastAsia" w:ascii="宋体" w:hAnsi="宋体"/>
                <w:color w:val="000000"/>
                <w:sz w:val="22"/>
                <w:szCs w:val="22"/>
              </w:rPr>
            </w:pPr>
            <w:r>
              <w:rPr>
                <w:rFonts w:hint="eastAsia" w:ascii="宋体" w:hAnsi="宋体"/>
                <w:color w:val="000000"/>
                <w:sz w:val="22"/>
                <w:szCs w:val="22"/>
              </w:rPr>
              <w:t>详见磋商文件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40" w:firstLineChars="200"/>
              <w:jc w:val="left"/>
              <w:rPr>
                <w:rFonts w:hint="default" w:ascii="宋体" w:hAnsi="宋体"/>
                <w:color w:val="000000"/>
                <w:sz w:val="22"/>
                <w:szCs w:val="22"/>
                <w:lang w:val="en-US" w:eastAsia="zh-CN"/>
              </w:rPr>
            </w:pPr>
            <w:r>
              <w:rPr>
                <w:rFonts w:hint="eastAsia" w:ascii="宋体" w:hAnsi="宋体"/>
                <w:color w:val="000000"/>
                <w:sz w:val="22"/>
                <w:szCs w:val="22"/>
                <w:lang w:val="en-US" w:eastAsia="zh-CN"/>
              </w:rPr>
              <w:t>794600.00</w:t>
            </w:r>
          </w:p>
        </w:tc>
      </w:tr>
    </w:tbl>
    <w:p>
      <w:pPr>
        <w:spacing w:line="360" w:lineRule="auto"/>
        <w:ind w:firstLine="440" w:firstLineChars="200"/>
        <w:jc w:val="left"/>
        <w:rPr>
          <w:rFonts w:ascii="宋体" w:hAnsi="宋体"/>
          <w:b/>
          <w:sz w:val="22"/>
          <w:szCs w:val="22"/>
        </w:rPr>
      </w:pPr>
      <w:r>
        <w:rPr>
          <w:rFonts w:hint="eastAsia" w:ascii="宋体" w:hAnsi="宋体"/>
          <w:color w:val="000000"/>
          <w:sz w:val="22"/>
          <w:szCs w:val="22"/>
        </w:rPr>
        <w:t>二.供应商的资格要求</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1.供应商应符合《中华人民共和国政府采购法》第二十二条规定的条件；</w:t>
      </w:r>
    </w:p>
    <w:p>
      <w:pPr>
        <w:spacing w:line="360" w:lineRule="auto"/>
        <w:ind w:firstLine="440" w:firstLineChars="200"/>
        <w:rPr>
          <w:rFonts w:ascii="宋体" w:hAnsi="宋体"/>
          <w:sz w:val="22"/>
          <w:szCs w:val="22"/>
        </w:rPr>
      </w:pPr>
      <w:r>
        <w:rPr>
          <w:rFonts w:hint="eastAsia" w:ascii="宋体" w:hAnsi="宋体"/>
          <w:b w:val="0"/>
          <w:bCs w:val="0"/>
          <w:color w:val="auto"/>
          <w:sz w:val="22"/>
          <w:szCs w:val="22"/>
        </w:rPr>
        <w:t>2</w:t>
      </w:r>
      <w:r>
        <w:rPr>
          <w:rFonts w:hint="eastAsia" w:ascii="宋体" w:hAnsi="宋体"/>
          <w:sz w:val="22"/>
          <w:szCs w:val="22"/>
        </w:rPr>
        <w:t>.该项目不接受联合体投标。</w:t>
      </w:r>
    </w:p>
    <w:p>
      <w:pPr>
        <w:spacing w:line="360" w:lineRule="auto"/>
        <w:rPr>
          <w:rFonts w:ascii="宋体" w:hAnsi="宋体"/>
          <w:sz w:val="22"/>
          <w:szCs w:val="22"/>
        </w:rPr>
      </w:pPr>
      <w:r>
        <w:rPr>
          <w:rFonts w:hint="eastAsia" w:ascii="宋体" w:hAnsi="宋体"/>
          <w:b/>
          <w:color w:val="000000"/>
          <w:sz w:val="22"/>
          <w:szCs w:val="22"/>
        </w:rPr>
        <w:t>三.获取磋商文件的时间、地点、方式</w:t>
      </w:r>
    </w:p>
    <w:p>
      <w:pPr>
        <w:spacing w:line="360" w:lineRule="auto"/>
        <w:ind w:firstLine="440" w:firstLineChars="200"/>
        <w:textAlignment w:val="baseline"/>
        <w:rPr>
          <w:rFonts w:ascii="宋体" w:hAnsi="宋体"/>
          <w:sz w:val="22"/>
          <w:szCs w:val="22"/>
        </w:rPr>
      </w:pPr>
      <w:r>
        <w:rPr>
          <w:rFonts w:hint="eastAsia" w:ascii="宋体" w:hAnsi="宋体"/>
          <w:sz w:val="22"/>
          <w:szCs w:val="22"/>
        </w:rPr>
        <w:t>符合上述条件的供应商可于</w:t>
      </w:r>
      <w:r>
        <w:rPr>
          <w:rFonts w:hint="eastAsia" w:ascii="宋体" w:hAnsi="宋体"/>
          <w:sz w:val="22"/>
          <w:szCs w:val="22"/>
          <w:lang w:eastAsia="zh-CN"/>
        </w:rPr>
        <w:t>20</w:t>
      </w:r>
      <w:r>
        <w:rPr>
          <w:rFonts w:hint="eastAsia" w:ascii="宋体" w:hAnsi="宋体"/>
          <w:sz w:val="22"/>
          <w:szCs w:val="22"/>
          <w:lang w:val="en-US" w:eastAsia="zh-CN"/>
        </w:rPr>
        <w:t>20</w:t>
      </w:r>
      <w:r>
        <w:rPr>
          <w:rFonts w:hint="eastAsia" w:ascii="宋体" w:hAnsi="宋体"/>
          <w:sz w:val="22"/>
          <w:szCs w:val="22"/>
          <w:lang w:eastAsia="zh-CN"/>
        </w:rPr>
        <w:t>年</w:t>
      </w:r>
      <w:r>
        <w:rPr>
          <w:rFonts w:hint="eastAsia" w:ascii="宋体" w:hAnsi="宋体"/>
          <w:sz w:val="22"/>
          <w:szCs w:val="22"/>
          <w:lang w:val="en-US" w:eastAsia="zh-CN"/>
        </w:rPr>
        <w:t>3</w:t>
      </w:r>
      <w:r>
        <w:rPr>
          <w:rFonts w:hint="eastAsia" w:ascii="宋体" w:hAnsi="宋体"/>
          <w:sz w:val="22"/>
          <w:szCs w:val="22"/>
          <w:lang w:eastAsia="zh-CN"/>
        </w:rPr>
        <w:t>月</w:t>
      </w:r>
      <w:r>
        <w:rPr>
          <w:rFonts w:hint="eastAsia" w:ascii="宋体" w:hAnsi="宋体"/>
          <w:sz w:val="22"/>
          <w:szCs w:val="22"/>
          <w:lang w:val="en-US" w:eastAsia="zh-CN"/>
        </w:rPr>
        <w:t>16</w:t>
      </w:r>
      <w:r>
        <w:rPr>
          <w:rFonts w:hint="eastAsia" w:ascii="宋体" w:hAnsi="宋体"/>
          <w:sz w:val="22"/>
          <w:szCs w:val="22"/>
          <w:lang w:eastAsia="zh-CN"/>
        </w:rPr>
        <w:t>日</w:t>
      </w:r>
      <w:r>
        <w:rPr>
          <w:rFonts w:hint="eastAsia" w:ascii="宋体" w:hAnsi="宋体"/>
          <w:sz w:val="22"/>
          <w:szCs w:val="22"/>
        </w:rPr>
        <w:t>起登录内蒙古自治区政府采购网、内蒙古自治区公共资源交易网、鄂尔多斯市政府采购网或鄂尔多斯市公共资源交易网站鄂托克前旗人民政府网获取磋商文件。</w:t>
      </w:r>
    </w:p>
    <w:p>
      <w:pPr>
        <w:spacing w:line="360" w:lineRule="auto"/>
        <w:ind w:firstLine="440" w:firstLineChars="200"/>
        <w:textAlignment w:val="baseline"/>
        <w:rPr>
          <w:rFonts w:ascii="宋体" w:hAnsi="宋体"/>
          <w:sz w:val="22"/>
          <w:szCs w:val="22"/>
        </w:rPr>
      </w:pPr>
      <w:r>
        <w:rPr>
          <w:rFonts w:hint="eastAsia" w:ascii="宋体" w:hAnsi="宋体"/>
          <w:sz w:val="22"/>
          <w:szCs w:val="22"/>
        </w:rPr>
        <w:t>1.内蒙古自治区政府采购网（http://www.nmgp.gov.cn）。登录网站页面，在“盟市旗县采购公告”中查询采购信息，点击信息公告页面下方的“相关附件”即可浏览、下载招标文件。</w:t>
      </w:r>
    </w:p>
    <w:p>
      <w:pPr>
        <w:spacing w:line="360" w:lineRule="auto"/>
        <w:ind w:firstLine="440" w:firstLineChars="200"/>
        <w:textAlignment w:val="baseline"/>
        <w:rPr>
          <w:rFonts w:ascii="宋体" w:hAnsi="宋体"/>
          <w:sz w:val="22"/>
          <w:szCs w:val="22"/>
        </w:rPr>
      </w:pPr>
      <w:r>
        <w:rPr>
          <w:rFonts w:hint="eastAsia" w:ascii="宋体" w:hAnsi="宋体"/>
          <w:sz w:val="22"/>
          <w:szCs w:val="22"/>
        </w:rPr>
        <w:t>2.内蒙古自治区公共资源交易网（www.nmgggzyjy.gov.cn）。登录网站页面，在“政府采购采购公告”中查询采购信息。</w:t>
      </w:r>
    </w:p>
    <w:p>
      <w:pPr>
        <w:spacing w:line="360" w:lineRule="auto"/>
        <w:ind w:firstLine="440" w:firstLineChars="200"/>
        <w:textAlignment w:val="baseline"/>
        <w:rPr>
          <w:rFonts w:ascii="宋体" w:hAnsi="宋体"/>
          <w:sz w:val="22"/>
          <w:szCs w:val="22"/>
        </w:rPr>
      </w:pPr>
      <w:r>
        <w:rPr>
          <w:rFonts w:hint="eastAsia" w:ascii="宋体" w:hAnsi="宋体"/>
          <w:sz w:val="22"/>
          <w:szCs w:val="22"/>
        </w:rPr>
        <w:t>3.鄂尔多斯市政府采购网（http://www.ordoscg.gov.cn）。登陆网站页面，点击“政府采购公告”，查询采购信息，点击信息公告页面中“下载招标文件”可浏览、下载招标文件。</w:t>
      </w:r>
    </w:p>
    <w:p>
      <w:pPr>
        <w:spacing w:line="360" w:lineRule="auto"/>
        <w:ind w:firstLine="440" w:firstLineChars="200"/>
        <w:textAlignment w:val="baseline"/>
        <w:rPr>
          <w:rFonts w:ascii="宋体" w:hAnsi="宋体"/>
          <w:sz w:val="22"/>
          <w:szCs w:val="22"/>
        </w:rPr>
      </w:pPr>
      <w:r>
        <w:rPr>
          <w:rFonts w:hint="eastAsia" w:ascii="宋体" w:hAnsi="宋体"/>
          <w:sz w:val="22"/>
          <w:szCs w:val="22"/>
        </w:rPr>
        <w:t>4.鄂尔多斯市公共资源交易网（http://www.ordosggzyjy.org.cn）。登陆网站页面，点击“政府采购”中的“信息公告”栏，查询采购信息，点击信息公告页面左下角“附件”即可浏览、下载招标文件。</w:t>
      </w:r>
    </w:p>
    <w:p>
      <w:pPr>
        <w:spacing w:line="360" w:lineRule="auto"/>
        <w:ind w:firstLine="440" w:firstLineChars="200"/>
        <w:jc w:val="left"/>
        <w:textAlignment w:val="baseline"/>
        <w:rPr>
          <w:rFonts w:ascii="宋体" w:hAnsi="宋体"/>
          <w:sz w:val="22"/>
          <w:szCs w:val="22"/>
        </w:rPr>
      </w:pPr>
      <w:r>
        <w:rPr>
          <w:rFonts w:hint="eastAsia" w:ascii="宋体" w:hAnsi="宋体"/>
          <w:sz w:val="22"/>
          <w:szCs w:val="22"/>
        </w:rPr>
        <w:t>5.</w:t>
      </w:r>
      <w:r>
        <w:rPr>
          <w:rFonts w:hint="eastAsia" w:ascii="宋体" w:hAnsi="宋体"/>
          <w:sz w:val="24"/>
          <w:szCs w:val="24"/>
        </w:rPr>
        <w:t>鄂尔多斯市鄂托克前旗公共资源交易网</w:t>
      </w:r>
      <w:r>
        <w:rPr>
          <w:rFonts w:hint="eastAsia" w:ascii="宋体" w:hAnsi="宋体"/>
          <w:sz w:val="22"/>
          <w:szCs w:val="22"/>
        </w:rPr>
        <w:t>（http://www.ordosggzyjy.org.cn/TPFront_etkqq/）。登陆网站页面，点击“政府采购”中的“信息公告”栏，查询采购信息，点击信息公告页面左下角“附件”即可浏览、下载招标文件</w:t>
      </w:r>
    </w:p>
    <w:p>
      <w:pPr>
        <w:spacing w:line="500" w:lineRule="exact"/>
        <w:ind w:firstLine="440" w:firstLineChars="200"/>
        <w:rPr>
          <w:rFonts w:ascii="宋体" w:hAnsi="宋体"/>
          <w:bCs/>
          <w:sz w:val="22"/>
          <w:szCs w:val="22"/>
        </w:rPr>
      </w:pPr>
      <w:r>
        <w:rPr>
          <w:rFonts w:hint="eastAsia" w:ascii="宋体" w:hAnsi="宋体"/>
          <w:bCs/>
          <w:sz w:val="22"/>
          <w:szCs w:val="22"/>
        </w:rPr>
        <w:t>6. 鄂托克前旗人民政府网（http://www.etkqq.gov.cn/）。</w:t>
      </w:r>
      <w:r>
        <w:rPr>
          <w:rFonts w:hint="eastAsia" w:ascii="宋体" w:hAnsi="宋体"/>
          <w:sz w:val="22"/>
          <w:szCs w:val="22"/>
        </w:rPr>
        <w:t>登陆网站页面，点击“信息公开目录</w:t>
      </w:r>
      <w:r>
        <w:rPr>
          <w:rFonts w:hint="eastAsia" w:ascii="宋体" w:hAnsi="宋体"/>
          <w:bCs/>
          <w:sz w:val="22"/>
          <w:szCs w:val="22"/>
        </w:rPr>
        <w:t>”栏，点击公共资源交易中心链接进入后，栏目右侧通知公告一栏中即可浏览采购公告、也可下载招标文件。</w:t>
      </w:r>
    </w:p>
    <w:p>
      <w:pPr>
        <w:spacing w:line="360" w:lineRule="auto"/>
        <w:ind w:firstLine="440" w:firstLineChars="200"/>
        <w:textAlignment w:val="baseline"/>
        <w:rPr>
          <w:rFonts w:ascii="宋体" w:hAnsi="宋体"/>
          <w:sz w:val="22"/>
          <w:szCs w:val="22"/>
        </w:rPr>
      </w:pPr>
      <w:r>
        <w:rPr>
          <w:rFonts w:hint="eastAsia" w:ascii="宋体" w:hAnsi="宋体"/>
          <w:sz w:val="22"/>
          <w:szCs w:val="22"/>
        </w:rPr>
        <w:t xml:space="preserve">7. </w:t>
      </w:r>
      <w:r>
        <w:rPr>
          <w:rFonts w:hint="eastAsia" w:ascii="宋体" w:hAnsi="宋体" w:cs="宋体"/>
          <w:kern w:val="0"/>
          <w:sz w:val="22"/>
          <w:szCs w:val="22"/>
        </w:rPr>
        <w:t>报名时间（招标文件提供期限）：</w:t>
      </w:r>
      <w:r>
        <w:rPr>
          <w:rFonts w:hint="eastAsia" w:ascii="宋体" w:hAnsi="宋体" w:cs="宋体"/>
          <w:kern w:val="0"/>
          <w:sz w:val="22"/>
          <w:szCs w:val="22"/>
          <w:lang w:eastAsia="zh-CN"/>
        </w:rPr>
        <w:t>20</w:t>
      </w:r>
      <w:r>
        <w:rPr>
          <w:rFonts w:hint="eastAsia" w:ascii="宋体" w:hAnsi="宋体" w:cs="宋体"/>
          <w:kern w:val="0"/>
          <w:sz w:val="22"/>
          <w:szCs w:val="22"/>
          <w:lang w:val="en-US" w:eastAsia="zh-CN"/>
        </w:rPr>
        <w:t>20</w:t>
      </w:r>
      <w:r>
        <w:rPr>
          <w:rFonts w:hint="eastAsia" w:ascii="宋体" w:hAnsi="宋体" w:cs="宋体"/>
          <w:kern w:val="0"/>
          <w:sz w:val="22"/>
          <w:szCs w:val="22"/>
          <w:lang w:eastAsia="zh-CN"/>
        </w:rPr>
        <w:t>年</w:t>
      </w:r>
      <w:r>
        <w:rPr>
          <w:rFonts w:hint="eastAsia" w:ascii="宋体" w:hAnsi="宋体" w:cs="宋体"/>
          <w:kern w:val="0"/>
          <w:sz w:val="22"/>
          <w:szCs w:val="22"/>
          <w:lang w:val="en-US" w:eastAsia="zh-CN"/>
        </w:rPr>
        <w:t>3</w:t>
      </w:r>
      <w:r>
        <w:rPr>
          <w:rFonts w:hint="eastAsia" w:ascii="宋体" w:hAnsi="宋体" w:cs="宋体"/>
          <w:kern w:val="0"/>
          <w:sz w:val="22"/>
          <w:szCs w:val="22"/>
          <w:lang w:eastAsia="zh-CN"/>
        </w:rPr>
        <w:t>月</w:t>
      </w:r>
      <w:r>
        <w:rPr>
          <w:rFonts w:hint="eastAsia" w:ascii="宋体" w:hAnsi="宋体" w:cs="宋体"/>
          <w:kern w:val="0"/>
          <w:sz w:val="22"/>
          <w:szCs w:val="22"/>
          <w:lang w:val="en-US" w:eastAsia="zh-CN"/>
        </w:rPr>
        <w:t>16</w:t>
      </w:r>
      <w:r>
        <w:rPr>
          <w:rFonts w:hint="eastAsia" w:ascii="宋体" w:hAnsi="宋体" w:cs="宋体"/>
          <w:kern w:val="0"/>
          <w:sz w:val="22"/>
          <w:szCs w:val="22"/>
          <w:lang w:eastAsia="zh-CN"/>
        </w:rPr>
        <w:t>日</w:t>
      </w:r>
      <w:r>
        <w:rPr>
          <w:rFonts w:hint="eastAsia" w:ascii="宋体" w:hAnsi="宋体" w:cs="宋体"/>
          <w:kern w:val="0"/>
          <w:sz w:val="22"/>
          <w:szCs w:val="22"/>
        </w:rPr>
        <w:t>至</w:t>
      </w:r>
      <w:r>
        <w:rPr>
          <w:rFonts w:hint="eastAsia" w:ascii="宋体" w:hAnsi="宋体" w:cs="宋体"/>
          <w:kern w:val="0"/>
          <w:sz w:val="22"/>
          <w:szCs w:val="22"/>
          <w:lang w:eastAsia="zh-CN"/>
        </w:rPr>
        <w:t>20</w:t>
      </w:r>
      <w:r>
        <w:rPr>
          <w:rFonts w:hint="eastAsia" w:ascii="宋体" w:hAnsi="宋体" w:cs="宋体"/>
          <w:kern w:val="0"/>
          <w:sz w:val="22"/>
          <w:szCs w:val="22"/>
          <w:lang w:val="en-US" w:eastAsia="zh-CN"/>
        </w:rPr>
        <w:t>20</w:t>
      </w:r>
      <w:r>
        <w:rPr>
          <w:rFonts w:hint="eastAsia" w:ascii="宋体" w:hAnsi="宋体" w:cs="宋体"/>
          <w:kern w:val="0"/>
          <w:sz w:val="22"/>
          <w:szCs w:val="22"/>
          <w:lang w:eastAsia="zh-CN"/>
        </w:rPr>
        <w:t>年</w:t>
      </w:r>
      <w:r>
        <w:rPr>
          <w:rFonts w:hint="eastAsia" w:ascii="宋体" w:hAnsi="宋体" w:cs="宋体"/>
          <w:kern w:val="0"/>
          <w:sz w:val="22"/>
          <w:szCs w:val="22"/>
          <w:lang w:val="en-US" w:eastAsia="zh-CN"/>
        </w:rPr>
        <w:t>3</w:t>
      </w:r>
      <w:r>
        <w:rPr>
          <w:rFonts w:hint="eastAsia" w:ascii="宋体" w:hAnsi="宋体" w:cs="宋体"/>
          <w:kern w:val="0"/>
          <w:sz w:val="22"/>
          <w:szCs w:val="22"/>
          <w:lang w:eastAsia="zh-CN"/>
        </w:rPr>
        <w:t>月</w:t>
      </w:r>
      <w:r>
        <w:rPr>
          <w:rFonts w:hint="eastAsia" w:ascii="宋体" w:hAnsi="宋体" w:cs="宋体"/>
          <w:kern w:val="0"/>
          <w:sz w:val="22"/>
          <w:szCs w:val="22"/>
          <w:lang w:val="en-US" w:eastAsia="zh-CN"/>
        </w:rPr>
        <w:t>23</w:t>
      </w:r>
      <w:r>
        <w:rPr>
          <w:rFonts w:hint="eastAsia" w:ascii="宋体" w:hAnsi="宋体" w:cs="宋体"/>
          <w:kern w:val="0"/>
          <w:sz w:val="22"/>
          <w:szCs w:val="22"/>
          <w:lang w:eastAsia="zh-CN"/>
        </w:rPr>
        <w:t>日</w:t>
      </w:r>
      <w:r>
        <w:rPr>
          <w:rFonts w:hint="eastAsia" w:ascii="宋体" w:hAnsi="宋体" w:cs="宋体"/>
          <w:kern w:val="0"/>
          <w:sz w:val="22"/>
          <w:szCs w:val="22"/>
        </w:rPr>
        <w:t>下午1</w:t>
      </w:r>
      <w:r>
        <w:rPr>
          <w:rFonts w:hint="eastAsia" w:ascii="宋体" w:hAnsi="宋体" w:cs="宋体"/>
          <w:kern w:val="0"/>
          <w:sz w:val="22"/>
          <w:szCs w:val="22"/>
          <w:lang w:val="en-US" w:eastAsia="zh-CN"/>
        </w:rPr>
        <w:t>5</w:t>
      </w:r>
      <w:r>
        <w:rPr>
          <w:rFonts w:hint="eastAsia" w:ascii="宋体" w:hAnsi="宋体" w:cs="宋体"/>
          <w:kern w:val="0"/>
          <w:sz w:val="22"/>
          <w:szCs w:val="22"/>
        </w:rPr>
        <w:t>时</w:t>
      </w:r>
      <w:r>
        <w:rPr>
          <w:rFonts w:hint="eastAsia" w:ascii="宋体" w:hAnsi="宋体" w:cs="宋体"/>
          <w:kern w:val="0"/>
          <w:sz w:val="22"/>
          <w:szCs w:val="22"/>
          <w:lang w:val="en-US" w:eastAsia="zh-CN"/>
        </w:rPr>
        <w:t>0</w:t>
      </w:r>
      <w:r>
        <w:rPr>
          <w:rFonts w:hint="eastAsia" w:ascii="宋体" w:hAnsi="宋体" w:cs="宋体"/>
          <w:kern w:val="0"/>
          <w:sz w:val="22"/>
          <w:szCs w:val="22"/>
        </w:rPr>
        <w:t>0分</w:t>
      </w:r>
      <w:r>
        <w:rPr>
          <w:rFonts w:hint="eastAsia" w:ascii="宋体" w:hAnsi="宋体"/>
          <w:sz w:val="22"/>
          <w:szCs w:val="22"/>
        </w:rPr>
        <w:t>。</w:t>
      </w:r>
    </w:p>
    <w:p>
      <w:pPr>
        <w:spacing w:line="360" w:lineRule="auto"/>
        <w:textAlignment w:val="baseline"/>
        <w:rPr>
          <w:rFonts w:ascii="宋体" w:hAnsi="宋体"/>
          <w:b/>
          <w:sz w:val="22"/>
          <w:szCs w:val="22"/>
        </w:rPr>
      </w:pPr>
      <w:r>
        <w:rPr>
          <w:rFonts w:hint="eastAsia" w:ascii="宋体" w:hAnsi="宋体"/>
          <w:b/>
          <w:sz w:val="22"/>
          <w:szCs w:val="22"/>
        </w:rPr>
        <w:t>四.采购文件售价</w:t>
      </w:r>
    </w:p>
    <w:p>
      <w:pPr>
        <w:spacing w:line="360" w:lineRule="auto"/>
        <w:ind w:firstLine="440" w:firstLineChars="200"/>
        <w:rPr>
          <w:rFonts w:ascii="宋体" w:hAnsi="宋体"/>
          <w:sz w:val="22"/>
          <w:szCs w:val="22"/>
        </w:rPr>
      </w:pPr>
      <w:r>
        <w:rPr>
          <w:rFonts w:hint="eastAsia" w:ascii="宋体" w:hAnsi="宋体"/>
          <w:sz w:val="22"/>
          <w:szCs w:val="22"/>
        </w:rPr>
        <w:t>本次</w:t>
      </w:r>
      <w:r>
        <w:rPr>
          <w:rFonts w:hint="eastAsia" w:ascii="宋体" w:hAnsi="宋体"/>
          <w:sz w:val="22"/>
          <w:szCs w:val="22"/>
          <w:lang w:val="en-US" w:eastAsia="zh-CN"/>
        </w:rPr>
        <w:t>招标</w:t>
      </w:r>
      <w:r>
        <w:rPr>
          <w:rFonts w:hint="eastAsia" w:ascii="宋体" w:hAnsi="宋体"/>
          <w:sz w:val="22"/>
          <w:szCs w:val="22"/>
        </w:rPr>
        <w:t>文件的售价为</w:t>
      </w:r>
      <w:r>
        <w:rPr>
          <w:rFonts w:hint="eastAsia" w:ascii="宋体" w:hAnsi="宋体"/>
          <w:sz w:val="22"/>
          <w:szCs w:val="22"/>
          <w:lang w:val="en-US" w:eastAsia="zh-CN"/>
        </w:rPr>
        <w:t>500</w:t>
      </w:r>
      <w:r>
        <w:rPr>
          <w:rFonts w:hint="eastAsia" w:ascii="宋体" w:hAnsi="宋体"/>
          <w:sz w:val="22"/>
          <w:szCs w:val="22"/>
        </w:rPr>
        <w:t>元人民币</w:t>
      </w:r>
      <w:r>
        <w:rPr>
          <w:rFonts w:hint="eastAsia" w:ascii="宋体" w:hAnsi="宋体"/>
          <w:sz w:val="22"/>
          <w:szCs w:val="22"/>
          <w:lang w:eastAsia="zh-CN"/>
        </w:rPr>
        <w:t>，</w:t>
      </w:r>
      <w:r>
        <w:rPr>
          <w:rFonts w:hint="eastAsia" w:ascii="宋体" w:hAnsi="宋体"/>
          <w:sz w:val="22"/>
          <w:szCs w:val="22"/>
        </w:rPr>
        <w:t>售后不退，文件费在开标现场交纳给采购代理机构，拒不交纳者将不予接收投标文件。</w:t>
      </w:r>
    </w:p>
    <w:p>
      <w:pPr>
        <w:spacing w:line="360" w:lineRule="auto"/>
        <w:rPr>
          <w:rFonts w:ascii="宋体" w:hAnsi="宋体"/>
          <w:b/>
          <w:sz w:val="22"/>
          <w:szCs w:val="22"/>
        </w:rPr>
      </w:pPr>
      <w:r>
        <w:rPr>
          <w:rFonts w:hint="eastAsia" w:ascii="宋体" w:hAnsi="宋体"/>
          <w:b/>
          <w:sz w:val="22"/>
          <w:szCs w:val="22"/>
        </w:rPr>
        <w:t>五.递交投标（响应）文件截止时间、开标时间及地点</w:t>
      </w:r>
    </w:p>
    <w:p>
      <w:pPr>
        <w:spacing w:line="360" w:lineRule="auto"/>
        <w:ind w:firstLine="440" w:firstLineChars="200"/>
        <w:rPr>
          <w:rFonts w:ascii="宋体" w:hAnsi="宋体"/>
          <w:sz w:val="22"/>
          <w:szCs w:val="22"/>
        </w:rPr>
      </w:pPr>
      <w:r>
        <w:rPr>
          <w:rFonts w:hint="eastAsia" w:ascii="宋体" w:hAnsi="宋体"/>
          <w:sz w:val="22"/>
          <w:szCs w:val="22"/>
        </w:rPr>
        <w:t>递交投标（响应）文件截止时间：</w:t>
      </w:r>
      <w:r>
        <w:rPr>
          <w:rFonts w:hint="eastAsia" w:ascii="宋体" w:hAnsi="宋体"/>
          <w:sz w:val="22"/>
          <w:szCs w:val="22"/>
          <w:lang w:eastAsia="zh-CN"/>
        </w:rPr>
        <w:t>2020年3月30日</w:t>
      </w:r>
      <w:r>
        <w:rPr>
          <w:rFonts w:hint="eastAsia" w:ascii="宋体" w:hAnsi="宋体"/>
          <w:sz w:val="22"/>
          <w:szCs w:val="22"/>
        </w:rPr>
        <w:t>下午15时</w:t>
      </w:r>
      <w:r>
        <w:rPr>
          <w:rFonts w:hint="eastAsia" w:ascii="宋体" w:hAnsi="宋体"/>
          <w:sz w:val="22"/>
          <w:szCs w:val="22"/>
          <w:lang w:val="en-US" w:eastAsia="zh-CN"/>
        </w:rPr>
        <w:t>0</w:t>
      </w:r>
      <w:r>
        <w:rPr>
          <w:rFonts w:hint="eastAsia" w:ascii="宋体" w:hAnsi="宋体"/>
          <w:sz w:val="22"/>
          <w:szCs w:val="22"/>
        </w:rPr>
        <w:t>0分</w:t>
      </w:r>
    </w:p>
    <w:p>
      <w:pPr>
        <w:spacing w:line="360" w:lineRule="auto"/>
        <w:ind w:firstLine="440" w:firstLineChars="200"/>
        <w:rPr>
          <w:rFonts w:ascii="宋体" w:hAnsi="宋体"/>
          <w:sz w:val="22"/>
          <w:szCs w:val="22"/>
        </w:rPr>
      </w:pPr>
      <w:r>
        <w:rPr>
          <w:rFonts w:hint="eastAsia" w:ascii="宋体" w:hAnsi="宋体"/>
          <w:sz w:val="22"/>
          <w:szCs w:val="22"/>
        </w:rPr>
        <w:t>投标地点：鄂托克前旗公共资源交易</w:t>
      </w:r>
      <w:r>
        <w:rPr>
          <w:rFonts w:hint="eastAsia" w:ascii="宋体" w:hAnsi="宋体"/>
          <w:sz w:val="22"/>
          <w:szCs w:val="22"/>
          <w:lang w:val="en-US" w:eastAsia="zh-CN"/>
        </w:rPr>
        <w:t>中心</w:t>
      </w:r>
      <w:r>
        <w:rPr>
          <w:rFonts w:hint="eastAsia" w:ascii="宋体" w:hAnsi="宋体"/>
          <w:sz w:val="22"/>
          <w:szCs w:val="22"/>
        </w:rPr>
        <w:t>开标二室（鄂托克前旗公园西路文化产业园东区C2座）</w:t>
      </w:r>
    </w:p>
    <w:p>
      <w:pPr>
        <w:spacing w:line="360" w:lineRule="auto"/>
        <w:ind w:firstLine="440" w:firstLineChars="200"/>
        <w:rPr>
          <w:rFonts w:ascii="宋体" w:hAnsi="宋体"/>
          <w:sz w:val="22"/>
          <w:szCs w:val="22"/>
        </w:rPr>
      </w:pPr>
      <w:r>
        <w:rPr>
          <w:rFonts w:hint="eastAsia" w:ascii="宋体" w:hAnsi="宋体"/>
          <w:sz w:val="22"/>
          <w:szCs w:val="22"/>
        </w:rPr>
        <w:t>开标时间：</w:t>
      </w:r>
      <w:r>
        <w:rPr>
          <w:rFonts w:hint="eastAsia" w:ascii="宋体" w:hAnsi="宋体"/>
          <w:sz w:val="22"/>
          <w:szCs w:val="22"/>
          <w:lang w:eastAsia="zh-CN"/>
        </w:rPr>
        <w:t>2020年3月30日</w:t>
      </w:r>
      <w:r>
        <w:rPr>
          <w:rFonts w:hint="eastAsia" w:ascii="宋体" w:hAnsi="宋体"/>
          <w:sz w:val="22"/>
          <w:szCs w:val="22"/>
        </w:rPr>
        <w:t>下午15时00分</w:t>
      </w:r>
    </w:p>
    <w:p>
      <w:pPr>
        <w:spacing w:line="360" w:lineRule="auto"/>
        <w:ind w:firstLine="440" w:firstLineChars="200"/>
        <w:rPr>
          <w:rFonts w:ascii="宋体" w:hAnsi="宋体"/>
          <w:sz w:val="22"/>
          <w:szCs w:val="22"/>
        </w:rPr>
      </w:pPr>
      <w:r>
        <w:rPr>
          <w:rFonts w:hint="eastAsia" w:ascii="宋体" w:hAnsi="宋体"/>
          <w:sz w:val="22"/>
          <w:szCs w:val="22"/>
        </w:rPr>
        <w:t>开标地点</w:t>
      </w:r>
      <w:r>
        <w:rPr>
          <w:rFonts w:hint="eastAsia" w:ascii="宋体" w:hAnsi="宋体"/>
          <w:sz w:val="22"/>
          <w:szCs w:val="22"/>
          <w:lang w:eastAsia="zh-CN"/>
        </w:rPr>
        <w:t>：</w:t>
      </w:r>
      <w:r>
        <w:rPr>
          <w:rFonts w:hint="eastAsia" w:ascii="宋体" w:hAnsi="宋体"/>
          <w:sz w:val="22"/>
          <w:szCs w:val="22"/>
        </w:rPr>
        <w:t>鄂托克前旗公共资源交易</w:t>
      </w:r>
      <w:r>
        <w:rPr>
          <w:rFonts w:hint="eastAsia" w:ascii="宋体" w:hAnsi="宋体"/>
          <w:sz w:val="22"/>
          <w:szCs w:val="22"/>
          <w:lang w:val="en-US" w:eastAsia="zh-CN"/>
        </w:rPr>
        <w:t>中心</w:t>
      </w:r>
      <w:r>
        <w:rPr>
          <w:rFonts w:hint="eastAsia" w:ascii="宋体" w:hAnsi="宋体"/>
          <w:sz w:val="22"/>
          <w:szCs w:val="22"/>
        </w:rPr>
        <w:t>开标二室（鄂托克前旗公园西路文化产业园东区C2座）</w:t>
      </w:r>
    </w:p>
    <w:p>
      <w:pPr>
        <w:spacing w:line="360" w:lineRule="auto"/>
        <w:rPr>
          <w:rFonts w:ascii="宋体" w:hAnsi="宋体"/>
          <w:b/>
          <w:sz w:val="22"/>
          <w:szCs w:val="22"/>
        </w:rPr>
      </w:pPr>
      <w:r>
        <w:rPr>
          <w:rFonts w:hint="eastAsia" w:ascii="宋体" w:hAnsi="宋体"/>
          <w:b/>
          <w:sz w:val="22"/>
          <w:szCs w:val="22"/>
        </w:rPr>
        <w:t>六.联系方式</w:t>
      </w:r>
    </w:p>
    <w:p>
      <w:pPr>
        <w:spacing w:line="360" w:lineRule="auto"/>
        <w:ind w:firstLine="440" w:firstLineChars="200"/>
        <w:rPr>
          <w:rFonts w:ascii="宋体" w:hAnsi="宋体"/>
          <w:color w:val="000000"/>
          <w:sz w:val="22"/>
          <w:szCs w:val="22"/>
        </w:rPr>
      </w:pPr>
      <w:r>
        <w:rPr>
          <w:rFonts w:hint="eastAsia" w:ascii="宋体" w:hAnsi="宋体"/>
          <w:sz w:val="22"/>
          <w:szCs w:val="22"/>
        </w:rPr>
        <w:t>采购单位名称：</w:t>
      </w:r>
      <w:r>
        <w:rPr>
          <w:rFonts w:hint="eastAsia" w:ascii="宋体" w:hAnsi="宋体"/>
          <w:sz w:val="22"/>
          <w:szCs w:val="22"/>
          <w:lang w:eastAsia="zh-CN"/>
        </w:rPr>
        <w:t>鄂托克前旗水利局</w:t>
      </w:r>
      <w:r>
        <w:rPr>
          <w:rFonts w:hint="eastAsia" w:ascii="宋体" w:hAnsi="宋体"/>
          <w:sz w:val="22"/>
          <w:szCs w:val="22"/>
          <w:lang w:val="en-US" w:eastAsia="zh-CN"/>
        </w:rPr>
        <w:t xml:space="preserve">    </w:t>
      </w:r>
      <w:r>
        <w:rPr>
          <w:rFonts w:hint="eastAsia" w:ascii="宋体" w:hAnsi="宋体"/>
          <w:sz w:val="22"/>
          <w:szCs w:val="22"/>
        </w:rPr>
        <w:t>联系人：</w:t>
      </w:r>
      <w:r>
        <w:rPr>
          <w:rFonts w:hint="eastAsia" w:ascii="宋体" w:hAnsi="宋体"/>
          <w:sz w:val="22"/>
          <w:szCs w:val="22"/>
          <w:lang w:val="en-US" w:eastAsia="zh-CN"/>
        </w:rPr>
        <w:t>石海治</w:t>
      </w:r>
      <w:r>
        <w:rPr>
          <w:rFonts w:hint="eastAsia" w:ascii="宋体" w:hAnsi="宋体"/>
          <w:sz w:val="22"/>
          <w:szCs w:val="22"/>
        </w:rPr>
        <w:t xml:space="preserve">    联系电话：</w:t>
      </w:r>
      <w:r>
        <w:rPr>
          <w:rFonts w:hint="eastAsia" w:asciiTheme="minorEastAsia" w:hAnsiTheme="minorEastAsia" w:eastAsiaTheme="minorEastAsia"/>
          <w:b w:val="0"/>
          <w:color w:val="000000" w:themeColor="text1"/>
          <w:kern w:val="2"/>
          <w:sz w:val="24"/>
          <w:szCs w:val="24"/>
          <w14:textFill>
            <w14:solidFill>
              <w14:schemeClr w14:val="tx1"/>
            </w14:solidFill>
          </w14:textFill>
        </w:rPr>
        <w:t>：1</w:t>
      </w:r>
      <w:r>
        <w:rPr>
          <w:rFonts w:hint="eastAsia" w:asciiTheme="minorEastAsia" w:hAnsiTheme="minorEastAsia" w:eastAsiaTheme="minorEastAsia"/>
          <w:b w:val="0"/>
          <w:color w:val="000000" w:themeColor="text1"/>
          <w:kern w:val="2"/>
          <w:sz w:val="24"/>
          <w:szCs w:val="24"/>
          <w:lang w:val="en-US" w:eastAsia="zh-CN"/>
          <w14:textFill>
            <w14:solidFill>
              <w14:schemeClr w14:val="tx1"/>
            </w14:solidFill>
          </w14:textFill>
        </w:rPr>
        <w:t>8047775645</w:t>
      </w:r>
    </w:p>
    <w:p>
      <w:pPr>
        <w:spacing w:line="360" w:lineRule="auto"/>
        <w:ind w:firstLine="440" w:firstLineChars="200"/>
        <w:rPr>
          <w:rFonts w:ascii="宋体" w:hAnsi="宋体"/>
          <w:sz w:val="22"/>
          <w:szCs w:val="22"/>
        </w:rPr>
      </w:pPr>
      <w:r>
        <w:rPr>
          <w:rFonts w:hint="eastAsia" w:ascii="宋体" w:hAnsi="宋体"/>
          <w:sz w:val="22"/>
          <w:szCs w:val="22"/>
        </w:rPr>
        <w:t>地址：</w:t>
      </w:r>
      <w:r>
        <w:rPr>
          <w:rFonts w:hint="eastAsia" w:asciiTheme="minorEastAsia" w:hAnsiTheme="minorEastAsia" w:eastAsiaTheme="minorEastAsia"/>
          <w:sz w:val="22"/>
          <w:szCs w:val="22"/>
        </w:rPr>
        <w:t>鄂托克前旗敖勒召其镇</w:t>
      </w:r>
      <w:r>
        <w:rPr>
          <w:rFonts w:ascii="宋体" w:hAnsi="宋体"/>
          <w:sz w:val="22"/>
          <w:szCs w:val="22"/>
        </w:rPr>
        <w:t xml:space="preserve"> </w:t>
      </w:r>
    </w:p>
    <w:p>
      <w:pPr>
        <w:spacing w:line="360" w:lineRule="auto"/>
        <w:ind w:firstLine="440" w:firstLineChars="200"/>
        <w:rPr>
          <w:rFonts w:hint="eastAsia" w:ascii="宋体" w:hAnsi="宋体"/>
          <w:sz w:val="22"/>
          <w:szCs w:val="22"/>
        </w:rPr>
      </w:pPr>
      <w:r>
        <w:rPr>
          <w:rFonts w:hint="eastAsia" w:ascii="宋体" w:hAnsi="宋体"/>
          <w:sz w:val="22"/>
          <w:szCs w:val="22"/>
        </w:rPr>
        <w:t>邮政编码：016200</w:t>
      </w:r>
    </w:p>
    <w:p>
      <w:pPr>
        <w:spacing w:line="360" w:lineRule="auto"/>
        <w:ind w:firstLine="440" w:firstLineChars="200"/>
        <w:rPr>
          <w:rFonts w:hint="eastAsia" w:ascii="宋体" w:hAnsi="宋体" w:eastAsia="宋体"/>
          <w:sz w:val="22"/>
          <w:szCs w:val="22"/>
          <w:lang w:eastAsia="zh-CN"/>
        </w:rPr>
      </w:pPr>
      <w:r>
        <w:rPr>
          <w:rFonts w:hint="eastAsia" w:ascii="宋体" w:hAnsi="宋体"/>
          <w:sz w:val="22"/>
          <w:szCs w:val="22"/>
        </w:rPr>
        <w:t>采购代理机构名称：</w:t>
      </w:r>
      <w:r>
        <w:rPr>
          <w:rFonts w:hint="eastAsia" w:ascii="宋体" w:hAnsi="宋体"/>
          <w:sz w:val="22"/>
          <w:szCs w:val="22"/>
          <w:lang w:eastAsia="zh-CN"/>
        </w:rPr>
        <w:t>鄂托克前旗和信项目管理有限公司</w:t>
      </w:r>
    </w:p>
    <w:p>
      <w:pPr>
        <w:spacing w:line="360" w:lineRule="auto"/>
        <w:ind w:firstLine="440" w:firstLineChars="200"/>
        <w:rPr>
          <w:rFonts w:hint="default" w:ascii="宋体" w:hAnsi="宋体" w:eastAsia="宋体"/>
          <w:sz w:val="24"/>
          <w:szCs w:val="24"/>
          <w:lang w:val="en-US" w:eastAsia="zh-CN"/>
        </w:rPr>
      </w:pPr>
      <w:r>
        <w:rPr>
          <w:rFonts w:hint="eastAsia" w:ascii="宋体" w:hAnsi="宋体"/>
          <w:sz w:val="22"/>
          <w:szCs w:val="22"/>
        </w:rPr>
        <w:t>地址：</w:t>
      </w:r>
      <w:r>
        <w:rPr>
          <w:rFonts w:hint="eastAsia" w:ascii="宋体" w:hAnsi="宋体"/>
          <w:sz w:val="24"/>
          <w:szCs w:val="24"/>
        </w:rPr>
        <w:t>鄂托克前旗敖镇悦民雅筑小区17-106</w:t>
      </w:r>
      <w:r>
        <w:rPr>
          <w:rFonts w:hint="eastAsia" w:ascii="宋体" w:hAnsi="宋体"/>
          <w:sz w:val="24"/>
          <w:szCs w:val="24"/>
          <w:lang w:val="en-US" w:eastAsia="zh-CN"/>
        </w:rPr>
        <w:t xml:space="preserve"> 联系人：屈宏荣  电话15109579035</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016200</w:t>
      </w:r>
    </w:p>
    <w:p>
      <w:pPr>
        <w:spacing w:line="360" w:lineRule="auto"/>
        <w:ind w:firstLine="440" w:firstLineChars="200"/>
        <w:rPr>
          <w:rFonts w:ascii="宋体" w:hAnsi="宋体"/>
          <w:sz w:val="22"/>
          <w:szCs w:val="22"/>
        </w:rPr>
      </w:pPr>
    </w:p>
    <w:p>
      <w:pPr>
        <w:spacing w:line="360" w:lineRule="auto"/>
        <w:ind w:firstLine="550" w:firstLineChars="250"/>
        <w:rPr>
          <w:rFonts w:hint="eastAsia" w:ascii="宋体" w:hAnsi="宋体" w:eastAsia="宋体"/>
          <w:sz w:val="22"/>
          <w:szCs w:val="22"/>
          <w:lang w:eastAsia="zh-CN"/>
        </w:rPr>
      </w:pPr>
      <w:r>
        <w:rPr>
          <w:rFonts w:hint="eastAsia" w:ascii="宋体" w:hAnsi="宋体"/>
          <w:sz w:val="22"/>
          <w:szCs w:val="22"/>
        </w:rPr>
        <w:t xml:space="preserve">                              </w:t>
      </w:r>
      <w:r>
        <w:rPr>
          <w:rFonts w:hint="eastAsia" w:ascii="宋体" w:hAnsi="宋体"/>
          <w:sz w:val="22"/>
          <w:szCs w:val="22"/>
          <w:lang w:eastAsia="zh-CN"/>
        </w:rPr>
        <w:t>鄂托克前旗和信项目管理有限公司</w:t>
      </w:r>
    </w:p>
    <w:p>
      <w:pPr>
        <w:spacing w:line="360" w:lineRule="auto"/>
        <w:ind w:firstLine="4290" w:firstLineChars="1950"/>
        <w:rPr>
          <w:rFonts w:hint="eastAsia" w:ascii="宋体" w:hAnsi="宋体" w:eastAsia="宋体"/>
          <w:sz w:val="22"/>
          <w:szCs w:val="22"/>
          <w:lang w:eastAsia="zh-CN"/>
        </w:rPr>
      </w:pPr>
      <w:r>
        <w:rPr>
          <w:rFonts w:hint="eastAsia" w:ascii="宋体" w:hAnsi="宋体"/>
          <w:sz w:val="22"/>
          <w:szCs w:val="22"/>
        </w:rPr>
        <w:t xml:space="preserve"> </w:t>
      </w:r>
      <w:r>
        <w:rPr>
          <w:rFonts w:hint="eastAsia" w:ascii="宋体" w:hAnsi="宋体"/>
          <w:sz w:val="22"/>
          <w:szCs w:val="22"/>
          <w:lang w:eastAsia="zh-CN"/>
        </w:rPr>
        <w:t>20</w:t>
      </w:r>
      <w:r>
        <w:rPr>
          <w:rFonts w:hint="eastAsia" w:ascii="宋体" w:hAnsi="宋体"/>
          <w:sz w:val="22"/>
          <w:szCs w:val="22"/>
          <w:lang w:val="en-US" w:eastAsia="zh-CN"/>
        </w:rPr>
        <w:t>20年3</w:t>
      </w:r>
      <w:r>
        <w:rPr>
          <w:rFonts w:hint="eastAsia" w:ascii="宋体" w:hAnsi="宋体"/>
          <w:sz w:val="22"/>
          <w:szCs w:val="22"/>
          <w:lang w:eastAsia="zh-CN"/>
        </w:rPr>
        <w:t>月</w:t>
      </w:r>
      <w:r>
        <w:rPr>
          <w:rFonts w:hint="eastAsia" w:ascii="宋体" w:hAnsi="宋体"/>
          <w:sz w:val="22"/>
          <w:szCs w:val="22"/>
          <w:lang w:val="en-US" w:eastAsia="zh-CN"/>
        </w:rPr>
        <w:t>16</w:t>
      </w:r>
      <w:r>
        <w:rPr>
          <w:rFonts w:hint="eastAsia" w:ascii="宋体" w:hAnsi="宋体"/>
          <w:sz w:val="22"/>
          <w:szCs w:val="22"/>
          <w:lang w:eastAsia="zh-CN"/>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01"/>
      <w:r>
        <w:rPr>
          <w:rFonts w:hint="eastAsia" w:ascii="宋体" w:hAnsi="宋体"/>
          <w:b/>
          <w:sz w:val="24"/>
          <w:szCs w:val="24"/>
        </w:rPr>
        <w:t>第二章 供应商须知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3"/>
        <w:tblW w:w="99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6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lang w:eastAsia="zh-CN"/>
              </w:rPr>
              <w:t>鄂托克前旗水利局</w:t>
            </w:r>
          </w:p>
          <w:p>
            <w:pPr>
              <w:spacing w:line="360" w:lineRule="auto"/>
              <w:ind w:right="-140" w:rightChars="-50"/>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石海治</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18047775645</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w:t>
            </w:r>
            <w:r>
              <w:rPr>
                <w:rFonts w:hint="eastAsia" w:asciiTheme="minorEastAsia" w:hAnsiTheme="minorEastAsia" w:eastAsiaTheme="minorEastAsia"/>
                <w:sz w:val="24"/>
                <w:szCs w:val="24"/>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鄂托克前旗和信项目管理有限公司</w:t>
            </w:r>
            <w:r>
              <w:rPr>
                <w:rFonts w:hint="eastAsia" w:ascii="宋体" w:hAnsi="宋体"/>
                <w:color w:val="000000"/>
                <w:sz w:val="24"/>
                <w:szCs w:val="24"/>
              </w:rPr>
              <w:t xml:space="preserve"> </w:t>
            </w:r>
          </w:p>
          <w:p>
            <w:pPr>
              <w:spacing w:line="360" w:lineRule="auto"/>
              <w:ind w:right="-140" w:rightChars="-50"/>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屈宏荣</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15109579035</w:t>
            </w:r>
          </w:p>
          <w:p>
            <w:pPr>
              <w:spacing w:line="360" w:lineRule="auto"/>
              <w:rPr>
                <w:rFonts w:ascii="宋体" w:hAnsi="宋体"/>
                <w:color w:val="000000"/>
                <w:sz w:val="24"/>
                <w:szCs w:val="24"/>
              </w:rPr>
            </w:pPr>
            <w:r>
              <w:rPr>
                <w:rFonts w:hint="eastAsia" w:ascii="宋体" w:hAnsi="宋体"/>
                <w:color w:val="000000"/>
                <w:sz w:val="24"/>
                <w:szCs w:val="24"/>
              </w:rPr>
              <w:t>地址：</w:t>
            </w:r>
            <w:r>
              <w:rPr>
                <w:rFonts w:hint="eastAsia" w:ascii="宋体" w:hAnsi="宋体"/>
                <w:sz w:val="24"/>
                <w:szCs w:val="24"/>
              </w:rPr>
              <w:t>鄂托克前旗敖镇悦民雅筑小区17-106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69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sz w:val="24"/>
                <w:szCs w:val="24"/>
              </w:rPr>
            </w:pPr>
            <w:r>
              <w:rPr>
                <w:rFonts w:hint="eastAsia" w:ascii="宋体" w:hAnsi="宋体"/>
                <w:color w:val="000000"/>
                <w:sz w:val="24"/>
                <w:szCs w:val="24"/>
              </w:rPr>
              <w:t>详见磋商文件第四章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u w:val="none"/>
              </w:rPr>
              <w:t xml:space="preserve"> </w:t>
            </w:r>
            <w:r>
              <w:rPr>
                <w:rFonts w:hint="eastAsia" w:ascii="宋体" w:hAnsi="宋体"/>
                <w:color w:val="000000"/>
                <w:sz w:val="24"/>
                <w:szCs w:val="24"/>
                <w:u w:val="none"/>
                <w:lang w:val="en-US" w:eastAsia="zh-CN"/>
              </w:rPr>
              <w:t>794600.00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w:t>
            </w:r>
            <w:r>
              <w:rPr>
                <w:rFonts w:hint="eastAsia" w:ascii="宋体" w:hAnsi="宋体"/>
                <w:color w:val="000000"/>
                <w:sz w:val="24"/>
                <w:szCs w:val="24"/>
                <w:u w:val="single"/>
              </w:rPr>
              <w:t xml:space="preserve">  </w:t>
            </w:r>
            <w:r>
              <w:rPr>
                <w:rFonts w:hint="eastAsia" w:ascii="宋体" w:hAnsi="宋体"/>
                <w:color w:val="000000"/>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磋商小组数量</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磋商小组依法组建，由采购人代表和评审专家组成共</w:t>
            </w:r>
            <w:r>
              <w:rPr>
                <w:rFonts w:hint="eastAsia" w:ascii="宋体" w:hAnsi="宋体"/>
                <w:color w:val="000000"/>
                <w:sz w:val="24"/>
                <w:szCs w:val="24"/>
                <w:u w:val="single"/>
              </w:rPr>
              <w:t xml:space="preserve"> 3 </w:t>
            </w:r>
            <w:r>
              <w:rPr>
                <w:rFonts w:hint="eastAsia" w:ascii="宋体" w:hAnsi="宋体"/>
                <w:color w:val="000000"/>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采购人授权磋商小组按照评审原则直接确定成交供应商。</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提交响应文件时间</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eastAsia="zh-CN"/>
              </w:rPr>
              <w:t>2020年3月30日</w:t>
            </w:r>
            <w:r>
              <w:rPr>
                <w:rFonts w:hint="eastAsia" w:ascii="宋体" w:hAnsi="宋体"/>
                <w:color w:val="000000"/>
                <w:sz w:val="24"/>
                <w:szCs w:val="24"/>
              </w:rPr>
              <w:t xml:space="preserve">14时30分--15时00分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eastAsia="zh-CN"/>
              </w:rPr>
              <w:t>2020年3月30日</w:t>
            </w:r>
            <w:r>
              <w:rPr>
                <w:rFonts w:hint="eastAsia" w:ascii="宋体" w:hAnsi="宋体"/>
                <w:color w:val="000000"/>
                <w:sz w:val="24"/>
                <w:szCs w:val="24"/>
              </w:rPr>
              <w:t>15时00分整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sz w:val="22"/>
                <w:szCs w:val="22"/>
              </w:rPr>
              <w:t>鄂托克前旗公共资源交易</w:t>
            </w:r>
            <w:r>
              <w:rPr>
                <w:rFonts w:hint="eastAsia" w:ascii="宋体" w:hAnsi="宋体"/>
                <w:sz w:val="22"/>
                <w:szCs w:val="22"/>
                <w:lang w:val="en-US" w:eastAsia="zh-CN"/>
              </w:rPr>
              <w:t>中心</w:t>
            </w:r>
            <w:r>
              <w:rPr>
                <w:rFonts w:hint="eastAsia" w:ascii="宋体" w:hAnsi="宋体"/>
                <w:sz w:val="24"/>
                <w:szCs w:val="24"/>
              </w:rPr>
              <w:t>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正本1份、副本2份，电子</w:t>
            </w:r>
            <w:r>
              <w:rPr>
                <w:rFonts w:hint="eastAsia" w:ascii="宋体" w:hAnsi="宋体"/>
                <w:sz w:val="24"/>
                <w:szCs w:val="24"/>
              </w:rPr>
              <w:t>U盘1份</w:t>
            </w:r>
            <w:r>
              <w:rPr>
                <w:rFonts w:hint="eastAsia" w:ascii="宋体" w:hAnsi="宋体"/>
                <w:color w:val="000000"/>
                <w:sz w:val="24"/>
                <w:szCs w:val="24"/>
              </w:rPr>
              <w:t>（标明投标人名称）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中标单位应向代理机构交纳代理服务费。该项费用认为已含在中标单位的投标报价中，采购人不单独支付。</w:t>
            </w:r>
          </w:p>
          <w:p>
            <w:pPr>
              <w:spacing w:line="360" w:lineRule="auto"/>
              <w:ind w:right="-140" w:rightChars="-50"/>
              <w:rPr>
                <w:rFonts w:ascii="宋体" w:hAnsi="宋体"/>
                <w:sz w:val="24"/>
                <w:szCs w:val="24"/>
              </w:rPr>
            </w:pPr>
            <w:r>
              <w:rPr>
                <w:rFonts w:ascii="宋体" w:hAnsi="宋体"/>
                <w:sz w:val="24"/>
              </w:rPr>
              <w:t>中标人须在领取中标通知书前支付中标服务费，中标人须向招标代理机构按如下标准和规定交纳中标服务费：以中标通知书中确定的中标总价为计算基数，按内蒙古自治区工程建设协会文件，内工建协[2016]17号文件规定收费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6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本招标项目采用“虚拟子账户”形式及法律法规规定的其它缴纳方式收退投标保证金。请各投标人特别关注并严格遵照招标文件中有关投标保证金缴纳的规定。</w:t>
            </w:r>
          </w:p>
          <w:p>
            <w:pPr>
              <w:spacing w:line="360" w:lineRule="auto"/>
              <w:ind w:right="-140" w:rightChars="-50"/>
              <w:rPr>
                <w:rFonts w:ascii="宋体" w:hAnsi="宋体"/>
                <w:sz w:val="24"/>
                <w:szCs w:val="24"/>
              </w:rPr>
            </w:pPr>
            <w:r>
              <w:rPr>
                <w:rFonts w:hint="eastAsia" w:ascii="宋体" w:hAnsi="宋体"/>
                <w:sz w:val="24"/>
                <w:szCs w:val="24"/>
              </w:rPr>
              <w:t>保证金金额：人民币</w:t>
            </w:r>
            <w:r>
              <w:rPr>
                <w:rFonts w:hint="eastAsia" w:ascii="宋体" w:hAnsi="宋体"/>
                <w:sz w:val="24"/>
                <w:szCs w:val="24"/>
                <w:lang w:val="en-US" w:eastAsia="zh-CN"/>
              </w:rPr>
              <w:t>捌</w:t>
            </w:r>
            <w:r>
              <w:rPr>
                <w:rFonts w:hint="eastAsia" w:ascii="宋体" w:hAnsi="宋体"/>
                <w:sz w:val="24"/>
                <w:szCs w:val="24"/>
              </w:rPr>
              <w:t>仟元整 （￥</w:t>
            </w:r>
            <w:bookmarkStart w:id="40" w:name="_GoBack"/>
            <w:r>
              <w:rPr>
                <w:rFonts w:hint="eastAsia" w:ascii="宋体" w:hAnsi="宋体"/>
                <w:sz w:val="24"/>
                <w:szCs w:val="24"/>
                <w:lang w:val="en-US" w:eastAsia="zh-CN"/>
              </w:rPr>
              <w:t>8</w:t>
            </w:r>
            <w:r>
              <w:rPr>
                <w:rFonts w:hint="eastAsia" w:ascii="宋体" w:hAnsi="宋体"/>
                <w:sz w:val="24"/>
                <w:szCs w:val="24"/>
              </w:rPr>
              <w:t>000</w:t>
            </w:r>
            <w:bookmarkEnd w:id="40"/>
            <w:r>
              <w:rPr>
                <w:rFonts w:hint="eastAsia" w:ascii="宋体" w:hAnsi="宋体"/>
                <w:sz w:val="24"/>
                <w:szCs w:val="24"/>
              </w:rPr>
              <w:t>元）。</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开户银行：鄂托克前旗农村商业银行股份有限公司。</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行号：402205481279。</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开户单位：鄂尔多斯市鄂托克前旗公共资源交易中心。</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账号：详见“政府采购投标信息回执函”下方所附“保证金缴纳信息”中载明的账号。</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投标保证金缴纳、退还联系人：白俊艳   0477—7625245</w:t>
            </w:r>
          </w:p>
          <w:p>
            <w:pPr>
              <w:spacing w:line="360" w:lineRule="auto"/>
              <w:rPr>
                <w:rFonts w:ascii="宋体" w:hAnsi="宋体"/>
                <w:color w:val="000000"/>
                <w:sz w:val="24"/>
                <w:szCs w:val="24"/>
              </w:rPr>
            </w:pPr>
            <w:r>
              <w:rPr>
                <w:rFonts w:hint="eastAsia" w:ascii="宋体" w:hAnsi="宋体"/>
                <w:sz w:val="24"/>
                <w:szCs w:val="24"/>
              </w:rPr>
              <w:t>投标保证金缴纳截止时间：2020年03月</w:t>
            </w:r>
            <w:r>
              <w:rPr>
                <w:rFonts w:hint="eastAsia" w:ascii="宋体" w:hAnsi="宋体"/>
                <w:sz w:val="24"/>
                <w:szCs w:val="24"/>
                <w:lang w:val="en-US" w:eastAsia="zh-CN"/>
              </w:rPr>
              <w:t>30</w:t>
            </w:r>
            <w:r>
              <w:rPr>
                <w:rFonts w:hint="eastAsia" w:ascii="宋体" w:hAnsi="宋体"/>
                <w:sz w:val="24"/>
                <w:szCs w:val="24"/>
              </w:rPr>
              <w:t>日15时00分整。</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登录《鄂尔多斯市公共资源交易网》（http://www.ordosggzyjy.org.cn）或《</w:t>
      </w:r>
      <w:r>
        <w:rPr>
          <w:rFonts w:hint="eastAsia" w:ascii="宋体" w:hAnsi="宋体"/>
          <w:sz w:val="24"/>
          <w:szCs w:val="24"/>
          <w:lang w:eastAsia="zh-CN"/>
        </w:rPr>
        <w:t>鄂托克前旗和信项目管理有限公司</w:t>
      </w:r>
      <w:r>
        <w:rPr>
          <w:rFonts w:hint="eastAsia" w:ascii="宋体" w:hAnsi="宋体"/>
          <w:sz w:val="24"/>
          <w:szCs w:val="24"/>
        </w:rPr>
        <w:t>网》（http://www.ordosggzyjy.org.cn/TPFront_etkqq/）页面</w:t>
      </w:r>
      <w:r>
        <w:rPr>
          <w:rFonts w:hint="eastAsia" w:ascii="宋体" w:hAnsi="宋体" w:cs="宋体"/>
          <w:kern w:val="0"/>
          <w:sz w:val="24"/>
          <w:szCs w:val="24"/>
        </w:rPr>
        <w:t>，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本磋商项目采用“虚拟子账号”形式收退投标保证金，每一个供应商在所投的每一项目或标包会自动生成一个账号，</w:t>
      </w:r>
      <w:r>
        <w:rPr>
          <w:rFonts w:hint="eastAsia" w:ascii="宋体" w:hAnsi="宋体" w:cs="宋体"/>
          <w:kern w:val="0"/>
          <w:sz w:val="24"/>
          <w:szCs w:val="24"/>
        </w:rPr>
        <w:t>称为“虚拟子账号”。供应商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”下方所载明的账号，并按照磋商文件规定的金额、时间电汇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至上述账号中，付款人名称必须为投标单位全称且与报名信息一致，该账号可以自动识别单位名称、缴纳金额金额是否正确，缴纳时间是否符合磋商文件的规定，如果不符合，一律不予收取。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2.1报名时间（磋商文件提供期限）：</w:t>
      </w:r>
      <w:r>
        <w:rPr>
          <w:rFonts w:hint="eastAsia" w:ascii="宋体" w:hAnsi="宋体" w:cs="宋体"/>
          <w:kern w:val="0"/>
          <w:sz w:val="24"/>
          <w:szCs w:val="24"/>
          <w:lang w:eastAsia="zh-CN"/>
        </w:rPr>
        <w:t>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16</w:t>
      </w:r>
      <w:r>
        <w:rPr>
          <w:rFonts w:hint="eastAsia" w:ascii="宋体" w:hAnsi="宋体" w:cs="宋体"/>
          <w:kern w:val="0"/>
          <w:sz w:val="24"/>
          <w:szCs w:val="24"/>
          <w:lang w:eastAsia="zh-CN"/>
        </w:rPr>
        <w:t>日</w:t>
      </w:r>
      <w:r>
        <w:rPr>
          <w:rFonts w:hint="eastAsia" w:ascii="宋体" w:hAnsi="宋体" w:cs="宋体"/>
          <w:kern w:val="0"/>
          <w:sz w:val="24"/>
          <w:szCs w:val="24"/>
        </w:rPr>
        <w:t>至</w:t>
      </w:r>
      <w:r>
        <w:rPr>
          <w:rFonts w:hint="eastAsia" w:ascii="宋体" w:hAnsi="宋体" w:cs="宋体"/>
          <w:kern w:val="0"/>
          <w:sz w:val="24"/>
          <w:szCs w:val="24"/>
          <w:lang w:eastAsia="zh-CN"/>
        </w:rPr>
        <w:t>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月2</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日</w:t>
      </w:r>
      <w:r>
        <w:rPr>
          <w:rFonts w:hint="eastAsia" w:ascii="宋体" w:hAnsi="宋体" w:cs="宋体"/>
          <w:kern w:val="0"/>
          <w:sz w:val="24"/>
          <w:szCs w:val="24"/>
        </w:rPr>
        <w:t>下午1</w:t>
      </w:r>
      <w:r>
        <w:rPr>
          <w:rFonts w:hint="eastAsia" w:ascii="宋体" w:hAnsi="宋体" w:cs="宋体"/>
          <w:kern w:val="0"/>
          <w:sz w:val="24"/>
          <w:szCs w:val="24"/>
          <w:lang w:val="en-US" w:eastAsia="zh-CN"/>
        </w:rPr>
        <w:t>5</w:t>
      </w:r>
      <w:r>
        <w:rPr>
          <w:rFonts w:hint="eastAsia" w:ascii="宋体" w:hAnsi="宋体" w:cs="宋体"/>
          <w:kern w:val="0"/>
          <w:sz w:val="24"/>
          <w:szCs w:val="24"/>
        </w:rPr>
        <w:t>时</w:t>
      </w:r>
      <w:r>
        <w:rPr>
          <w:rFonts w:hint="eastAsia" w:ascii="宋体" w:hAnsi="宋体" w:cs="宋体"/>
          <w:kern w:val="0"/>
          <w:sz w:val="24"/>
          <w:szCs w:val="24"/>
          <w:lang w:val="en-US" w:eastAsia="zh-CN"/>
        </w:rPr>
        <w:t>0</w:t>
      </w:r>
      <w:r>
        <w:rPr>
          <w:rFonts w:hint="eastAsia" w:ascii="宋体" w:hAnsi="宋体" w:cs="宋体"/>
          <w:kern w:val="0"/>
          <w:sz w:val="24"/>
          <w:szCs w:val="24"/>
        </w:rPr>
        <w:t>0分止</w:t>
      </w:r>
    </w:p>
    <w:p>
      <w:pPr>
        <w:spacing w:line="360" w:lineRule="auto"/>
        <w:ind w:firstLine="480" w:firstLineChars="200"/>
        <w:rPr>
          <w:rFonts w:ascii="宋体" w:hAnsi="宋体" w:cs="宋体"/>
          <w:color w:val="auto"/>
          <w:kern w:val="0"/>
          <w:sz w:val="24"/>
          <w:szCs w:val="24"/>
        </w:rPr>
      </w:pPr>
      <w:r>
        <w:rPr>
          <w:rFonts w:hint="eastAsia" w:ascii="宋体" w:hAnsi="宋体" w:cs="宋体"/>
          <w:kern w:val="0"/>
          <w:sz w:val="24"/>
          <w:szCs w:val="24"/>
        </w:rPr>
        <w:t>2.2保证金缴纳截止时间（同提交响应文件截止时</w:t>
      </w:r>
      <w:r>
        <w:rPr>
          <w:rFonts w:hint="eastAsia" w:ascii="宋体" w:hAnsi="宋体" w:cs="宋体"/>
          <w:color w:val="auto"/>
          <w:kern w:val="0"/>
          <w:sz w:val="24"/>
          <w:szCs w:val="24"/>
        </w:rPr>
        <w:t>间）：</w:t>
      </w:r>
      <w:r>
        <w:rPr>
          <w:rFonts w:hint="eastAsia" w:ascii="宋体" w:hAnsi="宋体" w:cs="宋体"/>
          <w:color w:val="auto"/>
          <w:kern w:val="0"/>
          <w:sz w:val="24"/>
          <w:szCs w:val="24"/>
          <w:lang w:eastAsia="zh-CN"/>
        </w:rPr>
        <w:t>2020年3月30日</w:t>
      </w:r>
      <w:r>
        <w:rPr>
          <w:rFonts w:hint="eastAsia" w:ascii="宋体" w:hAnsi="宋体" w:cs="宋体"/>
          <w:color w:val="auto"/>
          <w:kern w:val="0"/>
          <w:sz w:val="24"/>
          <w:szCs w:val="24"/>
        </w:rPr>
        <w:t>下午15时00分。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磋商文件规定。供应商未按照磋商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sz w:val="24"/>
          <w:szCs w:val="24"/>
        </w:rPr>
        <w:t>3.3若报名成功将以短信的方式进行提示，如已完成报名信息的填写并缴纳投标保证金后仍未收到报名成功</w:t>
      </w:r>
      <w:r>
        <w:rPr>
          <w:rFonts w:hint="eastAsia" w:ascii="宋体" w:hAnsi="宋体"/>
          <w:color w:val="000000" w:themeColor="text1"/>
          <w:sz w:val="24"/>
          <w:szCs w:val="24"/>
          <w14:textFill>
            <w14:solidFill>
              <w14:schemeClr w14:val="tx1"/>
            </w14:solidFill>
          </w14:textFill>
        </w:rPr>
        <w:t>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3.4网上报名成功而放弃参加投标的供应商，请在提交响应文件前以书面形式并加盖单位公章（扫描件发送至</w:t>
      </w:r>
      <w:r>
        <w:rPr>
          <w:rFonts w:hint="eastAsia" w:ascii="宋体" w:hAnsi="宋体"/>
          <w:color w:val="000000" w:themeColor="text1"/>
          <w:sz w:val="24"/>
          <w:szCs w:val="24"/>
          <w14:textFill>
            <w14:solidFill>
              <w14:schemeClr w14:val="tx1"/>
            </w14:solidFill>
          </w14:textFill>
        </w:rPr>
        <w:fldChar w:fldCharType="begin"/>
      </w:r>
      <w:r>
        <w:rPr>
          <w:rFonts w:hint="eastAsia" w:ascii="宋体" w:hAnsi="宋体"/>
          <w:color w:val="000000" w:themeColor="text1"/>
          <w:sz w:val="24"/>
          <w:szCs w:val="24"/>
          <w14:textFill>
            <w14:solidFill>
              <w14:schemeClr w14:val="tx1"/>
            </w14:solidFill>
          </w14:textFill>
        </w:rPr>
        <w:instrText xml:space="preserve"> HYPERLINK "javascript:;" </w:instrText>
      </w:r>
      <w:r>
        <w:rPr>
          <w:rFonts w:hint="eastAsia"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lang w:val="en-US" w:eastAsia="zh-CN"/>
          <w14:textFill>
            <w14:solidFill>
              <w14:schemeClr w14:val="tx1"/>
            </w14:solidFill>
          </w14:textFill>
        </w:rPr>
        <w:t>3253089418</w:t>
      </w:r>
      <w:r>
        <w:rPr>
          <w:rFonts w:hint="eastAsia" w:ascii="宋体" w:hAnsi="宋体"/>
          <w:color w:val="000000" w:themeColor="text1"/>
          <w:sz w:val="24"/>
          <w:szCs w:val="24"/>
          <w14:textFill>
            <w14:solidFill>
              <w14:schemeClr w14:val="tx1"/>
            </w14:solidFill>
          </w14:textFill>
        </w:rPr>
        <w:t>@qq.com</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或书面送达）通知</w:t>
      </w:r>
      <w:r>
        <w:rPr>
          <w:rFonts w:hint="eastAsia" w:ascii="宋体" w:hAnsi="宋体"/>
          <w:color w:val="000000" w:themeColor="text1"/>
          <w:sz w:val="24"/>
          <w:szCs w:val="24"/>
          <w:lang w:val="en-US" w:eastAsia="zh-CN"/>
          <w14:textFill>
            <w14:solidFill>
              <w14:schemeClr w14:val="tx1"/>
            </w14:solidFill>
          </w14:textFill>
        </w:rPr>
        <w:t>鄂托克前旗和信项目管理有限公司</w:t>
      </w:r>
      <w:r>
        <w:rPr>
          <w:rFonts w:hint="eastAsia" w:ascii="宋体" w:hAnsi="宋体"/>
          <w:color w:val="000000" w:themeColor="text1"/>
          <w:sz w:val="24"/>
          <w:szCs w:val="24"/>
          <w14:textFill>
            <w14:solidFill>
              <w14:schemeClr w14:val="tx1"/>
            </w14:solidFill>
          </w14:textFill>
        </w:rPr>
        <w:t>，并在网上报名页面中撤销报名</w:t>
      </w:r>
      <w:r>
        <w:rPr>
          <w:rFonts w:hint="eastAsia" w:ascii="宋体" w:hAnsi="宋体"/>
          <w:sz w:val="24"/>
          <w:szCs w:val="24"/>
        </w:rPr>
        <w:t>。放弃投标未予告知的，</w:t>
      </w:r>
      <w:r>
        <w:rPr>
          <w:rFonts w:hint="eastAsia" w:ascii="宋体" w:hAnsi="宋体"/>
          <w:color w:val="000000" w:themeColor="text1"/>
          <w:sz w:val="24"/>
          <w:szCs w:val="24"/>
          <w14:textFill>
            <w14:solidFill>
              <w14:schemeClr w14:val="tx1"/>
            </w14:solidFill>
          </w14:textFill>
        </w:rPr>
        <w:t>鄂尔多斯市鄂托克前旗公共资源交易中心</w:t>
      </w:r>
      <w:r>
        <w:rPr>
          <w:rFonts w:hint="eastAsia" w:ascii="宋体" w:hAnsi="宋体"/>
          <w:sz w:val="24"/>
          <w:szCs w:val="24"/>
        </w:rPr>
        <w:t>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cs="宋体"/>
          <w:b/>
          <w:sz w:val="24"/>
          <w:szCs w:val="24"/>
        </w:rPr>
      </w:pPr>
      <w:r>
        <w:rPr>
          <w:rFonts w:hint="eastAsia" w:ascii="宋体" w:hAnsi="宋体" w:cs="宋体"/>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本次竞争性磋商项目，</w:t>
      </w:r>
      <w:r>
        <w:rPr>
          <w:rFonts w:ascii="宋体" w:hAnsi="宋体"/>
          <w:sz w:val="24"/>
          <w:szCs w:val="24"/>
        </w:rPr>
        <w:t>是以磋商公告的方式邀请非特定的供应商参加投标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本磋商文件所称货物，是指各种形态和种类的物品。提供的货物必须合法生产或销售且符合国家有关标准要求。</w:t>
      </w:r>
    </w:p>
    <w:p>
      <w:pPr>
        <w:pStyle w:val="15"/>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5"/>
        <w:adjustRightInd w:val="0"/>
        <w:snapToGrid w:val="0"/>
        <w:spacing w:line="360" w:lineRule="auto"/>
        <w:ind w:firstLine="480" w:firstLineChars="200"/>
        <w:rPr>
          <w:rFonts w:hAnsi="宋体"/>
          <w:b/>
          <w:kern w:val="2"/>
          <w:sz w:val="24"/>
          <w:szCs w:val="24"/>
        </w:rPr>
      </w:pPr>
      <w:r>
        <w:rPr>
          <w:rFonts w:hint="eastAsia" w:hAnsi="宋体" w:cs="宋体"/>
          <w:sz w:val="24"/>
          <w:szCs w:val="24"/>
        </w:rPr>
        <w:t>本磋商文件仅适用于本次磋商公告中所涉及的项目和内容。</w:t>
      </w:r>
    </w:p>
    <w:p>
      <w:pPr>
        <w:pStyle w:val="15"/>
        <w:adjustRightInd w:val="0"/>
        <w:snapToGrid w:val="0"/>
        <w:spacing w:line="360" w:lineRule="auto"/>
        <w:rPr>
          <w:rFonts w:hAnsi="宋体"/>
          <w:b/>
          <w:sz w:val="24"/>
          <w:szCs w:val="24"/>
        </w:rPr>
      </w:pPr>
      <w:r>
        <w:rPr>
          <w:rFonts w:hint="eastAsia" w:hAnsi="宋体"/>
          <w:b/>
          <w:sz w:val="24"/>
          <w:szCs w:val="24"/>
        </w:rPr>
        <w:t>3.投标费用</w:t>
      </w:r>
    </w:p>
    <w:p>
      <w:pPr>
        <w:spacing w:line="360" w:lineRule="auto"/>
        <w:ind w:firstLine="480" w:firstLineChars="200"/>
        <w:rPr>
          <w:rFonts w:hAnsi="宋体" w:cs="Arial"/>
          <w:color w:val="000000"/>
          <w:sz w:val="24"/>
          <w:szCs w:val="24"/>
        </w:rPr>
      </w:pPr>
      <w:r>
        <w:rPr>
          <w:rFonts w:hint="eastAsia" w:hAnsi="宋体"/>
          <w:sz w:val="24"/>
          <w:szCs w:val="24"/>
        </w:rPr>
        <w:t>3.1供应商应承担所有与准备和参加投标有关的费用。不论投标结果如何，</w:t>
      </w:r>
      <w:r>
        <w:rPr>
          <w:rFonts w:hint="eastAsia" w:hAnsi="宋体"/>
          <w:sz w:val="24"/>
          <w:szCs w:val="24"/>
          <w:lang w:eastAsia="zh-CN"/>
        </w:rPr>
        <w:t>鄂托克前旗和信项目管理有限公司</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依法进行政府采购的国家机关、事业单位、团体组织。本磋商文件的采购人特指</w:t>
      </w:r>
      <w:r>
        <w:rPr>
          <w:rFonts w:hint="eastAsia" w:ascii="宋体" w:hAnsi="宋体" w:cs="Arial"/>
          <w:b/>
          <w:bCs/>
          <w:color w:val="000000"/>
          <w:sz w:val="24"/>
          <w:szCs w:val="24"/>
          <w:lang w:eastAsia="zh-CN"/>
        </w:rPr>
        <w:t>鄂托克前旗水利局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4.2“集中采购机构”是指人民政府依法设立的代理集中采购项目的执行机构。本磋商文件的集中采购机构特指</w:t>
      </w:r>
      <w:r>
        <w:rPr>
          <w:rFonts w:hint="eastAsia" w:ascii="宋体" w:hAnsi="宋体"/>
          <w:color w:val="000000"/>
          <w:sz w:val="24"/>
          <w:szCs w:val="24"/>
          <w:lang w:eastAsia="zh-CN"/>
        </w:rPr>
        <w:t>鄂托克前旗和信项目管理有限公司</w:t>
      </w:r>
      <w:r>
        <w:rPr>
          <w:rFonts w:hint="eastAsia" w:ascii="宋体" w:hAnsi="宋体"/>
          <w:color w:val="000000"/>
          <w:sz w:val="24"/>
          <w:szCs w:val="24"/>
        </w:rPr>
        <w:t>（以下简称</w:t>
      </w:r>
      <w:r>
        <w:rPr>
          <w:rFonts w:hint="eastAsia" w:ascii="宋体" w:hAnsi="宋体"/>
          <w:color w:val="000000"/>
          <w:sz w:val="24"/>
          <w:szCs w:val="24"/>
          <w:lang w:eastAsia="zh-CN"/>
        </w:rPr>
        <w:t>鄂托克前旗和信项目管理有限公司</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4.4“磋商小组”是指根据《中华人民共和国政府采购法》等法律法规规定，由采购人代表和有关专家组成以确定成交供应商或者推荐成交候选人的临时组织。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4.5“成交供应商”是指经磋商小组评审确定的对磋商文件做出实质性响应，取得与采购人签订合同资格的供应商。</w:t>
      </w:r>
    </w:p>
    <w:p>
      <w:pPr>
        <w:spacing w:line="360" w:lineRule="auto"/>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符合本磋商文件规定的资格要求，并按照要求提供相关证明材料。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6.1联合体各方应签订联合体协议书，明确联合体牵头人和各方权利义务，并装订至响应文件中。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同一资质条件的供应商组成的联合体，应当按照资质等级较低的供应商确定联合体资质等级。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8.1磋商文件规定组织踏勘现场的，采购人按磋商文件规定的时间、地点组织供应商踏勘项目现场。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8.3采购人在踏勘现场中介绍的资料和数据等，不构成对磋商文件的修改或不作为供应商编制响应文件的依据。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无论中标与否供应商递交的响应文件均不予退还。</w:t>
      </w:r>
    </w:p>
    <w:p>
      <w:pPr>
        <w:spacing w:line="360" w:lineRule="auto"/>
        <w:rPr>
          <w:rFonts w:ascii="宋体" w:hAnsi="宋体"/>
          <w:b/>
          <w:sz w:val="24"/>
          <w:szCs w:val="24"/>
        </w:rPr>
      </w:pPr>
      <w:r>
        <w:rPr>
          <w:rFonts w:hint="eastAsia" w:ascii="宋体" w:hAnsi="宋体"/>
          <w:b/>
          <w:sz w:val="24"/>
          <w:szCs w:val="24"/>
        </w:rPr>
        <w:t>四.磋商文件的澄清或者修改</w:t>
      </w:r>
    </w:p>
    <w:p>
      <w:pPr>
        <w:spacing w:line="360" w:lineRule="auto"/>
        <w:ind w:firstLine="480" w:firstLineChars="200"/>
        <w:rPr>
          <w:rFonts w:ascii="宋体" w:hAnsi="宋体"/>
          <w:sz w:val="24"/>
          <w:szCs w:val="24"/>
        </w:rPr>
      </w:pPr>
      <w:r>
        <w:rPr>
          <w:rFonts w:hint="eastAsia" w:ascii="宋体" w:hAnsi="宋体"/>
          <w:sz w:val="24"/>
          <w:szCs w:val="24"/>
        </w:rPr>
        <w:t>提交首次响应文件截止之日前，采购人、</w:t>
      </w:r>
      <w:r>
        <w:rPr>
          <w:rFonts w:hint="eastAsia" w:ascii="宋体" w:hAnsi="宋体"/>
          <w:sz w:val="24"/>
          <w:szCs w:val="24"/>
          <w:lang w:eastAsia="zh-CN"/>
        </w:rPr>
        <w:t>鄂托克前旗和信项目管理有限公司</w:t>
      </w:r>
      <w:r>
        <w:rPr>
          <w:rFonts w:hint="eastAsia" w:ascii="宋体" w:hAnsi="宋体"/>
          <w:sz w:val="24"/>
          <w:szCs w:val="24"/>
        </w:rPr>
        <w:t>或者磋商小组可以对已发出的磋商文件进行必要的澄清或者修改，澄清或者修改的内容作为磋商文件的组成部分。澄清或者修改的内容可能影响响应文件编制的，采购人、</w:t>
      </w:r>
      <w:r>
        <w:rPr>
          <w:rFonts w:hint="eastAsia" w:ascii="宋体" w:hAnsi="宋体"/>
          <w:sz w:val="24"/>
          <w:szCs w:val="24"/>
          <w:lang w:eastAsia="zh-CN"/>
        </w:rPr>
        <w:t>鄂托克前旗和信项目管理有限公司</w:t>
      </w:r>
      <w:r>
        <w:rPr>
          <w:rFonts w:hint="eastAsia" w:ascii="宋体" w:hAnsi="宋体"/>
          <w:sz w:val="24"/>
          <w:szCs w:val="24"/>
        </w:rPr>
        <w:t>应当在提交首次响应文件截止时间至少5日前，不足5日的，采购人、</w:t>
      </w:r>
      <w:r>
        <w:rPr>
          <w:rFonts w:hint="eastAsia" w:ascii="宋体" w:hAnsi="宋体"/>
          <w:sz w:val="24"/>
          <w:szCs w:val="24"/>
          <w:lang w:eastAsia="zh-CN"/>
        </w:rPr>
        <w:t>鄂托克前旗和信项目管理有限公司</w:t>
      </w:r>
      <w:r>
        <w:rPr>
          <w:rFonts w:hint="eastAsia" w:ascii="宋体" w:hAnsi="宋体"/>
          <w:sz w:val="24"/>
          <w:szCs w:val="24"/>
        </w:rPr>
        <w:t>应当顺延提交首次响应文件截止时间。</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磋商文件的组成部分，供应商应自行上网查询，采购人或</w:t>
      </w:r>
      <w:r>
        <w:rPr>
          <w:rFonts w:hint="eastAsia" w:ascii="宋体" w:hAnsi="宋体"/>
          <w:sz w:val="24"/>
          <w:szCs w:val="24"/>
          <w:lang w:eastAsia="zh-CN"/>
        </w:rPr>
        <w:t>鄂托克前旗和信项目管理有限公司</w:t>
      </w:r>
      <w:r>
        <w:rPr>
          <w:rFonts w:hint="eastAsia" w:ascii="宋体" w:hAnsi="宋体"/>
          <w:sz w:val="24"/>
          <w:szCs w:val="24"/>
        </w:rPr>
        <w:t>不承担供应商未及时关注相关信息的责任。</w:t>
      </w:r>
    </w:p>
    <w:p>
      <w:pPr>
        <w:spacing w:line="360" w:lineRule="auto"/>
        <w:rPr>
          <w:rFonts w:ascii="宋体" w:hAnsi="宋体"/>
          <w:b/>
          <w:sz w:val="24"/>
          <w:szCs w:val="24"/>
        </w:rPr>
      </w:pPr>
      <w:r>
        <w:rPr>
          <w:rFonts w:hint="eastAsia" w:ascii="宋体" w:hAnsi="宋体"/>
          <w:b/>
          <w:sz w:val="24"/>
          <w:szCs w:val="24"/>
        </w:rPr>
        <w:t>五.响应文件</w:t>
      </w:r>
    </w:p>
    <w:p>
      <w:pPr>
        <w:spacing w:line="360" w:lineRule="auto"/>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响应文件应按照磋商文件第七章“响应文件格式”进行编写（可以增加附页），作为响应文件的组成部分。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供应商应按照“第四章磋商内容与要求”的供货内容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。投标总价中不得包含磋商文件要求以外的内容，否则，在评审时不予核减。</w:t>
      </w:r>
    </w:p>
    <w:p>
      <w:pPr>
        <w:autoSpaceDE w:val="0"/>
        <w:autoSpaceDN w:val="0"/>
        <w:adjustRightInd w:val="0"/>
        <w:snapToGrid w:val="0"/>
        <w:spacing w:line="360" w:lineRule="auto"/>
        <w:ind w:right="-147" w:firstLine="482" w:firstLineChars="200"/>
        <w:rPr>
          <w:rFonts w:ascii="宋体" w:hAnsi="宋体"/>
          <w:b/>
          <w:bCs/>
          <w:kern w:val="0"/>
          <w:sz w:val="24"/>
          <w:szCs w:val="24"/>
        </w:rPr>
      </w:pPr>
      <w:r>
        <w:rPr>
          <w:rFonts w:hint="eastAsia" w:ascii="宋体" w:hAnsi="宋体"/>
          <w:b/>
          <w:bCs/>
          <w:kern w:val="0"/>
          <w:sz w:val="24"/>
          <w:szCs w:val="24"/>
        </w:rPr>
        <w:t xml:space="preserve">2.2 </w:t>
      </w:r>
      <w:r>
        <w:rPr>
          <w:rFonts w:hint="eastAsia" w:ascii="宋体" w:hAnsi="宋体"/>
          <w:b/>
          <w:bCs/>
          <w:sz w:val="24"/>
          <w:szCs w:val="24"/>
        </w:rPr>
        <w:t>投标报价的范</w:t>
      </w:r>
      <w:r>
        <w:rPr>
          <w:rFonts w:hint="eastAsia" w:ascii="宋体" w:hAnsi="宋体"/>
          <w:b/>
          <w:bCs/>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rPr>
          <w:rFonts w:ascii="宋体" w:hAnsi="宋体"/>
          <w:b/>
          <w:sz w:val="24"/>
          <w:szCs w:val="24"/>
        </w:rPr>
      </w:pPr>
      <w:r>
        <w:rPr>
          <w:rFonts w:hint="eastAsia" w:ascii="宋体" w:hAnsi="宋体"/>
          <w:b/>
          <w:sz w:val="24"/>
          <w:szCs w:val="24"/>
        </w:rPr>
        <w:t>3.响应文件的密封、签署、盖章要求等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 电子版响应文件编制要求：提供PDF格式</w:t>
      </w:r>
      <w:r>
        <w:rPr>
          <w:rFonts w:hint="eastAsia" w:ascii="宋体" w:hAnsi="宋体"/>
          <w:color w:val="000000"/>
          <w:kern w:val="0"/>
          <w:sz w:val="24"/>
          <w:szCs w:val="24"/>
        </w:rPr>
        <w:t>和word格式电子文档一份，内容必须一致，在电子文档上标明供应商全称。（电子文档需使用U盘）</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5</w:t>
      </w:r>
      <w:r>
        <w:rPr>
          <w:rFonts w:hint="eastAsia" w:ascii="宋体" w:hAnsi="宋体"/>
          <w:sz w:val="24"/>
          <w:szCs w:val="24"/>
        </w:rPr>
        <w:t>响应文件的装订应采用胶订方式牢固装订成册，不可插页抽页，不可采用活页纸进行装订；供应商同时对多个标包投标的，响应文件应按所投标包分别编制并分册胶装、分包密封。</w:t>
      </w:r>
    </w:p>
    <w:p>
      <w:pPr>
        <w:spacing w:line="360" w:lineRule="auto"/>
        <w:ind w:firstLine="482" w:firstLineChars="200"/>
        <w:rPr>
          <w:rFonts w:ascii="宋体" w:hAnsi="宋体"/>
          <w:b/>
          <w:bCs/>
          <w:color w:val="auto"/>
          <w:sz w:val="24"/>
          <w:szCs w:val="24"/>
        </w:rPr>
      </w:pPr>
      <w:r>
        <w:rPr>
          <w:rFonts w:hint="eastAsia" w:ascii="宋体" w:hAnsi="宋体"/>
          <w:b/>
          <w:bCs/>
          <w:sz w:val="24"/>
          <w:szCs w:val="24"/>
        </w:rPr>
        <w:t>3.</w:t>
      </w:r>
      <w:r>
        <w:rPr>
          <w:rFonts w:hint="eastAsia" w:ascii="宋体" w:hAnsi="宋体"/>
          <w:b/>
          <w:bCs/>
          <w:sz w:val="24"/>
          <w:szCs w:val="24"/>
          <w:lang w:val="en-US" w:eastAsia="zh-CN"/>
        </w:rPr>
        <w:t>6</w:t>
      </w:r>
      <w:r>
        <w:rPr>
          <w:rFonts w:hint="eastAsia" w:ascii="宋体" w:hAnsi="宋体"/>
          <w:b/>
          <w:bCs/>
          <w:sz w:val="24"/>
          <w:szCs w:val="24"/>
        </w:rPr>
        <w:t>响应文件的密封。供应商</w:t>
      </w:r>
      <w:r>
        <w:rPr>
          <w:rFonts w:ascii="宋体" w:hAnsi="宋体"/>
          <w:b/>
          <w:bCs/>
          <w:sz w:val="24"/>
          <w:szCs w:val="24"/>
        </w:rPr>
        <w:t>应使用密封袋将响应文件密封</w:t>
      </w:r>
      <w:r>
        <w:rPr>
          <w:rFonts w:hint="eastAsia" w:ascii="宋体" w:hAnsi="宋体"/>
          <w:b/>
          <w:bCs/>
          <w:sz w:val="24"/>
          <w:szCs w:val="24"/>
        </w:rPr>
        <w:t>，电子文档可密封至响应文件中也可单独密封</w:t>
      </w:r>
      <w:r>
        <w:rPr>
          <w:rFonts w:hint="eastAsia" w:ascii="宋体" w:hAnsi="宋体"/>
          <w:b/>
          <w:bCs/>
          <w:kern w:val="0"/>
          <w:sz w:val="24"/>
        </w:rPr>
        <w:t>。</w:t>
      </w:r>
      <w:r>
        <w:rPr>
          <w:rFonts w:hint="eastAsia" w:ascii="宋体" w:hAnsi="宋体"/>
          <w:b/>
          <w:bCs/>
          <w:sz w:val="24"/>
          <w:szCs w:val="24"/>
        </w:rPr>
        <w:t>密封封面上需注明“项目名称”、“项目编号”、“分包号”、“供应商全称”和《响应文件》或《电子版》字样，并在密封包装上</w:t>
      </w:r>
      <w:r>
        <w:rPr>
          <w:rFonts w:ascii="宋体" w:hAnsi="宋体"/>
          <w:b/>
          <w:bCs/>
          <w:sz w:val="24"/>
          <w:szCs w:val="24"/>
        </w:rPr>
        <w:t>粘贴密封条</w:t>
      </w:r>
      <w:r>
        <w:rPr>
          <w:rFonts w:hint="eastAsia" w:ascii="宋体" w:hAnsi="宋体"/>
          <w:b/>
          <w:bCs/>
          <w:sz w:val="24"/>
          <w:szCs w:val="24"/>
        </w:rPr>
        <w:t>。</w:t>
      </w:r>
      <w:r>
        <w:rPr>
          <w:rFonts w:hint="eastAsia" w:ascii="宋体" w:hAnsi="宋体"/>
          <w:b/>
          <w:bCs/>
          <w:color w:val="auto"/>
          <w:sz w:val="24"/>
          <w:szCs w:val="24"/>
        </w:rPr>
        <w:t>供应商应单独密封、单独递交一份《开标一览表》；用于唱标时使用。</w:t>
      </w:r>
    </w:p>
    <w:p>
      <w:pPr>
        <w:pStyle w:val="2"/>
        <w:ind w:firstLine="482" w:firstLineChars="200"/>
        <w:rPr>
          <w:rFonts w:ascii="宋体" w:hAnsi="宋体"/>
          <w:b/>
          <w:bCs/>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7</w:t>
      </w:r>
      <w:r>
        <w:rPr>
          <w:rFonts w:hint="eastAsia" w:ascii="宋体" w:hAnsi="宋体"/>
          <w:b/>
          <w:bCs/>
          <w:color w:val="auto"/>
          <w:sz w:val="24"/>
          <w:szCs w:val="24"/>
          <w:lang w:eastAsia="zh-CN"/>
        </w:rPr>
        <w:t>供应商</w:t>
      </w:r>
      <w:r>
        <w:rPr>
          <w:rFonts w:hint="eastAsia" w:ascii="宋体" w:hAnsi="宋体"/>
          <w:b/>
          <w:bCs/>
          <w:color w:val="auto"/>
          <w:sz w:val="24"/>
          <w:szCs w:val="24"/>
        </w:rPr>
        <w:t>按上述规定进行密封和标记后，将</w:t>
      </w:r>
      <w:r>
        <w:rPr>
          <w:rFonts w:hint="eastAsia" w:ascii="宋体" w:hAnsi="宋体"/>
          <w:b/>
          <w:bCs/>
          <w:color w:val="auto"/>
          <w:sz w:val="24"/>
          <w:szCs w:val="24"/>
          <w:lang w:eastAsia="zh-CN"/>
        </w:rPr>
        <w:t>响应文件</w:t>
      </w:r>
      <w:r>
        <w:rPr>
          <w:rFonts w:hint="eastAsia" w:ascii="宋体" w:hAnsi="宋体"/>
          <w:b/>
          <w:bCs/>
          <w:color w:val="auto"/>
          <w:sz w:val="24"/>
          <w:szCs w:val="24"/>
        </w:rPr>
        <w:t>按照</w:t>
      </w:r>
      <w:r>
        <w:rPr>
          <w:rFonts w:hint="eastAsia" w:ascii="宋体" w:hAnsi="宋体"/>
          <w:b/>
          <w:bCs/>
          <w:color w:val="auto"/>
          <w:sz w:val="24"/>
          <w:szCs w:val="24"/>
          <w:lang w:eastAsia="zh-CN"/>
        </w:rPr>
        <w:t>竞争性磋商文件</w:t>
      </w:r>
      <w:r>
        <w:rPr>
          <w:rFonts w:hint="eastAsia" w:ascii="宋体" w:hAnsi="宋体"/>
          <w:b/>
          <w:bCs/>
          <w:color w:val="auto"/>
          <w:sz w:val="24"/>
          <w:szCs w:val="24"/>
        </w:rPr>
        <w:t>的要求送达指定地点。如果未按上述规定进行密封和标记，对误投或提前启封概不负责。</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3.8</w:t>
      </w:r>
      <w:r>
        <w:rPr>
          <w:rFonts w:hint="eastAsia" w:ascii="宋体" w:hAnsi="宋体"/>
          <w:sz w:val="24"/>
          <w:szCs w:val="24"/>
        </w:rPr>
        <w:t>供应商按上述规定进行密封和标记后，将响应文件按照磋商文件的要求送达指定地点。如果未按上述规定进行密封和标记，</w:t>
      </w:r>
      <w:r>
        <w:rPr>
          <w:rFonts w:hint="eastAsia" w:ascii="宋体" w:hAnsi="宋体"/>
          <w:sz w:val="24"/>
          <w:szCs w:val="24"/>
          <w:lang w:eastAsia="zh-CN"/>
        </w:rPr>
        <w:t>鄂托克前旗和信项目管理有限公司</w:t>
      </w:r>
      <w:r>
        <w:rPr>
          <w:rFonts w:hint="eastAsia" w:ascii="宋体" w:hAnsi="宋体"/>
          <w:sz w:val="24"/>
          <w:szCs w:val="24"/>
        </w:rPr>
        <w:t>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right="57" w:firstLine="480" w:firstLineChars="200"/>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供应商在提交响应文件的同时，应按供应商须知前附表规定的金额、开户银行、行号、开户单位、账号和磋商文件本章“报名须知”规定的投标保证金缴纳要求递交投标保证金，并作为其响应文件的组成部分。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（2）中标后，无正当理由不与磋商人签订合同；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（3）在签订合同时，向磋商人提出附加条件；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（4）不按照磋商文件要求提交履约保证金；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（5）要求修改、补充和撤销响应文件的实质性内容；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（6）要求更改磋商文件和成交结果公告的实质性内容；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（7）法律法规和磋商文件规定的其他情形。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w:t>
      </w:r>
      <w:r>
        <w:rPr>
          <w:rFonts w:hint="eastAsia" w:ascii="宋体" w:hAnsi="宋体"/>
          <w:sz w:val="24"/>
          <w:szCs w:val="24"/>
          <w:lang w:eastAsia="zh-CN"/>
        </w:rPr>
        <w:t>鄂托克前旗和信项目管理有限公司</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在提交响应文件截止时间后到磋商文件规定的投标有效期终止之前，供应商不得补充、修改、替代或者撤回其响应文件。</w:t>
      </w:r>
    </w:p>
    <w:p>
      <w:pPr>
        <w:spacing w:line="360" w:lineRule="auto"/>
        <w:rPr>
          <w:rFonts w:ascii="宋体" w:hAnsi="宋体"/>
          <w:sz w:val="24"/>
          <w:szCs w:val="24"/>
        </w:rPr>
      </w:pPr>
      <w:r>
        <w:rPr>
          <w:rFonts w:hint="eastAsia" w:ascii="宋体" w:hAnsi="宋体"/>
          <w:b/>
          <w:sz w:val="24"/>
          <w:szCs w:val="24"/>
        </w:rPr>
        <w:t>7.响应文件的递交</w:t>
      </w:r>
    </w:p>
    <w:p>
      <w:pPr>
        <w:spacing w:line="360" w:lineRule="auto"/>
        <w:ind w:firstLine="482" w:firstLineChars="200"/>
        <w:rPr>
          <w:b/>
          <w:bCs/>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在招标文件要求提交投标文件的截止时间之后送达或没有将《开标一览表》单独密封、单独递交的投标文件</w:t>
      </w:r>
      <w:r>
        <w:rPr>
          <w:rFonts w:hint="eastAsia" w:ascii="宋体" w:hAnsi="宋体"/>
          <w:b/>
          <w:bCs/>
          <w:color w:val="000000" w:themeColor="text1"/>
          <w:kern w:val="0"/>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为无效投标文件，采购单位或采购代理机构将拒收。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磋商文件规定供应商提交样品的，样品属于响应文件的组成部分。样品的生产、运输、安装、保全等一切费用由供应商自理。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8.2评标结束后，成交供应商与采购人共同清点、检查和密封样品，由成交供应商送至采购人指定地点封存。未中标供应商将样品自行带回。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开标时间与提交响应文件截止时间为同一时间；开标地点为磋商文件规定的地点。邀请所有供应商的法定代表人或其授权委托人准时参加。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鄂托克前旗和信项目管理有限公司</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（6）开标结束，响应文件移交磋商小组。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1.磋商小组</w:t>
      </w:r>
    </w:p>
    <w:p>
      <w:pPr>
        <w:spacing w:line="360" w:lineRule="auto"/>
        <w:ind w:firstLine="480" w:firstLineChars="200"/>
        <w:rPr>
          <w:rFonts w:ascii="宋体" w:hAnsi="宋体"/>
          <w:sz w:val="24"/>
          <w:szCs w:val="24"/>
        </w:rPr>
      </w:pPr>
      <w:r>
        <w:rPr>
          <w:rFonts w:hint="eastAsia" w:ascii="宋体" w:hAnsi="宋体"/>
          <w:sz w:val="24"/>
          <w:szCs w:val="24"/>
        </w:rPr>
        <w:t>1.1磋商小组由采购人代表和评审专家共3人以上单数组成，其中评审专家人数不得少于磋商小组成员总数的2/3。</w:t>
      </w:r>
    </w:p>
    <w:p>
      <w:pPr>
        <w:spacing w:line="360" w:lineRule="auto"/>
        <w:ind w:firstLine="480" w:firstLineChars="200"/>
        <w:rPr>
          <w:rFonts w:ascii="宋体" w:hAnsi="宋体"/>
          <w:sz w:val="24"/>
          <w:szCs w:val="24"/>
        </w:rPr>
      </w:pPr>
      <w:r>
        <w:rPr>
          <w:rFonts w:hint="eastAsia" w:ascii="宋体" w:hAnsi="宋体"/>
          <w:sz w:val="24"/>
          <w:szCs w:val="24"/>
        </w:rPr>
        <w:t>1.2磋商小组成员有下列情形之一的，应当回避：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2.1评标活动遵循公平、公正、科学和择优的原则，以磋商文件和响应文件为评标的基本依据，并按照磋商文件规定的评标方法和评标标准进行评标。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2.2具体评标事项由磋商小组负责，并按磋商文件的规定办法进行评审。</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sz w:val="24"/>
          <w:szCs w:val="24"/>
        </w:rPr>
      </w:pP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sz w:val="24"/>
          <w:szCs w:val="24"/>
        </w:rPr>
      </w:pPr>
      <w:r>
        <w:rPr>
          <w:rFonts w:hint="eastAsia" w:ascii="宋体" w:hAnsi="宋体"/>
          <w:sz w:val="24"/>
          <w:szCs w:val="24"/>
        </w:rPr>
        <w:t>3.1磋商小组不接受供应商主动提出的澄清、说明或补正。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3.2磋商小组对供应商提交的澄清、说明或补正有疑问的，可以要求供应商进一步澄清、说明或补正。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详见第六章评审表。经磋商小组认定，凡其中有一项不合格的，按无效投标处理。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（5）法律、法规以及磋商文件规定其他情形。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磋商小组按照磋商文件确定的评标方法、步骤、标准，对响应文件进行评审。评标结束后，对供应商的评审名次进行排序，确定成交供应商或者推荐成交候选人。</w:t>
      </w:r>
    </w:p>
    <w:p>
      <w:pPr>
        <w:spacing w:line="360" w:lineRule="auto"/>
        <w:rPr>
          <w:rFonts w:ascii="宋体" w:hAnsi="宋体"/>
          <w:b/>
          <w:sz w:val="24"/>
          <w:szCs w:val="24"/>
        </w:rPr>
      </w:pPr>
      <w:r>
        <w:rPr>
          <w:rFonts w:hint="eastAsia" w:ascii="宋体" w:hAnsi="宋体"/>
          <w:b/>
          <w:sz w:val="24"/>
          <w:szCs w:val="24"/>
        </w:rPr>
        <w:t>8.成交结果公告</w:t>
      </w:r>
    </w:p>
    <w:p>
      <w:pPr>
        <w:spacing w:line="360" w:lineRule="auto"/>
        <w:ind w:firstLine="480" w:firstLineChars="200"/>
        <w:rPr>
          <w:rFonts w:ascii="宋体" w:hAnsi="宋体"/>
          <w:sz w:val="24"/>
          <w:szCs w:val="24"/>
        </w:rPr>
      </w:pPr>
      <w:r>
        <w:rPr>
          <w:rFonts w:hint="eastAsia" w:ascii="宋体" w:hAnsi="宋体"/>
          <w:sz w:val="24"/>
          <w:szCs w:val="24"/>
        </w:rPr>
        <w:t>7.1成交供应商确定后，</w:t>
      </w:r>
      <w:r>
        <w:rPr>
          <w:rFonts w:hint="eastAsia" w:ascii="宋体" w:hAnsi="宋体"/>
          <w:sz w:val="24"/>
          <w:szCs w:val="24"/>
          <w:lang w:eastAsia="zh-CN"/>
        </w:rPr>
        <w:t>鄂托克前旗和信项目管理有限公司</w:t>
      </w:r>
      <w:r>
        <w:rPr>
          <w:rFonts w:hint="eastAsia" w:ascii="宋体" w:hAnsi="宋体"/>
          <w:sz w:val="24"/>
          <w:szCs w:val="24"/>
        </w:rPr>
        <w:t>将在内蒙古自治区政府采购网、内蒙古自治区公共资源交易网、鄂尔多斯市政府采购网和鄂尔多斯市公共资源交易网上发布成交结果公告，同时将成交结果以公告形式通知未中标的供应商，成交结果公告期为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w:t>
      </w:r>
      <w:r>
        <w:rPr>
          <w:rFonts w:hint="eastAsia" w:ascii="宋体" w:hAnsi="宋体"/>
          <w:sz w:val="24"/>
          <w:szCs w:val="24"/>
          <w:lang w:eastAsia="zh-CN"/>
        </w:rPr>
        <w:t>鄂托克前旗和信项目管理有限公司</w:t>
      </w:r>
      <w:r>
        <w:rPr>
          <w:rFonts w:hint="eastAsia" w:ascii="宋体" w:hAnsi="宋体"/>
          <w:sz w:val="24"/>
          <w:szCs w:val="24"/>
        </w:rPr>
        <w:t>工作人员邮箱内</w:t>
      </w:r>
      <w:r>
        <w:rPr>
          <w:rFonts w:hint="eastAsia" w:ascii="宋体" w:hAnsi="宋体"/>
          <w:color w:val="0000FF"/>
          <w:sz w:val="24"/>
          <w:szCs w:val="24"/>
        </w:rPr>
        <w:t>（</w:t>
      </w:r>
      <w:r>
        <w:rPr>
          <w:color w:val="0000FF"/>
        </w:rPr>
        <w:fldChar w:fldCharType="begin"/>
      </w:r>
      <w:r>
        <w:rPr>
          <w:color w:val="0000FF"/>
        </w:rPr>
        <w:instrText xml:space="preserve"> HYPERLINK "mailto:youj_0722@163.com" </w:instrText>
      </w:r>
      <w:r>
        <w:rPr>
          <w:color w:val="0000FF"/>
        </w:rPr>
        <w:fldChar w:fldCharType="separate"/>
      </w:r>
      <w:r>
        <w:rPr>
          <w:rFonts w:hint="eastAsia"/>
          <w:color w:val="0000FF"/>
          <w:lang w:val="en-US" w:eastAsia="zh-CN"/>
        </w:rPr>
        <w:t>3253089418</w:t>
      </w:r>
      <w:r>
        <w:rPr>
          <w:rFonts w:hint="eastAsia" w:ascii="宋体" w:hAnsi="宋体"/>
          <w:color w:val="0000FF"/>
          <w:sz w:val="24"/>
          <w:szCs w:val="24"/>
        </w:rPr>
        <w:t>@qq.com</w:t>
      </w:r>
      <w:r>
        <w:rPr>
          <w:rFonts w:hint="eastAsia" w:ascii="宋体" w:hAnsi="宋体"/>
          <w:color w:val="0000FF"/>
          <w:sz w:val="24"/>
          <w:szCs w:val="24"/>
        </w:rPr>
        <w:fldChar w:fldCharType="end"/>
      </w:r>
      <w:r>
        <w:rPr>
          <w:rFonts w:hint="eastAsia" w:ascii="宋体" w:hAnsi="宋体"/>
          <w:color w:val="0000FF"/>
          <w:sz w:val="24"/>
          <w:szCs w:val="24"/>
        </w:rPr>
        <w:t>，联系人：</w:t>
      </w:r>
      <w:r>
        <w:rPr>
          <w:rFonts w:hint="eastAsia" w:ascii="宋体" w:hAnsi="宋体"/>
          <w:color w:val="0000FF"/>
          <w:sz w:val="24"/>
          <w:szCs w:val="24"/>
          <w:lang w:val="en-US" w:eastAsia="zh-CN"/>
        </w:rPr>
        <w:t>屈宏荣 联系电话15109579035</w:t>
      </w:r>
      <w:r>
        <w:rPr>
          <w:rFonts w:hint="eastAsia" w:ascii="宋体" w:hAnsi="宋体"/>
          <w:color w:val="0000FF"/>
          <w:sz w:val="24"/>
          <w:szCs w:val="24"/>
        </w:rPr>
        <w:t>）</w:t>
      </w:r>
      <w:r>
        <w:rPr>
          <w:rFonts w:hint="eastAsia" w:ascii="宋体" w:hAnsi="宋体"/>
          <w:color w:val="auto"/>
          <w:sz w:val="24"/>
          <w:szCs w:val="24"/>
        </w:rPr>
        <w:t>，并</w:t>
      </w:r>
      <w:r>
        <w:rPr>
          <w:rFonts w:hint="eastAsia" w:ascii="宋体" w:hAnsi="宋体"/>
          <w:sz w:val="24"/>
          <w:szCs w:val="24"/>
        </w:rPr>
        <w:t>在邮件标题注明项目名称及中标单位名称，否则不予发布成交结果公告。</w:t>
      </w:r>
    </w:p>
    <w:p>
      <w:pPr>
        <w:spacing w:line="360" w:lineRule="auto"/>
        <w:rPr>
          <w:rFonts w:ascii="宋体" w:hAnsi="宋体"/>
          <w:b/>
          <w:sz w:val="24"/>
          <w:szCs w:val="24"/>
        </w:rPr>
      </w:pPr>
      <w:r>
        <w:rPr>
          <w:rFonts w:hint="eastAsia" w:ascii="宋体" w:hAnsi="宋体"/>
          <w:b/>
          <w:sz w:val="24"/>
          <w:szCs w:val="24"/>
        </w:rPr>
        <w:t>9.成交通知书发放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鄂托克前旗和信项目管理有限公司</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，成交通知书对采购人和中标供应商具有同等法律效力。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成交通知书发出后，采购人不得违法改变成交结果，成交供应商无正当理由不得放弃中标。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color w:val="000000"/>
          <w:sz w:val="24"/>
          <w:szCs w:val="24"/>
          <w:lang w:eastAsia="zh-CN"/>
        </w:rPr>
        <w:t>鄂托克前旗和信项目管理有限公司</w:t>
      </w:r>
      <w:r>
        <w:rPr>
          <w:rFonts w:hint="eastAsia" w:ascii="宋体" w:hAnsi="宋体"/>
          <w:color w:val="000000"/>
          <w:sz w:val="24"/>
          <w:szCs w:val="24"/>
        </w:rPr>
        <w:t>政府大厅</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cs="宋体"/>
          <w:kern w:val="0"/>
          <w:sz w:val="24"/>
          <w:szCs w:val="24"/>
          <w:lang w:eastAsia="zh-CN"/>
        </w:rPr>
        <w:t>鄂托克前旗和信项目管理有限公司</w:t>
      </w:r>
      <w:r>
        <w:rPr>
          <w:rFonts w:hint="eastAsia" w:ascii="宋体" w:hAnsi="宋体" w:cs="宋体"/>
          <w:kern w:val="0"/>
          <w:sz w:val="24"/>
          <w:szCs w:val="24"/>
        </w:rPr>
        <w:t>，正式受理后方可生效，否则，为无效询问。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cs="宋体"/>
          <w:kern w:val="0"/>
          <w:sz w:val="24"/>
          <w:szCs w:val="24"/>
          <w:lang w:eastAsia="zh-CN"/>
        </w:rPr>
        <w:t>鄂托克前旗和信项目管理有限公司</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）非供应商提出的质疑；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（2）无质疑函件或质疑函件缺少供应商法人印章、供应商法定代表人签字、有效授权书和联系方式之一的质疑；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鄂托克前旗和信项目管理有限公司</w:t>
      </w:r>
      <w:r>
        <w:rPr>
          <w:rFonts w:hint="eastAsia" w:ascii="宋体" w:hAnsi="宋体"/>
          <w:sz w:val="24"/>
          <w:szCs w:val="24"/>
        </w:rPr>
        <w:t>的答复不满意或者采购人、</w:t>
      </w:r>
      <w:r>
        <w:rPr>
          <w:rFonts w:hint="eastAsia" w:ascii="宋体" w:hAnsi="宋体"/>
          <w:sz w:val="24"/>
          <w:szCs w:val="24"/>
          <w:lang w:eastAsia="zh-CN"/>
        </w:rPr>
        <w:t>鄂托克前旗和信项目管理有限公司</w:t>
      </w:r>
      <w:r>
        <w:rPr>
          <w:rFonts w:hint="eastAsia" w:ascii="宋体" w:hAnsi="宋体"/>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bookmarkStart w:id="2" w:name="_Toc266431157"/>
      <w:bookmarkStart w:id="3" w:name="_Toc447030613"/>
      <w:r>
        <w:rPr>
          <w:rFonts w:ascii="宋体" w:hAnsi="宋体" w:cs="宋体"/>
          <w:bCs/>
          <w:color w:val="000000"/>
          <w:sz w:val="24"/>
          <w:szCs w:val="24"/>
        </w:rPr>
        <w:br w:type="page"/>
      </w:r>
    </w:p>
    <w:p>
      <w:pPr>
        <w:pStyle w:val="22"/>
        <w:spacing w:line="360" w:lineRule="auto"/>
        <w:rPr>
          <w:rFonts w:ascii="宋体" w:hAnsi="宋体" w:eastAsia="宋体" w:cs="宋体"/>
          <w:bCs w:val="0"/>
          <w:color w:val="000000"/>
          <w:sz w:val="24"/>
          <w:szCs w:val="24"/>
        </w:rPr>
      </w:pPr>
      <w:bookmarkStart w:id="4" w:name="_Toc497408602"/>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1.1采购人应当自成交通知书发出之日起30日内，按照磋商文件和成交供应商响应文件的规定，与成交供应商签订书面合同。所签订的合同不得对磋商文件确定的事项和成交供应商响应文件作实质性修改。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1.2政府采购合同应当包括采购人与成交供应商的名称和住所、标的、数量、质量、价款或者报酬、履行期限及地点和方式、验收要求、违约责任、解决争议的方法等内容。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1.3采购人与成交供应商应当根据合同的约定依法履行合同义务。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自合同签订之日起2个工作日内，中标人应将政府采购合同送达至旗公共资源交易中心（联系人：刘先生，联系电话：0477-7621750）存档，逾期未签订合同或未按时交回合同，将按照相关法律法规做出相应处罚。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2.1具体格式见本磋商文件后附拟签订的《合同文本》（部分合同条款），响应文件中可以不提供《合同文本》。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政府采购相关范本）。验收合格后2个工作日内，中标人应将政府采购项目验收单送达至旗公共资源交易中心（联系人：刘先生，联系电话：0477-7621750 ）存档。逾期未验收或未按时交回验收单，将按照相关法律法规做出相应处罚。</w:t>
      </w:r>
    </w:p>
    <w:p>
      <w:pPr>
        <w:jc w:val="center"/>
        <w:rPr>
          <w:rFonts w:ascii="宋体" w:hAnsi="宋体"/>
          <w:b/>
          <w:color w:val="000000"/>
          <w:sz w:val="24"/>
          <w:szCs w:val="24"/>
        </w:rPr>
      </w:pPr>
    </w:p>
    <w:p>
      <w:pPr>
        <w:jc w:val="center"/>
        <w:rPr>
          <w:rFonts w:ascii="宋体" w:hAnsi="宋体"/>
          <w:b/>
          <w:color w:val="000000"/>
          <w:sz w:val="24"/>
          <w:szCs w:val="24"/>
        </w:rPr>
      </w:pP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2、成交结果公告及成交通知书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3、磋商文件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二、本合同所提供的标的物、数量及规格等详见成交结果公告及后附清单。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***（见磋商文件第四章）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（一）乙方应按磋商文件、响应文件及乙方在谈判过程中做出的书面说明或承诺提供及时、快速、优质的售后服务。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w:t>
      </w:r>
      <w:r>
        <w:rPr>
          <w:rFonts w:hint="eastAsia" w:asciiTheme="minorEastAsia" w:hAnsiTheme="minorEastAsia" w:eastAsiaTheme="minorEastAsia"/>
          <w:sz w:val="24"/>
          <w:szCs w:val="24"/>
          <w:lang w:eastAsia="zh-CN"/>
        </w:rPr>
        <w:t>鄂托克前旗和信项目管理有限公司</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outlineLvl w:val="0"/>
        <w:rPr>
          <w:rFonts w:ascii="宋体" w:hAnsi="宋体"/>
          <w:b/>
          <w:bCs/>
          <w:color w:val="000000"/>
          <w:kern w:val="44"/>
          <w:sz w:val="24"/>
          <w:szCs w:val="24"/>
          <w:lang w:val="zh-CN"/>
        </w:rPr>
      </w:pPr>
      <w:bookmarkStart w:id="5" w:name="_Toc497408603"/>
      <w:r>
        <w:rPr>
          <w:rFonts w:hint="eastAsia" w:ascii="宋体" w:hAnsi="宋体"/>
          <w:b/>
          <w:bCs/>
          <w:color w:val="000000"/>
          <w:kern w:val="44"/>
          <w:sz w:val="24"/>
          <w:szCs w:val="24"/>
          <w:lang w:val="zh-CN"/>
        </w:rPr>
        <w:t>第四章 磋商内容与技术要求</w:t>
      </w:r>
      <w:bookmarkEnd w:id="5"/>
    </w:p>
    <w:p>
      <w:pPr>
        <w:jc w:val="left"/>
        <w:rPr>
          <w:rFonts w:hAnsi="宋体"/>
          <w:sz w:val="24"/>
          <w:szCs w:val="24"/>
        </w:rPr>
      </w:pPr>
      <w:r>
        <w:rPr>
          <w:rFonts w:hint="eastAsia" w:ascii="宋体" w:hAnsi="宋体"/>
          <w:b/>
          <w:bCs/>
          <w:color w:val="000000"/>
          <w:kern w:val="44"/>
          <w:sz w:val="24"/>
          <w:szCs w:val="24"/>
          <w:lang w:val="zh-CN"/>
        </w:rPr>
        <w:t>一.主要商务要求</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bookmarkStart w:id="6" w:name="_Toc491862079"/>
            <w:r>
              <w:rPr>
                <w:rFonts w:hint="eastAsia" w:ascii="宋体" w:hAnsi="宋体"/>
                <w:sz w:val="24"/>
                <w:szCs w:val="24"/>
              </w:rPr>
              <w:t xml:space="preserve">   主要商务条款</w:t>
            </w:r>
            <w:bookmarkEnd w:id="6"/>
          </w:p>
        </w:tc>
        <w:tc>
          <w:tcPr>
            <w:tcW w:w="6957" w:type="dxa"/>
            <w:vAlign w:val="center"/>
          </w:tcPr>
          <w:p>
            <w:pPr>
              <w:pStyle w:val="45"/>
              <w:ind w:firstLine="0" w:firstLineChars="0"/>
              <w:jc w:val="center"/>
              <w:rPr>
                <w:rFonts w:ascii="宋体" w:hAnsi="宋体"/>
                <w:sz w:val="24"/>
                <w:szCs w:val="24"/>
              </w:rPr>
            </w:pPr>
            <w:bookmarkStart w:id="7" w:name="_Toc491862080"/>
            <w:r>
              <w:rPr>
                <w:rFonts w:hint="eastAsia" w:ascii="宋体" w:hAnsi="宋体"/>
                <w:sz w:val="24"/>
                <w:szCs w:val="24"/>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bookmarkStart w:id="8" w:name="_Toc491862082"/>
            <w:r>
              <w:rPr>
                <w:rFonts w:hint="eastAsia" w:ascii="宋体" w:hAnsi="宋体"/>
                <w:sz w:val="24"/>
                <w:szCs w:val="24"/>
              </w:rPr>
              <w:t xml:space="preserve">  采购预算</w:t>
            </w:r>
            <w:bookmarkEnd w:id="8"/>
          </w:p>
        </w:tc>
        <w:tc>
          <w:tcPr>
            <w:tcW w:w="6957" w:type="dxa"/>
            <w:vAlign w:val="center"/>
          </w:tcPr>
          <w:p>
            <w:pPr>
              <w:rPr>
                <w:rFonts w:ascii="宋体" w:hAnsi="宋体"/>
                <w:color w:val="FF0000"/>
                <w:sz w:val="24"/>
                <w:szCs w:val="24"/>
              </w:rPr>
            </w:pPr>
            <w:bookmarkStart w:id="9" w:name="_Toc491862083"/>
            <w:r>
              <w:rPr>
                <w:rFonts w:hint="eastAsia" w:ascii="宋体" w:hAnsi="宋体"/>
                <w:sz w:val="24"/>
                <w:szCs w:val="24"/>
                <w:lang w:val="en-US" w:eastAsia="zh-CN"/>
              </w:rPr>
              <w:t>794600.00</w:t>
            </w:r>
            <w:r>
              <w:rPr>
                <w:rFonts w:hint="eastAsia" w:ascii="宋体" w:hAnsi="宋体"/>
                <w:sz w:val="24"/>
                <w:szCs w:val="24"/>
              </w:rPr>
              <w:t>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ascii="宋体" w:hAnsi="宋体"/>
                <w:sz w:val="24"/>
                <w:szCs w:val="24"/>
              </w:rPr>
            </w:pPr>
            <w:r>
              <w:rPr>
                <w:rFonts w:hint="eastAsia" w:ascii="宋体" w:hAnsi="宋体"/>
                <w:sz w:val="24"/>
                <w:szCs w:val="24"/>
              </w:rPr>
              <w:t>合同签订后</w:t>
            </w:r>
            <w:r>
              <w:rPr>
                <w:rFonts w:hint="eastAsia" w:ascii="宋体" w:hAnsi="宋体"/>
                <w:sz w:val="24"/>
                <w:szCs w:val="24"/>
                <w:lang w:val="en-US" w:eastAsia="zh-CN"/>
              </w:rPr>
              <w:t>3</w:t>
            </w:r>
            <w:r>
              <w:rPr>
                <w:rFonts w:hint="eastAsia" w:ascii="宋体" w:hAnsi="宋体"/>
                <w:sz w:val="24"/>
                <w:szCs w:val="24"/>
              </w:rPr>
              <w:t>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bookmarkStart w:id="10" w:name="_Toc491862089"/>
            <w:r>
              <w:rPr>
                <w:rFonts w:hint="eastAsia" w:ascii="宋体" w:hAnsi="宋体"/>
                <w:sz w:val="24"/>
                <w:szCs w:val="24"/>
              </w:rPr>
              <w:t>交付使用地点</w:t>
            </w:r>
            <w:bookmarkEnd w:id="10"/>
          </w:p>
        </w:tc>
        <w:tc>
          <w:tcPr>
            <w:tcW w:w="6957" w:type="dxa"/>
            <w:vAlign w:val="center"/>
          </w:tcPr>
          <w:p>
            <w:pPr>
              <w:pStyle w:val="45"/>
              <w:ind w:firstLine="0" w:firstLineChars="0"/>
              <w:rPr>
                <w:rFonts w:ascii="宋体" w:hAnsi="宋体"/>
                <w:sz w:val="24"/>
                <w:szCs w:val="24"/>
              </w:rPr>
            </w:pPr>
            <w:bookmarkStart w:id="11" w:name="_Toc491862090"/>
            <w:r>
              <w:rPr>
                <w:rFonts w:hint="eastAsia" w:ascii="宋体" w:hAnsi="宋体"/>
                <w:sz w:val="24"/>
                <w:szCs w:val="24"/>
              </w:rPr>
              <w:t>采购人指定地点。</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45"/>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bookmarkStart w:id="12" w:name="_Toc491862092"/>
            <w:r>
              <w:rPr>
                <w:rFonts w:hint="eastAsia" w:ascii="宋体" w:hAnsi="宋体"/>
                <w:sz w:val="24"/>
                <w:szCs w:val="24"/>
              </w:rPr>
              <w:t>质保期</w:t>
            </w:r>
            <w:bookmarkEnd w:id="12"/>
          </w:p>
        </w:tc>
        <w:tc>
          <w:tcPr>
            <w:tcW w:w="6957" w:type="dxa"/>
            <w:vAlign w:val="center"/>
          </w:tcPr>
          <w:p>
            <w:pPr>
              <w:pStyle w:val="45"/>
              <w:ind w:firstLine="0" w:firstLineChars="0"/>
              <w:rPr>
                <w:rFonts w:ascii="宋体" w:hAnsi="宋体"/>
                <w:sz w:val="24"/>
                <w:szCs w:val="24"/>
              </w:rPr>
            </w:pPr>
            <w:bookmarkStart w:id="13" w:name="_Toc491862093"/>
            <w:r>
              <w:rPr>
                <w:rFonts w:hint="eastAsia" w:ascii="宋体" w:hAnsi="宋体"/>
                <w:sz w:val="24"/>
                <w:szCs w:val="24"/>
                <w:lang w:val="en-US" w:eastAsia="zh-CN"/>
              </w:rPr>
              <w:t>2</w:t>
            </w:r>
            <w:r>
              <w:rPr>
                <w:rFonts w:hint="eastAsia" w:ascii="宋体" w:hAnsi="宋体"/>
                <w:sz w:val="24"/>
                <w:szCs w:val="24"/>
              </w:rPr>
              <w:t>年。</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71" w:type="dxa"/>
            <w:vAlign w:val="center"/>
          </w:tcPr>
          <w:p>
            <w:pPr>
              <w:pStyle w:val="45"/>
              <w:ind w:firstLine="0" w:firstLineChars="0"/>
              <w:jc w:val="center"/>
              <w:rPr>
                <w:rFonts w:ascii="宋体" w:hAnsi="宋体"/>
                <w:sz w:val="24"/>
                <w:szCs w:val="24"/>
              </w:rPr>
            </w:pPr>
            <w:bookmarkStart w:id="14" w:name="_Toc491862095"/>
            <w:r>
              <w:rPr>
                <w:rFonts w:hint="eastAsia" w:ascii="宋体" w:hAnsi="宋体"/>
                <w:sz w:val="24"/>
                <w:szCs w:val="24"/>
              </w:rPr>
              <w:t>付款方式</w:t>
            </w:r>
            <w:bookmarkEnd w:id="14"/>
          </w:p>
        </w:tc>
        <w:tc>
          <w:tcPr>
            <w:tcW w:w="6957" w:type="dxa"/>
            <w:vAlign w:val="center"/>
          </w:tcPr>
          <w:p>
            <w:pPr>
              <w:pStyle w:val="45"/>
              <w:ind w:firstLine="0" w:firstLineChars="0"/>
              <w:rPr>
                <w:rFonts w:ascii="宋体" w:hAnsi="宋体"/>
                <w:sz w:val="24"/>
                <w:szCs w:val="24"/>
              </w:rPr>
            </w:pPr>
            <w:r>
              <w:rPr>
                <w:rFonts w:hint="eastAsia" w:ascii="宋体" w:hAnsi="宋体"/>
                <w:sz w:val="24"/>
                <w:szCs w:val="24"/>
              </w:rPr>
              <w:t>国库集中支付。</w:t>
            </w:r>
          </w:p>
        </w:tc>
      </w:tr>
    </w:tbl>
    <w:p>
      <w:pPr>
        <w:numPr>
          <w:ilvl w:val="0"/>
          <w:numId w:val="2"/>
        </w:numPr>
        <w:spacing w:line="360" w:lineRule="auto"/>
        <w:jc w:val="left"/>
        <w:rPr>
          <w:rFonts w:hint="eastAsia" w:hAnsi="宋体"/>
          <w:b/>
          <w:sz w:val="24"/>
          <w:szCs w:val="24"/>
        </w:rPr>
      </w:pPr>
      <w:r>
        <w:rPr>
          <w:rFonts w:hint="eastAsia" w:hAnsi="宋体"/>
          <w:b/>
          <w:sz w:val="24"/>
          <w:szCs w:val="24"/>
        </w:rPr>
        <w:t>技术标准与要求：</w:t>
      </w:r>
    </w:p>
    <w:p>
      <w:pPr>
        <w:numPr>
          <w:ilvl w:val="0"/>
          <w:numId w:val="0"/>
        </w:numPr>
        <w:spacing w:line="360" w:lineRule="auto"/>
        <w:jc w:val="center"/>
        <w:rPr>
          <w:rFonts w:hint="default" w:ascii="宋体" w:hAnsi="宋体" w:eastAsia="宋体"/>
          <w:b/>
          <w:color w:val="000000"/>
          <w:sz w:val="24"/>
          <w:szCs w:val="24"/>
          <w:u w:val="single"/>
          <w:lang w:val="en-US" w:eastAsia="zh-CN"/>
        </w:rPr>
      </w:pPr>
      <w:r>
        <w:rPr>
          <w:rFonts w:hint="eastAsia" w:hAnsi="宋体"/>
          <w:b/>
          <w:sz w:val="24"/>
          <w:szCs w:val="24"/>
          <w:lang w:val="en-US" w:eastAsia="zh-CN"/>
        </w:rPr>
        <w:t>货物采购一览表</w:t>
      </w:r>
    </w:p>
    <w:tbl>
      <w:tblPr>
        <w:tblStyle w:val="23"/>
        <w:tblpPr w:leftFromText="180" w:rightFromText="180" w:vertAnchor="text" w:horzAnchor="page" w:tblpX="391" w:tblpY="1023"/>
        <w:tblOverlap w:val="never"/>
        <w:tblW w:w="11250" w:type="dxa"/>
        <w:tblInd w:w="0" w:type="dxa"/>
        <w:shd w:val="clear" w:color="auto" w:fill="auto"/>
        <w:tblLayout w:type="autofit"/>
        <w:tblCellMar>
          <w:top w:w="0" w:type="dxa"/>
          <w:left w:w="0" w:type="dxa"/>
          <w:bottom w:w="0" w:type="dxa"/>
          <w:right w:w="0" w:type="dxa"/>
        </w:tblCellMar>
      </w:tblPr>
      <w:tblGrid>
        <w:gridCol w:w="1300"/>
        <w:gridCol w:w="7950"/>
        <w:gridCol w:w="980"/>
        <w:gridCol w:w="1020"/>
      </w:tblGrid>
      <w:tr>
        <w:tblPrEx>
          <w:tblCellMar>
            <w:top w:w="0" w:type="dxa"/>
            <w:left w:w="0" w:type="dxa"/>
            <w:bottom w:w="0" w:type="dxa"/>
            <w:right w:w="0" w:type="dxa"/>
          </w:tblCellMar>
        </w:tblPrEx>
        <w:trPr>
          <w:trHeight w:val="510" w:hRule="atLeast"/>
        </w:trPr>
        <w:tc>
          <w:tcPr>
            <w:tcW w:w="1125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设备采购明细</w:t>
            </w:r>
          </w:p>
        </w:tc>
      </w:tr>
      <w:tr>
        <w:tblPrEx>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货物名称</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参数要求</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shd w:val="clear" w:color="auto" w:fill="auto"/>
          <w:tblCellMar>
            <w:top w:w="0" w:type="dxa"/>
            <w:left w:w="0" w:type="dxa"/>
            <w:bottom w:w="0" w:type="dxa"/>
            <w:right w:w="0" w:type="dxa"/>
          </w:tblCellMar>
        </w:tblPrEx>
        <w:trPr>
          <w:trHeight w:val="118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翻斗式雨量计</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雨量计筒直径Φ200mm ；分辨率0.5mm ；刃口锐角40°～45°；输出方式：脉冲型；测量准确度≤±2%；雨强范围：0mm～4mm/min允许通过最大雨强8mm/min； 其性能符合国家标准GB/T 21978.2－2014《降水量观测要求》要求，基于参考SL651-2014水文监测通信数据规约。</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136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遥测终端</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主机LED屏显示；4 路开关量信号采集；1 路 RJ45 网口，1 路多功能 GPRS 通信接口，1 路 ModBus-RTU 从站接口；内置数据存储，可存储 52 万条记录；能够采集 1-32 台 485 接口的变送器的数据；最长通信距离≥1500 米；实时在线视频及数据查看</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r>
      <w:tr>
        <w:tblPrEx>
          <w:shd w:val="clear" w:color="auto" w:fill="auto"/>
          <w:tblCellMar>
            <w:top w:w="0" w:type="dxa"/>
            <w:left w:w="0" w:type="dxa"/>
            <w:bottom w:w="0" w:type="dxa"/>
            <w:right w:w="0" w:type="dxa"/>
          </w:tblCellMar>
        </w:tblPrEx>
        <w:trPr>
          <w:trHeight w:val="11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通讯模块</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56"/>
                <w:lang w:val="en-US" w:eastAsia="zh-CN" w:bidi="ar"/>
              </w:rPr>
              <w:t xml:space="preserve">通过 </w:t>
            </w:r>
            <w:r>
              <w:rPr>
                <w:rStyle w:val="57"/>
                <w:rFonts w:eastAsia="宋体"/>
                <w:lang w:val="en-US" w:eastAsia="zh-CN" w:bidi="ar"/>
              </w:rPr>
              <w:t xml:space="preserve">GPRS </w:t>
            </w:r>
            <w:r>
              <w:rPr>
                <w:rStyle w:val="56"/>
                <w:lang w:val="en-US" w:eastAsia="zh-CN" w:bidi="ar"/>
              </w:rPr>
              <w:t>方式上传数据；持外部设备通过 ModBus-RTU 协议；提供平台与客户端工具；支持 TDD-LTE/FDD-LTE/EVDO/WCDMA工业级无线模块，RS232及RS485接口。</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11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太阳能板及支架</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35W单晶硅，密封性强，抗冲击性能好，带安装支架，正常使用寿命不低于10年，免维护，组件采用阳极氧化铝边框。</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11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太阳能板及支架</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40W单晶硅，密封性强，抗冲击性能好，带安装支架，正常使用寿命不低于10年，免维护，组件采用阳极氧化铝边框。</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88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太阳能充电控制器</w:t>
            </w:r>
          </w:p>
        </w:tc>
        <w:tc>
          <w:tcPr>
            <w:tcW w:w="795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≥40W太阳能充电控制器； 2.充电控制器电压：3.6～12VDC； 3.最终充电电压：13.8V；</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11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信号避雷器</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冲击耐受能力C2，10kV&amp;5kA（1.2/50μs,&amp;8/20μs）；防护等级:IP20最大放电电流10kA；2线保护路数</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528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摄像机</w:t>
            </w:r>
          </w:p>
        </w:tc>
        <w:tc>
          <w:tcPr>
            <w:tcW w:w="79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58"/>
                <w:lang w:val="en-US" w:eastAsia="zh-CN" w:bidi="ar"/>
              </w:rPr>
              <w:t>图像传感器1/2.8＂Progressive Scan CMOS；最低照度彩色：0.05Lux@(F1.6，AGC ON)；黑白：0.01Lux @(F1.6，AGC ON) ；0 Lux with IR；分辨率及帧率主码流50Hz:25fps(1920</w:t>
            </w:r>
            <w:r>
              <w:rPr>
                <w:rStyle w:val="59"/>
                <w:rFonts w:eastAsia="宋体"/>
                <w:lang w:val="en-US" w:eastAsia="zh-CN" w:bidi="ar"/>
              </w:rPr>
              <w:t>×</w:t>
            </w:r>
            <w:r>
              <w:rPr>
                <w:rStyle w:val="58"/>
                <w:lang w:val="en-US" w:eastAsia="zh-CN" w:bidi="ar"/>
              </w:rPr>
              <w:t xml:space="preserve">1080,1280×960  ,1280×720) 50fps(1280×960,1280×720) ;60Hz: 30fps(1920×1080,1280×960,1280×720) , 60fps(1280×960,1280×720) 子码流：50Hz:25fps(704×576,640×480,352×288);60Hz:30fps(704×480,640                                                         ×480,352×240)第三码流：50Hz: 25fps（1920×1080，1280×960，1280×720，704×576，640×480， </w:t>
            </w:r>
            <w:r>
              <w:rPr>
                <w:rStyle w:val="58"/>
                <w:lang w:val="en-US" w:eastAsia="zh-CN" w:bidi="ar"/>
              </w:rPr>
              <w:br w:type="textWrapping"/>
            </w:r>
            <w:r>
              <w:rPr>
                <w:rStyle w:val="58"/>
                <w:lang w:val="en-US" w:eastAsia="zh-CN" w:bidi="ar"/>
              </w:rPr>
              <w:t xml:space="preserve">352×288);60Hz: 30fps(1920×1080,1280×960,1280×720,704×480,640×480,352×240)； </w:t>
            </w:r>
            <w:r>
              <w:rPr>
                <w:rStyle w:val="58"/>
                <w:lang w:val="en-US" w:eastAsia="zh-CN" w:bidi="ar"/>
              </w:rPr>
              <w:br w:type="textWrapping"/>
            </w:r>
            <w:r>
              <w:rPr>
                <w:rStyle w:val="58"/>
                <w:lang w:val="en-US" w:eastAsia="zh-CN" w:bidi="ar"/>
              </w:rPr>
              <w:t>视频压缩H.265/H.264/MJPEG；音频压缩G.711alaw/G.711ulaw/G.722.1/G.726/MP2L2/PCM；红外照射距离200米；预置点个数300个；数字变倍16倍；守望功能预置点/花样扫描/巡航扫描/自动扫描/垂直扫描/随机扫描/帧扫描/全景扫描；网络协议IPv4/IPv6,HTTP,HTTPS,802.1x,Qos,FTP,SMTP,UPnP,SNMP,WIFI+4G</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蓄电池</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35AH宽温胶体免维护蓄电池，蓄电池续航时间≥3天，使用温度-40-40度，环保要求电池配方中不含对环境有污染和不已回收物质</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8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40AH宽温胶体免维护蓄电池，蓄电池续航时间≥3天，使用温度-40-40度，环保要求电池配方中不含对环境有污染和不已回收物质</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15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土壤墒情传感器</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土壤水分参数：量程：0-100% ；分辨率：0-50%内 0.03%，50-100%RH；精度：0-50%内 2%，50-100%RH 3；土壤温度参数：量程：-40~80℃，分辨率：0.1℃，精度：±0.5℃；防护等级：IP68；测量精度：0-50%(m3/m3)范围内)±2%(m3/m3)；485信号</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应急发电机</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额定输出电压：400-3V，额定频率：50Hz，额定输出功率：7500W，手拉反冲式/电启动</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应急照明设备</w:t>
            </w:r>
          </w:p>
        </w:tc>
        <w:tc>
          <w:tcPr>
            <w:tcW w:w="79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满电可续航50小时，2个3w LED灯泡，满电单个灯泡可照亮12小时</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防寒雨衣</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应急救援包</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安全绳</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强光手电筒</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手提式探照灯</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救生衣</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救生圈</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7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bookmarkStart w:id="15" w:name="_Toc497408604"/>
      <w:bookmarkStart w:id="16" w:name="_Toc494546014"/>
    </w:p>
    <w:p>
      <w:pPr>
        <w:numPr>
          <w:ilvl w:val="0"/>
          <w:numId w:val="0"/>
        </w:numPr>
        <w:ind w:firstLine="1928" w:firstLineChars="800"/>
        <w:jc w:val="both"/>
        <w:outlineLvl w:val="0"/>
        <w:rPr>
          <w:rFonts w:ascii="宋体" w:hAnsi="宋体"/>
          <w:b/>
          <w:bCs/>
          <w:color w:val="000000"/>
          <w:kern w:val="44"/>
          <w:sz w:val="24"/>
          <w:szCs w:val="24"/>
          <w:lang w:val="zh-CN"/>
        </w:rPr>
      </w:pPr>
      <w:r>
        <w:rPr>
          <w:rFonts w:hint="eastAsia" w:ascii="宋体" w:hAnsi="宋体"/>
          <w:b/>
          <w:bCs/>
          <w:color w:val="000000"/>
          <w:kern w:val="44"/>
          <w:sz w:val="24"/>
          <w:szCs w:val="24"/>
          <w:lang w:val="zh-CN"/>
        </w:rPr>
        <w:t>第五章 供应商资格证明及相关文件要求</w:t>
      </w:r>
      <w:bookmarkEnd w:id="15"/>
      <w:bookmarkEnd w:id="16"/>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供应商应提交证明其有资格参加投标和中标后有能力履行合同的文件，并作为其响应文件的一部分，所有文件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一.供应商及投标货物的资格性证明文件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．委托代表投标时的法人代表授权书（开标时需提供原件）；</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．具有良好的商业信誉：</w:t>
      </w:r>
      <w:r>
        <w:rPr>
          <w:rFonts w:hint="eastAsia" w:ascii="宋体" w:hAnsi="宋体" w:cs="宋体"/>
          <w:sz w:val="24"/>
          <w:szCs w:val="24"/>
        </w:rPr>
        <w:tab/>
      </w:r>
      <w:r>
        <w:rPr>
          <w:rFonts w:hint="eastAsia" w:ascii="宋体" w:hAnsi="宋体" w:cs="宋体"/>
          <w:sz w:val="24"/>
          <w:szCs w:val="24"/>
          <w:lang w:val="en-US" w:eastAsia="zh-CN"/>
        </w:rPr>
        <w:t>①</w:t>
      </w:r>
      <w:r>
        <w:rPr>
          <w:rFonts w:hint="eastAsia" w:ascii="宋体" w:hAnsi="宋体" w:cs="宋体"/>
          <w:sz w:val="24"/>
          <w:szCs w:val="24"/>
        </w:rPr>
        <w:t>供应商需提供由“征信中心网”（https://ipcrs.pbccrc.org.cn/）查询的信用报告。</w:t>
      </w:r>
      <w:r>
        <w:rPr>
          <w:rFonts w:hint="eastAsia" w:ascii="宋体" w:hAnsi="宋体" w:cs="宋体"/>
          <w:sz w:val="24"/>
          <w:szCs w:val="24"/>
          <w:lang w:val="en-US" w:eastAsia="zh-CN"/>
        </w:rPr>
        <w:t>②</w:t>
      </w:r>
      <w:r>
        <w:rPr>
          <w:rFonts w:hint="eastAsia" w:ascii="宋体" w:hAnsi="宋体"/>
          <w:color w:val="auto"/>
          <w:sz w:val="24"/>
          <w:szCs w:val="24"/>
        </w:rPr>
        <w:t>供应商是企业或个体经营户的需带公司法人身份证及公司营业执照和公章去项目所在地或当地中国人民银行出具信用报告。</w:t>
      </w:r>
      <w:r>
        <w:rPr>
          <w:rFonts w:ascii="宋体" w:hAnsi="宋体" w:cs="宋体"/>
          <w:color w:val="auto"/>
          <w:sz w:val="24"/>
          <w:szCs w:val="24"/>
        </w:rPr>
        <w:t xml:space="preserve"> </w:t>
      </w:r>
      <w:r>
        <w:rPr>
          <w:rFonts w:ascii="宋体" w:hAnsi="宋体" w:cs="宋体"/>
          <w:sz w:val="24"/>
          <w:szCs w:val="24"/>
        </w:rPr>
        <w:t xml:space="preserve"> </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供应商</w:t>
      </w:r>
      <w:r>
        <w:rPr>
          <w:rFonts w:hint="eastAsia" w:ascii="宋体" w:hAnsi="宋体" w:cs="宋体"/>
          <w:color w:val="auto"/>
          <w:sz w:val="24"/>
          <w:szCs w:val="24"/>
        </w:rPr>
        <w:t>依法缴纳税收证明</w:t>
      </w:r>
      <w:r>
        <w:rPr>
          <w:rFonts w:hint="eastAsia" w:ascii="宋体" w:hAnsi="宋体" w:cs="宋体"/>
          <w:color w:val="auto"/>
          <w:sz w:val="24"/>
          <w:szCs w:val="24"/>
          <w:lang w:eastAsia="zh-CN"/>
        </w:rPr>
        <w:t>，20</w:t>
      </w:r>
      <w:r>
        <w:rPr>
          <w:rFonts w:hint="eastAsia" w:ascii="宋体" w:hAnsi="宋体" w:cs="宋体"/>
          <w:color w:val="auto"/>
          <w:sz w:val="24"/>
          <w:szCs w:val="24"/>
          <w:lang w:val="en-US" w:eastAsia="zh-CN"/>
        </w:rPr>
        <w:t>19</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月至开标当日的任意一个月缴纳增值税、营业税或企业所得税的凭据</w:t>
      </w:r>
      <w:r>
        <w:rPr>
          <w:rFonts w:hint="eastAsia" w:ascii="宋体" w:hAnsi="宋体" w:cs="宋体"/>
          <w:color w:val="auto"/>
          <w:sz w:val="24"/>
          <w:szCs w:val="24"/>
        </w:rPr>
        <w:t>（以税务机关提供的纳税凭证或银行入账单为准）；</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为企业员工缴纳社保资金的凭证</w:t>
      </w:r>
      <w:r>
        <w:rPr>
          <w:rFonts w:hint="eastAsia" w:ascii="宋体" w:hAnsi="宋体" w:cs="宋体"/>
          <w:color w:val="auto"/>
          <w:sz w:val="24"/>
          <w:szCs w:val="24"/>
          <w:lang w:eastAsia="zh-CN"/>
        </w:rPr>
        <w:t>，20</w:t>
      </w:r>
      <w:r>
        <w:rPr>
          <w:rFonts w:hint="eastAsia" w:ascii="宋体" w:hAnsi="宋体" w:cs="宋体"/>
          <w:color w:val="auto"/>
          <w:sz w:val="24"/>
          <w:szCs w:val="24"/>
          <w:lang w:val="en-US" w:eastAsia="zh-CN"/>
        </w:rPr>
        <w:t>19</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月至开标当日的任意一个月缴纳社会保险的凭据（专用收据或社保缴纳清单），依法免税和无需缴纳社会保险的必须提供相关主管部门出具的证明</w:t>
      </w:r>
      <w:r>
        <w:rPr>
          <w:rFonts w:hint="eastAsia" w:ascii="宋体" w:hAnsi="宋体" w:cs="宋体"/>
          <w:color w:val="auto"/>
          <w:sz w:val="24"/>
          <w:szCs w:val="24"/>
        </w:rPr>
        <w:t>；</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．供应商参加政府采购近</w:t>
      </w:r>
      <w:r>
        <w:rPr>
          <w:rFonts w:hint="eastAsia" w:ascii="宋体" w:hAnsi="宋体" w:cs="宋体"/>
          <w:kern w:val="0"/>
          <w:sz w:val="24"/>
          <w:szCs w:val="24"/>
        </w:rPr>
        <w:t>三年内在经营活动中没有重大违法记录书面声明；</w:t>
      </w:r>
    </w:p>
    <w:p>
      <w:pPr>
        <w:spacing w:line="360" w:lineRule="auto"/>
        <w:ind w:firstLine="482" w:firstLineChars="201"/>
        <w:rPr>
          <w:rFonts w:ascii="宋体" w:hAnsi="宋体"/>
          <w:sz w:val="24"/>
          <w:szCs w:val="24"/>
        </w:rPr>
      </w:pPr>
      <w:r>
        <w:rPr>
          <w:rFonts w:hint="eastAsia" w:ascii="宋体" w:hAnsi="宋体"/>
          <w:sz w:val="24"/>
          <w:szCs w:val="24"/>
        </w:rPr>
        <w:t>7.</w:t>
      </w:r>
      <w:r>
        <w:rPr>
          <w:rFonts w:hint="eastAsia" w:ascii="宋体" w:hAnsi="宋体" w:cs="宋体"/>
          <w:sz w:val="24"/>
          <w:szCs w:val="24"/>
        </w:rPr>
        <w:t xml:space="preserve"> </w:t>
      </w:r>
      <w:r>
        <w:rPr>
          <w:rFonts w:hint="eastAsia" w:hAnsi="宋体"/>
          <w:sz w:val="24"/>
          <w:szCs w:val="24"/>
        </w:rPr>
        <w:t>供应商须在投标文件中提供企业工商注册所在地或项目所在地信用管理中心出具的《信用信息查询结果》且在有效期范围内，办理步骤：详见第七章格式</w:t>
      </w:r>
      <w:r>
        <w:rPr>
          <w:rFonts w:hint="eastAsia" w:ascii="宋体" w:hAnsi="宋体"/>
          <w:sz w:val="24"/>
          <w:szCs w:val="24"/>
        </w:rPr>
        <w:t>；</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8. 磋商文件对供应商的其他资格要求。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除在本磋商文件中明确规定不提供为无效投标外，其余均供评委在评审时参考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17" w:name="_Toc497408605"/>
      <w:r>
        <w:rPr>
          <w:rFonts w:hint="eastAsia" w:ascii="宋体" w:hAnsi="宋体"/>
          <w:b/>
          <w:bCs/>
          <w:color w:val="000000"/>
          <w:kern w:val="44"/>
          <w:sz w:val="24"/>
          <w:szCs w:val="24"/>
          <w:lang w:val="zh-CN"/>
        </w:rPr>
        <w:t>第六章 评标办法（综合评分）</w:t>
      </w:r>
      <w:bookmarkEnd w:id="17"/>
    </w:p>
    <w:p>
      <w:pPr>
        <w:spacing w:line="360" w:lineRule="auto"/>
        <w:ind w:firstLine="482" w:firstLineChars="200"/>
        <w:rPr>
          <w:rFonts w:ascii="宋体" w:hAnsi="宋体"/>
          <w:b/>
          <w:sz w:val="24"/>
          <w:szCs w:val="24"/>
        </w:rPr>
      </w:pPr>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line="360" w:lineRule="auto"/>
        <w:ind w:firstLine="480" w:firstLineChars="200"/>
        <w:rPr>
          <w:rFonts w:ascii="宋体" w:hAnsi="宋体"/>
          <w:b/>
          <w:sz w:val="24"/>
          <w:szCs w:val="24"/>
        </w:rPr>
      </w:pPr>
      <w:r>
        <w:rPr>
          <w:rFonts w:hint="eastAsia" w:ascii="宋体" w:hAnsi="宋体"/>
          <w:sz w:val="24"/>
          <w:szCs w:val="24"/>
        </w:rPr>
        <w:t>评审活动遵循公开、公平、公正、择优的原则进行。评审委员会将综合分析供应商的各项指标，而不以单项指标的优劣评选出预中标人。（最低报价不是成交的唯一依据。）</w:t>
      </w:r>
    </w:p>
    <w:p>
      <w:pPr>
        <w:spacing w:after="120" w:line="360" w:lineRule="auto"/>
        <w:ind w:firstLine="448" w:firstLineChars="186"/>
        <w:rPr>
          <w:rFonts w:ascii="宋体" w:hAnsi="宋体"/>
          <w:b/>
          <w:sz w:val="24"/>
          <w:szCs w:val="24"/>
        </w:rPr>
      </w:pPr>
      <w:bookmarkStart w:id="18" w:name="_Toc355703360"/>
      <w:bookmarkStart w:id="19" w:name="_Toc355703243"/>
      <w:bookmarkStart w:id="20" w:name="_Toc257983096"/>
      <w:r>
        <w:rPr>
          <w:rFonts w:hint="eastAsia" w:ascii="宋体" w:hAnsi="宋体"/>
          <w:b/>
          <w:sz w:val="24"/>
          <w:szCs w:val="24"/>
        </w:rPr>
        <w:t>二.磋商</w:t>
      </w:r>
      <w:bookmarkEnd w:id="18"/>
      <w:bookmarkEnd w:id="19"/>
      <w:bookmarkEnd w:id="20"/>
      <w:r>
        <w:rPr>
          <w:rFonts w:hint="eastAsia" w:ascii="宋体" w:hAnsi="宋体"/>
          <w:b/>
          <w:sz w:val="24"/>
          <w:szCs w:val="24"/>
        </w:rPr>
        <w:t>程序</w:t>
      </w:r>
    </w:p>
    <w:p>
      <w:pPr>
        <w:adjustRightInd w:val="0"/>
        <w:snapToGrid w:val="0"/>
        <w:spacing w:line="360" w:lineRule="auto"/>
        <w:ind w:firstLine="482" w:firstLineChars="201"/>
        <w:rPr>
          <w:rFonts w:ascii="宋体" w:hAnsi="宋体"/>
          <w:sz w:val="24"/>
          <w:szCs w:val="24"/>
        </w:rPr>
      </w:pPr>
      <w:r>
        <w:rPr>
          <w:rFonts w:hint="eastAsia" w:ascii="宋体" w:hAnsi="宋体"/>
          <w:sz w:val="24"/>
          <w:szCs w:val="24"/>
        </w:rPr>
        <w:t>1.第一阶段：初步审查</w:t>
      </w:r>
    </w:p>
    <w:p>
      <w:pPr>
        <w:adjustRightInd w:val="0"/>
        <w:snapToGrid w:val="0"/>
        <w:spacing w:line="360" w:lineRule="auto"/>
        <w:ind w:firstLine="482" w:firstLineChars="201"/>
        <w:rPr>
          <w:rFonts w:ascii="宋体" w:hAnsi="宋体"/>
          <w:sz w:val="24"/>
          <w:szCs w:val="24"/>
        </w:rPr>
      </w:pPr>
      <w:r>
        <w:rPr>
          <w:rFonts w:ascii="宋体" w:hAnsi="宋体"/>
          <w:sz w:val="24"/>
          <w:szCs w:val="24"/>
        </w:rPr>
        <w:t>依据有关法律和</w:t>
      </w:r>
      <w:r>
        <w:rPr>
          <w:rFonts w:hint="eastAsia" w:ascii="宋体" w:hAnsi="宋体"/>
          <w:sz w:val="24"/>
          <w:szCs w:val="24"/>
        </w:rPr>
        <w:t>竞争性磋商</w:t>
      </w:r>
      <w:r>
        <w:rPr>
          <w:rFonts w:ascii="宋体" w:hAnsi="宋体"/>
          <w:sz w:val="24"/>
          <w:szCs w:val="24"/>
        </w:rPr>
        <w:t>文件的规定,对</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资格性、符合性部分</w:t>
      </w:r>
      <w:r>
        <w:rPr>
          <w:rFonts w:ascii="宋体" w:hAnsi="宋体"/>
          <w:sz w:val="24"/>
          <w:szCs w:val="24"/>
        </w:rPr>
        <w:t>进行审查，以确定</w:t>
      </w:r>
      <w:r>
        <w:rPr>
          <w:rFonts w:hint="eastAsia" w:ascii="宋体" w:hAnsi="宋体"/>
          <w:sz w:val="24"/>
          <w:szCs w:val="24"/>
        </w:rPr>
        <w:t>供应商是否可以实质性响应磋商文件要求</w:t>
      </w:r>
      <w:r>
        <w:rPr>
          <w:rFonts w:ascii="宋体" w:hAnsi="宋体"/>
          <w:sz w:val="24"/>
          <w:szCs w:val="24"/>
        </w:rPr>
        <w:t>。</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2.第二阶段：磋商</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（1）磋商小组应当通过随机方式序确定参加磋商供应商的磋商顺序，磋商小组所有成员应当集中与单一供应商分别进行磋商，并给予所有参加磋商的供应商平等的磋商机会。</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具体磋商时，由供应商法定代表人或其授权委托人须携带本人身份证或其他有效身份证明参加。</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（2）磋商内容主要包括：针对本项目的技术条款、服务要求、合同要求；磋商文件不能详细列明采购标的的技术、服务要求的，需经磋商由供应商提供最终设计方案或解决方案；其它需要磋商的事项。</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对磋商文件作出的实质性变动是磋商文件的有效组成部分，磋商小组应当在《最终报价表》中载明，同时通知所有参加磋商的供应商。</w:t>
      </w:r>
    </w:p>
    <w:p>
      <w:pPr>
        <w:widowControl/>
        <w:spacing w:line="360" w:lineRule="auto"/>
        <w:ind w:firstLine="480" w:firstLineChars="200"/>
        <w:rPr>
          <w:rFonts w:ascii="宋体" w:hAnsi="宋体"/>
          <w:sz w:val="24"/>
          <w:szCs w:val="24"/>
        </w:rPr>
      </w:pPr>
      <w:r>
        <w:rPr>
          <w:rFonts w:hint="eastAsia" w:ascii="宋体" w:hAnsi="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（4）对未实质性响应磋商文件的响应文件按无效响应处理，磋商小组应当告知提交响应文件的供应商。</w:t>
      </w:r>
    </w:p>
    <w:p>
      <w:pPr>
        <w:pStyle w:val="53"/>
        <w:spacing w:line="360" w:lineRule="auto"/>
        <w:ind w:firstLine="480" w:firstLineChars="200"/>
        <w:rPr>
          <w:rFonts w:ascii="Times New Roman" w:hAnsi="Times New Roman" w:eastAsia="宋体" w:cs="Times New Roman"/>
          <w:color w:val="auto"/>
        </w:rPr>
      </w:pPr>
      <w:r>
        <w:rPr>
          <w:rFonts w:hint="eastAsia" w:ascii="宋体" w:hAnsi="宋体"/>
        </w:rPr>
        <w:t>3.第三阶段：最后报价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经磋商确定实质性响应的供应商后，磋商小组应当要求所有实质性响应的供应商在规定时间内提交最后报价。最后报价是供应商响应文件的有效组成部分。</w:t>
      </w:r>
    </w:p>
    <w:p>
      <w:pPr>
        <w:widowControl/>
        <w:spacing w:after="156" w:afterLines="50" w:line="360" w:lineRule="auto"/>
        <w:ind w:firstLine="480" w:firstLineChars="200"/>
        <w:jc w:val="left"/>
        <w:rPr>
          <w:kern w:val="0"/>
          <w:sz w:val="24"/>
          <w:szCs w:val="24"/>
        </w:rPr>
      </w:pPr>
      <w:r>
        <w:rPr>
          <w:rFonts w:hint="eastAsia"/>
          <w:kern w:val="0"/>
          <w:sz w:val="24"/>
          <w:szCs w:val="24"/>
        </w:rPr>
        <w:t>已提交响应文件的供应商，在提交最后报价之前，可以根据磋商情况退出磋商。</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供应商的最后报价填写至《最后报价表》（该表在磋商过程中由工作人员统一发放），并在规定的时间内递交至磋商小组或</w:t>
      </w:r>
      <w:r>
        <w:rPr>
          <w:rFonts w:hint="eastAsia" w:ascii="宋体" w:hAnsi="宋体"/>
          <w:sz w:val="24"/>
          <w:szCs w:val="24"/>
          <w:lang w:eastAsia="zh-CN"/>
        </w:rPr>
        <w:t>鄂托克前旗和信项目管理有限公司</w:t>
      </w:r>
      <w:r>
        <w:rPr>
          <w:rFonts w:hint="eastAsia" w:ascii="宋体" w:hAnsi="宋体"/>
          <w:sz w:val="24"/>
          <w:szCs w:val="24"/>
        </w:rPr>
        <w:t>。待所有实质性响应竞标人最后报价完毕后，工作人员统一公布每位实质性响应供应商的最后价格。</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4.第四阶段：综合评分</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评审时，磋商小组各成员应当独立对每个有效响应的文件进行评价、打分，然后汇总每个供应商每项评分因素的得分。（其中报价部分得分计算依据满足磋商文件要求的最后报价）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三、确定成交供应商</w:t>
      </w:r>
    </w:p>
    <w:p>
      <w:pPr>
        <w:spacing w:line="360" w:lineRule="auto"/>
        <w:ind w:firstLine="570"/>
        <w:rPr>
          <w:rFonts w:ascii="宋体" w:hAnsi="宋体"/>
          <w:sz w:val="24"/>
          <w:szCs w:val="24"/>
        </w:rPr>
      </w:pPr>
      <w:r>
        <w:rPr>
          <w:rFonts w:hint="eastAsia" w:ascii="宋体" w:hAnsi="宋体"/>
          <w:sz w:val="24"/>
          <w:szCs w:val="24"/>
        </w:rPr>
        <w:t>磋商小组根据综合评分情况，按照评审得分由高到低确定成交候选供应商，并编写评审报告。评审得分相同的，按照最后报价由低到高的顺序确定，评审得分且最后报价相同的，按照技术指标（方案）优劣顺序确定成交候选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1" w:name="OLE_LINK1"/>
      <w:bookmarkStart w:id="22" w:name="OLE_LINK9"/>
      <w:r>
        <w:rPr>
          <w:rFonts w:hint="eastAsia" w:ascii="宋体" w:hAnsi="宋体"/>
          <w:sz w:val="24"/>
          <w:szCs w:val="24"/>
        </w:rPr>
        <w:t>本项所称货物不包括使用大型企业注册商标的货物。</w:t>
      </w:r>
      <w:bookmarkEnd w:id="21"/>
      <w:bookmarkEnd w:id="22"/>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3" w:name="OLE_LINK14"/>
      <w:bookmarkStart w:id="24" w:name="OLE_LINK13"/>
      <w:r>
        <w:rPr>
          <w:rFonts w:hint="eastAsia" w:ascii="宋体" w:hAnsi="宋体"/>
          <w:sz w:val="24"/>
          <w:szCs w:val="24"/>
        </w:rPr>
        <w:t>《残疾人福利性单位声明函》</w:t>
      </w:r>
      <w:bookmarkEnd w:id="23"/>
      <w:bookmarkEnd w:id="24"/>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jc w:val="center"/>
        <w:rPr>
          <w:rFonts w:ascii="宋体" w:hAnsi="宋体"/>
          <w:b/>
          <w:sz w:val="24"/>
          <w:szCs w:val="24"/>
          <w:lang w:val="zh-CN"/>
        </w:rPr>
      </w:pPr>
      <w:r>
        <w:rPr>
          <w:rFonts w:hint="eastAsia" w:ascii="宋体" w:hAnsi="宋体" w:cs="宋体"/>
          <w:b/>
          <w:color w:val="000000"/>
          <w:kern w:val="0"/>
          <w:sz w:val="24"/>
          <w:szCs w:val="24"/>
        </w:rPr>
        <w:t>表一初审表：</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24"/>
                <w:szCs w:val="24"/>
              </w:rPr>
            </w:pPr>
            <w:r>
              <w:rPr>
                <w:rFonts w:hint="eastAsia" w:ascii="宋体" w:hAnsi="宋体" w:cs="宋体"/>
                <w:color w:val="auto"/>
                <w:kern w:val="0"/>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auto"/>
                <w:sz w:val="24"/>
                <w:szCs w:val="24"/>
              </w:rPr>
              <w:t>1.供应商需提供由“征信中心网”（https://ipcrs.pbccrc.org.cn/）查询的信用报告。</w:t>
            </w:r>
          </w:p>
          <w:p>
            <w:pPr>
              <w:adjustRightInd w:val="0"/>
              <w:snapToGrid w:val="0"/>
              <w:jc w:val="left"/>
              <w:rPr>
                <w:rFonts w:ascii="宋体" w:hAnsi="宋体"/>
                <w:sz w:val="24"/>
                <w:szCs w:val="24"/>
              </w:rPr>
            </w:pPr>
            <w:r>
              <w:rPr>
                <w:rFonts w:hint="eastAsia" w:ascii="宋体" w:hAnsi="宋体"/>
                <w:color w:val="auto"/>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1.201</w:t>
            </w:r>
            <w:r>
              <w:rPr>
                <w:rFonts w:hint="eastAsia" w:ascii="宋体" w:hAnsi="宋体"/>
                <w:color w:val="auto"/>
                <w:sz w:val="24"/>
                <w:szCs w:val="24"/>
                <w:lang w:val="en-US" w:eastAsia="zh-CN"/>
              </w:rPr>
              <w:t>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月至开标当日的任意一个月缴纳增值税、营业税或企业所得税的凭据。</w:t>
            </w:r>
          </w:p>
          <w:p>
            <w:pPr>
              <w:jc w:val="left"/>
              <w:rPr>
                <w:rFonts w:ascii="宋体" w:hAnsi="宋体"/>
                <w:sz w:val="24"/>
                <w:szCs w:val="24"/>
              </w:rPr>
            </w:pPr>
            <w:r>
              <w:rPr>
                <w:rFonts w:hint="eastAsia" w:ascii="宋体" w:hAnsi="宋体"/>
                <w:color w:val="auto"/>
                <w:sz w:val="24"/>
                <w:szCs w:val="24"/>
              </w:rPr>
              <w:t>2.201</w:t>
            </w:r>
            <w:r>
              <w:rPr>
                <w:rFonts w:hint="eastAsia" w:ascii="宋体" w:hAnsi="宋体"/>
                <w:color w:val="auto"/>
                <w:sz w:val="24"/>
                <w:szCs w:val="24"/>
                <w:lang w:val="en-US" w:eastAsia="zh-CN"/>
              </w:rPr>
              <w:t>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月至开标当日的任意一个月缴纳社会保险的凭据（专用收据或</w:t>
            </w:r>
            <w:r>
              <w:rPr>
                <w:rFonts w:hint="eastAsia" w:ascii="宋体" w:hAnsi="宋体"/>
                <w:sz w:val="24"/>
                <w:szCs w:val="24"/>
              </w:rPr>
              <w:t>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bCs/>
                <w:color w:val="auto"/>
                <w:sz w:val="24"/>
                <w:szCs w:val="24"/>
              </w:rPr>
              <w:t>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宋体" w:hAnsi="宋体"/>
                <w:sz w:val="24"/>
                <w:szCs w:val="24"/>
              </w:rPr>
            </w:pPr>
            <w:r>
              <w:rPr>
                <w:rFonts w:ascii="宋体" w:hAnsi="宋体" w:eastAsia="宋体" w:cs="宋体"/>
                <w:color w:val="auto"/>
                <w:kern w:val="0"/>
                <w:sz w:val="24"/>
                <w:szCs w:val="24"/>
                <w:lang w:val="en-US" w:eastAsia="zh-CN" w:bidi="ar"/>
              </w:rPr>
              <w:t>1.审查（201</w:t>
            </w:r>
            <w:r>
              <w:rPr>
                <w:rFonts w:hint="eastAsia" w:ascii="宋体" w:hAnsi="宋体" w:cs="宋体"/>
                <w:color w:val="auto"/>
                <w:kern w:val="0"/>
                <w:sz w:val="24"/>
                <w:szCs w:val="24"/>
                <w:lang w:val="en-US" w:eastAsia="zh-CN" w:bidi="ar"/>
              </w:rPr>
              <w:t>7</w:t>
            </w:r>
            <w:r>
              <w:rPr>
                <w:rFonts w:ascii="宋体" w:hAnsi="宋体" w:eastAsia="宋体" w:cs="宋体"/>
                <w:color w:val="auto"/>
                <w:kern w:val="0"/>
                <w:sz w:val="24"/>
                <w:szCs w:val="24"/>
                <w:lang w:val="en-US" w:eastAsia="zh-CN" w:bidi="ar"/>
              </w:rPr>
              <w:t>年至</w:t>
            </w:r>
            <w:r>
              <w:rPr>
                <w:rFonts w:hint="eastAsia" w:ascii="宋体" w:hAnsi="宋体" w:cs="宋体"/>
                <w:color w:val="auto"/>
                <w:kern w:val="0"/>
                <w:sz w:val="24"/>
                <w:szCs w:val="24"/>
                <w:lang w:val="en-US" w:eastAsia="zh-CN" w:bidi="ar"/>
              </w:rPr>
              <w:t>今</w:t>
            </w:r>
            <w:r>
              <w:rPr>
                <w:rFonts w:ascii="宋体" w:hAnsi="宋体" w:eastAsia="宋体" w:cs="宋体"/>
                <w:color w:val="auto"/>
                <w:kern w:val="0"/>
                <w:sz w:val="24"/>
                <w:szCs w:val="24"/>
                <w:lang w:val="en-US" w:eastAsia="zh-CN" w:bidi="ar"/>
              </w:rPr>
              <w:t>）供应商</w:t>
            </w:r>
            <w:r>
              <w:rPr>
                <w:rFonts w:hint="eastAsia" w:ascii="宋体" w:hAnsi="宋体" w:cs="宋体"/>
                <w:color w:val="auto"/>
                <w:kern w:val="0"/>
                <w:sz w:val="24"/>
                <w:szCs w:val="24"/>
                <w:lang w:val="en-US" w:eastAsia="zh-CN" w:bidi="ar"/>
              </w:rPr>
              <w:t>参加政府采购前三年内在经营活动中无重大违法记录书面声明</w:t>
            </w:r>
            <w:r>
              <w:rPr>
                <w:rFonts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2.供应商须在</w:t>
            </w:r>
            <w:r>
              <w:rPr>
                <w:rFonts w:hint="eastAsia" w:ascii="宋体" w:hAnsi="宋体" w:cs="宋体"/>
                <w:color w:val="auto"/>
                <w:kern w:val="0"/>
                <w:sz w:val="24"/>
                <w:szCs w:val="24"/>
                <w:lang w:val="en-US" w:eastAsia="zh-CN" w:bidi="ar"/>
              </w:rPr>
              <w:t>响应文件</w:t>
            </w:r>
            <w:r>
              <w:rPr>
                <w:rFonts w:ascii="宋体" w:hAnsi="宋体" w:eastAsia="宋体" w:cs="宋体"/>
                <w:color w:val="auto"/>
                <w:kern w:val="0"/>
                <w:sz w:val="24"/>
                <w:szCs w:val="24"/>
                <w:lang w:val="en-US" w:eastAsia="zh-CN" w:bidi="ar"/>
              </w:rPr>
              <w:t>中提供企业工商注册所在地或项目所在地信用管理中心出具的《信用信息查询结果》且在有效期范围内。</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3.“中国政府采购网”（</w:t>
            </w:r>
            <w:r>
              <w:rPr>
                <w:rFonts w:ascii="宋体" w:hAnsi="宋体" w:eastAsia="宋体" w:cs="宋体"/>
                <w:color w:val="auto"/>
                <w:kern w:val="0"/>
                <w:sz w:val="24"/>
                <w:szCs w:val="24"/>
                <w:lang w:val="en-US" w:eastAsia="zh-CN" w:bidi="ar"/>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color w:val="auto"/>
                <w:kern w:val="0"/>
                <w:sz w:val="24"/>
                <w:szCs w:val="24"/>
                <w:lang w:val="en-US" w:eastAsia="zh-CN" w:bidi="ar"/>
              </w:rPr>
              <w:t>www.ccgp.gov.cn）未被列入有关违法违规纪录（网上查询结果截图加盖投标企业公章，须在</w:t>
            </w:r>
            <w:r>
              <w:rPr>
                <w:rFonts w:hint="eastAsia" w:ascii="宋体" w:hAnsi="宋体" w:cs="宋体"/>
                <w:color w:val="auto"/>
                <w:kern w:val="0"/>
                <w:sz w:val="24"/>
                <w:szCs w:val="24"/>
                <w:lang w:val="en-US" w:eastAsia="zh-CN" w:bidi="ar"/>
              </w:rPr>
              <w:t>响应文件</w:t>
            </w:r>
            <w:r>
              <w:rPr>
                <w:rFonts w:ascii="宋体" w:hAnsi="宋体" w:eastAsia="宋体" w:cs="宋体"/>
                <w:color w:val="auto"/>
                <w:kern w:val="0"/>
                <w:sz w:val="24"/>
                <w:szCs w:val="24"/>
                <w:lang w:val="en-US" w:eastAsia="zh-CN" w:bidi="ar"/>
              </w:rPr>
              <w:t xml:space="preserve">中提供）。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磋商文件要求的其他无效投标情形；围标、串标和法律法规规定的其它无效投标条款。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满足磋商文件关于交付使用时间、质保期、付款方式要求。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明确所投全部货物的产品品牌、型号；满足招标文件技术要求的规定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color w:val="000000"/>
                <w:sz w:val="24"/>
                <w:szCs w:val="24"/>
              </w:rPr>
            </w:pPr>
            <w:r>
              <w:rPr>
                <w:rFonts w:hint="eastAsia" w:ascii="宋体" w:hAnsi="宋体"/>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457" w:type="dxa"/>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特别说明</w:t>
            </w:r>
          </w:p>
        </w:tc>
        <w:tc>
          <w:tcPr>
            <w:tcW w:w="6258" w:type="dxa"/>
            <w:tcBorders>
              <w:top w:val="single" w:color="auto" w:sz="4" w:space="0"/>
              <w:left w:val="single" w:color="auto" w:sz="4" w:space="0"/>
              <w:right w:val="single" w:color="auto" w:sz="4" w:space="0"/>
            </w:tcBorders>
            <w:vAlign w:val="center"/>
          </w:tcPr>
          <w:p>
            <w:pPr>
              <w:rPr>
                <w:rFonts w:ascii="宋体" w:hAnsi="宋体"/>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rPr>
          <w:rFonts w:hint="eastAsia" w:ascii="宋体" w:hAnsi="宋体" w:cs="宋体"/>
          <w:b/>
          <w:color w:val="000000"/>
          <w:kern w:val="0"/>
          <w:sz w:val="24"/>
          <w:szCs w:val="24"/>
        </w:rPr>
      </w:pPr>
    </w:p>
    <w:p>
      <w:pPr>
        <w:spacing w:line="360" w:lineRule="auto"/>
        <w:rPr>
          <w:rFonts w:hint="eastAsia" w:ascii="宋体" w:hAnsi="宋体" w:cs="宋体"/>
          <w:b/>
          <w:color w:val="000000"/>
          <w:kern w:val="0"/>
          <w:sz w:val="24"/>
          <w:szCs w:val="24"/>
        </w:rPr>
      </w:pPr>
    </w:p>
    <w:p>
      <w:pPr>
        <w:spacing w:line="360" w:lineRule="auto"/>
        <w:jc w:val="center"/>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23"/>
        <w:tblW w:w="10259" w:type="dxa"/>
        <w:tblInd w:w="-93" w:type="dxa"/>
        <w:tblLayout w:type="fixed"/>
        <w:tblCellMar>
          <w:top w:w="0" w:type="dxa"/>
          <w:left w:w="15" w:type="dxa"/>
          <w:bottom w:w="0" w:type="dxa"/>
          <w:right w:w="15" w:type="dxa"/>
        </w:tblCellMar>
      </w:tblPr>
      <w:tblGrid>
        <w:gridCol w:w="632"/>
        <w:gridCol w:w="2052"/>
        <w:gridCol w:w="22"/>
        <w:gridCol w:w="7553"/>
      </w:tblGrid>
      <w:tr>
        <w:tblPrEx>
          <w:tblCellMar>
            <w:top w:w="0" w:type="dxa"/>
            <w:left w:w="15" w:type="dxa"/>
            <w:bottom w:w="0" w:type="dxa"/>
            <w:right w:w="15" w:type="dxa"/>
          </w:tblCellMar>
        </w:tblPrEx>
        <w:trPr>
          <w:trHeight w:val="285" w:hRule="atLeast"/>
        </w:trPr>
        <w:tc>
          <w:tcPr>
            <w:tcW w:w="2706" w:type="dxa"/>
            <w:gridSpan w:val="3"/>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评审因素</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评分标准</w:t>
            </w:r>
          </w:p>
        </w:tc>
      </w:tr>
      <w:tr>
        <w:tblPrEx>
          <w:tblCellMar>
            <w:top w:w="0" w:type="dxa"/>
            <w:left w:w="15" w:type="dxa"/>
            <w:bottom w:w="0" w:type="dxa"/>
            <w:right w:w="15" w:type="dxa"/>
          </w:tblCellMar>
        </w:tblPrEx>
        <w:trPr>
          <w:trHeight w:val="90" w:hRule="atLeast"/>
        </w:trPr>
        <w:tc>
          <w:tcPr>
            <w:tcW w:w="2706" w:type="dxa"/>
            <w:gridSpan w:val="3"/>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分值构成</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sz w:val="24"/>
                <w:szCs w:val="24"/>
              </w:rPr>
            </w:pPr>
            <w:r>
              <w:rPr>
                <w:rFonts w:hint="eastAsia" w:ascii="宋体" w:hAnsi="宋体" w:eastAsia="宋体" w:cs="宋体"/>
                <w:sz w:val="24"/>
                <w:szCs w:val="24"/>
              </w:rPr>
              <w:t>1、报价得分30分,即价格权值占30%。</w:t>
            </w:r>
          </w:p>
          <w:p>
            <w:pPr>
              <w:shd w:val="solid" w:color="FFFFFF" w:fill="auto"/>
              <w:autoSpaceDN w:val="0"/>
              <w:jc w:val="left"/>
              <w:textAlignment w:val="center"/>
              <w:rPr>
                <w:rFonts w:hint="eastAsia" w:ascii="宋体" w:hAnsi="宋体" w:eastAsia="宋体" w:cs="宋体"/>
                <w:sz w:val="24"/>
                <w:szCs w:val="24"/>
              </w:rPr>
            </w:pPr>
            <w:r>
              <w:rPr>
                <w:rFonts w:hint="eastAsia" w:ascii="宋体" w:hAnsi="宋体" w:eastAsia="宋体" w:cs="宋体"/>
                <w:sz w:val="24"/>
                <w:szCs w:val="24"/>
              </w:rPr>
              <w:t>2、技术部分</w:t>
            </w:r>
            <w:r>
              <w:rPr>
                <w:rFonts w:hint="eastAsia" w:ascii="宋体" w:hAnsi="宋体" w:cs="宋体"/>
                <w:sz w:val="24"/>
                <w:szCs w:val="24"/>
                <w:lang w:val="en-US" w:eastAsia="zh-CN"/>
              </w:rPr>
              <w:t>5</w:t>
            </w:r>
            <w:r>
              <w:rPr>
                <w:rFonts w:hint="eastAsia" w:ascii="宋体" w:hAnsi="宋体" w:eastAsia="宋体" w:cs="宋体"/>
                <w:sz w:val="24"/>
                <w:szCs w:val="24"/>
              </w:rPr>
              <w:t>0分，技术权值占</w:t>
            </w:r>
            <w:r>
              <w:rPr>
                <w:rFonts w:hint="eastAsia" w:ascii="宋体" w:hAnsi="宋体" w:cs="宋体"/>
                <w:sz w:val="24"/>
                <w:szCs w:val="24"/>
                <w:lang w:val="en-US" w:eastAsia="zh-CN"/>
              </w:rPr>
              <w:t>5</w:t>
            </w:r>
            <w:r>
              <w:rPr>
                <w:rFonts w:hint="eastAsia" w:ascii="宋体" w:hAnsi="宋体" w:eastAsia="宋体" w:cs="宋体"/>
                <w:sz w:val="24"/>
                <w:szCs w:val="24"/>
              </w:rPr>
              <w:t>0%，</w:t>
            </w:r>
          </w:p>
          <w:p>
            <w:pPr>
              <w:shd w:val="solid" w:color="FFFFFF" w:fill="auto"/>
              <w:autoSpaceDN w:val="0"/>
              <w:jc w:val="left"/>
              <w:textAlignment w:val="center"/>
              <w:rPr>
                <w:rFonts w:hint="default" w:eastAsia="宋体"/>
                <w:lang w:val="en-US" w:eastAsia="zh-CN"/>
              </w:rPr>
            </w:pPr>
            <w:r>
              <w:rPr>
                <w:rFonts w:hint="eastAsia" w:ascii="宋体" w:hAnsi="宋体" w:eastAsia="宋体" w:cs="宋体"/>
                <w:sz w:val="24"/>
                <w:szCs w:val="24"/>
              </w:rPr>
              <w:t>3、商务部分</w:t>
            </w:r>
            <w:r>
              <w:rPr>
                <w:rFonts w:hint="eastAsia" w:ascii="宋体" w:hAnsi="宋体" w:eastAsia="宋体" w:cs="宋体"/>
                <w:sz w:val="24"/>
                <w:szCs w:val="24"/>
                <w:lang w:val="en-US" w:eastAsia="zh-CN"/>
              </w:rPr>
              <w:t>2</w:t>
            </w:r>
            <w:r>
              <w:rPr>
                <w:rFonts w:hint="eastAsia" w:ascii="宋体" w:hAnsi="宋体" w:eastAsia="宋体" w:cs="宋体"/>
                <w:sz w:val="24"/>
                <w:szCs w:val="24"/>
              </w:rPr>
              <w:t>0分，商务部分权值占总分值占</w:t>
            </w: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r>
      <w:tr>
        <w:tblPrEx>
          <w:tblCellMar>
            <w:top w:w="0" w:type="dxa"/>
            <w:left w:w="15" w:type="dxa"/>
            <w:bottom w:w="0" w:type="dxa"/>
            <w:right w:w="15" w:type="dxa"/>
          </w:tblCellMar>
        </w:tblPrEx>
        <w:trPr>
          <w:trHeight w:val="234" w:hRule="atLeast"/>
        </w:trPr>
        <w:tc>
          <w:tcPr>
            <w:tcW w:w="632" w:type="dxa"/>
            <w:vMerge w:val="restart"/>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投标报价（30分）</w:t>
            </w:r>
          </w:p>
        </w:tc>
        <w:tc>
          <w:tcPr>
            <w:tcW w:w="2074" w:type="dxa"/>
            <w:gridSpan w:val="2"/>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center"/>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评标基准价确定方法</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满足招标文件要求通过初步评审的且投标报价最低的为评标基准价。</w:t>
            </w:r>
          </w:p>
        </w:tc>
      </w:tr>
      <w:tr>
        <w:tblPrEx>
          <w:tblCellMar>
            <w:top w:w="0" w:type="dxa"/>
            <w:left w:w="15" w:type="dxa"/>
            <w:bottom w:w="0" w:type="dxa"/>
            <w:right w:w="15" w:type="dxa"/>
          </w:tblCellMar>
        </w:tblPrEx>
        <w:trPr>
          <w:trHeight w:val="90" w:hRule="atLeast"/>
        </w:trPr>
        <w:tc>
          <w:tcPr>
            <w:tcW w:w="632" w:type="dxa"/>
            <w:vMerge w:val="continue"/>
            <w:tcBorders>
              <w:top w:val="single" w:color="000000" w:sz="8" w:space="0"/>
              <w:left w:val="single" w:color="000000" w:sz="8" w:space="0"/>
              <w:bottom w:val="single" w:color="000000" w:sz="8" w:space="0"/>
              <w:right w:val="single" w:color="000000" w:sz="8" w:space="0"/>
            </w:tcBorders>
            <w:shd w:val="solid" w:color="FFFFFF" w:fill="auto"/>
            <w:vAlign w:val="center"/>
          </w:tcPr>
          <w:p>
            <w:pPr>
              <w:rPr>
                <w:rFonts w:hint="eastAsia" w:ascii="宋体" w:hAnsi="宋体" w:eastAsia="宋体" w:cs="宋体"/>
                <w:color w:val="000000"/>
                <w:sz w:val="24"/>
                <w:szCs w:val="24"/>
              </w:rPr>
            </w:pPr>
          </w:p>
        </w:tc>
        <w:tc>
          <w:tcPr>
            <w:tcW w:w="2074" w:type="dxa"/>
            <w:gridSpan w:val="2"/>
            <w:tcBorders>
              <w:top w:val="single" w:color="000000" w:sz="8" w:space="0"/>
              <w:left w:val="single" w:color="000000" w:sz="8" w:space="0"/>
              <w:right w:val="single" w:color="000000" w:sz="8" w:space="0"/>
            </w:tcBorders>
            <w:shd w:val="solid" w:color="FFFFFF" w:fill="auto"/>
            <w:vAlign w:val="center"/>
          </w:tcPr>
          <w:p>
            <w:pPr>
              <w:shd w:val="solid" w:color="FFFFFF" w:fill="auto"/>
              <w:autoSpaceDN w:val="0"/>
              <w:jc w:val="center"/>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投标报价分</w:t>
            </w:r>
          </w:p>
          <w:p>
            <w:pPr>
              <w:shd w:val="solid" w:color="FFFFFF" w:fill="auto"/>
              <w:autoSpaceDN w:val="0"/>
              <w:jc w:val="center"/>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（30分）</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b/>
                <w:color w:val="000000"/>
                <w:sz w:val="24"/>
                <w:szCs w:val="24"/>
                <w:shd w:val="clear" w:color="auto" w:fill="FFFFFF"/>
              </w:rPr>
            </w:pPr>
            <w:r>
              <w:rPr>
                <w:rFonts w:hint="eastAsia" w:ascii="宋体" w:hAnsi="宋体" w:eastAsia="宋体" w:cs="宋体"/>
                <w:color w:val="000000"/>
                <w:sz w:val="24"/>
                <w:szCs w:val="24"/>
                <w:shd w:val="clear" w:color="auto" w:fill="FFFFFF"/>
              </w:rPr>
              <w:t>投标报价得分＝（评标基准价/投标报价）×价格权值×</w:t>
            </w:r>
            <w:r>
              <w:rPr>
                <w:rFonts w:hint="eastAsia" w:ascii="宋体" w:hAnsi="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0</w:t>
            </w:r>
          </w:p>
        </w:tc>
      </w:tr>
      <w:tr>
        <w:tblPrEx>
          <w:tblCellMar>
            <w:top w:w="0" w:type="dxa"/>
            <w:left w:w="15" w:type="dxa"/>
            <w:bottom w:w="0" w:type="dxa"/>
            <w:right w:w="15" w:type="dxa"/>
          </w:tblCellMar>
        </w:tblPrEx>
        <w:trPr>
          <w:trHeight w:val="1574" w:hRule="atLeast"/>
        </w:trPr>
        <w:tc>
          <w:tcPr>
            <w:tcW w:w="632" w:type="dxa"/>
            <w:vMerge w:val="restart"/>
            <w:tcBorders>
              <w:top w:val="single" w:color="000000" w:sz="8" w:space="0"/>
              <w:left w:val="single" w:color="000000" w:sz="8" w:space="0"/>
              <w:right w:val="single" w:color="000000" w:sz="8" w:space="0"/>
            </w:tcBorders>
            <w:shd w:val="solid" w:color="FFFFFF" w:fill="auto"/>
            <w:vAlign w:val="center"/>
          </w:tcPr>
          <w:p>
            <w:pPr>
              <w:shd w:val="solid" w:color="FFFFFF" w:fill="auto"/>
              <w:autoSpaceDN w:val="0"/>
              <w:jc w:val="left"/>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技术部分（</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0分）</w:t>
            </w:r>
          </w:p>
        </w:tc>
        <w:tc>
          <w:tcPr>
            <w:tcW w:w="2074" w:type="dxa"/>
            <w:gridSpan w:val="2"/>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投标产品的技术参数响应程度（</w:t>
            </w:r>
            <w:r>
              <w:rPr>
                <w:rFonts w:hint="eastAsia" w:ascii="宋体" w:hAnsi="宋体" w:cs="宋体"/>
                <w:color w:val="auto"/>
                <w:sz w:val="24"/>
                <w:szCs w:val="24"/>
                <w:shd w:val="clear" w:color="auto" w:fill="FFFFFF"/>
                <w:lang w:val="en-US" w:eastAsia="zh-CN"/>
              </w:rPr>
              <w:t>20</w:t>
            </w:r>
            <w:r>
              <w:rPr>
                <w:rFonts w:hint="eastAsia" w:ascii="宋体" w:hAnsi="宋体" w:eastAsia="宋体" w:cs="宋体"/>
                <w:color w:val="auto"/>
                <w:sz w:val="24"/>
                <w:szCs w:val="24"/>
                <w:shd w:val="clear" w:color="auto" w:fill="FFFFFF"/>
              </w:rPr>
              <w:t>分）</w:t>
            </w:r>
          </w:p>
        </w:tc>
        <w:tc>
          <w:tcPr>
            <w:tcW w:w="7553" w:type="dxa"/>
            <w:tcBorders>
              <w:top w:val="single" w:color="000000" w:sz="8" w:space="0"/>
              <w:left w:val="single" w:color="000000" w:sz="8" w:space="0"/>
              <w:right w:val="single" w:color="000000" w:sz="8" w:space="0"/>
            </w:tcBorders>
            <w:shd w:val="solid" w:color="FFFFFF" w:fill="auto"/>
            <w:vAlign w:val="center"/>
          </w:tcPr>
          <w:p>
            <w:pPr>
              <w:shd w:val="solid" w:color="FFFFFF" w:fill="auto"/>
              <w:autoSpaceDN w:val="0"/>
              <w:textAlignment w:val="center"/>
              <w:rPr>
                <w:rFonts w:hint="eastAsia" w:ascii="宋体" w:hAnsi="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1.投标产品的技术参数、性能响应招标文件要求，</w:t>
            </w:r>
            <w:r>
              <w:rPr>
                <w:rFonts w:hint="eastAsia" w:ascii="宋体" w:hAnsi="宋体" w:cs="宋体"/>
                <w:color w:val="auto"/>
                <w:sz w:val="24"/>
                <w:szCs w:val="24"/>
                <w:shd w:val="clear" w:color="auto" w:fill="FFFFFF"/>
                <w:lang w:val="en-US" w:eastAsia="zh-CN"/>
              </w:rPr>
              <w:t>标注“*”的为此次采购设备的核心产品的</w:t>
            </w:r>
            <w:r>
              <w:rPr>
                <w:rFonts w:hint="eastAsia" w:ascii="宋体" w:hAnsi="宋体" w:eastAsia="宋体" w:cs="宋体"/>
                <w:color w:val="auto"/>
                <w:sz w:val="24"/>
                <w:szCs w:val="24"/>
                <w:shd w:val="clear" w:color="auto" w:fill="FFFFFF"/>
              </w:rPr>
              <w:t>技术参数满足招标文件要求</w:t>
            </w:r>
            <w:r>
              <w:rPr>
                <w:rFonts w:hint="eastAsia" w:ascii="宋体" w:hAnsi="宋体" w:cs="宋体"/>
                <w:color w:val="auto"/>
                <w:sz w:val="24"/>
                <w:szCs w:val="24"/>
                <w:shd w:val="clear" w:color="auto" w:fill="FFFFFF"/>
                <w:lang w:val="en-US" w:eastAsia="zh-CN"/>
              </w:rPr>
              <w:t>得基础分5</w:t>
            </w:r>
            <w:r>
              <w:rPr>
                <w:rFonts w:hint="eastAsia" w:ascii="宋体" w:hAnsi="宋体" w:eastAsia="宋体" w:cs="宋体"/>
                <w:color w:val="auto"/>
                <w:sz w:val="24"/>
                <w:szCs w:val="24"/>
                <w:shd w:val="clear" w:color="auto" w:fill="FFFFFF"/>
              </w:rPr>
              <w:t>分</w:t>
            </w:r>
            <w:r>
              <w:rPr>
                <w:rFonts w:hint="eastAsia" w:ascii="宋体" w:hAnsi="宋体" w:cs="宋体"/>
                <w:color w:val="auto"/>
                <w:sz w:val="24"/>
                <w:szCs w:val="24"/>
                <w:shd w:val="clear" w:color="auto" w:fill="FFFFFF"/>
                <w:lang w:eastAsia="zh-CN"/>
              </w:rPr>
              <w:t>。</w:t>
            </w:r>
          </w:p>
          <w:p>
            <w:pPr>
              <w:shd w:val="solid" w:color="FFFFFF" w:fill="auto"/>
              <w:autoSpaceDN w:val="0"/>
              <w:textAlignment w:val="center"/>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2.投标产品的技术参数、性能响应招标文件要求，</w:t>
            </w:r>
            <w:r>
              <w:rPr>
                <w:rFonts w:hint="eastAsia" w:ascii="宋体" w:hAnsi="宋体" w:cs="宋体"/>
                <w:color w:val="auto"/>
                <w:sz w:val="24"/>
                <w:szCs w:val="24"/>
                <w:shd w:val="clear" w:color="auto" w:fill="FFFFFF"/>
                <w:lang w:val="en-US" w:eastAsia="zh-CN"/>
              </w:rPr>
              <w:t>标注“*”的为此次采购设备的核心产品的</w:t>
            </w:r>
            <w:r>
              <w:rPr>
                <w:rFonts w:hint="eastAsia" w:ascii="宋体" w:hAnsi="宋体" w:eastAsia="宋体" w:cs="宋体"/>
                <w:color w:val="auto"/>
                <w:sz w:val="24"/>
                <w:szCs w:val="24"/>
                <w:shd w:val="clear" w:color="auto" w:fill="FFFFFF"/>
              </w:rPr>
              <w:t>技术参数</w:t>
            </w:r>
            <w:r>
              <w:rPr>
                <w:rFonts w:hint="eastAsia" w:ascii="宋体" w:hAnsi="宋体" w:cs="宋体"/>
                <w:color w:val="auto"/>
                <w:sz w:val="24"/>
                <w:szCs w:val="24"/>
                <w:shd w:val="clear" w:color="auto" w:fill="FFFFFF"/>
                <w:lang w:val="en-US" w:eastAsia="zh-CN"/>
              </w:rPr>
              <w:t>进行比较每有一项</w:t>
            </w:r>
            <w:r>
              <w:rPr>
                <w:rFonts w:hint="eastAsia" w:ascii="宋体" w:hAnsi="宋体" w:eastAsia="宋体" w:cs="宋体"/>
                <w:color w:val="auto"/>
                <w:sz w:val="24"/>
                <w:szCs w:val="24"/>
                <w:shd w:val="clear" w:color="auto" w:fill="FFFFFF"/>
              </w:rPr>
              <w:t>优于招标文件要求</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得3</w:t>
            </w:r>
            <w:r>
              <w:rPr>
                <w:rFonts w:hint="eastAsia" w:ascii="宋体" w:hAnsi="宋体" w:eastAsia="宋体" w:cs="宋体"/>
                <w:color w:val="auto"/>
                <w:sz w:val="24"/>
                <w:szCs w:val="24"/>
                <w:shd w:val="clear" w:color="auto" w:fill="FFFFFF"/>
              </w:rPr>
              <w:t>分</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满分15分。</w:t>
            </w:r>
          </w:p>
        </w:tc>
      </w:tr>
      <w:tr>
        <w:tblPrEx>
          <w:tblCellMar>
            <w:top w:w="0" w:type="dxa"/>
            <w:left w:w="15" w:type="dxa"/>
            <w:bottom w:w="0" w:type="dxa"/>
            <w:right w:w="15" w:type="dxa"/>
          </w:tblCellMar>
        </w:tblPrEx>
        <w:trPr>
          <w:trHeight w:val="90" w:hRule="atLeast"/>
        </w:trPr>
        <w:tc>
          <w:tcPr>
            <w:tcW w:w="632" w:type="dxa"/>
            <w:vMerge w:val="continue"/>
            <w:tcBorders>
              <w:left w:val="single" w:color="000000" w:sz="8" w:space="0"/>
              <w:right w:val="single" w:color="000000" w:sz="8" w:space="0"/>
            </w:tcBorders>
            <w:shd w:val="solid" w:color="FFFFFF" w:fill="auto"/>
            <w:vAlign w:val="center"/>
          </w:tcPr>
          <w:p>
            <w:pPr>
              <w:rPr>
                <w:rFonts w:hint="eastAsia" w:ascii="宋体" w:hAnsi="宋体" w:eastAsia="宋体" w:cs="宋体"/>
                <w:color w:val="000000"/>
                <w:sz w:val="24"/>
                <w:szCs w:val="24"/>
              </w:rPr>
            </w:pPr>
          </w:p>
        </w:tc>
        <w:tc>
          <w:tcPr>
            <w:tcW w:w="2074" w:type="dxa"/>
            <w:gridSpan w:val="2"/>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jc w:val="center"/>
              <w:textAlignment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安装调试、培训、运输方案（10分）</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shd w:val="solid" w:color="FFFFFF" w:fill="auto"/>
              <w:autoSpaceDN w:val="0"/>
              <w:textAlignment w:val="center"/>
              <w:rPr>
                <w:rFonts w:hint="eastAsia" w:ascii="宋体" w:hAnsi="宋体" w:cs="宋体"/>
                <w:color w:val="auto"/>
                <w:sz w:val="24"/>
                <w:szCs w:val="24"/>
                <w:shd w:val="clear" w:color="auto" w:fill="FFFFFF"/>
                <w:lang w:val="en-US" w:eastAsia="zh-CN"/>
              </w:rPr>
            </w:pPr>
            <w:r>
              <w:rPr>
                <w:rFonts w:hint="eastAsia" w:ascii="宋体" w:hAnsi="宋体" w:cs="宋体"/>
                <w:color w:val="auto"/>
                <w:sz w:val="24"/>
                <w:szCs w:val="24"/>
                <w:shd w:val="clear" w:color="auto" w:fill="FFFFFF"/>
                <w:lang w:val="en-US" w:eastAsia="zh-CN"/>
              </w:rPr>
              <w:t>1.根据投标企业所列项目服务方案有的安装调试得0-4分。</w:t>
            </w:r>
          </w:p>
          <w:p>
            <w:pPr>
              <w:shd w:val="solid" w:color="FFFFFF" w:fill="auto"/>
              <w:autoSpaceDN w:val="0"/>
              <w:textAlignment w:val="center"/>
              <w:rPr>
                <w:rFonts w:hint="default" w:eastAsia="宋体"/>
                <w:lang w:val="en-US" w:eastAsia="zh-CN"/>
              </w:rPr>
            </w:pPr>
            <w:r>
              <w:rPr>
                <w:rFonts w:hint="eastAsia" w:ascii="宋体" w:hAnsi="宋体" w:cs="宋体"/>
                <w:color w:val="auto"/>
                <w:sz w:val="24"/>
                <w:szCs w:val="24"/>
                <w:shd w:val="clear" w:color="auto" w:fill="FFFFFF"/>
                <w:lang w:val="en-US" w:eastAsia="zh-CN"/>
              </w:rPr>
              <w:t>2.根据投标企业所列项目服务方案有的</w:t>
            </w:r>
            <w:r>
              <w:rPr>
                <w:rFonts w:hint="eastAsia" w:ascii="宋体" w:hAnsi="宋体" w:eastAsia="宋体" w:cs="宋体"/>
                <w:color w:val="000000"/>
                <w:sz w:val="24"/>
                <w:szCs w:val="24"/>
                <w:shd w:val="clear" w:color="auto" w:fill="FFFFFF"/>
              </w:rPr>
              <w:t>培训</w:t>
            </w:r>
            <w:r>
              <w:rPr>
                <w:rFonts w:hint="eastAsia" w:ascii="宋体" w:hAnsi="宋体" w:cs="宋体"/>
                <w:color w:val="000000"/>
                <w:sz w:val="24"/>
                <w:szCs w:val="24"/>
                <w:shd w:val="clear" w:color="auto" w:fill="FFFFFF"/>
                <w:lang w:val="en-US" w:eastAsia="zh-CN"/>
              </w:rPr>
              <w:t>和</w:t>
            </w:r>
            <w:r>
              <w:rPr>
                <w:rFonts w:hint="eastAsia" w:ascii="宋体" w:hAnsi="宋体" w:eastAsia="宋体" w:cs="宋体"/>
                <w:color w:val="000000"/>
                <w:sz w:val="24"/>
                <w:szCs w:val="24"/>
                <w:shd w:val="clear" w:color="auto" w:fill="FFFFFF"/>
              </w:rPr>
              <w:t>运输方案</w:t>
            </w:r>
            <w:r>
              <w:rPr>
                <w:rFonts w:hint="eastAsia" w:ascii="宋体" w:hAnsi="宋体" w:cs="宋体"/>
                <w:color w:val="auto"/>
                <w:sz w:val="24"/>
                <w:szCs w:val="24"/>
                <w:shd w:val="clear" w:color="auto" w:fill="FFFFFF"/>
                <w:lang w:val="en-US" w:eastAsia="zh-CN"/>
              </w:rPr>
              <w:t>得0-6分。</w:t>
            </w:r>
          </w:p>
        </w:tc>
      </w:tr>
      <w:tr>
        <w:tblPrEx>
          <w:tblCellMar>
            <w:top w:w="0" w:type="dxa"/>
            <w:left w:w="15" w:type="dxa"/>
            <w:bottom w:w="0" w:type="dxa"/>
            <w:right w:w="15" w:type="dxa"/>
          </w:tblCellMar>
        </w:tblPrEx>
        <w:trPr>
          <w:trHeight w:val="538" w:hRule="atLeast"/>
        </w:trPr>
        <w:tc>
          <w:tcPr>
            <w:tcW w:w="632" w:type="dxa"/>
            <w:vMerge w:val="continue"/>
            <w:tcBorders>
              <w:left w:val="single" w:color="000000" w:sz="8" w:space="0"/>
              <w:right w:val="single" w:color="000000" w:sz="8" w:space="0"/>
            </w:tcBorders>
            <w:shd w:val="solid" w:color="FFFFFF" w:fill="auto"/>
            <w:vAlign w:val="center"/>
          </w:tcPr>
          <w:p>
            <w:pPr>
              <w:rPr>
                <w:rFonts w:hint="eastAsia" w:ascii="宋体" w:hAnsi="宋体" w:eastAsia="宋体" w:cs="宋体"/>
                <w:color w:val="000000"/>
                <w:sz w:val="24"/>
                <w:szCs w:val="24"/>
              </w:rPr>
            </w:pPr>
          </w:p>
        </w:tc>
        <w:tc>
          <w:tcPr>
            <w:tcW w:w="2074" w:type="dxa"/>
            <w:gridSpan w:val="2"/>
            <w:tcBorders>
              <w:top w:val="single" w:color="000000" w:sz="8" w:space="0"/>
              <w:left w:val="single" w:color="000000" w:sz="8" w:space="0"/>
              <w:bottom w:val="single" w:color="000000" w:sz="8" w:space="0"/>
              <w:right w:val="single" w:color="000000" w:sz="8" w:space="0"/>
            </w:tcBorders>
            <w:shd w:val="solid" w:color="FFFFFF" w:fill="auto"/>
            <w:vAlign w:val="center"/>
          </w:tcPr>
          <w:p>
            <w:pPr>
              <w:rPr>
                <w:rFonts w:hint="eastAsia" w:ascii="宋体" w:hAnsi="宋体" w:eastAsia="宋体" w:cs="宋体"/>
                <w:sz w:val="24"/>
                <w:szCs w:val="24"/>
              </w:rPr>
            </w:pPr>
            <w:r>
              <w:rPr>
                <w:rFonts w:hint="eastAsia" w:ascii="宋体" w:hAnsi="宋体" w:eastAsia="宋体" w:cs="宋体"/>
                <w:sz w:val="24"/>
                <w:szCs w:val="24"/>
              </w:rPr>
              <w:t>进度安排与阶段性目标（10分）</w:t>
            </w:r>
          </w:p>
        </w:tc>
        <w:tc>
          <w:tcPr>
            <w:tcW w:w="7553" w:type="dxa"/>
            <w:tcBorders>
              <w:top w:val="single" w:color="000000" w:sz="8" w:space="0"/>
              <w:left w:val="single" w:color="000000" w:sz="8" w:space="0"/>
              <w:bottom w:val="single" w:color="000000" w:sz="8" w:space="0"/>
              <w:right w:val="single" w:color="000000" w:sz="8" w:space="0"/>
            </w:tcBorders>
            <w:shd w:val="solid" w:color="FFFFFF" w:fill="auto"/>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进度安排与阶段性目标的时间安排合理准确得</w:t>
            </w:r>
            <w:r>
              <w:rPr>
                <w:rFonts w:hint="eastAsia" w:ascii="宋体" w:hAnsi="宋体" w:cs="宋体"/>
                <w:sz w:val="24"/>
                <w:szCs w:val="24"/>
                <w:lang w:val="en-US" w:eastAsia="zh-CN"/>
              </w:rPr>
              <w:t>方案</w:t>
            </w:r>
            <w:r>
              <w:rPr>
                <w:rFonts w:hint="eastAsia" w:ascii="宋体" w:hAnsi="宋体" w:eastAsia="宋体" w:cs="宋体"/>
                <w:sz w:val="24"/>
                <w:szCs w:val="24"/>
              </w:rPr>
              <w:t>；</w:t>
            </w:r>
            <w:r>
              <w:rPr>
                <w:rFonts w:hint="eastAsia" w:ascii="宋体" w:hAnsi="宋体" w:cs="宋体"/>
                <w:sz w:val="24"/>
                <w:szCs w:val="24"/>
                <w:lang w:val="en-US" w:eastAsia="zh-CN"/>
              </w:rPr>
              <w:t>投标人进行横向对比进行打分，0-10分。</w:t>
            </w:r>
          </w:p>
        </w:tc>
      </w:tr>
      <w:tr>
        <w:tblPrEx>
          <w:tblCellMar>
            <w:top w:w="0" w:type="dxa"/>
            <w:left w:w="15" w:type="dxa"/>
            <w:bottom w:w="0" w:type="dxa"/>
            <w:right w:w="15" w:type="dxa"/>
          </w:tblCellMar>
        </w:tblPrEx>
        <w:trPr>
          <w:trHeight w:val="279" w:hRule="atLeast"/>
        </w:trPr>
        <w:tc>
          <w:tcPr>
            <w:tcW w:w="632" w:type="dxa"/>
            <w:vMerge w:val="continue"/>
            <w:tcBorders>
              <w:left w:val="single" w:color="000000" w:sz="8" w:space="0"/>
              <w:bottom w:val="single" w:color="auto" w:sz="4" w:space="0"/>
              <w:right w:val="single" w:color="000000" w:sz="8" w:space="0"/>
            </w:tcBorders>
            <w:shd w:val="solid" w:color="FFFFFF" w:fill="auto"/>
            <w:vAlign w:val="center"/>
          </w:tcPr>
          <w:p>
            <w:pPr>
              <w:rPr>
                <w:rFonts w:hint="eastAsia" w:ascii="宋体" w:hAnsi="宋体" w:eastAsia="宋体" w:cs="宋体"/>
                <w:color w:val="000000"/>
                <w:sz w:val="24"/>
                <w:szCs w:val="24"/>
              </w:rPr>
            </w:pPr>
          </w:p>
        </w:tc>
        <w:tc>
          <w:tcPr>
            <w:tcW w:w="2074" w:type="dxa"/>
            <w:gridSpan w:val="2"/>
            <w:tcBorders>
              <w:top w:val="single" w:color="000000" w:sz="8" w:space="0"/>
              <w:left w:val="single" w:color="000000" w:sz="8" w:space="0"/>
              <w:bottom w:val="single" w:color="auto" w:sz="4" w:space="0"/>
              <w:right w:val="single" w:color="000000" w:sz="8" w:space="0"/>
            </w:tcBorders>
            <w:shd w:val="solid" w:color="FFFFFF" w:fill="auto"/>
            <w:vAlign w:val="center"/>
          </w:tcPr>
          <w:p>
            <w:pPr>
              <w:shd w:val="solid" w:color="FFFFFF" w:fill="auto"/>
              <w:autoSpaceDN w:val="0"/>
              <w:jc w:val="center"/>
              <w:textAlignment w:val="center"/>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sz w:val="24"/>
                <w:szCs w:val="24"/>
                <w:shd w:val="clear" w:color="auto" w:fill="FFFFFF"/>
              </w:rPr>
              <w:t>售后服务体系、服务承诺诺（10分）</w:t>
            </w:r>
          </w:p>
        </w:tc>
        <w:tc>
          <w:tcPr>
            <w:tcW w:w="7553" w:type="dxa"/>
            <w:tcBorders>
              <w:top w:val="single" w:color="000000" w:sz="8" w:space="0"/>
              <w:left w:val="single" w:color="000000" w:sz="8" w:space="0"/>
              <w:bottom w:val="single" w:color="auto" w:sz="4" w:space="0"/>
              <w:right w:val="single" w:color="000000" w:sz="8" w:space="0"/>
            </w:tcBorders>
            <w:shd w:val="solid" w:color="FFFFFF" w:fill="auto"/>
            <w:vAlign w:val="center"/>
          </w:tcPr>
          <w:p>
            <w:pPr>
              <w:numPr>
                <w:ilvl w:val="0"/>
                <w:numId w:val="0"/>
              </w:numPr>
              <w:shd w:val="solid" w:color="FFFFFF" w:fill="auto"/>
              <w:autoSpaceDN w:val="0"/>
              <w:ind w:leftChars="0"/>
              <w:textAlignment w:val="center"/>
              <w:rPr>
                <w:rFonts w:hint="eastAsia" w:ascii="宋体" w:hAnsi="宋体" w:eastAsia="宋体" w:cs="宋体"/>
                <w:color w:val="000000"/>
                <w:kern w:val="2"/>
                <w:sz w:val="24"/>
                <w:szCs w:val="24"/>
                <w:shd w:val="clear" w:color="auto" w:fill="FFFFFF"/>
                <w:lang w:val="en-US" w:eastAsia="zh-CN" w:bidi="ar-SA"/>
              </w:rPr>
            </w:pPr>
            <w:r>
              <w:rPr>
                <w:rFonts w:hint="eastAsia" w:ascii="宋体" w:hAnsi="宋体" w:cs="宋体"/>
                <w:color w:val="000000"/>
                <w:sz w:val="24"/>
                <w:szCs w:val="24"/>
                <w:shd w:val="clear" w:color="auto" w:fill="FFFFFF"/>
                <w:lang w:val="en-US" w:eastAsia="zh-CN"/>
              </w:rPr>
              <w:t>投标人根据采购服务项目</w:t>
            </w:r>
            <w:r>
              <w:rPr>
                <w:rFonts w:hint="eastAsia" w:ascii="宋体" w:hAnsi="宋体" w:eastAsia="宋体" w:cs="宋体"/>
                <w:color w:val="000000"/>
                <w:sz w:val="24"/>
                <w:szCs w:val="24"/>
                <w:shd w:val="clear" w:color="auto" w:fill="FFFFFF"/>
              </w:rPr>
              <w:t>有详细、切实可行、针对性强的服务承诺和</w:t>
            </w:r>
            <w:r>
              <w:rPr>
                <w:rFonts w:hint="eastAsia" w:ascii="宋体" w:hAnsi="宋体" w:eastAsia="宋体" w:cs="宋体"/>
                <w:color w:val="000000"/>
                <w:sz w:val="24"/>
                <w:szCs w:val="24"/>
                <w:shd w:val="clear" w:color="auto" w:fill="FFFFFF"/>
                <w:lang w:val="en-US" w:eastAsia="zh-CN"/>
              </w:rPr>
              <w:t>售后服务</w:t>
            </w:r>
            <w:r>
              <w:rPr>
                <w:rFonts w:hint="eastAsia" w:ascii="宋体" w:hAnsi="宋体" w:eastAsia="宋体" w:cs="宋体"/>
                <w:color w:val="000000"/>
                <w:sz w:val="24"/>
                <w:szCs w:val="24"/>
                <w:shd w:val="clear" w:color="auto" w:fill="FFFFFF"/>
              </w:rPr>
              <w:t>方案</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此项由评标委员对服务承诺及售后服务方案进行酌情打分0-</w:t>
            </w:r>
            <w:r>
              <w:rPr>
                <w:rFonts w:hint="eastAsia" w:ascii="宋体" w:hAnsi="宋体" w:eastAsia="宋体" w:cs="宋体"/>
                <w:color w:val="000000"/>
                <w:sz w:val="24"/>
                <w:szCs w:val="24"/>
                <w:shd w:val="clear" w:color="auto" w:fill="FFFFFF"/>
              </w:rPr>
              <w:t>10分</w:t>
            </w:r>
            <w:r>
              <w:rPr>
                <w:rFonts w:hint="eastAsia" w:ascii="宋体" w:hAnsi="宋体" w:cs="宋体"/>
                <w:color w:val="000000"/>
                <w:sz w:val="24"/>
                <w:szCs w:val="24"/>
                <w:shd w:val="clear" w:color="auto" w:fill="FFFFFF"/>
                <w:lang w:eastAsia="zh-CN"/>
              </w:rPr>
              <w:t>。</w:t>
            </w:r>
          </w:p>
        </w:tc>
      </w:tr>
      <w:tr>
        <w:tblPrEx>
          <w:tblCellMar>
            <w:top w:w="0" w:type="dxa"/>
            <w:left w:w="15" w:type="dxa"/>
            <w:bottom w:w="0" w:type="dxa"/>
            <w:right w:w="15" w:type="dxa"/>
          </w:tblCellMar>
        </w:tblPrEx>
        <w:trPr>
          <w:trHeight w:val="90" w:hRule="atLeast"/>
        </w:trPr>
        <w:tc>
          <w:tcPr>
            <w:tcW w:w="632" w:type="dxa"/>
            <w:vMerge w:val="restart"/>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FFFFFF"/>
              </w:rPr>
              <w:t>商务部分（</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rPr>
              <w:t>0分）</w:t>
            </w:r>
          </w:p>
        </w:tc>
        <w:tc>
          <w:tcPr>
            <w:tcW w:w="2052" w:type="dxa"/>
            <w:tcBorders>
              <w:top w:val="single" w:color="auto" w:sz="4" w:space="0"/>
              <w:left w:val="single" w:color="auto" w:sz="4" w:space="0"/>
              <w:bottom w:val="single" w:color="auto" w:sz="4" w:space="0"/>
              <w:right w:val="single" w:color="auto" w:sz="4" w:space="0"/>
            </w:tcBorders>
            <w:shd w:val="solid" w:color="FFFFFF" w:fill="auto"/>
            <w:vAlign w:val="center"/>
          </w:tcPr>
          <w:p>
            <w:pPr>
              <w:spacing w:line="32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投标人业绩（10分）</w:t>
            </w:r>
          </w:p>
          <w:p>
            <w:pPr>
              <w:spacing w:line="320" w:lineRule="exact"/>
              <w:rPr>
                <w:rFonts w:hint="eastAsia" w:ascii="宋体" w:hAnsi="宋体" w:eastAsia="宋体" w:cs="宋体"/>
                <w:color w:val="auto"/>
                <w:sz w:val="24"/>
                <w:szCs w:val="24"/>
                <w:shd w:val="clear" w:color="auto" w:fill="FFFFFF"/>
                <w:lang w:val="en-US" w:eastAsia="zh-CN"/>
              </w:rPr>
            </w:pPr>
          </w:p>
        </w:tc>
        <w:tc>
          <w:tcPr>
            <w:tcW w:w="7575" w:type="dxa"/>
            <w:gridSpan w:val="2"/>
            <w:tcBorders>
              <w:top w:val="single" w:color="auto" w:sz="4" w:space="0"/>
              <w:left w:val="single" w:color="auto" w:sz="4" w:space="0"/>
              <w:bottom w:val="single" w:color="000000" w:sz="8" w:space="0"/>
              <w:right w:val="single" w:color="auto" w:sz="4" w:space="0"/>
            </w:tcBorders>
            <w:shd w:val="solid" w:color="FFFFFF" w:fill="auto"/>
            <w:vAlign w:val="center"/>
          </w:tcPr>
          <w:p>
            <w:pPr>
              <w:spacing w:line="32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2017年至开标当日每有一项类似项目业绩，且合同金额不得低于35万，得2分，最高得10分。</w:t>
            </w:r>
          </w:p>
          <w:p>
            <w:pPr>
              <w:spacing w:line="320" w:lineRule="exact"/>
              <w:rPr>
                <w:rFonts w:hint="eastAsia" w:ascii="宋体" w:hAnsi="宋体" w:eastAsia="宋体" w:cs="宋体"/>
                <w:color w:val="auto"/>
                <w:sz w:val="24"/>
                <w:szCs w:val="24"/>
                <w:shd w:val="clear" w:color="auto" w:fill="FFFFFF"/>
                <w:lang w:val="en-US" w:eastAsia="zh-CN"/>
              </w:rPr>
            </w:pPr>
            <w:r>
              <w:rPr>
                <w:rFonts w:hint="eastAsia" w:ascii="宋体" w:hAnsi="宋体"/>
                <w:color w:val="auto"/>
                <w:sz w:val="24"/>
                <w:szCs w:val="24"/>
                <w:highlight w:val="none"/>
                <w:lang w:val="en-US" w:eastAsia="zh-CN"/>
              </w:rPr>
              <w:t>类似项目指：防汛预报预警配套设备（响应文件需附合同协议书复印件）</w:t>
            </w:r>
            <w:r>
              <w:rPr>
                <w:rFonts w:hint="eastAsia" w:asciiTheme="minorEastAsia" w:hAnsiTheme="minorEastAsia" w:eastAsiaTheme="minorEastAsia" w:cstheme="minorEastAsia"/>
                <w:color w:val="auto"/>
                <w:kern w:val="2"/>
                <w:sz w:val="24"/>
                <w:szCs w:val="24"/>
                <w:lang w:val="en-US" w:eastAsia="zh-CN" w:bidi="ar-SA"/>
              </w:rPr>
              <w:t>。</w:t>
            </w:r>
          </w:p>
        </w:tc>
      </w:tr>
      <w:tr>
        <w:tblPrEx>
          <w:tblCellMar>
            <w:top w:w="0" w:type="dxa"/>
            <w:left w:w="15" w:type="dxa"/>
            <w:bottom w:w="0" w:type="dxa"/>
            <w:right w:w="15" w:type="dxa"/>
          </w:tblCellMar>
        </w:tblPrEx>
        <w:trPr>
          <w:trHeight w:val="90" w:hRule="atLeast"/>
        </w:trPr>
        <w:tc>
          <w:tcPr>
            <w:tcW w:w="632" w:type="dxa"/>
            <w:vMerge w:val="continue"/>
            <w:tcBorders>
              <w:left w:val="single" w:color="auto" w:sz="4" w:space="0"/>
              <w:bottom w:val="single" w:color="auto" w:sz="4" w:space="0"/>
              <w:right w:val="single" w:color="auto" w:sz="4" w:space="0"/>
            </w:tcBorders>
            <w:shd w:val="solid" w:color="FFFFFF" w:fill="auto"/>
            <w:vAlign w:val="center"/>
          </w:tcPr>
          <w:p>
            <w:pPr>
              <w:shd w:val="solid" w:color="FFFFFF" w:fill="auto"/>
              <w:autoSpaceDN w:val="0"/>
              <w:jc w:val="left"/>
              <w:textAlignment w:val="center"/>
              <w:rPr>
                <w:rFonts w:hint="eastAsia" w:ascii="宋体" w:hAnsi="宋体" w:cs="宋体"/>
                <w:color w:val="auto"/>
                <w:sz w:val="24"/>
                <w:szCs w:val="24"/>
                <w:shd w:val="clear" w:color="auto" w:fill="FFFFFF"/>
                <w:lang w:val="en-US" w:eastAsia="zh-CN"/>
              </w:rPr>
            </w:pPr>
          </w:p>
        </w:tc>
        <w:tc>
          <w:tcPr>
            <w:tcW w:w="205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相关认证（</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7575" w:type="dxa"/>
            <w:gridSpan w:val="2"/>
            <w:tcBorders>
              <w:top w:val="single" w:color="000000" w:sz="8" w:space="0"/>
              <w:left w:val="single" w:color="auto" w:sz="4" w:space="0"/>
              <w:bottom w:val="single" w:color="auto" w:sz="4" w:space="0"/>
              <w:right w:val="single" w:color="auto" w:sz="4" w:space="0"/>
            </w:tcBorders>
            <w:shd w:val="solid" w:color="FFFFFF" w:fill="auto"/>
            <w:vAlign w:val="center"/>
          </w:tcPr>
          <w:p>
            <w:pP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供应商或核心设备生产企业具有且提供（在有效期内）：</w:t>
            </w:r>
            <w:r>
              <w:rPr>
                <w:rFonts w:ascii="宋体" w:hAnsi="宋体"/>
                <w:color w:val="000000"/>
                <w:sz w:val="24"/>
                <w:szCs w:val="24"/>
              </w:rPr>
              <w:t>ISO9001质量体系认证</w:t>
            </w:r>
            <w:r>
              <w:rPr>
                <w:rFonts w:hint="eastAsia" w:ascii="宋体" w:hAnsi="宋体"/>
                <w:color w:val="000000"/>
                <w:sz w:val="24"/>
                <w:szCs w:val="24"/>
              </w:rPr>
              <w:t>证书，</w:t>
            </w:r>
            <w:r>
              <w:rPr>
                <w:rFonts w:ascii="宋体" w:hAnsi="宋体"/>
                <w:color w:val="000000"/>
                <w:sz w:val="24"/>
                <w:szCs w:val="24"/>
              </w:rPr>
              <w:t>ISO14001环境管理体系</w:t>
            </w:r>
            <w:r>
              <w:rPr>
                <w:rFonts w:hint="eastAsia" w:ascii="宋体" w:hAnsi="宋体"/>
                <w:color w:val="000000"/>
                <w:sz w:val="24"/>
                <w:szCs w:val="24"/>
              </w:rPr>
              <w:t>认证证书，</w:t>
            </w:r>
            <w:r>
              <w:fldChar w:fldCharType="begin"/>
            </w:r>
            <w:r>
              <w:instrText xml:space="preserve"> HYPERLINK "https://baike.baidu.com/item/OHSAS18000%E8%AE%A4%E8%AF%81" \t "_blank" </w:instrText>
            </w:r>
            <w:r>
              <w:fldChar w:fldCharType="separate"/>
            </w:r>
            <w:r>
              <w:rPr>
                <w:rFonts w:ascii="宋体" w:hAnsi="宋体"/>
                <w:color w:val="000000"/>
                <w:sz w:val="24"/>
                <w:szCs w:val="24"/>
              </w:rPr>
              <w:t>OHSAS18000职业健康安全认证认证</w:t>
            </w:r>
            <w:r>
              <w:rPr>
                <w:rFonts w:ascii="宋体" w:hAnsi="宋体"/>
                <w:color w:val="000000"/>
                <w:sz w:val="24"/>
                <w:szCs w:val="24"/>
              </w:rPr>
              <w:fldChar w:fldCharType="end"/>
            </w:r>
            <w:r>
              <w:rPr>
                <w:rFonts w:hint="eastAsia" w:ascii="宋体" w:hAnsi="宋体"/>
                <w:color w:val="000000"/>
                <w:sz w:val="24"/>
                <w:szCs w:val="24"/>
              </w:rPr>
              <w:t>，</w:t>
            </w:r>
            <w:r>
              <w:rPr>
                <w:rFonts w:hint="eastAsia" w:ascii="宋体" w:hAnsi="宋体"/>
                <w:color w:val="000000"/>
                <w:sz w:val="24"/>
                <w:szCs w:val="24"/>
                <w:lang w:val="en-US" w:eastAsia="zh-CN"/>
              </w:rPr>
              <w:t>以上三项证书每提供一项证书得3分，全部提供可得满分10分。</w:t>
            </w:r>
          </w:p>
        </w:tc>
      </w:tr>
    </w:tbl>
    <w:p>
      <w:pPr>
        <w:pStyle w:val="3"/>
        <w:keepNext w:val="0"/>
        <w:keepLines w:val="0"/>
        <w:spacing w:line="360" w:lineRule="auto"/>
        <w:rPr>
          <w:rFonts w:hint="eastAsia" w:ascii="宋体" w:hAnsi="宋体"/>
          <w:color w:val="000000"/>
          <w:sz w:val="24"/>
          <w:szCs w:val="24"/>
        </w:rPr>
      </w:pPr>
      <w:bookmarkStart w:id="25" w:name="_Toc497408606"/>
    </w:p>
    <w:p>
      <w:pPr>
        <w:pStyle w:val="3"/>
        <w:keepNext w:val="0"/>
        <w:keepLines w:val="0"/>
        <w:spacing w:line="360" w:lineRule="auto"/>
        <w:rPr>
          <w:rFonts w:hint="eastAsia" w:ascii="宋体" w:hAnsi="宋体"/>
          <w:color w:val="000000"/>
          <w:sz w:val="24"/>
          <w:szCs w:val="24"/>
        </w:rPr>
      </w:pPr>
    </w:p>
    <w:p>
      <w:pPr>
        <w:pStyle w:val="3"/>
        <w:keepNext w:val="0"/>
        <w:keepLines w:val="0"/>
        <w:spacing w:line="360" w:lineRule="auto"/>
        <w:rPr>
          <w:rFonts w:ascii="宋体" w:hAnsi="宋体"/>
          <w:color w:val="000000"/>
          <w:sz w:val="24"/>
          <w:szCs w:val="24"/>
        </w:rPr>
      </w:pPr>
      <w:r>
        <w:rPr>
          <w:rFonts w:hint="eastAsia" w:ascii="宋体" w:hAnsi="宋体"/>
          <w:color w:val="000000"/>
          <w:sz w:val="24"/>
          <w:szCs w:val="24"/>
        </w:rPr>
        <w:t>第七章 响应文件格式与要求</w:t>
      </w:r>
      <w:bookmarkEnd w:id="25"/>
    </w:p>
    <w:p>
      <w:pPr>
        <w:rPr>
          <w:sz w:val="24"/>
          <w:szCs w:val="24"/>
          <w:lang w:val="zh-CN"/>
        </w:rPr>
      </w:pPr>
    </w:p>
    <w:p>
      <w:pPr>
        <w:ind w:firstLine="720" w:firstLineChars="300"/>
        <w:rPr>
          <w:sz w:val="24"/>
          <w:szCs w:val="24"/>
          <w:lang w:val="zh-CN"/>
        </w:rPr>
      </w:pPr>
      <w:r>
        <w:rPr>
          <w:rFonts w:hint="eastAsia"/>
          <w:sz w:val="24"/>
          <w:szCs w:val="24"/>
          <w:lang w:val="zh-CN"/>
        </w:rPr>
        <w:t>供应商提供响应文件应当按照以下格式及要求进行编制，且应当不少于以下内容。</w:t>
      </w:r>
    </w:p>
    <w:p>
      <w:pPr>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spacing w:line="360" w:lineRule="auto"/>
        <w:jc w:val="left"/>
        <w:rPr>
          <w:rFonts w:ascii="宋体" w:hAnsi="宋体"/>
          <w:bCs/>
          <w:color w:val="000000"/>
          <w:kern w:val="0"/>
          <w:sz w:val="24"/>
          <w:szCs w:val="24"/>
          <w:lang w:val="zh-CN"/>
        </w:rPr>
      </w:pPr>
      <w:r>
        <w:rPr>
          <w:rFonts w:hint="eastAsia" w:ascii="宋体" w:hAnsi="宋体"/>
          <w:b/>
          <w:bCs/>
          <w:color w:val="000000"/>
          <w:kern w:val="0"/>
          <w:sz w:val="24"/>
          <w:szCs w:val="24"/>
          <w:lang w:val="zh-CN"/>
        </w:rPr>
        <w:t>格式一</w:t>
      </w:r>
      <w:r>
        <w:rPr>
          <w:rFonts w:hint="eastAsia" w:ascii="宋体" w:hAnsi="宋体"/>
          <w:bCs/>
          <w:color w:val="000000"/>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lang w:eastAsia="zh-CN"/>
        </w:rPr>
        <w:t>农村基层防汛预报预警体系建设</w:t>
      </w:r>
      <w:r>
        <w:rPr>
          <w:rFonts w:hint="eastAsia" w:cs="宋体" w:asciiTheme="minorEastAsia" w:hAnsiTheme="minorEastAsia" w:eastAsiaTheme="minorEastAsia"/>
          <w:b/>
          <w:bCs/>
          <w:kern w:val="0"/>
          <w:sz w:val="52"/>
          <w:szCs w:val="52"/>
        </w:rPr>
        <w:t>项目</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一.投标承诺书  ………………………………………………………</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二.开标一览表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三.法定代表人身份证明  ……………………………………………………</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Theme="minorEastAsia" w:hAnsiTheme="minorEastAsia" w:eastAsiaTheme="minorEastAsia"/>
          <w:sz w:val="24"/>
          <w:szCs w:val="24"/>
        </w:rPr>
        <w:t xml:space="preserve"> </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Theme="minorEastAsia" w:hAnsiTheme="minorEastAsia" w:eastAsiaTheme="minorEastAsia"/>
          <w:sz w:val="24"/>
          <w:szCs w:val="24"/>
        </w:rPr>
        <w:t xml:space="preserve"> </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Theme="minorEastAsia" w:hAnsiTheme="minorEastAsia" w:eastAsiaTheme="minorEastAsia"/>
          <w:bCs/>
          <w:sz w:val="24"/>
          <w:szCs w:val="24"/>
        </w:rPr>
        <w:t xml:space="preserve"> </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Theme="minorEastAsia" w:hAnsiTheme="minorEastAsia" w:eastAsiaTheme="minorEastAsia"/>
          <w:bCs/>
          <w:sz w:val="24"/>
          <w:szCs w:val="24"/>
        </w:rPr>
        <w:t xml:space="preserve"> </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 xml:space="preserve">九.投标货物情况介绍表 </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 ………………………………………………</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十三.供应商业绩情况表…………………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十四.供应商基本情况表……………………………………………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cs="宋体"/>
          <w:sz w:val="24"/>
          <w:szCs w:val="24"/>
        </w:rPr>
        <w:t>具有良好的商业信誉</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b/>
          <w:color w:val="000000"/>
          <w:sz w:val="24"/>
          <w:szCs w:val="24"/>
        </w:rPr>
      </w:pPr>
      <w:bookmarkStart w:id="26"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6"/>
      <w:r>
        <w:rPr>
          <w:rFonts w:hint="eastAsia" w:ascii="宋体" w:hAnsi="宋体"/>
          <w:b/>
          <w:color w:val="000000"/>
          <w:sz w:val="24"/>
          <w:szCs w:val="24"/>
        </w:rPr>
        <w:t xml:space="preserve">  </w:t>
      </w: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widowControl/>
        <w:ind w:firstLine="720" w:firstLineChars="300"/>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bCs/>
          <w:color w:val="000000"/>
          <w:kern w:val="0"/>
          <w:sz w:val="24"/>
          <w:szCs w:val="24"/>
          <w:lang w:val="zh-CN"/>
        </w:rPr>
      </w:pPr>
      <w:r>
        <w:rPr>
          <w:rFonts w:hint="eastAsia" w:ascii="宋体" w:hAnsi="宋体"/>
          <w:b/>
          <w:color w:val="000000"/>
          <w:sz w:val="24"/>
          <w:szCs w:val="24"/>
        </w:rPr>
        <w:t xml:space="preserve">                   </w:t>
      </w:r>
    </w:p>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二、开标一览表</w:t>
      </w:r>
    </w:p>
    <w:p>
      <w:pPr>
        <w:pStyle w:val="15"/>
        <w:spacing w:line="360" w:lineRule="auto"/>
        <w:ind w:left="57" w:right="57" w:firstLine="57"/>
        <w:rPr>
          <w:rFonts w:hAnsi="宋体"/>
          <w:bCs/>
          <w:color w:val="000000"/>
          <w:sz w:val="24"/>
          <w:szCs w:val="24"/>
        </w:rPr>
      </w:pPr>
    </w:p>
    <w:p>
      <w:pPr>
        <w:pStyle w:val="15"/>
        <w:spacing w:line="360" w:lineRule="auto"/>
        <w:ind w:left="57" w:right="57" w:firstLine="57"/>
        <w:rPr>
          <w:rFonts w:hAnsi="宋体"/>
          <w:color w:val="000000"/>
          <w:sz w:val="24"/>
          <w:szCs w:val="24"/>
        </w:rPr>
      </w:pPr>
      <w:r>
        <w:rPr>
          <w:rFonts w:hint="eastAsia" w:hAnsi="宋体"/>
          <w:color w:val="000000"/>
          <w:sz w:val="24"/>
          <w:szCs w:val="24"/>
        </w:rPr>
        <w:t>供应商名称（加盖公章）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2．价格应按照“供应商须知”的要求报价。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5. 供应商需必将《开标一览表》按本谈判文件相关要求单独密封、单独递交。</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ind w:firstLine="420"/>
        <w:jc w:val="center"/>
        <w:rPr>
          <w:rFonts w:asciiTheme="minorEastAsia" w:hAnsiTheme="minorEastAsia" w:eastAsiaTheme="minorEastAsia"/>
          <w:sz w:val="24"/>
          <w:szCs w:val="24"/>
        </w:rPr>
      </w:pPr>
      <w:bookmarkStart w:id="27" w:name="_Toc496001220"/>
      <w:bookmarkStart w:id="28" w:name="_Toc482026549"/>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bookmarkEnd w:id="27"/>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汇款凭证的复印件。</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_________________鄂托克前旗煤炭局上海庙矿区排矸厂地形图航拍测绘项目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bookmarkEnd w:id="28"/>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p>
    <w:p>
      <w:pPr>
        <w:widowControl/>
        <w:jc w:val="left"/>
        <w:rPr>
          <w:rFonts w:hAnsi="宋体"/>
          <w:b/>
          <w:bCs/>
          <w:color w:val="000000"/>
          <w:sz w:val="24"/>
          <w:szCs w:val="24"/>
        </w:rPr>
      </w:pPr>
      <w:r>
        <w:rPr>
          <w:rFonts w:hint="eastAsia" w:hAnsi="宋体"/>
          <w:b/>
          <w:bCs/>
          <w:color w:val="000000"/>
          <w:sz w:val="24"/>
          <w:szCs w:val="24"/>
        </w:rPr>
        <w:t xml:space="preserve"> </w:t>
      </w:r>
    </w:p>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cs="Courier New"/>
          <w:color w:val="000000"/>
          <w:kern w:val="0"/>
          <w:sz w:val="24"/>
          <w:szCs w:val="24"/>
        </w:rPr>
        <w:t>八、投标货物分项报价明细表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2．此表将随中标结果公告一并公示，请供应商认真填写。</w:t>
      </w:r>
    </w:p>
    <w:p>
      <w:pPr>
        <w:adjustRightInd w:val="0"/>
        <w:snapToGrid w:val="0"/>
        <w:spacing w:line="360" w:lineRule="auto"/>
        <w:ind w:firstLine="480" w:firstLineChars="200"/>
        <w:rPr>
          <w:rFonts w:ascii="宋体" w:hAnsi="宋体"/>
          <w:color w:val="000000"/>
          <w:sz w:val="24"/>
          <w:szCs w:val="24"/>
        </w:rPr>
      </w:pPr>
    </w:p>
    <w:p>
      <w:pPr>
        <w:rPr>
          <w:sz w:val="24"/>
          <w:szCs w:val="24"/>
          <w:lang w:val="zh-CN"/>
        </w:rPr>
      </w:pPr>
      <w:r>
        <w:rPr>
          <w:sz w:val="24"/>
          <w:szCs w:val="24"/>
          <w:lang w:val="zh-CN"/>
        </w:rPr>
        <w:br w:type="page"/>
      </w:r>
    </w:p>
    <w:p>
      <w:pPr>
        <w:pStyle w:val="2"/>
        <w:rPr>
          <w:lang w:val="zh-CN"/>
        </w:rPr>
      </w:pPr>
    </w:p>
    <w:p>
      <w:pPr>
        <w:numPr>
          <w:ilvl w:val="0"/>
          <w:numId w:val="3"/>
        </w:numPr>
        <w:jc w:val="center"/>
        <w:rPr>
          <w:rFonts w:ascii="宋体" w:hAnsi="宋体"/>
          <w:color w:val="000000"/>
          <w:sz w:val="24"/>
          <w:szCs w:val="24"/>
        </w:rPr>
      </w:pPr>
      <w:r>
        <w:rPr>
          <w:rFonts w:hint="eastAsia" w:ascii="宋体" w:hAnsi="宋体"/>
          <w:color w:val="000000"/>
          <w:sz w:val="24"/>
          <w:szCs w:val="24"/>
        </w:rPr>
        <w:t>投标货物情况介绍表</w:t>
      </w:r>
    </w:p>
    <w:p>
      <w:pPr>
        <w:pStyle w:val="2"/>
      </w:pP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                </w:t>
      </w:r>
    </w:p>
    <w:p>
      <w:pPr>
        <w:spacing w:line="360" w:lineRule="auto"/>
        <w:jc w:val="center"/>
        <w:rPr>
          <w:rFonts w:ascii="宋体" w:hAnsi="宋体"/>
          <w:color w:val="000000"/>
          <w:sz w:val="24"/>
          <w:szCs w:val="24"/>
        </w:rPr>
      </w:pPr>
      <w:r>
        <w:rPr>
          <w:rFonts w:hint="eastAsia" w:ascii="宋体" w:hAnsi="宋体"/>
          <w:color w:val="000000"/>
          <w:sz w:val="24"/>
          <w:szCs w:val="24"/>
        </w:rPr>
        <w:t>十、技术规格响应表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供应商应按照“磋商内容与技术要求”中确定的技术参数与性能要求，将投标产品的技术参数和性能指标逐一列出，以证明投标产品对磋商文件要求的技术参数和性能指标做出实质性响应。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磋商文件中所列技术指标。磋商文件中所列技术指标仅列出了最低限度，供应商在提供的技术参数、性能指标中必须列出具体数值或内容。对磋商文件原文复制或只注明符合、满足等无具体内容的表述，将视为不符合磋商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r>
        <w:br w:type="page"/>
      </w:r>
    </w:p>
    <w:p>
      <w:pPr>
        <w:ind w:firstLine="3240" w:firstLineChars="1350"/>
        <w:rPr>
          <w:rFonts w:ascii="宋体" w:hAnsi="宋体" w:cs="Courier New"/>
          <w:color w:val="000000"/>
          <w:kern w:val="0"/>
          <w:sz w:val="24"/>
          <w:szCs w:val="24"/>
        </w:rPr>
      </w:pPr>
      <w:r>
        <w:rPr>
          <w:rFonts w:hint="eastAsia" w:ascii="宋体" w:hAnsi="宋体" w:cs="Courier New"/>
          <w:color w:val="000000"/>
          <w:kern w:val="0"/>
          <w:sz w:val="24"/>
          <w:szCs w:val="24"/>
        </w:rPr>
        <w:t>十一、售后服务承诺及方案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年的质保期内，供应商对所投产品在使用过程中出现的故障和零配件磨损问题，免费提供维修和更换服务，并对所有软件免费升级。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年内，供应商将继续提供免费维修服务，在此期间不收取维护费，如需更换零配件，只收取零配件的成本费。</w:t>
      </w:r>
    </w:p>
    <w:p>
      <w:pPr>
        <w:pStyle w:val="13"/>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3．供应商在接到用户维修通知后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9"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9"/>
      <w:r>
        <w:rPr>
          <w:rFonts w:hint="eastAsia" w:ascii="宋体" w:hAnsi="宋体" w:cs="Courier New"/>
          <w:color w:val="000000"/>
          <w:kern w:val="0"/>
          <w:sz w:val="24"/>
          <w:szCs w:val="24"/>
        </w:rPr>
        <w:t>。</w:t>
      </w:r>
    </w:p>
    <w:p>
      <w:pPr>
        <w:pStyle w:val="15"/>
        <w:spacing w:line="336" w:lineRule="auto"/>
        <w:ind w:firstLine="480" w:firstLineChars="200"/>
        <w:rPr>
          <w:rFonts w:hAnsi="宋体"/>
          <w:color w:val="000000"/>
          <w:sz w:val="24"/>
          <w:szCs w:val="24"/>
        </w:rPr>
      </w:pPr>
      <w:bookmarkStart w:id="30"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30"/>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注：供应商提供售后服务承诺及方案不少于以上内容。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numPr>
          <w:ilvl w:val="0"/>
          <w:numId w:val="4"/>
        </w:numPr>
        <w:spacing w:line="360" w:lineRule="auto"/>
        <w:jc w:val="center"/>
        <w:rPr>
          <w:rFonts w:ascii="宋体" w:hAnsi="宋体"/>
          <w:sz w:val="24"/>
          <w:szCs w:val="24"/>
          <w:lang w:val="zh-CN"/>
        </w:rPr>
      </w:pPr>
      <w:r>
        <w:rPr>
          <w:rFonts w:hint="eastAsia" w:ascii="宋体" w:hAnsi="宋体"/>
          <w:sz w:val="24"/>
          <w:szCs w:val="24"/>
          <w:lang w:val="zh-CN"/>
        </w:rPr>
        <w:t>商务规格响应表</w:t>
      </w:r>
    </w:p>
    <w:p>
      <w:pPr>
        <w:pStyle w:val="2"/>
      </w:pPr>
    </w:p>
    <w:tbl>
      <w:tblPr>
        <w:tblStyle w:val="2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5"/>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               </w:t>
      </w:r>
    </w:p>
    <w:p>
      <w:pPr>
        <w:numPr>
          <w:ilvl w:val="0"/>
          <w:numId w:val="4"/>
        </w:numPr>
        <w:spacing w:line="360" w:lineRule="auto"/>
        <w:jc w:val="center"/>
        <w:rPr>
          <w:rFonts w:ascii="宋体" w:hAnsi="宋体"/>
          <w:color w:val="000000"/>
          <w:sz w:val="24"/>
          <w:szCs w:val="24"/>
        </w:rPr>
      </w:pPr>
      <w:r>
        <w:rPr>
          <w:rFonts w:hint="eastAsia" w:ascii="宋体" w:hAnsi="宋体"/>
          <w:color w:val="000000"/>
          <w:sz w:val="24"/>
          <w:szCs w:val="24"/>
        </w:rPr>
        <w:t>供应商业绩情况表</w:t>
      </w:r>
    </w:p>
    <w:p>
      <w:pPr>
        <w:pStyle w:val="2"/>
      </w:pP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1</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2</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3</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4</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             </w:t>
      </w:r>
    </w:p>
    <w:p>
      <w:pPr>
        <w:numPr>
          <w:ilvl w:val="0"/>
          <w:numId w:val="4"/>
        </w:numPr>
        <w:spacing w:line="360" w:lineRule="auto"/>
        <w:jc w:val="center"/>
        <w:rPr>
          <w:rFonts w:ascii="宋体" w:hAnsi="宋体"/>
          <w:sz w:val="24"/>
          <w:szCs w:val="24"/>
          <w:lang w:val="zh-CN"/>
        </w:rPr>
      </w:pPr>
      <w:r>
        <w:rPr>
          <w:rFonts w:hint="eastAsia" w:ascii="宋体" w:hAnsi="宋体"/>
          <w:sz w:val="24"/>
          <w:szCs w:val="24"/>
          <w:lang w:val="zh-CN"/>
        </w:rPr>
        <w:t>供应商基本情况表</w:t>
      </w:r>
    </w:p>
    <w:p>
      <w:pPr>
        <w:pStyle w:val="2"/>
      </w:pPr>
    </w:p>
    <w:tbl>
      <w:tblPr>
        <w:tblStyle w:val="2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及招标公告中供应商资质要求的其他资质证明等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          </w:t>
      </w:r>
    </w:p>
    <w:p>
      <w:pPr>
        <w:spacing w:line="360" w:lineRule="auto"/>
        <w:jc w:val="center"/>
        <w:rPr>
          <w:rFonts w:ascii="宋体" w:hAnsi="宋体"/>
          <w:sz w:val="24"/>
          <w:szCs w:val="24"/>
        </w:rPr>
      </w:pPr>
      <w:bookmarkStart w:id="31" w:name="_Toc438655702"/>
      <w:bookmarkStart w:id="32" w:name="_Toc482026556"/>
      <w:bookmarkStart w:id="33" w:name="_Toc438714732"/>
      <w:r>
        <w:rPr>
          <w:rFonts w:hint="eastAsia" w:ascii="宋体" w:hAnsi="宋体"/>
          <w:sz w:val="24"/>
          <w:szCs w:val="24"/>
        </w:rPr>
        <w:t>十五、具有良好的商业信誉</w:t>
      </w: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p>
      <w:pPr>
        <w:autoSpaceDE w:val="0"/>
        <w:autoSpaceDN w:val="0"/>
        <w:spacing w:line="360" w:lineRule="auto"/>
        <w:rPr>
          <w:rFonts w:ascii="宋体" w:hAnsi="宋体"/>
          <w:b/>
          <w:color w:val="000000"/>
          <w:sz w:val="24"/>
          <w:szCs w:val="24"/>
        </w:rPr>
      </w:pPr>
    </w:p>
    <w:bookmarkEnd w:id="31"/>
    <w:bookmarkEnd w:id="32"/>
    <w:bookmarkEnd w:id="33"/>
    <w:p>
      <w:pPr>
        <w:autoSpaceDE w:val="0"/>
        <w:autoSpaceDN w:val="0"/>
        <w:spacing w:line="360" w:lineRule="auto"/>
        <w:rPr>
          <w:rFonts w:ascii="宋体" w:hAnsi="宋体"/>
          <w:b/>
          <w:color w:val="000000"/>
          <w:sz w:val="24"/>
          <w:szCs w:val="24"/>
        </w:rPr>
      </w:pPr>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34" w:name="_Toc438714733"/>
      <w:bookmarkStart w:id="35" w:name="_Toc482026557"/>
      <w:bookmarkStart w:id="36" w:name="_Toc438655703"/>
      <w:r>
        <w:rPr>
          <w:rFonts w:ascii="宋体" w:hAnsi="宋体"/>
          <w:b/>
          <w:color w:val="000000"/>
          <w:sz w:val="24"/>
          <w:szCs w:val="24"/>
        </w:rPr>
        <w:br w:type="page"/>
      </w:r>
      <w:bookmarkEnd w:id="34"/>
      <w:bookmarkEnd w:id="35"/>
      <w:bookmarkEnd w:id="3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p>
    <w:p>
      <w:pPr>
        <w:rPr>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鄂托克前旗和信项目管理有限公司</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autoSpaceDE w:val="0"/>
        <w:autoSpaceDN w:val="0"/>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500" w:lineRule="exact"/>
        <w:ind w:firstLine="602" w:firstLineChars="200"/>
        <w:jc w:val="center"/>
        <w:rPr>
          <w:rFonts w:ascii="宋体" w:hAnsi="宋体"/>
          <w:color w:val="000000"/>
          <w:sz w:val="24"/>
          <w:szCs w:val="24"/>
        </w:rPr>
      </w:pP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23"/>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23"/>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w:t>
            </w:r>
            <w:r>
              <w:rPr>
                <w:rFonts w:hint="eastAsia" w:ascii="宋体" w:hAnsi="宋体" w:cs="宋体"/>
                <w:kern w:val="0"/>
                <w:sz w:val="24"/>
                <w:u w:val="single"/>
              </w:rPr>
              <w:t xml:space="preserve">                                                     </w:t>
            </w:r>
            <w:r>
              <w:rPr>
                <w:rFonts w:hint="eastAsia" w:ascii="宋体" w:hAnsi="宋体" w:cs="宋体"/>
                <w:kern w:val="0"/>
                <w:sz w:val="24"/>
              </w:rPr>
              <w:t>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黑体" w:hAnsi="华文中宋" w:eastAsia="黑体"/>
          <w:b/>
          <w:color w:val="000000" w:themeColor="text1"/>
          <w:sz w:val="32"/>
          <w:szCs w:val="32"/>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000000" w:themeColor="text1"/>
          <w:sz w:val="36"/>
          <w:szCs w:val="36"/>
          <w14:textFill>
            <w14:solidFill>
              <w14:schemeClr w14:val="tx1"/>
            </w14:solidFill>
          </w14:textFill>
        </w:rPr>
      </w:pPr>
      <w:r>
        <w:rPr>
          <w:rFonts w:hint="eastAsia" w:ascii="黑体" w:hAnsi="华文中宋" w:eastAsia="黑体"/>
          <w:b/>
          <w:color w:val="000000" w:themeColor="text1"/>
          <w:sz w:val="32"/>
          <w:szCs w:val="32"/>
          <w14:textFill>
            <w14:solidFill>
              <w14:schemeClr w14:val="tx1"/>
            </w14:solidFill>
          </w14:textFill>
        </w:rPr>
        <w:t>鄂托克前旗社会信用管理中心制表</w:t>
      </w:r>
    </w:p>
    <w:p>
      <w:pPr>
        <w:autoSpaceDE w:val="0"/>
        <w:autoSpaceDN w:val="0"/>
        <w:spacing w:line="500" w:lineRule="exact"/>
        <w:ind w:firstLine="480" w:firstLineChars="200"/>
        <w:rPr>
          <w:rFonts w:ascii="宋体" w:hAnsi="宋体"/>
          <w:color w:val="000000" w:themeColor="text1"/>
          <w:sz w:val="24"/>
          <w:szCs w:val="24"/>
          <w14:textFill>
            <w14:solidFill>
              <w14:schemeClr w14:val="tx1"/>
            </w14:solidFill>
          </w14:textFill>
        </w:rPr>
      </w:pPr>
    </w:p>
    <w:p>
      <w:pPr>
        <w:autoSpaceDE w:val="0"/>
        <w:autoSpaceDN w:val="0"/>
        <w:spacing w:line="500" w:lineRule="exact"/>
        <w:ind w:firstLine="480" w:firstLineChars="200"/>
        <w:rPr>
          <w:rFonts w:ascii="宋体" w:hAnsi="宋体"/>
          <w:b/>
          <w:bCs/>
          <w:color w:val="auto"/>
          <w:kern w:val="0"/>
          <w:sz w:val="24"/>
          <w:szCs w:val="24"/>
        </w:rPr>
      </w:pPr>
      <w:r>
        <w:rPr>
          <w:rFonts w:hint="eastAsia" w:ascii="宋体" w:hAnsi="宋体"/>
          <w:color w:val="auto"/>
          <w:sz w:val="24"/>
          <w:szCs w:val="24"/>
        </w:rPr>
        <w:t>供应商须在</w:t>
      </w:r>
      <w:r>
        <w:rPr>
          <w:rFonts w:hint="eastAsia" w:ascii="宋体" w:hAnsi="宋体"/>
          <w:color w:val="auto"/>
          <w:sz w:val="24"/>
          <w:szCs w:val="24"/>
          <w:lang w:eastAsia="zh-CN"/>
        </w:rPr>
        <w:t>响应文件</w:t>
      </w:r>
      <w:r>
        <w:rPr>
          <w:rFonts w:hint="eastAsia" w:ascii="宋体" w:hAnsi="宋体"/>
          <w:color w:val="auto"/>
          <w:sz w:val="24"/>
          <w:szCs w:val="24"/>
        </w:rPr>
        <w:t>中提供企业工商注册所在地或项目所在地信用管理中心出具的《信用信息查询结果》且在有效期范围内（注：鄂托克前旗社会信用管理中心：地址．</w:t>
      </w:r>
      <w:r>
        <w:rPr>
          <w:rFonts w:hint="eastAsia" w:ascii="宋体" w:hAnsi="宋体"/>
          <w:color w:val="auto"/>
          <w:sz w:val="24"/>
          <w:szCs w:val="24"/>
          <w:lang w:eastAsia="zh-CN"/>
        </w:rPr>
        <w:t>鄂托克前旗敖勒召其镇</w:t>
      </w:r>
      <w:r>
        <w:rPr>
          <w:rFonts w:hint="eastAsia" w:ascii="宋体" w:hAnsi="宋体"/>
          <w:color w:val="auto"/>
          <w:sz w:val="24"/>
          <w:szCs w:val="24"/>
        </w:rPr>
        <w:t>综合办公楼700</w:t>
      </w:r>
      <w:r>
        <w:rPr>
          <w:rFonts w:hint="eastAsia" w:ascii="宋体" w:hAnsi="宋体"/>
          <w:color w:val="auto"/>
          <w:sz w:val="24"/>
          <w:szCs w:val="24"/>
          <w:lang w:val="en-US" w:eastAsia="zh-CN"/>
        </w:rPr>
        <w:t>6</w:t>
      </w:r>
      <w:r>
        <w:rPr>
          <w:rFonts w:hint="eastAsia" w:ascii="宋体" w:hAnsi="宋体"/>
          <w:color w:val="auto"/>
          <w:sz w:val="24"/>
          <w:szCs w:val="24"/>
        </w:rPr>
        <w:t>房间；　电话：0477-7625899）。</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办理步骤：</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3.鄂托克前旗企业信用信息查询申请表盖章彩色扫描件jpeg图片格式。</w:t>
      </w:r>
      <w:r>
        <w:rPr>
          <w:rFonts w:hint="eastAsia" w:ascii="宋体" w:hAnsi="宋体"/>
          <w:color w:val="auto"/>
          <w:sz w:val="24"/>
          <w:szCs w:val="24"/>
          <w:lang w:val="en-US" w:eastAsia="zh-CN"/>
        </w:rPr>
        <w:t>（高清jpeg图片格式。右上角编号请勿填写，最后“受理人签名”一行请勿填写，“申请查询企业信用信息事由及用途”请填写“所投项目名称”，必须盖公章）</w:t>
      </w:r>
    </w:p>
    <w:p>
      <w:pPr>
        <w:autoSpaceDE w:val="0"/>
        <w:autoSpaceDN w:val="0"/>
        <w:spacing w:line="500" w:lineRule="exact"/>
        <w:rPr>
          <w:rFonts w:hint="eastAsia"/>
          <w:lang w:eastAsia="zh-CN"/>
        </w:rPr>
      </w:pPr>
      <w:r>
        <w:rPr>
          <w:rFonts w:hint="eastAsia" w:ascii="宋体" w:hAnsi="宋体"/>
          <w:color w:val="auto"/>
          <w:sz w:val="24"/>
          <w:szCs w:val="24"/>
        </w:rPr>
        <w:t xml:space="preserve">申请材料发送到  </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"mailto:eqqfgjxyglzx@163.com" </w:instrText>
      </w:r>
      <w:r>
        <w:rPr>
          <w:rFonts w:hint="eastAsia" w:ascii="宋体" w:hAnsi="宋体"/>
          <w:color w:val="auto"/>
          <w:sz w:val="24"/>
          <w:szCs w:val="24"/>
        </w:rPr>
        <w:fldChar w:fldCharType="separate"/>
      </w:r>
      <w:r>
        <w:rPr>
          <w:rStyle w:val="29"/>
          <w:rFonts w:hint="eastAsia" w:ascii="宋体" w:hAnsi="宋体"/>
          <w:sz w:val="24"/>
          <w:szCs w:val="24"/>
        </w:rPr>
        <w:t>eqqfgjxyglzx@163.com</w:t>
      </w:r>
      <w:r>
        <w:rPr>
          <w:rFonts w:hint="eastAsia" w:ascii="宋体" w:hAnsi="宋体"/>
          <w:color w:val="auto"/>
          <w:sz w:val="24"/>
          <w:szCs w:val="24"/>
        </w:rPr>
        <w:fldChar w:fldCharType="end"/>
      </w:r>
    </w:p>
    <w:p>
      <w:pPr>
        <w:widowControl/>
        <w:spacing w:line="360" w:lineRule="auto"/>
        <w:jc w:val="left"/>
        <w:rPr>
          <w:rFonts w:asciiTheme="minorEastAsia" w:hAnsiTheme="minorEastAsia" w:eastAsiaTheme="minorEastAsia"/>
          <w:color w:val="auto"/>
          <w:sz w:val="24"/>
          <w:szCs w:val="24"/>
        </w:rPr>
      </w:pPr>
    </w:p>
    <w:p>
      <w:pPr>
        <w:autoSpaceDE w:val="0"/>
        <w:autoSpaceDN w:val="0"/>
        <w:spacing w:line="360" w:lineRule="auto"/>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pStyle w:val="2"/>
        <w:rPr>
          <w:rFonts w:ascii="宋体" w:hAnsi="宋体"/>
          <w:b/>
          <w:bCs/>
          <w:color w:val="000000"/>
          <w:kern w:val="0"/>
          <w:sz w:val="24"/>
          <w:szCs w:val="24"/>
          <w:lang w:val="zh-CN"/>
        </w:rPr>
      </w:pPr>
    </w:p>
    <w:p>
      <w:pPr>
        <w:numPr>
          <w:ilvl w:val="0"/>
          <w:numId w:val="5"/>
        </w:numPr>
        <w:autoSpaceDE w:val="0"/>
        <w:autoSpaceDN w:val="0"/>
        <w:spacing w:line="360" w:lineRule="auto"/>
        <w:jc w:val="center"/>
        <w:rPr>
          <w:rFonts w:ascii="宋体" w:hAnsi="宋体"/>
          <w:b/>
          <w:sz w:val="21"/>
          <w:szCs w:val="21"/>
        </w:rPr>
      </w:pPr>
      <w:r>
        <w:rPr>
          <w:rFonts w:hint="eastAsia" w:ascii="宋体" w:hAnsi="宋体"/>
          <w:b/>
          <w:sz w:val="32"/>
          <w:szCs w:val="32"/>
          <w:lang w:val="en-US" w:eastAsia="zh-CN"/>
        </w:rPr>
        <w:t xml:space="preserve">政府采购信息情况表  </w:t>
      </w:r>
      <w:r>
        <w:rPr>
          <w:rFonts w:hint="eastAsia" w:ascii="宋体" w:hAnsi="宋体"/>
          <w:b/>
          <w:sz w:val="21"/>
          <w:szCs w:val="21"/>
          <w:lang w:val="en-US" w:eastAsia="zh-CN"/>
        </w:rPr>
        <w:t xml:space="preserve">                                                              </w:t>
      </w:r>
    </w:p>
    <w:p>
      <w:pPr>
        <w:pStyle w:val="2"/>
        <w:rPr>
          <w:lang w:val="zh-CN"/>
        </w:rPr>
      </w:pPr>
      <w:r>
        <w:rPr>
          <w:rFonts w:hint="eastAsia" w:ascii="宋体" w:hAnsi="宋体"/>
          <w:b/>
          <w:sz w:val="21"/>
          <w:szCs w:val="21"/>
          <w:lang w:val="en-US" w:eastAsia="zh-CN"/>
        </w:rPr>
        <w:t xml:space="preserve">                                </w:t>
      </w:r>
    </w:p>
    <w:tbl>
      <w:tblPr>
        <w:tblStyle w:val="2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54"/>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54"/>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5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54"/>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54"/>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4"/>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54"/>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54"/>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54"/>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54"/>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54"/>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54"/>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5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4"/>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4"/>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本表内容与本磋商文件其他要求填写不一致或本表填写不完整的，不予价格扣除。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lang w:val="zh-CN"/>
        </w:rPr>
      </w:pP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7" w:name="OLE_LINK2"/>
      <w:bookmarkStart w:id="38" w:name="OLE_LINK5"/>
      <w:r>
        <w:rPr>
          <w:rFonts w:hint="eastAsia" w:ascii="宋体" w:hAnsi="宋体" w:cs="宋体"/>
          <w:kern w:val="0"/>
          <w:sz w:val="24"/>
          <w:szCs w:val="24"/>
        </w:rPr>
        <w:t>______（请填写：中型、小型、微型）企业</w:t>
      </w:r>
      <w:bookmarkEnd w:id="37"/>
      <w:bookmarkEnd w:id="38"/>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lang w:val="zh-CN"/>
        </w:rPr>
      </w:pP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rFonts w:ascii="宋体" w:hAnsi="宋体" w:cs="宋体"/>
          <w:b/>
          <w:kern w:val="0"/>
          <w:sz w:val="24"/>
          <w:szCs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lang w:val="zh-CN"/>
        </w:rPr>
        <w:t>格式三：</w:t>
      </w:r>
      <w:r>
        <w:rPr>
          <w:rFonts w:ascii="宋体" w:hAnsi="宋体"/>
          <w:bCs/>
          <w:color w:val="000000"/>
          <w:kern w:val="0"/>
          <w:sz w:val="24"/>
          <w:szCs w:val="24"/>
          <w:lang w:val="zh-CN"/>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1.磋商文件要求提供的其他资料。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2650" w:firstLineChars="110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spacing w:line="360" w:lineRule="auto"/>
        <w:ind w:firstLine="4216" w:firstLineChars="1750"/>
        <w:outlineLvl w:val="0"/>
        <w:rPr>
          <w:rFonts w:ascii="宋体" w:hAnsi="宋体"/>
          <w:b/>
          <w:color w:val="000000"/>
          <w:sz w:val="24"/>
          <w:szCs w:val="24"/>
          <w:lang w:val="zh-CN"/>
        </w:rPr>
      </w:pPr>
      <w:bookmarkStart w:id="39" w:name="_Toc497408607"/>
      <w:r>
        <w:rPr>
          <w:rFonts w:hint="eastAsia" w:ascii="宋体" w:hAnsi="宋体"/>
          <w:b/>
          <w:color w:val="000000"/>
          <w:sz w:val="24"/>
          <w:szCs w:val="24"/>
          <w:lang w:val="zh-CN"/>
        </w:rPr>
        <w:t>温馨提示</w:t>
      </w:r>
      <w:bookmarkEnd w:id="39"/>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请在编制响应文件前请认真阅读并理解磋商文件。现就容易导致废标或无效投标的条款特别提示如下：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按照磋商文件规定的时间、地点，提前到达并提交响应文件。</w:t>
      </w:r>
    </w:p>
    <w:p>
      <w:pPr>
        <w:tabs>
          <w:tab w:val="left" w:pos="851"/>
        </w:tabs>
        <w:spacing w:line="360" w:lineRule="auto"/>
        <w:rPr>
          <w:rFonts w:ascii="宋体" w:hAnsi="宋体"/>
          <w:sz w:val="24"/>
          <w:szCs w:val="24"/>
        </w:rPr>
      </w:pPr>
      <w:r>
        <w:rPr>
          <w:rFonts w:hint="eastAsia" w:ascii="宋体" w:hAnsi="宋体"/>
          <w:sz w:val="24"/>
          <w:szCs w:val="24"/>
        </w:rPr>
        <w:t>5. 注意响应文件中相关证明材料的完整性及有效期限。（特别注意：财务审计报告或资信证明、社保、纳税的相关证明材料）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请各供应商严格遵守《中华人民共和国政府采购法》及其条例，如出现违法、违规行为，将承担响应法律责任</w:t>
      </w:r>
    </w:p>
    <w:p>
      <w:pPr>
        <w:ind w:firstLine="480" w:firstLineChars="200"/>
        <w:rPr>
          <w:sz w:val="24"/>
          <w:szCs w:val="24"/>
        </w:rPr>
      </w:pPr>
    </w:p>
    <w:p>
      <w:pPr>
        <w:pStyle w:val="3"/>
        <w:keepNext w:val="0"/>
        <w:keepLines w:val="0"/>
        <w:spacing w:line="360" w:lineRule="auto"/>
        <w:rPr>
          <w:sz w:val="24"/>
          <w:szCs w:val="24"/>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7"/>
          <w:jc w:val="center"/>
        </w:pPr>
        <w:r>
          <w:fldChar w:fldCharType="begin"/>
        </w:r>
        <w:r>
          <w:instrText xml:space="preserve">PAGE   \* MERGEFORMAT</w:instrText>
        </w:r>
        <w:r>
          <w:fldChar w:fldCharType="separate"/>
        </w:r>
        <w:r>
          <w:rPr>
            <w:lang w:val="zh-CN"/>
          </w:rPr>
          <w:t>56</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CCD4D"/>
    <w:multiLevelType w:val="singleLevel"/>
    <w:tmpl w:val="F60CCD4D"/>
    <w:lvl w:ilvl="0" w:tentative="0">
      <w:start w:val="2"/>
      <w:numFmt w:val="chineseCounting"/>
      <w:lvlText w:val="%1."/>
      <w:lvlJc w:val="left"/>
      <w:pPr>
        <w:tabs>
          <w:tab w:val="left" w:pos="312"/>
        </w:tabs>
      </w:pPr>
      <w:rPr>
        <w:rFonts w:hint="eastAsia"/>
      </w:r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2">
    <w:nsid w:val="253E2627"/>
    <w:multiLevelType w:val="singleLevel"/>
    <w:tmpl w:val="253E2627"/>
    <w:lvl w:ilvl="0" w:tentative="0">
      <w:start w:val="12"/>
      <w:numFmt w:val="chineseCounting"/>
      <w:suff w:val="nothing"/>
      <w:lvlText w:val="%1、"/>
      <w:lvlJc w:val="left"/>
      <w:rPr>
        <w:rFonts w:hint="eastAsia"/>
      </w:rPr>
    </w:lvl>
  </w:abstractNum>
  <w:abstractNum w:abstractNumId="3">
    <w:nsid w:val="615C4953"/>
    <w:multiLevelType w:val="singleLevel"/>
    <w:tmpl w:val="615C4953"/>
    <w:lvl w:ilvl="0" w:tentative="0">
      <w:start w:val="19"/>
      <w:numFmt w:val="chineseCounting"/>
      <w:suff w:val="nothing"/>
      <w:lvlText w:val="%1、"/>
      <w:lvlJc w:val="left"/>
      <w:rPr>
        <w:rFonts w:hint="eastAsia"/>
      </w:rPr>
    </w:lvl>
  </w:abstractNum>
  <w:abstractNum w:abstractNumId="4">
    <w:nsid w:val="6C78828D"/>
    <w:multiLevelType w:val="singleLevel"/>
    <w:tmpl w:val="6C78828D"/>
    <w:lvl w:ilvl="0" w:tentative="0">
      <w:start w:val="9"/>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124B7"/>
    <w:rsid w:val="00015A02"/>
    <w:rsid w:val="00015B44"/>
    <w:rsid w:val="00021C1D"/>
    <w:rsid w:val="00022CDF"/>
    <w:rsid w:val="00024348"/>
    <w:rsid w:val="00024DB1"/>
    <w:rsid w:val="000275BE"/>
    <w:rsid w:val="000277B6"/>
    <w:rsid w:val="00030745"/>
    <w:rsid w:val="000314D8"/>
    <w:rsid w:val="0003153C"/>
    <w:rsid w:val="00032217"/>
    <w:rsid w:val="00032340"/>
    <w:rsid w:val="00032A72"/>
    <w:rsid w:val="00032C24"/>
    <w:rsid w:val="00035A5E"/>
    <w:rsid w:val="00035AB0"/>
    <w:rsid w:val="0003623F"/>
    <w:rsid w:val="00040454"/>
    <w:rsid w:val="0004101F"/>
    <w:rsid w:val="0004149A"/>
    <w:rsid w:val="00042767"/>
    <w:rsid w:val="00043181"/>
    <w:rsid w:val="00044995"/>
    <w:rsid w:val="00044B0F"/>
    <w:rsid w:val="000501AD"/>
    <w:rsid w:val="000521B0"/>
    <w:rsid w:val="0005338C"/>
    <w:rsid w:val="000545A4"/>
    <w:rsid w:val="0005504F"/>
    <w:rsid w:val="000554EC"/>
    <w:rsid w:val="000558A5"/>
    <w:rsid w:val="00060357"/>
    <w:rsid w:val="00060549"/>
    <w:rsid w:val="000629DD"/>
    <w:rsid w:val="00063168"/>
    <w:rsid w:val="0006359A"/>
    <w:rsid w:val="0006757D"/>
    <w:rsid w:val="00071A78"/>
    <w:rsid w:val="000750A4"/>
    <w:rsid w:val="00076D91"/>
    <w:rsid w:val="00077EEC"/>
    <w:rsid w:val="00082D2C"/>
    <w:rsid w:val="00083CDD"/>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D92"/>
    <w:rsid w:val="000B4FD6"/>
    <w:rsid w:val="000B5551"/>
    <w:rsid w:val="000B57D8"/>
    <w:rsid w:val="000B7161"/>
    <w:rsid w:val="000C1341"/>
    <w:rsid w:val="000C19EE"/>
    <w:rsid w:val="000C3A16"/>
    <w:rsid w:val="000C3E86"/>
    <w:rsid w:val="000C4079"/>
    <w:rsid w:val="000C5C82"/>
    <w:rsid w:val="000C612E"/>
    <w:rsid w:val="000C6D84"/>
    <w:rsid w:val="000D02AA"/>
    <w:rsid w:val="000D0A17"/>
    <w:rsid w:val="000D17C6"/>
    <w:rsid w:val="000D515C"/>
    <w:rsid w:val="000D5C01"/>
    <w:rsid w:val="000D7A79"/>
    <w:rsid w:val="000E15BD"/>
    <w:rsid w:val="000E51AB"/>
    <w:rsid w:val="000E550B"/>
    <w:rsid w:val="000E6319"/>
    <w:rsid w:val="000F082D"/>
    <w:rsid w:val="000F2095"/>
    <w:rsid w:val="000F333E"/>
    <w:rsid w:val="000F422E"/>
    <w:rsid w:val="000F6D0F"/>
    <w:rsid w:val="001016F2"/>
    <w:rsid w:val="00103E0C"/>
    <w:rsid w:val="00104530"/>
    <w:rsid w:val="001066A5"/>
    <w:rsid w:val="00107117"/>
    <w:rsid w:val="0010792E"/>
    <w:rsid w:val="001117FE"/>
    <w:rsid w:val="00111FA5"/>
    <w:rsid w:val="00117038"/>
    <w:rsid w:val="00117F1A"/>
    <w:rsid w:val="00120A63"/>
    <w:rsid w:val="001246B6"/>
    <w:rsid w:val="001247E2"/>
    <w:rsid w:val="00126F44"/>
    <w:rsid w:val="00127E2F"/>
    <w:rsid w:val="00130354"/>
    <w:rsid w:val="00131C8E"/>
    <w:rsid w:val="00132AC3"/>
    <w:rsid w:val="00134349"/>
    <w:rsid w:val="00137FFA"/>
    <w:rsid w:val="00141011"/>
    <w:rsid w:val="00141C9F"/>
    <w:rsid w:val="00142373"/>
    <w:rsid w:val="00143F98"/>
    <w:rsid w:val="0014459C"/>
    <w:rsid w:val="00146DBB"/>
    <w:rsid w:val="00147FB1"/>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631D"/>
    <w:rsid w:val="001C4C6E"/>
    <w:rsid w:val="001C620B"/>
    <w:rsid w:val="001C66C5"/>
    <w:rsid w:val="001C7085"/>
    <w:rsid w:val="001C780A"/>
    <w:rsid w:val="001C7988"/>
    <w:rsid w:val="001D1224"/>
    <w:rsid w:val="001D128E"/>
    <w:rsid w:val="001D3AE5"/>
    <w:rsid w:val="001D44B5"/>
    <w:rsid w:val="001D470F"/>
    <w:rsid w:val="001D5189"/>
    <w:rsid w:val="001D7C35"/>
    <w:rsid w:val="001E0168"/>
    <w:rsid w:val="001E146C"/>
    <w:rsid w:val="001E2F8C"/>
    <w:rsid w:val="001E3E6E"/>
    <w:rsid w:val="001E6B2B"/>
    <w:rsid w:val="001F0A48"/>
    <w:rsid w:val="001F3324"/>
    <w:rsid w:val="001F38E6"/>
    <w:rsid w:val="001F3A9C"/>
    <w:rsid w:val="001F3CF4"/>
    <w:rsid w:val="001F46E4"/>
    <w:rsid w:val="001F50D5"/>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3EB5"/>
    <w:rsid w:val="002349C2"/>
    <w:rsid w:val="002359DD"/>
    <w:rsid w:val="00236BF6"/>
    <w:rsid w:val="00236FE0"/>
    <w:rsid w:val="00246923"/>
    <w:rsid w:val="00247981"/>
    <w:rsid w:val="00247D3C"/>
    <w:rsid w:val="002520A9"/>
    <w:rsid w:val="002523A4"/>
    <w:rsid w:val="00252A85"/>
    <w:rsid w:val="00252E75"/>
    <w:rsid w:val="002531F7"/>
    <w:rsid w:val="002618B9"/>
    <w:rsid w:val="00262286"/>
    <w:rsid w:val="00263625"/>
    <w:rsid w:val="00264299"/>
    <w:rsid w:val="00264652"/>
    <w:rsid w:val="00267255"/>
    <w:rsid w:val="002677C5"/>
    <w:rsid w:val="0026789F"/>
    <w:rsid w:val="002706A8"/>
    <w:rsid w:val="00273036"/>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7A1"/>
    <w:rsid w:val="002D2ABF"/>
    <w:rsid w:val="002D3A79"/>
    <w:rsid w:val="002D3B81"/>
    <w:rsid w:val="002D4130"/>
    <w:rsid w:val="002D5A33"/>
    <w:rsid w:val="002D5B54"/>
    <w:rsid w:val="002D6C15"/>
    <w:rsid w:val="002E38DF"/>
    <w:rsid w:val="002E3D50"/>
    <w:rsid w:val="002E5B7A"/>
    <w:rsid w:val="002E5EAB"/>
    <w:rsid w:val="002E5EDD"/>
    <w:rsid w:val="002E6E32"/>
    <w:rsid w:val="002E7061"/>
    <w:rsid w:val="002E7AC9"/>
    <w:rsid w:val="002F14A2"/>
    <w:rsid w:val="002F4D72"/>
    <w:rsid w:val="002F4ECE"/>
    <w:rsid w:val="002F5648"/>
    <w:rsid w:val="002F692A"/>
    <w:rsid w:val="002F6E44"/>
    <w:rsid w:val="002F6F9E"/>
    <w:rsid w:val="002F7057"/>
    <w:rsid w:val="002F7ADE"/>
    <w:rsid w:val="002F7E87"/>
    <w:rsid w:val="003028A1"/>
    <w:rsid w:val="003036D1"/>
    <w:rsid w:val="00305086"/>
    <w:rsid w:val="0030511C"/>
    <w:rsid w:val="00305EF3"/>
    <w:rsid w:val="00307C6D"/>
    <w:rsid w:val="0031146F"/>
    <w:rsid w:val="003166E1"/>
    <w:rsid w:val="003175DD"/>
    <w:rsid w:val="00317A60"/>
    <w:rsid w:val="00322C67"/>
    <w:rsid w:val="0032346F"/>
    <w:rsid w:val="00323C62"/>
    <w:rsid w:val="003252DF"/>
    <w:rsid w:val="00330DC1"/>
    <w:rsid w:val="00330FBC"/>
    <w:rsid w:val="00331EF4"/>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6C8B"/>
    <w:rsid w:val="0035724C"/>
    <w:rsid w:val="00357BB1"/>
    <w:rsid w:val="003601BC"/>
    <w:rsid w:val="003605DA"/>
    <w:rsid w:val="00360873"/>
    <w:rsid w:val="00361AFB"/>
    <w:rsid w:val="00361E13"/>
    <w:rsid w:val="003620B6"/>
    <w:rsid w:val="00363A25"/>
    <w:rsid w:val="00363FBE"/>
    <w:rsid w:val="0036589D"/>
    <w:rsid w:val="00366FF7"/>
    <w:rsid w:val="00367583"/>
    <w:rsid w:val="00372CDD"/>
    <w:rsid w:val="00374800"/>
    <w:rsid w:val="0037604A"/>
    <w:rsid w:val="00377304"/>
    <w:rsid w:val="0037796F"/>
    <w:rsid w:val="00381798"/>
    <w:rsid w:val="003850C1"/>
    <w:rsid w:val="0038661D"/>
    <w:rsid w:val="00386C41"/>
    <w:rsid w:val="00386F2E"/>
    <w:rsid w:val="00387C9F"/>
    <w:rsid w:val="00387FA9"/>
    <w:rsid w:val="00391691"/>
    <w:rsid w:val="0039586D"/>
    <w:rsid w:val="003962BB"/>
    <w:rsid w:val="00396A34"/>
    <w:rsid w:val="0039754F"/>
    <w:rsid w:val="003978E6"/>
    <w:rsid w:val="003A0038"/>
    <w:rsid w:val="003A059F"/>
    <w:rsid w:val="003A1A29"/>
    <w:rsid w:val="003A231E"/>
    <w:rsid w:val="003A585F"/>
    <w:rsid w:val="003A60CE"/>
    <w:rsid w:val="003A7970"/>
    <w:rsid w:val="003A7FDC"/>
    <w:rsid w:val="003B5C3F"/>
    <w:rsid w:val="003C4C9F"/>
    <w:rsid w:val="003C57A9"/>
    <w:rsid w:val="003C62D0"/>
    <w:rsid w:val="003C719D"/>
    <w:rsid w:val="003C76CA"/>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5F8D"/>
    <w:rsid w:val="00417D84"/>
    <w:rsid w:val="00420B58"/>
    <w:rsid w:val="004223BB"/>
    <w:rsid w:val="004230C7"/>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607BE"/>
    <w:rsid w:val="00461B30"/>
    <w:rsid w:val="00461F1F"/>
    <w:rsid w:val="0046293D"/>
    <w:rsid w:val="0046308F"/>
    <w:rsid w:val="00473067"/>
    <w:rsid w:val="004755C8"/>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32E9"/>
    <w:rsid w:val="004A6F4D"/>
    <w:rsid w:val="004A7401"/>
    <w:rsid w:val="004B1CE0"/>
    <w:rsid w:val="004B22B2"/>
    <w:rsid w:val="004B24B8"/>
    <w:rsid w:val="004B565B"/>
    <w:rsid w:val="004B6B8B"/>
    <w:rsid w:val="004B6BB2"/>
    <w:rsid w:val="004C28F6"/>
    <w:rsid w:val="004C331A"/>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0876"/>
    <w:rsid w:val="004F1447"/>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6CAB"/>
    <w:rsid w:val="00557212"/>
    <w:rsid w:val="005611C9"/>
    <w:rsid w:val="005655C3"/>
    <w:rsid w:val="0056676F"/>
    <w:rsid w:val="00566FEB"/>
    <w:rsid w:val="00570A65"/>
    <w:rsid w:val="00571223"/>
    <w:rsid w:val="00572B6C"/>
    <w:rsid w:val="00575115"/>
    <w:rsid w:val="0057590C"/>
    <w:rsid w:val="00575C09"/>
    <w:rsid w:val="005771EF"/>
    <w:rsid w:val="00577D22"/>
    <w:rsid w:val="0058246C"/>
    <w:rsid w:val="00584B37"/>
    <w:rsid w:val="00585EC9"/>
    <w:rsid w:val="00586746"/>
    <w:rsid w:val="00587E08"/>
    <w:rsid w:val="00587FA2"/>
    <w:rsid w:val="005937B4"/>
    <w:rsid w:val="00594B92"/>
    <w:rsid w:val="00594ECC"/>
    <w:rsid w:val="00595358"/>
    <w:rsid w:val="00595AC9"/>
    <w:rsid w:val="0059662E"/>
    <w:rsid w:val="00596711"/>
    <w:rsid w:val="0059698F"/>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70A7"/>
    <w:rsid w:val="005C7788"/>
    <w:rsid w:val="005D1575"/>
    <w:rsid w:val="005D18E5"/>
    <w:rsid w:val="005D20F2"/>
    <w:rsid w:val="005D31AF"/>
    <w:rsid w:val="005D3ABE"/>
    <w:rsid w:val="005D450D"/>
    <w:rsid w:val="005D49D6"/>
    <w:rsid w:val="005D7B0E"/>
    <w:rsid w:val="005E0C34"/>
    <w:rsid w:val="005E1B00"/>
    <w:rsid w:val="005E1E22"/>
    <w:rsid w:val="005E28DB"/>
    <w:rsid w:val="005E31CC"/>
    <w:rsid w:val="005E3EC1"/>
    <w:rsid w:val="005E4F1E"/>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1529A"/>
    <w:rsid w:val="00615A8D"/>
    <w:rsid w:val="00616936"/>
    <w:rsid w:val="00616A52"/>
    <w:rsid w:val="00620B2E"/>
    <w:rsid w:val="006215ED"/>
    <w:rsid w:val="0062221E"/>
    <w:rsid w:val="00622B32"/>
    <w:rsid w:val="00624825"/>
    <w:rsid w:val="00624BAD"/>
    <w:rsid w:val="00625939"/>
    <w:rsid w:val="00633946"/>
    <w:rsid w:val="00633E76"/>
    <w:rsid w:val="006370B3"/>
    <w:rsid w:val="00637903"/>
    <w:rsid w:val="00637E93"/>
    <w:rsid w:val="00637F2E"/>
    <w:rsid w:val="00641217"/>
    <w:rsid w:val="00645BC8"/>
    <w:rsid w:val="0064782F"/>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B24"/>
    <w:rsid w:val="00697EA9"/>
    <w:rsid w:val="006A06EE"/>
    <w:rsid w:val="006A25CE"/>
    <w:rsid w:val="006A3281"/>
    <w:rsid w:val="006A4BA2"/>
    <w:rsid w:val="006A4C44"/>
    <w:rsid w:val="006A7FBB"/>
    <w:rsid w:val="006B0E96"/>
    <w:rsid w:val="006B1ADB"/>
    <w:rsid w:val="006B3C71"/>
    <w:rsid w:val="006B4252"/>
    <w:rsid w:val="006B4351"/>
    <w:rsid w:val="006B46E3"/>
    <w:rsid w:val="006C0054"/>
    <w:rsid w:val="006C0F1D"/>
    <w:rsid w:val="006C227A"/>
    <w:rsid w:val="006C344B"/>
    <w:rsid w:val="006C3C87"/>
    <w:rsid w:val="006C3D88"/>
    <w:rsid w:val="006C480E"/>
    <w:rsid w:val="006C5F7E"/>
    <w:rsid w:val="006D30BE"/>
    <w:rsid w:val="006D567A"/>
    <w:rsid w:val="006D58D2"/>
    <w:rsid w:val="006D5943"/>
    <w:rsid w:val="006E010B"/>
    <w:rsid w:val="006E16A8"/>
    <w:rsid w:val="006E382F"/>
    <w:rsid w:val="006E3A9E"/>
    <w:rsid w:val="006E6765"/>
    <w:rsid w:val="006E6953"/>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594F"/>
    <w:rsid w:val="00706DA6"/>
    <w:rsid w:val="007071EB"/>
    <w:rsid w:val="00710463"/>
    <w:rsid w:val="00710837"/>
    <w:rsid w:val="00710B71"/>
    <w:rsid w:val="00710CD0"/>
    <w:rsid w:val="00711612"/>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6EF"/>
    <w:rsid w:val="00772676"/>
    <w:rsid w:val="007726C3"/>
    <w:rsid w:val="00773D9F"/>
    <w:rsid w:val="00774571"/>
    <w:rsid w:val="00780E8E"/>
    <w:rsid w:val="007812FA"/>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4032"/>
    <w:rsid w:val="00795189"/>
    <w:rsid w:val="007969EF"/>
    <w:rsid w:val="007A0737"/>
    <w:rsid w:val="007A1182"/>
    <w:rsid w:val="007A341B"/>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806"/>
    <w:rsid w:val="007C7D9A"/>
    <w:rsid w:val="007D0240"/>
    <w:rsid w:val="007D064F"/>
    <w:rsid w:val="007D06D2"/>
    <w:rsid w:val="007D06EA"/>
    <w:rsid w:val="007D16B3"/>
    <w:rsid w:val="007D1ACE"/>
    <w:rsid w:val="007D2830"/>
    <w:rsid w:val="007D2F8A"/>
    <w:rsid w:val="007D4AB8"/>
    <w:rsid w:val="007D4FF0"/>
    <w:rsid w:val="007D6050"/>
    <w:rsid w:val="007D63C9"/>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6F57"/>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6B60"/>
    <w:rsid w:val="00857D31"/>
    <w:rsid w:val="00860870"/>
    <w:rsid w:val="0086264D"/>
    <w:rsid w:val="00862DFA"/>
    <w:rsid w:val="00863D3F"/>
    <w:rsid w:val="008640A9"/>
    <w:rsid w:val="00864A68"/>
    <w:rsid w:val="0086561A"/>
    <w:rsid w:val="00867A66"/>
    <w:rsid w:val="00867D40"/>
    <w:rsid w:val="00871360"/>
    <w:rsid w:val="008714CE"/>
    <w:rsid w:val="0087161E"/>
    <w:rsid w:val="00872F54"/>
    <w:rsid w:val="00874F1E"/>
    <w:rsid w:val="00874F94"/>
    <w:rsid w:val="008759F2"/>
    <w:rsid w:val="00876D6E"/>
    <w:rsid w:val="008800CD"/>
    <w:rsid w:val="0088080F"/>
    <w:rsid w:val="00881C7A"/>
    <w:rsid w:val="00881CC4"/>
    <w:rsid w:val="008820EB"/>
    <w:rsid w:val="0088395D"/>
    <w:rsid w:val="0088652E"/>
    <w:rsid w:val="00887695"/>
    <w:rsid w:val="00887B1A"/>
    <w:rsid w:val="00890105"/>
    <w:rsid w:val="008920CE"/>
    <w:rsid w:val="008A090F"/>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E6CB3"/>
    <w:rsid w:val="008F1E56"/>
    <w:rsid w:val="008F23DD"/>
    <w:rsid w:val="008F6418"/>
    <w:rsid w:val="008F66DE"/>
    <w:rsid w:val="008F7C65"/>
    <w:rsid w:val="00900237"/>
    <w:rsid w:val="009023CD"/>
    <w:rsid w:val="00903251"/>
    <w:rsid w:val="009035CB"/>
    <w:rsid w:val="0090439C"/>
    <w:rsid w:val="00904D56"/>
    <w:rsid w:val="00904F9C"/>
    <w:rsid w:val="00907078"/>
    <w:rsid w:val="00907B49"/>
    <w:rsid w:val="009101B9"/>
    <w:rsid w:val="00910961"/>
    <w:rsid w:val="0091105D"/>
    <w:rsid w:val="009132A8"/>
    <w:rsid w:val="00913BC2"/>
    <w:rsid w:val="00913F0D"/>
    <w:rsid w:val="009149DE"/>
    <w:rsid w:val="0091581B"/>
    <w:rsid w:val="009169B4"/>
    <w:rsid w:val="00916B94"/>
    <w:rsid w:val="0091754C"/>
    <w:rsid w:val="009175DE"/>
    <w:rsid w:val="00920046"/>
    <w:rsid w:val="00920A46"/>
    <w:rsid w:val="00923416"/>
    <w:rsid w:val="00924D6A"/>
    <w:rsid w:val="00925DCD"/>
    <w:rsid w:val="00925EC5"/>
    <w:rsid w:val="00927B96"/>
    <w:rsid w:val="009303B7"/>
    <w:rsid w:val="0093237F"/>
    <w:rsid w:val="00934288"/>
    <w:rsid w:val="0093717B"/>
    <w:rsid w:val="00942C3B"/>
    <w:rsid w:val="00943FF4"/>
    <w:rsid w:val="00945EC2"/>
    <w:rsid w:val="009464E6"/>
    <w:rsid w:val="0095029C"/>
    <w:rsid w:val="00950A42"/>
    <w:rsid w:val="009510CA"/>
    <w:rsid w:val="00953BAA"/>
    <w:rsid w:val="00954B1F"/>
    <w:rsid w:val="00954CD1"/>
    <w:rsid w:val="00957FDA"/>
    <w:rsid w:val="00964157"/>
    <w:rsid w:val="009654D6"/>
    <w:rsid w:val="00970AEB"/>
    <w:rsid w:val="0097254D"/>
    <w:rsid w:val="00972E53"/>
    <w:rsid w:val="00974D6B"/>
    <w:rsid w:val="00975CFC"/>
    <w:rsid w:val="00977590"/>
    <w:rsid w:val="00977707"/>
    <w:rsid w:val="00977DF3"/>
    <w:rsid w:val="0098116C"/>
    <w:rsid w:val="009836C4"/>
    <w:rsid w:val="0098497D"/>
    <w:rsid w:val="009854E2"/>
    <w:rsid w:val="00986A6C"/>
    <w:rsid w:val="00987331"/>
    <w:rsid w:val="00991D87"/>
    <w:rsid w:val="009923B4"/>
    <w:rsid w:val="009939F1"/>
    <w:rsid w:val="009943FA"/>
    <w:rsid w:val="00994A54"/>
    <w:rsid w:val="00996755"/>
    <w:rsid w:val="00997359"/>
    <w:rsid w:val="009A0BCB"/>
    <w:rsid w:val="009A53E3"/>
    <w:rsid w:val="009C2E57"/>
    <w:rsid w:val="009C401C"/>
    <w:rsid w:val="009C4254"/>
    <w:rsid w:val="009D1A5A"/>
    <w:rsid w:val="009D2091"/>
    <w:rsid w:val="009D3425"/>
    <w:rsid w:val="009D37AC"/>
    <w:rsid w:val="009D3A35"/>
    <w:rsid w:val="009D3EA9"/>
    <w:rsid w:val="009D54CB"/>
    <w:rsid w:val="009D6F8D"/>
    <w:rsid w:val="009D799E"/>
    <w:rsid w:val="009E0628"/>
    <w:rsid w:val="009E1506"/>
    <w:rsid w:val="009E391F"/>
    <w:rsid w:val="009E4F61"/>
    <w:rsid w:val="009E55D8"/>
    <w:rsid w:val="009E68E2"/>
    <w:rsid w:val="009E6BCD"/>
    <w:rsid w:val="009F074C"/>
    <w:rsid w:val="009F204C"/>
    <w:rsid w:val="009F31F8"/>
    <w:rsid w:val="009F354C"/>
    <w:rsid w:val="009F49BA"/>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2085E"/>
    <w:rsid w:val="00A21494"/>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C96"/>
    <w:rsid w:val="00A524BA"/>
    <w:rsid w:val="00A5438D"/>
    <w:rsid w:val="00A54921"/>
    <w:rsid w:val="00A553D4"/>
    <w:rsid w:val="00A5679A"/>
    <w:rsid w:val="00A57517"/>
    <w:rsid w:val="00A579B0"/>
    <w:rsid w:val="00A57FBF"/>
    <w:rsid w:val="00A6030F"/>
    <w:rsid w:val="00A6233D"/>
    <w:rsid w:val="00A639B9"/>
    <w:rsid w:val="00A70302"/>
    <w:rsid w:val="00A70CD9"/>
    <w:rsid w:val="00A70F46"/>
    <w:rsid w:val="00A7112C"/>
    <w:rsid w:val="00A71C5A"/>
    <w:rsid w:val="00A744A6"/>
    <w:rsid w:val="00A75A4D"/>
    <w:rsid w:val="00A770AD"/>
    <w:rsid w:val="00A801A7"/>
    <w:rsid w:val="00A847DE"/>
    <w:rsid w:val="00A84B75"/>
    <w:rsid w:val="00A8522A"/>
    <w:rsid w:val="00A85806"/>
    <w:rsid w:val="00A858E6"/>
    <w:rsid w:val="00A8750F"/>
    <w:rsid w:val="00A90680"/>
    <w:rsid w:val="00A90976"/>
    <w:rsid w:val="00A90D02"/>
    <w:rsid w:val="00A93EE5"/>
    <w:rsid w:val="00A97F0E"/>
    <w:rsid w:val="00AA02D4"/>
    <w:rsid w:val="00AA1B71"/>
    <w:rsid w:val="00AA2404"/>
    <w:rsid w:val="00AA31B0"/>
    <w:rsid w:val="00AA4062"/>
    <w:rsid w:val="00AA56A4"/>
    <w:rsid w:val="00AB019D"/>
    <w:rsid w:val="00AB4EF5"/>
    <w:rsid w:val="00AB6D27"/>
    <w:rsid w:val="00AB6FD5"/>
    <w:rsid w:val="00AC08EC"/>
    <w:rsid w:val="00AC1C33"/>
    <w:rsid w:val="00AC445C"/>
    <w:rsid w:val="00AC5CD4"/>
    <w:rsid w:val="00AC7611"/>
    <w:rsid w:val="00AD0D4D"/>
    <w:rsid w:val="00AD23D0"/>
    <w:rsid w:val="00AD2B93"/>
    <w:rsid w:val="00AD3D67"/>
    <w:rsid w:val="00AD497A"/>
    <w:rsid w:val="00AD5BBB"/>
    <w:rsid w:val="00AD6104"/>
    <w:rsid w:val="00AD63F6"/>
    <w:rsid w:val="00AD7033"/>
    <w:rsid w:val="00AD7399"/>
    <w:rsid w:val="00AE4E5E"/>
    <w:rsid w:val="00AE731A"/>
    <w:rsid w:val="00AE7FD2"/>
    <w:rsid w:val="00AF0EC5"/>
    <w:rsid w:val="00AF15E2"/>
    <w:rsid w:val="00AF1E0E"/>
    <w:rsid w:val="00AF23DE"/>
    <w:rsid w:val="00AF3A3E"/>
    <w:rsid w:val="00AF45AC"/>
    <w:rsid w:val="00AF594A"/>
    <w:rsid w:val="00AF5E5E"/>
    <w:rsid w:val="00AF6ADB"/>
    <w:rsid w:val="00B035D1"/>
    <w:rsid w:val="00B03A28"/>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6FB3"/>
    <w:rsid w:val="00B51B8B"/>
    <w:rsid w:val="00B51D74"/>
    <w:rsid w:val="00B5229B"/>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815FD"/>
    <w:rsid w:val="00B81725"/>
    <w:rsid w:val="00B82DAE"/>
    <w:rsid w:val="00B83520"/>
    <w:rsid w:val="00B8697F"/>
    <w:rsid w:val="00B86BC8"/>
    <w:rsid w:val="00B90A9E"/>
    <w:rsid w:val="00B941A6"/>
    <w:rsid w:val="00B95A1E"/>
    <w:rsid w:val="00B97AC6"/>
    <w:rsid w:val="00BA4166"/>
    <w:rsid w:val="00BA55A8"/>
    <w:rsid w:val="00BA6AF0"/>
    <w:rsid w:val="00BA74C6"/>
    <w:rsid w:val="00BA7A10"/>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24D1"/>
    <w:rsid w:val="00BD404C"/>
    <w:rsid w:val="00BD4981"/>
    <w:rsid w:val="00BD5066"/>
    <w:rsid w:val="00BD545C"/>
    <w:rsid w:val="00BD7D7A"/>
    <w:rsid w:val="00BE0D1F"/>
    <w:rsid w:val="00BE2A8C"/>
    <w:rsid w:val="00BE328A"/>
    <w:rsid w:val="00BE371B"/>
    <w:rsid w:val="00BE3FD8"/>
    <w:rsid w:val="00BE64FC"/>
    <w:rsid w:val="00BE7999"/>
    <w:rsid w:val="00BF2325"/>
    <w:rsid w:val="00BF2A58"/>
    <w:rsid w:val="00BF31CC"/>
    <w:rsid w:val="00BF379A"/>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20838"/>
    <w:rsid w:val="00C2217B"/>
    <w:rsid w:val="00C223CD"/>
    <w:rsid w:val="00C23E02"/>
    <w:rsid w:val="00C24386"/>
    <w:rsid w:val="00C25776"/>
    <w:rsid w:val="00C27AE9"/>
    <w:rsid w:val="00C27E3E"/>
    <w:rsid w:val="00C325DA"/>
    <w:rsid w:val="00C327F3"/>
    <w:rsid w:val="00C3556B"/>
    <w:rsid w:val="00C3609F"/>
    <w:rsid w:val="00C36118"/>
    <w:rsid w:val="00C36337"/>
    <w:rsid w:val="00C3696F"/>
    <w:rsid w:val="00C37D9B"/>
    <w:rsid w:val="00C413E4"/>
    <w:rsid w:val="00C41917"/>
    <w:rsid w:val="00C426E9"/>
    <w:rsid w:val="00C4548B"/>
    <w:rsid w:val="00C50596"/>
    <w:rsid w:val="00C51ABB"/>
    <w:rsid w:val="00C53BB6"/>
    <w:rsid w:val="00C57BDD"/>
    <w:rsid w:val="00C60605"/>
    <w:rsid w:val="00C60D33"/>
    <w:rsid w:val="00C61528"/>
    <w:rsid w:val="00C61E6E"/>
    <w:rsid w:val="00C64F93"/>
    <w:rsid w:val="00C66124"/>
    <w:rsid w:val="00C667AE"/>
    <w:rsid w:val="00C70C7A"/>
    <w:rsid w:val="00C73054"/>
    <w:rsid w:val="00C733D3"/>
    <w:rsid w:val="00C73BF4"/>
    <w:rsid w:val="00C7527E"/>
    <w:rsid w:val="00C7685A"/>
    <w:rsid w:val="00C76C70"/>
    <w:rsid w:val="00C7707E"/>
    <w:rsid w:val="00C80D9D"/>
    <w:rsid w:val="00C854C5"/>
    <w:rsid w:val="00C90015"/>
    <w:rsid w:val="00C90333"/>
    <w:rsid w:val="00C90685"/>
    <w:rsid w:val="00C90A41"/>
    <w:rsid w:val="00C93B88"/>
    <w:rsid w:val="00C94EE5"/>
    <w:rsid w:val="00C95166"/>
    <w:rsid w:val="00CA08FD"/>
    <w:rsid w:val="00CA11E5"/>
    <w:rsid w:val="00CA172D"/>
    <w:rsid w:val="00CA335D"/>
    <w:rsid w:val="00CA58E1"/>
    <w:rsid w:val="00CA5ADB"/>
    <w:rsid w:val="00CA68E7"/>
    <w:rsid w:val="00CB0EA5"/>
    <w:rsid w:val="00CB0FCE"/>
    <w:rsid w:val="00CB513A"/>
    <w:rsid w:val="00CB53F8"/>
    <w:rsid w:val="00CB6153"/>
    <w:rsid w:val="00CB6C02"/>
    <w:rsid w:val="00CC1280"/>
    <w:rsid w:val="00CC3A13"/>
    <w:rsid w:val="00CC3A49"/>
    <w:rsid w:val="00CC4D5E"/>
    <w:rsid w:val="00CC5132"/>
    <w:rsid w:val="00CC6071"/>
    <w:rsid w:val="00CC7248"/>
    <w:rsid w:val="00CD0605"/>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383"/>
    <w:rsid w:val="00CF653E"/>
    <w:rsid w:val="00CF6F9E"/>
    <w:rsid w:val="00CF7BE0"/>
    <w:rsid w:val="00D013FD"/>
    <w:rsid w:val="00D02798"/>
    <w:rsid w:val="00D02BE8"/>
    <w:rsid w:val="00D040DA"/>
    <w:rsid w:val="00D04195"/>
    <w:rsid w:val="00D046D6"/>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56CC"/>
    <w:rsid w:val="00D3768D"/>
    <w:rsid w:val="00D37A5C"/>
    <w:rsid w:val="00D4093A"/>
    <w:rsid w:val="00D426BF"/>
    <w:rsid w:val="00D4281E"/>
    <w:rsid w:val="00D42BC6"/>
    <w:rsid w:val="00D4525A"/>
    <w:rsid w:val="00D506E9"/>
    <w:rsid w:val="00D519D1"/>
    <w:rsid w:val="00D553E5"/>
    <w:rsid w:val="00D5774E"/>
    <w:rsid w:val="00D60913"/>
    <w:rsid w:val="00D61B3A"/>
    <w:rsid w:val="00D62D47"/>
    <w:rsid w:val="00D64FD0"/>
    <w:rsid w:val="00D66013"/>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B1635"/>
    <w:rsid w:val="00DB1BF7"/>
    <w:rsid w:val="00DB4E19"/>
    <w:rsid w:val="00DB5509"/>
    <w:rsid w:val="00DB5848"/>
    <w:rsid w:val="00DC1103"/>
    <w:rsid w:val="00DC46B8"/>
    <w:rsid w:val="00DC53EC"/>
    <w:rsid w:val="00DC5610"/>
    <w:rsid w:val="00DC59F9"/>
    <w:rsid w:val="00DC6D9D"/>
    <w:rsid w:val="00DC7CF8"/>
    <w:rsid w:val="00DD0764"/>
    <w:rsid w:val="00DD3477"/>
    <w:rsid w:val="00DD3D93"/>
    <w:rsid w:val="00DD5AAA"/>
    <w:rsid w:val="00DD6928"/>
    <w:rsid w:val="00DE042B"/>
    <w:rsid w:val="00DE0BE2"/>
    <w:rsid w:val="00DE1CF8"/>
    <w:rsid w:val="00DE2DEA"/>
    <w:rsid w:val="00DE4AD2"/>
    <w:rsid w:val="00DE5B64"/>
    <w:rsid w:val="00DE5B7E"/>
    <w:rsid w:val="00DE61A4"/>
    <w:rsid w:val="00DE6E2C"/>
    <w:rsid w:val="00DE74E0"/>
    <w:rsid w:val="00DE75C5"/>
    <w:rsid w:val="00DF002B"/>
    <w:rsid w:val="00DF2AE4"/>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651"/>
    <w:rsid w:val="00E16D06"/>
    <w:rsid w:val="00E20312"/>
    <w:rsid w:val="00E20403"/>
    <w:rsid w:val="00E209B5"/>
    <w:rsid w:val="00E20DB7"/>
    <w:rsid w:val="00E2232F"/>
    <w:rsid w:val="00E2425E"/>
    <w:rsid w:val="00E26544"/>
    <w:rsid w:val="00E302BE"/>
    <w:rsid w:val="00E3075F"/>
    <w:rsid w:val="00E319E6"/>
    <w:rsid w:val="00E31F3F"/>
    <w:rsid w:val="00E321C8"/>
    <w:rsid w:val="00E32815"/>
    <w:rsid w:val="00E40203"/>
    <w:rsid w:val="00E402C0"/>
    <w:rsid w:val="00E40D51"/>
    <w:rsid w:val="00E415A3"/>
    <w:rsid w:val="00E41A31"/>
    <w:rsid w:val="00E41AAA"/>
    <w:rsid w:val="00E443DE"/>
    <w:rsid w:val="00E46A38"/>
    <w:rsid w:val="00E4722B"/>
    <w:rsid w:val="00E50C23"/>
    <w:rsid w:val="00E52314"/>
    <w:rsid w:val="00E52942"/>
    <w:rsid w:val="00E52AE4"/>
    <w:rsid w:val="00E54F51"/>
    <w:rsid w:val="00E611A0"/>
    <w:rsid w:val="00E61AC7"/>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0B15"/>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56C0"/>
    <w:rsid w:val="00EF731B"/>
    <w:rsid w:val="00EF7E88"/>
    <w:rsid w:val="00F009C1"/>
    <w:rsid w:val="00F023B2"/>
    <w:rsid w:val="00F025D4"/>
    <w:rsid w:val="00F037F8"/>
    <w:rsid w:val="00F03E93"/>
    <w:rsid w:val="00F041A6"/>
    <w:rsid w:val="00F0437A"/>
    <w:rsid w:val="00F05B2F"/>
    <w:rsid w:val="00F05F49"/>
    <w:rsid w:val="00F11341"/>
    <w:rsid w:val="00F11819"/>
    <w:rsid w:val="00F11B46"/>
    <w:rsid w:val="00F12D43"/>
    <w:rsid w:val="00F13062"/>
    <w:rsid w:val="00F1328B"/>
    <w:rsid w:val="00F146D7"/>
    <w:rsid w:val="00F14EC6"/>
    <w:rsid w:val="00F14EF2"/>
    <w:rsid w:val="00F1665D"/>
    <w:rsid w:val="00F17582"/>
    <w:rsid w:val="00F20CD4"/>
    <w:rsid w:val="00F236A0"/>
    <w:rsid w:val="00F24C7C"/>
    <w:rsid w:val="00F26503"/>
    <w:rsid w:val="00F26B75"/>
    <w:rsid w:val="00F277E6"/>
    <w:rsid w:val="00F278D2"/>
    <w:rsid w:val="00F31131"/>
    <w:rsid w:val="00F313D5"/>
    <w:rsid w:val="00F31E1E"/>
    <w:rsid w:val="00F348AE"/>
    <w:rsid w:val="00F3543A"/>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82BC4"/>
    <w:rsid w:val="00F8489B"/>
    <w:rsid w:val="00F85BC6"/>
    <w:rsid w:val="00F8666A"/>
    <w:rsid w:val="00F86E63"/>
    <w:rsid w:val="00F90A2B"/>
    <w:rsid w:val="00F93CC9"/>
    <w:rsid w:val="00F964B8"/>
    <w:rsid w:val="00F9750D"/>
    <w:rsid w:val="00FA0B1C"/>
    <w:rsid w:val="00FA2730"/>
    <w:rsid w:val="00FA477A"/>
    <w:rsid w:val="00FA4E3B"/>
    <w:rsid w:val="00FA59B2"/>
    <w:rsid w:val="00FA6128"/>
    <w:rsid w:val="00FA691C"/>
    <w:rsid w:val="00FA6FF9"/>
    <w:rsid w:val="00FA7683"/>
    <w:rsid w:val="00FB0E65"/>
    <w:rsid w:val="00FB380D"/>
    <w:rsid w:val="00FB4A30"/>
    <w:rsid w:val="00FC08BE"/>
    <w:rsid w:val="00FC375D"/>
    <w:rsid w:val="00FC5551"/>
    <w:rsid w:val="00FC5C1A"/>
    <w:rsid w:val="00FC5D48"/>
    <w:rsid w:val="00FC751A"/>
    <w:rsid w:val="00FD0A07"/>
    <w:rsid w:val="00FD0F69"/>
    <w:rsid w:val="00FD1490"/>
    <w:rsid w:val="00FD6052"/>
    <w:rsid w:val="00FD71B1"/>
    <w:rsid w:val="00FE04C4"/>
    <w:rsid w:val="00FE0938"/>
    <w:rsid w:val="00FE0C24"/>
    <w:rsid w:val="00FE22B0"/>
    <w:rsid w:val="00FE2B9B"/>
    <w:rsid w:val="00FE6E59"/>
    <w:rsid w:val="00FE6E67"/>
    <w:rsid w:val="00FF17AC"/>
    <w:rsid w:val="00FF1D02"/>
    <w:rsid w:val="00FF2A96"/>
    <w:rsid w:val="00FF306B"/>
    <w:rsid w:val="00FF4262"/>
    <w:rsid w:val="00FF64D3"/>
    <w:rsid w:val="00FF6919"/>
    <w:rsid w:val="00FF71FD"/>
    <w:rsid w:val="02212536"/>
    <w:rsid w:val="0350206F"/>
    <w:rsid w:val="03913EDB"/>
    <w:rsid w:val="042802A6"/>
    <w:rsid w:val="046209B3"/>
    <w:rsid w:val="04850902"/>
    <w:rsid w:val="04FA063C"/>
    <w:rsid w:val="06CD3D3D"/>
    <w:rsid w:val="0796342D"/>
    <w:rsid w:val="08B33165"/>
    <w:rsid w:val="0BF1540D"/>
    <w:rsid w:val="0C31180F"/>
    <w:rsid w:val="0C666372"/>
    <w:rsid w:val="0CBB2C76"/>
    <w:rsid w:val="0DEE46DD"/>
    <w:rsid w:val="0E172AF1"/>
    <w:rsid w:val="14581226"/>
    <w:rsid w:val="14891896"/>
    <w:rsid w:val="14994D5F"/>
    <w:rsid w:val="15E63447"/>
    <w:rsid w:val="170236F8"/>
    <w:rsid w:val="17C92E60"/>
    <w:rsid w:val="18595432"/>
    <w:rsid w:val="192F404E"/>
    <w:rsid w:val="19FA44BF"/>
    <w:rsid w:val="1AE07910"/>
    <w:rsid w:val="1AE868A6"/>
    <w:rsid w:val="1B214BCB"/>
    <w:rsid w:val="1B6D48EA"/>
    <w:rsid w:val="1B862D7E"/>
    <w:rsid w:val="1C121264"/>
    <w:rsid w:val="1D043F0C"/>
    <w:rsid w:val="1D9F657B"/>
    <w:rsid w:val="1DFA68F7"/>
    <w:rsid w:val="222728ED"/>
    <w:rsid w:val="22AC0917"/>
    <w:rsid w:val="23127870"/>
    <w:rsid w:val="23F72C95"/>
    <w:rsid w:val="28724CF7"/>
    <w:rsid w:val="292D042C"/>
    <w:rsid w:val="296930E5"/>
    <w:rsid w:val="2CED3576"/>
    <w:rsid w:val="2E273B64"/>
    <w:rsid w:val="30DA23E1"/>
    <w:rsid w:val="30F74620"/>
    <w:rsid w:val="314451C5"/>
    <w:rsid w:val="32AE7455"/>
    <w:rsid w:val="32D24BFA"/>
    <w:rsid w:val="32EB5700"/>
    <w:rsid w:val="33EA78E8"/>
    <w:rsid w:val="3809628C"/>
    <w:rsid w:val="38C26E1D"/>
    <w:rsid w:val="38D50B6F"/>
    <w:rsid w:val="397E25E2"/>
    <w:rsid w:val="39B029C6"/>
    <w:rsid w:val="39E2361B"/>
    <w:rsid w:val="3A8E4255"/>
    <w:rsid w:val="3C290D87"/>
    <w:rsid w:val="3CFF4ACD"/>
    <w:rsid w:val="3DC06E79"/>
    <w:rsid w:val="3E366F1B"/>
    <w:rsid w:val="3E62281D"/>
    <w:rsid w:val="40657665"/>
    <w:rsid w:val="42033A2F"/>
    <w:rsid w:val="42CA67D2"/>
    <w:rsid w:val="43AC5253"/>
    <w:rsid w:val="44676D66"/>
    <w:rsid w:val="45235D40"/>
    <w:rsid w:val="457F5DEF"/>
    <w:rsid w:val="45F23957"/>
    <w:rsid w:val="46D34938"/>
    <w:rsid w:val="4759635F"/>
    <w:rsid w:val="49E8646D"/>
    <w:rsid w:val="4ABE137D"/>
    <w:rsid w:val="4AD01D42"/>
    <w:rsid w:val="4B84094B"/>
    <w:rsid w:val="4BB63EF6"/>
    <w:rsid w:val="4BD73FEC"/>
    <w:rsid w:val="4D8E30EB"/>
    <w:rsid w:val="4DB25C88"/>
    <w:rsid w:val="4E3159E0"/>
    <w:rsid w:val="4EBD09DD"/>
    <w:rsid w:val="51C11AB3"/>
    <w:rsid w:val="522D0A69"/>
    <w:rsid w:val="54652336"/>
    <w:rsid w:val="54AF558B"/>
    <w:rsid w:val="55446072"/>
    <w:rsid w:val="557314BE"/>
    <w:rsid w:val="5582477C"/>
    <w:rsid w:val="55FF7E0C"/>
    <w:rsid w:val="57AA3DAF"/>
    <w:rsid w:val="57D8496D"/>
    <w:rsid w:val="597D5C8E"/>
    <w:rsid w:val="5A26428A"/>
    <w:rsid w:val="5A3417EB"/>
    <w:rsid w:val="5AD51143"/>
    <w:rsid w:val="5ADD79EC"/>
    <w:rsid w:val="5C305B6E"/>
    <w:rsid w:val="5D0E4BD9"/>
    <w:rsid w:val="5ECE06E6"/>
    <w:rsid w:val="61443BBC"/>
    <w:rsid w:val="6229436A"/>
    <w:rsid w:val="652C186A"/>
    <w:rsid w:val="661A3A34"/>
    <w:rsid w:val="67FA375B"/>
    <w:rsid w:val="680E4601"/>
    <w:rsid w:val="68DD6A6D"/>
    <w:rsid w:val="69C66543"/>
    <w:rsid w:val="6A3C23CA"/>
    <w:rsid w:val="6A4574B2"/>
    <w:rsid w:val="6A7E1493"/>
    <w:rsid w:val="6B472FC4"/>
    <w:rsid w:val="6E640638"/>
    <w:rsid w:val="6E846828"/>
    <w:rsid w:val="6EEE33BC"/>
    <w:rsid w:val="6F3E40BC"/>
    <w:rsid w:val="71BC39A7"/>
    <w:rsid w:val="73515782"/>
    <w:rsid w:val="763F6BD5"/>
    <w:rsid w:val="77022914"/>
    <w:rsid w:val="7802440A"/>
    <w:rsid w:val="782D7EEE"/>
    <w:rsid w:val="78317E1B"/>
    <w:rsid w:val="79272D6F"/>
    <w:rsid w:val="792C7E19"/>
    <w:rsid w:val="7CD330EB"/>
    <w:rsid w:val="7D201F1A"/>
    <w:rsid w:val="7E630F39"/>
    <w:rsid w:val="7E83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1"/>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2"/>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3"/>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4"/>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5"/>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6"/>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37"/>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38"/>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39"/>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12">
    <w:name w:val="Body Text 3"/>
    <w:basedOn w:val="1"/>
    <w:link w:val="47"/>
    <w:qFormat/>
    <w:uiPriority w:val="0"/>
    <w:rPr>
      <w:rFonts w:ascii="黑体" w:hAnsi="Arial" w:eastAsia="黑体"/>
      <w:b/>
      <w:kern w:val="0"/>
    </w:rPr>
  </w:style>
  <w:style w:type="paragraph" w:styleId="13">
    <w:name w:val="Body Text Indent"/>
    <w:basedOn w:val="1"/>
    <w:link w:val="50"/>
    <w:semiHidden/>
    <w:unhideWhenUsed/>
    <w:qFormat/>
    <w:uiPriority w:val="99"/>
    <w:pPr>
      <w:spacing w:after="120"/>
      <w:ind w:left="420" w:leftChars="200"/>
    </w:pPr>
  </w:style>
  <w:style w:type="paragraph" w:styleId="1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2"/>
    <w:qFormat/>
    <w:uiPriority w:val="99"/>
    <w:rPr>
      <w:rFonts w:ascii="宋体" w:hAnsi="Courier New" w:cs="Courier New"/>
      <w:kern w:val="0"/>
      <w:sz w:val="20"/>
      <w:szCs w:val="21"/>
    </w:rPr>
  </w:style>
  <w:style w:type="paragraph" w:styleId="16">
    <w:name w:val="Balloon Text"/>
    <w:basedOn w:val="1"/>
    <w:link w:val="49"/>
    <w:semiHidden/>
    <w:unhideWhenUsed/>
    <w:qFormat/>
    <w:uiPriority w:val="99"/>
    <w:rPr>
      <w:sz w:val="18"/>
      <w:szCs w:val="18"/>
    </w:rPr>
  </w:style>
  <w:style w:type="paragraph" w:styleId="17">
    <w:name w:val="footer"/>
    <w:basedOn w:val="1"/>
    <w:link w:val="52"/>
    <w:unhideWhenUsed/>
    <w:qFormat/>
    <w:uiPriority w:val="99"/>
    <w:pPr>
      <w:tabs>
        <w:tab w:val="center" w:pos="4153"/>
        <w:tab w:val="right" w:pos="8306"/>
      </w:tabs>
      <w:snapToGrid w:val="0"/>
      <w:jc w:val="left"/>
    </w:pPr>
    <w:rPr>
      <w:sz w:val="18"/>
      <w:szCs w:val="18"/>
    </w:rPr>
  </w:style>
  <w:style w:type="paragraph" w:styleId="18">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rPr>
  </w:style>
  <w:style w:type="paragraph" w:styleId="20">
    <w:name w:val="Subtitle"/>
    <w:basedOn w:val="1"/>
    <w:next w:val="1"/>
    <w:link w:val="41"/>
    <w:qFormat/>
    <w:uiPriority w:val="0"/>
    <w:pPr>
      <w:spacing w:before="240" w:after="60" w:line="312" w:lineRule="auto"/>
      <w:jc w:val="center"/>
      <w:outlineLvl w:val="1"/>
    </w:pPr>
    <w:rPr>
      <w:rFonts w:ascii="Cambria" w:hAnsi="Cambria" w:eastAsia="方正楷体简体"/>
      <w:bCs/>
      <w:kern w:val="28"/>
      <w:sz w:val="20"/>
      <w:szCs w:val="32"/>
    </w:rPr>
  </w:style>
  <w:style w:type="paragraph" w:styleId="21">
    <w:name w:val="toc 2"/>
    <w:basedOn w:val="1"/>
    <w:next w:val="1"/>
    <w:qFormat/>
    <w:uiPriority w:val="39"/>
    <w:pPr>
      <w:ind w:left="420" w:leftChars="200"/>
    </w:pPr>
    <w:rPr>
      <w:sz w:val="24"/>
    </w:rPr>
  </w:style>
  <w:style w:type="paragraph" w:styleId="22">
    <w:name w:val="Title"/>
    <w:basedOn w:val="1"/>
    <w:next w:val="1"/>
    <w:link w:val="40"/>
    <w:qFormat/>
    <w:uiPriority w:val="99"/>
    <w:pPr>
      <w:spacing w:before="240" w:after="60"/>
      <w:jc w:val="center"/>
      <w:outlineLvl w:val="0"/>
    </w:pPr>
    <w:rPr>
      <w:rFonts w:ascii="Cambria" w:hAnsi="Cambria" w:eastAsia="方正小标宋简体"/>
      <w:b/>
      <w:bCs/>
      <w:kern w:val="0"/>
      <w:sz w:val="44"/>
      <w:szCs w:val="3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rPr>
  </w:style>
  <w:style w:type="character" w:styleId="27">
    <w:name w:val="FollowedHyperlink"/>
    <w:basedOn w:val="25"/>
    <w:semiHidden/>
    <w:unhideWhenUsed/>
    <w:qFormat/>
    <w:uiPriority w:val="99"/>
    <w:rPr>
      <w:u w:val="none"/>
    </w:rPr>
  </w:style>
  <w:style w:type="character" w:styleId="28">
    <w:name w:val="Emphasis"/>
    <w:qFormat/>
    <w:uiPriority w:val="0"/>
    <w:rPr>
      <w:rFonts w:hint="default" w:ascii="Times New Roman" w:hAnsi="Times New Roman" w:cs="Times New Roman"/>
    </w:rPr>
  </w:style>
  <w:style w:type="character" w:styleId="29">
    <w:name w:val="Hyperlink"/>
    <w:qFormat/>
    <w:uiPriority w:val="99"/>
    <w:rPr>
      <w:color w:val="0000FF"/>
      <w:u w:val="single"/>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link w:val="3"/>
    <w:qFormat/>
    <w:uiPriority w:val="0"/>
    <w:rPr>
      <w:rFonts w:ascii="Times New Roman" w:hAnsi="Times New Roman"/>
      <w:b/>
      <w:bCs/>
      <w:kern w:val="44"/>
      <w:sz w:val="36"/>
      <w:szCs w:val="44"/>
      <w:lang w:val="zh-CN" w:eastAsia="zh-CN"/>
    </w:rPr>
  </w:style>
  <w:style w:type="character" w:customStyle="1" w:styleId="32">
    <w:name w:val="标题 2 字符"/>
    <w:link w:val="4"/>
    <w:qFormat/>
    <w:uiPriority w:val="0"/>
    <w:rPr>
      <w:rFonts w:ascii="Arial" w:hAnsi="Arial" w:eastAsia="黑体"/>
      <w:b/>
      <w:bCs/>
      <w:sz w:val="32"/>
      <w:szCs w:val="32"/>
      <w:lang w:val="zh-CN" w:eastAsia="zh-CN"/>
    </w:rPr>
  </w:style>
  <w:style w:type="character" w:customStyle="1" w:styleId="33">
    <w:name w:val="标题 3 字符"/>
    <w:link w:val="5"/>
    <w:qFormat/>
    <w:uiPriority w:val="0"/>
    <w:rPr>
      <w:rFonts w:ascii="Times New Roman" w:hAnsi="Times New Roman"/>
      <w:b/>
      <w:bCs/>
      <w:sz w:val="32"/>
      <w:szCs w:val="32"/>
    </w:rPr>
  </w:style>
  <w:style w:type="character" w:customStyle="1" w:styleId="34">
    <w:name w:val="标题 4 字符"/>
    <w:link w:val="6"/>
    <w:qFormat/>
    <w:uiPriority w:val="0"/>
    <w:rPr>
      <w:rFonts w:ascii="仿宋_GB2312" w:hAnsi="Times New Roman" w:eastAsia="仿宋_GB2312"/>
      <w:sz w:val="28"/>
      <w:szCs w:val="24"/>
    </w:rPr>
  </w:style>
  <w:style w:type="character" w:customStyle="1" w:styleId="35">
    <w:name w:val="标题 5 字符"/>
    <w:link w:val="7"/>
    <w:qFormat/>
    <w:uiPriority w:val="0"/>
    <w:rPr>
      <w:rFonts w:ascii="宋体" w:hAnsi="宋体"/>
      <w:b/>
      <w:kern w:val="21"/>
      <w:sz w:val="28"/>
      <w:lang w:eastAsia="ar-SA"/>
    </w:rPr>
  </w:style>
  <w:style w:type="character" w:customStyle="1" w:styleId="36">
    <w:name w:val="标题 6 字符"/>
    <w:link w:val="8"/>
    <w:qFormat/>
    <w:uiPriority w:val="0"/>
    <w:rPr>
      <w:rFonts w:ascii="Arial" w:hAnsi="Arial" w:eastAsia="黑体"/>
      <w:b/>
      <w:kern w:val="21"/>
      <w:sz w:val="24"/>
      <w:lang w:eastAsia="ar-SA"/>
    </w:rPr>
  </w:style>
  <w:style w:type="character" w:customStyle="1" w:styleId="37">
    <w:name w:val="标题 7 字符"/>
    <w:link w:val="9"/>
    <w:qFormat/>
    <w:uiPriority w:val="0"/>
    <w:rPr>
      <w:rFonts w:ascii="宋体" w:hAnsi="宋体"/>
      <w:b/>
      <w:kern w:val="21"/>
      <w:sz w:val="24"/>
      <w:lang w:eastAsia="ar-SA"/>
    </w:rPr>
  </w:style>
  <w:style w:type="character" w:customStyle="1" w:styleId="38">
    <w:name w:val="标题 8 字符"/>
    <w:link w:val="10"/>
    <w:qFormat/>
    <w:uiPriority w:val="0"/>
    <w:rPr>
      <w:rFonts w:ascii="Arial" w:hAnsi="Arial" w:eastAsia="黑体"/>
      <w:kern w:val="21"/>
      <w:sz w:val="24"/>
      <w:lang w:eastAsia="ar-SA"/>
    </w:rPr>
  </w:style>
  <w:style w:type="character" w:customStyle="1" w:styleId="39">
    <w:name w:val="标题 9 字符"/>
    <w:link w:val="11"/>
    <w:qFormat/>
    <w:uiPriority w:val="0"/>
    <w:rPr>
      <w:rFonts w:ascii="Arial" w:hAnsi="Arial" w:eastAsia="黑体"/>
      <w:kern w:val="21"/>
      <w:sz w:val="21"/>
      <w:lang w:eastAsia="ar-SA"/>
    </w:rPr>
  </w:style>
  <w:style w:type="character" w:customStyle="1" w:styleId="40">
    <w:name w:val="标题 字符"/>
    <w:link w:val="22"/>
    <w:qFormat/>
    <w:uiPriority w:val="99"/>
    <w:rPr>
      <w:rFonts w:ascii="Cambria" w:hAnsi="Cambria" w:eastAsia="方正小标宋简体"/>
      <w:b/>
      <w:bCs/>
      <w:sz w:val="44"/>
      <w:szCs w:val="32"/>
    </w:rPr>
  </w:style>
  <w:style w:type="character" w:customStyle="1" w:styleId="41">
    <w:name w:val="副标题 字符"/>
    <w:link w:val="20"/>
    <w:qFormat/>
    <w:uiPriority w:val="0"/>
    <w:rPr>
      <w:rFonts w:ascii="Cambria" w:hAnsi="Cambria" w:eastAsia="方正楷体简体"/>
      <w:bCs/>
      <w:kern w:val="28"/>
      <w:szCs w:val="32"/>
    </w:rPr>
  </w:style>
  <w:style w:type="character" w:customStyle="1" w:styleId="42">
    <w:name w:val="纯文本 字符"/>
    <w:link w:val="15"/>
    <w:qFormat/>
    <w:uiPriority w:val="99"/>
    <w:rPr>
      <w:rFonts w:ascii="宋体" w:hAnsi="Courier New" w:cs="Courier New"/>
      <w:szCs w:val="21"/>
    </w:rPr>
  </w:style>
  <w:style w:type="paragraph" w:styleId="43">
    <w:name w:val="No Spacing"/>
    <w:link w:val="44"/>
    <w:qFormat/>
    <w:uiPriority w:val="0"/>
    <w:rPr>
      <w:rFonts w:ascii="Calibri" w:hAnsi="Calibri" w:eastAsia="宋体" w:cs="Times New Roman"/>
      <w:sz w:val="22"/>
      <w:lang w:val="en-US" w:eastAsia="zh-CN" w:bidi="ar-SA"/>
    </w:rPr>
  </w:style>
  <w:style w:type="character" w:customStyle="1" w:styleId="44">
    <w:name w:val="无间隔 字符"/>
    <w:link w:val="43"/>
    <w:qFormat/>
    <w:uiPriority w:val="0"/>
    <w:rPr>
      <w:sz w:val="22"/>
    </w:rPr>
  </w:style>
  <w:style w:type="paragraph" w:styleId="45">
    <w:name w:val="List Paragraph"/>
    <w:basedOn w:val="1"/>
    <w:qFormat/>
    <w:uiPriority w:val="34"/>
    <w:pPr>
      <w:ind w:firstLine="420" w:firstLineChars="200"/>
    </w:pPr>
    <w:rPr>
      <w:szCs w:val="21"/>
    </w:rPr>
  </w:style>
  <w:style w:type="paragraph" w:customStyle="1" w:styleId="4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7">
    <w:name w:val="正文文本 3 字符"/>
    <w:link w:val="12"/>
    <w:qFormat/>
    <w:uiPriority w:val="0"/>
    <w:rPr>
      <w:rFonts w:ascii="黑体" w:hAnsi="Arial" w:eastAsia="黑体"/>
      <w:b/>
      <w:sz w:val="28"/>
    </w:rPr>
  </w:style>
  <w:style w:type="character" w:customStyle="1" w:styleId="48">
    <w:name w:val="正文文本 3 Char1"/>
    <w:basedOn w:val="25"/>
    <w:semiHidden/>
    <w:qFormat/>
    <w:uiPriority w:val="99"/>
    <w:rPr>
      <w:rFonts w:ascii="Times New Roman" w:hAnsi="Times New Roman"/>
      <w:kern w:val="2"/>
      <w:sz w:val="16"/>
      <w:szCs w:val="16"/>
    </w:rPr>
  </w:style>
  <w:style w:type="character" w:customStyle="1" w:styleId="49">
    <w:name w:val="批注框文本 字符"/>
    <w:basedOn w:val="25"/>
    <w:link w:val="16"/>
    <w:semiHidden/>
    <w:qFormat/>
    <w:uiPriority w:val="99"/>
    <w:rPr>
      <w:rFonts w:ascii="Times New Roman" w:hAnsi="Times New Roman"/>
      <w:kern w:val="2"/>
      <w:sz w:val="18"/>
      <w:szCs w:val="18"/>
    </w:rPr>
  </w:style>
  <w:style w:type="character" w:customStyle="1" w:styleId="50">
    <w:name w:val="正文文本缩进 字符"/>
    <w:basedOn w:val="25"/>
    <w:link w:val="13"/>
    <w:semiHidden/>
    <w:qFormat/>
    <w:uiPriority w:val="99"/>
    <w:rPr>
      <w:rFonts w:ascii="Times New Roman" w:hAnsi="Times New Roman"/>
      <w:kern w:val="2"/>
      <w:sz w:val="28"/>
    </w:rPr>
  </w:style>
  <w:style w:type="character" w:customStyle="1" w:styleId="51">
    <w:name w:val="页眉 字符"/>
    <w:basedOn w:val="25"/>
    <w:link w:val="18"/>
    <w:qFormat/>
    <w:uiPriority w:val="99"/>
    <w:rPr>
      <w:rFonts w:ascii="Times New Roman" w:hAnsi="Times New Roman"/>
      <w:kern w:val="2"/>
      <w:sz w:val="18"/>
      <w:szCs w:val="18"/>
    </w:rPr>
  </w:style>
  <w:style w:type="character" w:customStyle="1" w:styleId="52">
    <w:name w:val="页脚 字符"/>
    <w:basedOn w:val="25"/>
    <w:link w:val="17"/>
    <w:qFormat/>
    <w:uiPriority w:val="99"/>
    <w:rPr>
      <w:rFonts w:ascii="Times New Roman" w:hAnsi="Times New Roman"/>
      <w:kern w:val="2"/>
      <w:sz w:val="18"/>
      <w:szCs w:val="18"/>
    </w:rPr>
  </w:style>
  <w:style w:type="paragraph" w:customStyle="1" w:styleId="53">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纯文本1"/>
    <w:basedOn w:val="1"/>
    <w:qFormat/>
    <w:uiPriority w:val="0"/>
    <w:rPr>
      <w:rFonts w:ascii="宋体" w:hAnsi="Courier New"/>
    </w:rPr>
  </w:style>
  <w:style w:type="character" w:customStyle="1" w:styleId="56">
    <w:name w:val="font21"/>
    <w:basedOn w:val="25"/>
    <w:qFormat/>
    <w:uiPriority w:val="0"/>
    <w:rPr>
      <w:rFonts w:hint="eastAsia" w:ascii="宋体" w:hAnsi="宋体" w:eastAsia="宋体" w:cs="宋体"/>
      <w:color w:val="000000"/>
      <w:sz w:val="24"/>
      <w:szCs w:val="24"/>
      <w:u w:val="none"/>
    </w:rPr>
  </w:style>
  <w:style w:type="character" w:customStyle="1" w:styleId="57">
    <w:name w:val="font01"/>
    <w:basedOn w:val="25"/>
    <w:qFormat/>
    <w:uiPriority w:val="0"/>
    <w:rPr>
      <w:rFonts w:hint="default" w:ascii="Times New Roman" w:hAnsi="Times New Roman" w:cs="Times New Roman"/>
      <w:color w:val="000000"/>
      <w:sz w:val="24"/>
      <w:szCs w:val="24"/>
      <w:u w:val="none"/>
    </w:rPr>
  </w:style>
  <w:style w:type="character" w:customStyle="1" w:styleId="58">
    <w:name w:val="font91"/>
    <w:basedOn w:val="25"/>
    <w:qFormat/>
    <w:uiPriority w:val="0"/>
    <w:rPr>
      <w:rFonts w:hint="eastAsia" w:ascii="宋体" w:hAnsi="宋体" w:eastAsia="宋体" w:cs="宋体"/>
      <w:color w:val="000000"/>
      <w:sz w:val="24"/>
      <w:szCs w:val="24"/>
      <w:u w:val="none"/>
    </w:rPr>
  </w:style>
  <w:style w:type="character" w:customStyle="1" w:styleId="59">
    <w:name w:val="font51"/>
    <w:basedOn w:val="2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A8B02-F58A-4F85-82E1-D417A169AA0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4852</Words>
  <Characters>27663</Characters>
  <Lines>230</Lines>
  <Paragraphs>64</Paragraphs>
  <TotalTime>5</TotalTime>
  <ScaleCrop>false</ScaleCrop>
  <LinksUpToDate>false</LinksUpToDate>
  <CharactersWithSpaces>32451</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 ゛S</cp:lastModifiedBy>
  <cp:lastPrinted>2020-03-11T03:27:00Z</cp:lastPrinted>
  <dcterms:modified xsi:type="dcterms:W3CDTF">2020-03-16T07:52:39Z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