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ind w:firstLine="883" w:firstLineChars="200"/>
        <w:rPr>
          <w:rFonts w:hint="eastAsia" w:ascii="宋体" w:hAnsi="宋体" w:eastAsia="宋体"/>
          <w:b/>
          <w:bCs/>
          <w:color w:val="auto"/>
          <w:sz w:val="44"/>
          <w:szCs w:val="44"/>
          <w:lang w:eastAsia="zh-CN"/>
        </w:rPr>
      </w:pPr>
    </w:p>
    <w:p>
      <w:pPr>
        <w:tabs>
          <w:tab w:val="left" w:pos="420"/>
        </w:tabs>
        <w:spacing w:line="360" w:lineRule="auto"/>
        <w:ind w:firstLine="883" w:firstLineChars="200"/>
        <w:rPr>
          <w:rFonts w:hint="eastAsia" w:ascii="宋体" w:hAnsi="宋体" w:eastAsia="宋体"/>
          <w:b/>
          <w:bCs/>
          <w:color w:val="auto"/>
          <w:sz w:val="44"/>
          <w:szCs w:val="44"/>
          <w:lang w:eastAsia="zh-CN"/>
        </w:rPr>
      </w:pPr>
    </w:p>
    <w:p>
      <w:pPr>
        <w:tabs>
          <w:tab w:val="left" w:pos="420"/>
        </w:tabs>
        <w:spacing w:line="360" w:lineRule="auto"/>
        <w:ind w:firstLine="883" w:firstLineChars="200"/>
        <w:rPr>
          <w:rFonts w:hint="eastAsia" w:ascii="宋体" w:hAnsi="宋体" w:eastAsia="宋体"/>
          <w:b/>
          <w:bCs/>
          <w:color w:val="auto"/>
          <w:sz w:val="44"/>
          <w:szCs w:val="44"/>
          <w:lang w:eastAsia="zh-CN"/>
        </w:rPr>
      </w:pPr>
      <w:r>
        <w:rPr>
          <w:rFonts w:hint="eastAsia" w:ascii="宋体" w:hAnsi="宋体"/>
          <w:b/>
          <w:bCs/>
          <w:color w:val="auto"/>
          <w:sz w:val="44"/>
          <w:szCs w:val="44"/>
          <w:lang w:eastAsia="zh-CN"/>
        </w:rPr>
        <w:t>鄂托克前旗民政局采购殡仪馆火化设备项目</w:t>
      </w:r>
    </w:p>
    <w:p>
      <w:pPr>
        <w:pStyle w:val="13"/>
        <w:rPr>
          <w:rFonts w:hint="eastAsia" w:ascii="宋体" w:hAnsi="宋体" w:eastAsia="宋体"/>
          <w:b/>
          <w:bCs/>
          <w:color w:val="auto"/>
          <w:sz w:val="44"/>
          <w:szCs w:val="44"/>
          <w:lang w:eastAsia="zh-CN"/>
        </w:rPr>
      </w:pPr>
    </w:p>
    <w:p/>
    <w:p>
      <w:pPr>
        <w:pStyle w:val="2"/>
        <w:rPr>
          <w:color w:val="auto"/>
          <w:sz w:val="52"/>
          <w:szCs w:val="52"/>
        </w:rPr>
      </w:pPr>
    </w:p>
    <w:p>
      <w:pPr>
        <w:tabs>
          <w:tab w:val="left" w:pos="315"/>
          <w:tab w:val="left" w:pos="8820"/>
        </w:tabs>
        <w:spacing w:line="360" w:lineRule="auto"/>
        <w:ind w:right="356" w:rightChars="127"/>
        <w:jc w:val="center"/>
        <w:rPr>
          <w:rFonts w:ascii="宋体" w:hAnsi="宋体"/>
          <w:b/>
          <w:bCs/>
          <w:color w:val="auto"/>
          <w:sz w:val="84"/>
          <w:szCs w:val="84"/>
        </w:rPr>
      </w:pPr>
      <w:r>
        <w:rPr>
          <w:rFonts w:hint="eastAsia" w:ascii="宋体" w:hAnsi="宋体"/>
          <w:b/>
          <w:bCs/>
          <w:color w:val="auto"/>
          <w:sz w:val="84"/>
          <w:szCs w:val="84"/>
        </w:rPr>
        <w:t>招 标 文 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r>
        <w:rPr>
          <w:color w:val="000000"/>
          <w:szCs w:val="28"/>
        </w:rPr>
        <w:drawing>
          <wp:anchor distT="0" distB="0" distL="0" distR="0" simplePos="0" relativeHeight="251658240" behindDoc="1" locked="0" layoutInCell="1" allowOverlap="1">
            <wp:simplePos x="0" y="0"/>
            <wp:positionH relativeFrom="column">
              <wp:posOffset>2004060</wp:posOffset>
            </wp:positionH>
            <wp:positionV relativeFrom="paragraph">
              <wp:posOffset>303530</wp:posOffset>
            </wp:positionV>
            <wp:extent cx="2237105" cy="1677670"/>
            <wp:effectExtent l="0" t="0" r="10795" b="17780"/>
            <wp:wrapTight wrapText="bothSides">
              <wp:wrapPolygon>
                <wp:start x="0" y="0"/>
                <wp:lineTo x="0" y="21338"/>
                <wp:lineTo x="21336" y="21338"/>
                <wp:lineTo x="21336" y="0"/>
                <wp:lineTo x="0" y="0"/>
              </wp:wrapPolygon>
            </wp:wrapTight>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anchor>
        </w:drawing>
      </w: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line="500" w:lineRule="exact"/>
        <w:ind w:right="356" w:rightChars="127" w:firstLine="1606" w:firstLineChars="500"/>
        <w:rPr>
          <w:rFonts w:ascii="宋体" w:hAnsi="宋体"/>
          <w:b/>
          <w:color w:val="auto"/>
          <w:sz w:val="32"/>
          <w:szCs w:val="36"/>
        </w:rPr>
      </w:pPr>
    </w:p>
    <w:p>
      <w:pPr>
        <w:tabs>
          <w:tab w:val="left" w:pos="315"/>
          <w:tab w:val="left" w:pos="8820"/>
        </w:tabs>
        <w:spacing w:line="500" w:lineRule="exact"/>
        <w:ind w:right="356" w:rightChars="127" w:firstLine="1606" w:firstLineChars="500"/>
        <w:rPr>
          <w:rFonts w:ascii="宋体" w:hAnsi="宋体"/>
          <w:b/>
          <w:color w:val="auto"/>
          <w:sz w:val="32"/>
          <w:szCs w:val="36"/>
        </w:rPr>
      </w:pPr>
    </w:p>
    <w:p>
      <w:pPr>
        <w:tabs>
          <w:tab w:val="left" w:pos="315"/>
          <w:tab w:val="left" w:pos="8820"/>
        </w:tabs>
        <w:spacing w:line="500" w:lineRule="exact"/>
        <w:ind w:right="356" w:rightChars="127" w:firstLine="2731" w:firstLineChars="850"/>
        <w:rPr>
          <w:rFonts w:ascii="宋体" w:hAnsi="宋体"/>
          <w:b/>
          <w:color w:val="auto"/>
          <w:sz w:val="32"/>
          <w:szCs w:val="36"/>
        </w:rPr>
      </w:pPr>
    </w:p>
    <w:p>
      <w:pPr>
        <w:tabs>
          <w:tab w:val="left" w:pos="315"/>
          <w:tab w:val="left" w:pos="8820"/>
        </w:tabs>
        <w:spacing w:line="360" w:lineRule="auto"/>
        <w:ind w:right="356" w:rightChars="127"/>
        <w:jc w:val="center"/>
        <w:rPr>
          <w:rFonts w:ascii="宋体" w:hAnsi="宋体"/>
          <w:color w:val="auto"/>
          <w:sz w:val="32"/>
          <w:szCs w:val="32"/>
        </w:rPr>
      </w:pPr>
    </w:p>
    <w:p>
      <w:pPr>
        <w:tabs>
          <w:tab w:val="left" w:pos="315"/>
          <w:tab w:val="left" w:pos="8820"/>
        </w:tabs>
        <w:spacing w:line="360" w:lineRule="auto"/>
        <w:ind w:right="356" w:rightChars="127"/>
        <w:rPr>
          <w:rFonts w:ascii="宋体" w:hAnsi="宋体"/>
          <w:b/>
          <w:color w:val="auto"/>
          <w:sz w:val="32"/>
          <w:szCs w:val="32"/>
        </w:rPr>
      </w:pPr>
    </w:p>
    <w:p>
      <w:pPr>
        <w:tabs>
          <w:tab w:val="left" w:pos="315"/>
          <w:tab w:val="left" w:pos="8820"/>
        </w:tabs>
        <w:spacing w:line="360" w:lineRule="auto"/>
        <w:ind w:right="356" w:rightChars="127"/>
        <w:rPr>
          <w:rFonts w:hint="eastAsia" w:ascii="宋体" w:hAnsi="宋体"/>
          <w:b/>
          <w:sz w:val="32"/>
          <w:szCs w:val="32"/>
          <w:lang w:eastAsia="zh-CN"/>
        </w:rPr>
      </w:pPr>
      <w:r>
        <w:rPr>
          <w:rFonts w:hint="eastAsia" w:ascii="宋体" w:hAnsi="宋体"/>
          <w:b/>
          <w:sz w:val="32"/>
          <w:szCs w:val="32"/>
        </w:rPr>
        <w:t>项目编号：</w:t>
      </w:r>
      <w:r>
        <w:rPr>
          <w:rFonts w:hint="eastAsia" w:ascii="宋体" w:hAnsi="宋体"/>
          <w:b/>
          <w:sz w:val="32"/>
          <w:szCs w:val="32"/>
          <w:lang w:val="en-US" w:eastAsia="zh-CN"/>
        </w:rPr>
        <w:t>CG2020HGK100</w:t>
      </w:r>
    </w:p>
    <w:p>
      <w:pPr>
        <w:pStyle w:val="12"/>
        <w:spacing w:line="360" w:lineRule="auto"/>
        <w:ind w:left="2719" w:leftChars="971" w:firstLine="480" w:firstLineChars="150"/>
        <w:rPr>
          <w:rFonts w:ascii="宋体" w:hAnsi="宋体"/>
          <w:b w:val="0"/>
          <w:color w:val="auto"/>
          <w:sz w:val="32"/>
          <w:szCs w:val="32"/>
        </w:rPr>
      </w:pPr>
    </w:p>
    <w:p>
      <w:pPr>
        <w:pStyle w:val="12"/>
        <w:spacing w:line="360" w:lineRule="auto"/>
        <w:ind w:left="2719" w:leftChars="971" w:firstLine="480" w:firstLineChars="150"/>
        <w:rPr>
          <w:rFonts w:ascii="宋体" w:hAnsi="宋体"/>
          <w:b w:val="0"/>
          <w:color w:val="auto"/>
          <w:sz w:val="32"/>
          <w:szCs w:val="32"/>
        </w:rPr>
      </w:pPr>
      <w:bookmarkStart w:id="92" w:name="_GoBack"/>
      <w:bookmarkEnd w:id="92"/>
    </w:p>
    <w:p>
      <w:pPr>
        <w:tabs>
          <w:tab w:val="left" w:pos="315"/>
          <w:tab w:val="left" w:pos="8820"/>
        </w:tabs>
        <w:spacing w:line="360" w:lineRule="auto"/>
        <w:ind w:right="356" w:rightChars="127"/>
        <w:rPr>
          <w:rFonts w:hint="eastAsia" w:ascii="宋体" w:hAnsi="宋体" w:eastAsia="宋体"/>
          <w:b/>
          <w:sz w:val="32"/>
          <w:szCs w:val="32"/>
          <w:lang w:eastAsia="zh-CN"/>
        </w:rPr>
      </w:pPr>
      <w:r>
        <w:rPr>
          <w:rFonts w:hint="eastAsia" w:ascii="宋体" w:hAnsi="宋体"/>
          <w:b/>
          <w:sz w:val="32"/>
          <w:szCs w:val="32"/>
        </w:rPr>
        <w:t>采 购 人：鄂托克前旗民政局</w:t>
      </w:r>
    </w:p>
    <w:p>
      <w:pPr>
        <w:tabs>
          <w:tab w:val="left" w:pos="315"/>
          <w:tab w:val="left" w:pos="8820"/>
        </w:tabs>
        <w:spacing w:line="360" w:lineRule="auto"/>
        <w:ind w:right="356" w:rightChars="127"/>
        <w:rPr>
          <w:rFonts w:ascii="宋体" w:hAnsi="宋体"/>
          <w:b/>
          <w:sz w:val="32"/>
          <w:szCs w:val="32"/>
        </w:rPr>
      </w:pPr>
      <w:r>
        <w:rPr>
          <w:rFonts w:hint="eastAsia" w:ascii="宋体" w:hAnsi="宋体"/>
          <w:b/>
          <w:sz w:val="32"/>
          <w:szCs w:val="32"/>
          <w:lang w:eastAsia="zh-CN"/>
        </w:rPr>
        <w:t>采购</w:t>
      </w:r>
      <w:r>
        <w:rPr>
          <w:rFonts w:hint="eastAsia" w:ascii="宋体" w:hAnsi="宋体"/>
          <w:b/>
          <w:sz w:val="32"/>
          <w:szCs w:val="32"/>
        </w:rPr>
        <w:t>代理机构：内蒙古久诺项目管理有限公司</w:t>
      </w:r>
    </w:p>
    <w:p>
      <w:pPr>
        <w:pStyle w:val="12"/>
        <w:spacing w:line="360" w:lineRule="auto"/>
        <w:rPr>
          <w:rFonts w:ascii="宋体" w:hAnsi="宋体"/>
          <w:b w:val="0"/>
          <w:bCs/>
          <w:sz w:val="32"/>
          <w:szCs w:val="32"/>
        </w:rPr>
      </w:pPr>
      <w:r>
        <w:rPr>
          <w:rFonts w:hint="eastAsia" w:ascii="宋体" w:hAnsi="宋体"/>
          <w:b w:val="0"/>
          <w:bCs/>
          <w:sz w:val="32"/>
          <w:szCs w:val="32"/>
        </w:rPr>
        <w:t>日    期：20</w:t>
      </w:r>
      <w:r>
        <w:rPr>
          <w:rFonts w:hint="eastAsia" w:ascii="宋体" w:hAnsi="宋体"/>
          <w:b w:val="0"/>
          <w:bCs/>
          <w:sz w:val="32"/>
          <w:szCs w:val="32"/>
          <w:lang w:val="en-US" w:eastAsia="zh-CN"/>
        </w:rPr>
        <w:t>20</w:t>
      </w:r>
      <w:r>
        <w:rPr>
          <w:rFonts w:hint="eastAsia" w:ascii="宋体" w:hAnsi="宋体"/>
          <w:b w:val="0"/>
          <w:bCs/>
          <w:sz w:val="32"/>
          <w:szCs w:val="32"/>
        </w:rPr>
        <w:t>年</w:t>
      </w:r>
      <w:r>
        <w:rPr>
          <w:rFonts w:hint="eastAsia" w:ascii="宋体" w:hAnsi="宋体"/>
          <w:b w:val="0"/>
          <w:bCs/>
          <w:sz w:val="32"/>
          <w:szCs w:val="32"/>
          <w:lang w:val="en-US" w:eastAsia="zh-CN"/>
        </w:rPr>
        <w:t>04</w:t>
      </w:r>
      <w:r>
        <w:rPr>
          <w:rFonts w:hint="eastAsia" w:ascii="宋体" w:hAnsi="宋体"/>
          <w:b w:val="0"/>
          <w:bCs/>
          <w:sz w:val="32"/>
          <w:szCs w:val="32"/>
        </w:rPr>
        <w:t>月</w:t>
      </w:r>
      <w:r>
        <w:rPr>
          <w:rFonts w:hint="eastAsia" w:ascii="宋体" w:hAnsi="宋体"/>
          <w:b w:val="0"/>
          <w:bCs/>
          <w:sz w:val="32"/>
          <w:szCs w:val="32"/>
          <w:lang w:val="en-US" w:eastAsia="zh-CN"/>
        </w:rPr>
        <w:t>03</w:t>
      </w:r>
      <w:r>
        <w:rPr>
          <w:rFonts w:hint="eastAsia" w:ascii="宋体" w:hAnsi="宋体"/>
          <w:b w:val="0"/>
          <w:bCs/>
          <w:sz w:val="32"/>
          <w:szCs w:val="32"/>
        </w:rPr>
        <w:t>日</w:t>
      </w:r>
    </w:p>
    <w:p>
      <w:pPr>
        <w:pStyle w:val="12"/>
        <w:spacing w:line="360" w:lineRule="auto"/>
        <w:ind w:left="2719" w:leftChars="971" w:firstLine="480" w:firstLineChars="150"/>
        <w:rPr>
          <w:rFonts w:ascii="宋体" w:hAnsi="宋体"/>
          <w:b w:val="0"/>
          <w:color w:val="auto"/>
          <w:sz w:val="32"/>
          <w:szCs w:val="32"/>
        </w:rPr>
      </w:pPr>
    </w:p>
    <w:sdt>
      <w:sdtPr>
        <w:rPr>
          <w:rFonts w:ascii="宋体" w:hAnsi="宋体"/>
          <w:color w:val="auto"/>
          <w:kern w:val="0"/>
          <w:sz w:val="32"/>
          <w:szCs w:val="32"/>
        </w:rPr>
        <w:id w:val="147470574"/>
      </w:sdtPr>
      <w:sdtEndPr>
        <w:rPr>
          <w:rFonts w:ascii="宋体" w:hAnsi="宋体"/>
          <w:color w:val="auto"/>
          <w:kern w:val="0"/>
          <w:sz w:val="20"/>
          <w:szCs w:val="20"/>
        </w:rPr>
      </w:sdtEndPr>
      <w:sdtContent>
        <w:p>
          <w:pPr>
            <w:jc w:val="center"/>
            <w:rPr>
              <w:rFonts w:ascii="宋体" w:hAnsi="宋体"/>
              <w:color w:val="auto"/>
              <w:kern w:val="0"/>
              <w:sz w:val="32"/>
              <w:szCs w:val="32"/>
            </w:rPr>
          </w:pPr>
          <w:bookmarkStart w:id="0" w:name="_Toc27824_WPSOffice_Type1"/>
          <w:bookmarkStart w:id="1" w:name="_Toc497408657"/>
        </w:p>
        <w:p>
          <w:pPr>
            <w:jc w:val="center"/>
            <w:rPr>
              <w:color w:val="auto"/>
              <w:sz w:val="32"/>
              <w:szCs w:val="32"/>
            </w:rPr>
          </w:pPr>
          <w:r>
            <w:rPr>
              <w:rFonts w:ascii="宋体" w:hAnsi="宋体"/>
              <w:color w:val="auto"/>
              <w:sz w:val="32"/>
              <w:szCs w:val="32"/>
            </w:rPr>
            <w:t>目录</w:t>
          </w:r>
        </w:p>
        <w:p>
          <w:pPr>
            <w:pStyle w:val="74"/>
            <w:tabs>
              <w:tab w:val="right" w:leader="dot" w:pos="9412"/>
            </w:tabs>
            <w:rPr>
              <w:color w:val="auto"/>
              <w:sz w:val="32"/>
              <w:szCs w:val="32"/>
            </w:rPr>
          </w:pPr>
          <w:r>
            <w:rPr>
              <w:color w:val="auto"/>
            </w:rPr>
            <w:fldChar w:fldCharType="begin"/>
          </w:r>
          <w:r>
            <w:rPr>
              <w:color w:val="auto"/>
            </w:rPr>
            <w:instrText xml:space="preserve"> HYPERLINK \l "_Toc10609_WPSOffice_Level1" </w:instrText>
          </w:r>
          <w:r>
            <w:rPr>
              <w:color w:val="auto"/>
            </w:rPr>
            <w:fldChar w:fldCharType="separate"/>
          </w:r>
          <w:r>
            <w:rPr>
              <w:rFonts w:hint="eastAsia" w:ascii="宋体" w:hAnsi="宋体"/>
              <w:color w:val="auto"/>
              <w:sz w:val="32"/>
              <w:szCs w:val="32"/>
            </w:rPr>
            <w:t>第一章 招标公告</w:t>
          </w:r>
          <w:r>
            <w:rPr>
              <w:color w:val="auto"/>
              <w:sz w:val="32"/>
              <w:szCs w:val="32"/>
            </w:rPr>
            <w:tab/>
          </w:r>
          <w:r>
            <w:rPr>
              <w:rFonts w:hint="eastAsia"/>
              <w:color w:val="auto"/>
              <w:sz w:val="32"/>
              <w:szCs w:val="32"/>
            </w:rPr>
            <w:t xml:space="preserve"> 3</w:t>
          </w:r>
          <w:r>
            <w:rPr>
              <w:rFonts w:hint="eastAsia"/>
              <w:color w:val="auto"/>
              <w:sz w:val="32"/>
              <w:szCs w:val="32"/>
            </w:rPr>
            <w:fldChar w:fldCharType="end"/>
          </w:r>
        </w:p>
        <w:p>
          <w:pPr>
            <w:pStyle w:val="74"/>
            <w:tabs>
              <w:tab w:val="right" w:leader="dot" w:pos="9412"/>
            </w:tabs>
            <w:rPr>
              <w:color w:val="auto"/>
              <w:sz w:val="32"/>
              <w:szCs w:val="32"/>
            </w:rPr>
          </w:pPr>
          <w:r>
            <w:rPr>
              <w:color w:val="auto"/>
            </w:rPr>
            <w:fldChar w:fldCharType="begin"/>
          </w:r>
          <w:r>
            <w:rPr>
              <w:color w:val="auto"/>
            </w:rPr>
            <w:instrText xml:space="preserve"> HYPERLINK \l "_Toc27824_WPSOffice_Level1" </w:instrText>
          </w:r>
          <w:r>
            <w:rPr>
              <w:color w:val="auto"/>
            </w:rPr>
            <w:fldChar w:fldCharType="separate"/>
          </w:r>
          <w:r>
            <w:rPr>
              <w:rFonts w:hint="eastAsia" w:ascii="宋体" w:hAnsi="宋体"/>
              <w:color w:val="auto"/>
              <w:sz w:val="32"/>
              <w:szCs w:val="32"/>
            </w:rPr>
            <w:t>第二章 投标人须知</w:t>
          </w:r>
          <w:r>
            <w:rPr>
              <w:color w:val="auto"/>
              <w:sz w:val="32"/>
              <w:szCs w:val="32"/>
            </w:rPr>
            <w:tab/>
          </w:r>
          <w:r>
            <w:rPr>
              <w:rFonts w:hint="eastAsia"/>
              <w:color w:val="auto"/>
              <w:sz w:val="32"/>
              <w:szCs w:val="32"/>
            </w:rPr>
            <w:t>6</w:t>
          </w:r>
          <w:r>
            <w:rPr>
              <w:rFonts w:hint="eastAsia"/>
              <w:color w:val="auto"/>
              <w:sz w:val="32"/>
              <w:szCs w:val="32"/>
            </w:rPr>
            <w:fldChar w:fldCharType="end"/>
          </w:r>
        </w:p>
        <w:p>
          <w:pPr>
            <w:pStyle w:val="74"/>
            <w:tabs>
              <w:tab w:val="right" w:leader="dot" w:pos="9412"/>
            </w:tabs>
            <w:rPr>
              <w:color w:val="auto"/>
              <w:sz w:val="32"/>
              <w:szCs w:val="32"/>
            </w:rPr>
          </w:pPr>
          <w:r>
            <w:rPr>
              <w:color w:val="auto"/>
            </w:rPr>
            <w:fldChar w:fldCharType="begin"/>
          </w:r>
          <w:r>
            <w:rPr>
              <w:color w:val="auto"/>
            </w:rPr>
            <w:instrText xml:space="preserve"> HYPERLINK \l "_Toc6175_WPSOffice_Level1" </w:instrText>
          </w:r>
          <w:r>
            <w:rPr>
              <w:color w:val="auto"/>
            </w:rPr>
            <w:fldChar w:fldCharType="separate"/>
          </w:r>
          <w:r>
            <w:rPr>
              <w:rFonts w:hint="eastAsia" w:ascii="宋体" w:hAnsi="宋体" w:cs="宋体"/>
              <w:color w:val="auto"/>
              <w:sz w:val="32"/>
              <w:szCs w:val="32"/>
            </w:rPr>
            <w:t>第三章 合同与验收</w:t>
          </w:r>
          <w:r>
            <w:rPr>
              <w:color w:val="auto"/>
              <w:sz w:val="32"/>
              <w:szCs w:val="32"/>
            </w:rPr>
            <w:tab/>
          </w:r>
          <w:r>
            <w:rPr>
              <w:rFonts w:hint="eastAsia"/>
              <w:color w:val="auto"/>
              <w:sz w:val="32"/>
              <w:szCs w:val="32"/>
            </w:rPr>
            <w:t>1</w:t>
          </w:r>
          <w:r>
            <w:rPr>
              <w:rFonts w:hint="eastAsia"/>
              <w:color w:val="auto"/>
              <w:sz w:val="32"/>
              <w:szCs w:val="32"/>
            </w:rPr>
            <w:fldChar w:fldCharType="end"/>
          </w:r>
          <w:r>
            <w:rPr>
              <w:rFonts w:hint="eastAsia"/>
              <w:color w:val="auto"/>
              <w:sz w:val="32"/>
              <w:szCs w:val="32"/>
            </w:rPr>
            <w:t>8</w:t>
          </w:r>
        </w:p>
        <w:p>
          <w:pPr>
            <w:pStyle w:val="74"/>
            <w:tabs>
              <w:tab w:val="right" w:leader="dot" w:pos="9412"/>
            </w:tabs>
            <w:rPr>
              <w:color w:val="auto"/>
              <w:sz w:val="32"/>
              <w:szCs w:val="32"/>
            </w:rPr>
          </w:pPr>
          <w:r>
            <w:rPr>
              <w:color w:val="auto"/>
            </w:rPr>
            <w:fldChar w:fldCharType="begin"/>
          </w:r>
          <w:r>
            <w:rPr>
              <w:color w:val="auto"/>
            </w:rPr>
            <w:instrText xml:space="preserve"> HYPERLINK \l "_Toc29659_WPSOffice_Level1" </w:instrText>
          </w:r>
          <w:r>
            <w:rPr>
              <w:color w:val="auto"/>
            </w:rPr>
            <w:fldChar w:fldCharType="separate"/>
          </w:r>
          <w:r>
            <w:rPr>
              <w:rFonts w:hint="eastAsia" w:ascii="宋体" w:hAnsi="宋体"/>
              <w:color w:val="auto"/>
              <w:sz w:val="32"/>
              <w:szCs w:val="32"/>
            </w:rPr>
            <w:t>第四章 招标内容与技术要求</w:t>
          </w:r>
          <w:r>
            <w:rPr>
              <w:color w:val="auto"/>
              <w:sz w:val="32"/>
              <w:szCs w:val="32"/>
            </w:rPr>
            <w:tab/>
          </w:r>
          <w:r>
            <w:rPr>
              <w:rFonts w:hint="eastAsia"/>
              <w:color w:val="auto"/>
              <w:sz w:val="32"/>
              <w:szCs w:val="32"/>
            </w:rPr>
            <w:t>2</w:t>
          </w:r>
          <w:r>
            <w:rPr>
              <w:rFonts w:hint="eastAsia"/>
              <w:color w:val="auto"/>
              <w:sz w:val="32"/>
              <w:szCs w:val="32"/>
            </w:rPr>
            <w:fldChar w:fldCharType="end"/>
          </w:r>
          <w:r>
            <w:rPr>
              <w:rFonts w:hint="eastAsia"/>
              <w:color w:val="auto"/>
              <w:sz w:val="32"/>
              <w:szCs w:val="32"/>
            </w:rPr>
            <w:t>1</w:t>
          </w:r>
        </w:p>
        <w:p>
          <w:pPr>
            <w:pStyle w:val="74"/>
            <w:tabs>
              <w:tab w:val="right" w:leader="dot" w:pos="9412"/>
            </w:tabs>
            <w:rPr>
              <w:color w:val="auto"/>
              <w:sz w:val="32"/>
              <w:szCs w:val="32"/>
            </w:rPr>
          </w:pPr>
          <w:r>
            <w:rPr>
              <w:color w:val="auto"/>
            </w:rPr>
            <w:fldChar w:fldCharType="begin"/>
          </w:r>
          <w:r>
            <w:rPr>
              <w:color w:val="auto"/>
            </w:rPr>
            <w:instrText xml:space="preserve"> HYPERLINK \l "_Toc20924_WPSOffice_Level1" </w:instrText>
          </w:r>
          <w:r>
            <w:rPr>
              <w:color w:val="auto"/>
            </w:rPr>
            <w:fldChar w:fldCharType="separate"/>
          </w:r>
          <w:r>
            <w:rPr>
              <w:rFonts w:hint="eastAsia" w:ascii="宋体" w:hAnsi="宋体"/>
              <w:color w:val="auto"/>
              <w:sz w:val="32"/>
              <w:szCs w:val="32"/>
            </w:rPr>
            <w:t>第五章 投标人资格证明及相关文件要求</w:t>
          </w:r>
          <w:r>
            <w:rPr>
              <w:color w:val="auto"/>
              <w:sz w:val="32"/>
              <w:szCs w:val="32"/>
            </w:rPr>
            <w:tab/>
          </w:r>
          <w:r>
            <w:rPr>
              <w:rFonts w:hint="eastAsia"/>
              <w:color w:val="auto"/>
              <w:sz w:val="32"/>
              <w:szCs w:val="32"/>
            </w:rPr>
            <w:t>3</w:t>
          </w:r>
          <w:r>
            <w:rPr>
              <w:rFonts w:hint="eastAsia"/>
              <w:color w:val="auto"/>
              <w:sz w:val="32"/>
              <w:szCs w:val="32"/>
            </w:rPr>
            <w:fldChar w:fldCharType="end"/>
          </w:r>
          <w:r>
            <w:rPr>
              <w:rFonts w:hint="eastAsia"/>
              <w:color w:val="auto"/>
              <w:sz w:val="32"/>
              <w:szCs w:val="32"/>
            </w:rPr>
            <w:t>6</w:t>
          </w:r>
        </w:p>
        <w:p>
          <w:pPr>
            <w:pStyle w:val="74"/>
            <w:tabs>
              <w:tab w:val="right" w:leader="dot" w:pos="9412"/>
            </w:tabs>
            <w:rPr>
              <w:color w:val="auto"/>
              <w:sz w:val="32"/>
              <w:szCs w:val="32"/>
            </w:rPr>
          </w:pPr>
          <w:r>
            <w:rPr>
              <w:color w:val="auto"/>
            </w:rPr>
            <w:fldChar w:fldCharType="begin"/>
          </w:r>
          <w:r>
            <w:rPr>
              <w:color w:val="auto"/>
            </w:rPr>
            <w:instrText xml:space="preserve"> HYPERLINK \l "_Toc844_WPSOffice_Level1" </w:instrText>
          </w:r>
          <w:r>
            <w:rPr>
              <w:color w:val="auto"/>
            </w:rPr>
            <w:fldChar w:fldCharType="separate"/>
          </w:r>
          <w:r>
            <w:rPr>
              <w:rFonts w:hint="eastAsia" w:ascii="宋体" w:hAnsi="宋体"/>
              <w:color w:val="auto"/>
              <w:sz w:val="32"/>
              <w:szCs w:val="32"/>
            </w:rPr>
            <w:t>第六章 评标办法</w:t>
          </w:r>
          <w:r>
            <w:rPr>
              <w:color w:val="auto"/>
              <w:sz w:val="32"/>
              <w:szCs w:val="32"/>
            </w:rPr>
            <w:tab/>
          </w:r>
          <w:r>
            <w:rPr>
              <w:rFonts w:hint="eastAsia"/>
              <w:color w:val="auto"/>
              <w:sz w:val="32"/>
              <w:szCs w:val="32"/>
            </w:rPr>
            <w:t>3</w:t>
          </w:r>
          <w:r>
            <w:rPr>
              <w:rFonts w:hint="eastAsia"/>
              <w:color w:val="auto"/>
              <w:sz w:val="32"/>
              <w:szCs w:val="32"/>
            </w:rPr>
            <w:fldChar w:fldCharType="end"/>
          </w:r>
          <w:r>
            <w:rPr>
              <w:rFonts w:hint="eastAsia"/>
              <w:color w:val="auto"/>
              <w:sz w:val="32"/>
              <w:szCs w:val="32"/>
            </w:rPr>
            <w:t>8</w:t>
          </w:r>
        </w:p>
        <w:p>
          <w:pPr>
            <w:pStyle w:val="74"/>
            <w:tabs>
              <w:tab w:val="right" w:leader="dot" w:pos="9412"/>
            </w:tabs>
            <w:rPr>
              <w:color w:val="auto"/>
            </w:rPr>
          </w:pPr>
          <w:r>
            <w:rPr>
              <w:color w:val="auto"/>
            </w:rPr>
            <w:fldChar w:fldCharType="begin"/>
          </w:r>
          <w:r>
            <w:rPr>
              <w:color w:val="auto"/>
            </w:rPr>
            <w:instrText xml:space="preserve"> HYPERLINK \l "_Toc29111_WPSOffice_Level1" </w:instrText>
          </w:r>
          <w:r>
            <w:rPr>
              <w:color w:val="auto"/>
            </w:rPr>
            <w:fldChar w:fldCharType="separate"/>
          </w:r>
          <w:r>
            <w:rPr>
              <w:rFonts w:hint="eastAsia" w:ascii="宋体" w:hAnsi="宋体"/>
              <w:color w:val="auto"/>
              <w:sz w:val="32"/>
              <w:szCs w:val="32"/>
            </w:rPr>
            <w:t>第七章 投标文件格式与要求</w:t>
          </w:r>
          <w:r>
            <w:rPr>
              <w:color w:val="auto"/>
              <w:sz w:val="32"/>
              <w:szCs w:val="32"/>
            </w:rPr>
            <w:tab/>
          </w:r>
          <w:r>
            <w:rPr>
              <w:rFonts w:hint="eastAsia"/>
              <w:color w:val="auto"/>
              <w:sz w:val="32"/>
              <w:szCs w:val="32"/>
            </w:rPr>
            <w:t>4</w:t>
          </w:r>
          <w:r>
            <w:rPr>
              <w:rFonts w:hint="eastAsia"/>
              <w:color w:val="auto"/>
              <w:sz w:val="32"/>
              <w:szCs w:val="32"/>
            </w:rPr>
            <w:fldChar w:fldCharType="end"/>
          </w:r>
          <w:bookmarkEnd w:id="0"/>
          <w:r>
            <w:rPr>
              <w:rFonts w:hint="eastAsia"/>
              <w:color w:val="auto"/>
              <w:sz w:val="32"/>
              <w:szCs w:val="32"/>
            </w:rPr>
            <w:t>3</w:t>
          </w: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p>
          <w:pPr>
            <w:pStyle w:val="74"/>
            <w:tabs>
              <w:tab w:val="right" w:leader="dot" w:pos="9412"/>
            </w:tabs>
            <w:rPr>
              <w:color w:val="auto"/>
            </w:rPr>
          </w:pPr>
        </w:p>
      </w:sdtContent>
    </w:sdt>
    <w:p>
      <w:pPr>
        <w:jc w:val="center"/>
        <w:outlineLvl w:val="0"/>
        <w:rPr>
          <w:rFonts w:ascii="宋体" w:hAnsi="宋体"/>
          <w:b/>
          <w:color w:val="auto"/>
          <w:sz w:val="24"/>
          <w:szCs w:val="24"/>
        </w:rPr>
      </w:pPr>
      <w:bookmarkStart w:id="2" w:name="_Toc10609_WPSOffice_Level1"/>
      <w:r>
        <w:rPr>
          <w:rFonts w:hint="eastAsia" w:ascii="宋体" w:hAnsi="宋体"/>
          <w:b/>
          <w:color w:val="auto"/>
          <w:sz w:val="24"/>
          <w:szCs w:val="24"/>
        </w:rPr>
        <w:br w:type="page"/>
      </w:r>
    </w:p>
    <w:p>
      <w:pPr>
        <w:jc w:val="center"/>
        <w:outlineLvl w:val="0"/>
        <w:rPr>
          <w:rFonts w:ascii="宋体" w:hAnsi="宋体"/>
          <w:b/>
          <w:color w:val="auto"/>
          <w:sz w:val="24"/>
          <w:szCs w:val="24"/>
        </w:rPr>
      </w:pPr>
      <w:r>
        <w:rPr>
          <w:rFonts w:hint="eastAsia" w:ascii="宋体" w:hAnsi="宋体"/>
          <w:b/>
          <w:color w:val="auto"/>
          <w:sz w:val="24"/>
          <w:szCs w:val="24"/>
        </w:rPr>
        <w:t>第一章 招标公告</w:t>
      </w:r>
      <w:bookmarkEnd w:id="1"/>
      <w:bookmarkEnd w:id="2"/>
    </w:p>
    <w:p>
      <w:pPr>
        <w:spacing w:line="360" w:lineRule="auto"/>
        <w:ind w:firstLine="482" w:firstLineChars="200"/>
        <w:jc w:val="center"/>
        <w:rPr>
          <w:rFonts w:ascii="宋体" w:hAnsi="宋体"/>
          <w:b/>
          <w:color w:val="auto"/>
          <w:sz w:val="24"/>
          <w:szCs w:val="24"/>
        </w:rPr>
      </w:pPr>
      <w:r>
        <w:rPr>
          <w:rFonts w:hint="eastAsia" w:ascii="宋体" w:hAnsi="宋体"/>
          <w:b/>
          <w:color w:val="auto"/>
          <w:sz w:val="24"/>
          <w:szCs w:val="24"/>
          <w:lang w:eastAsia="zh-CN"/>
        </w:rPr>
        <w:t>鄂托克前旗民政局采购殡仪馆火化设备项目</w:t>
      </w:r>
      <w:r>
        <w:rPr>
          <w:rFonts w:hint="eastAsia" w:ascii="宋体" w:hAnsi="宋体"/>
          <w:b/>
          <w:color w:val="auto"/>
          <w:sz w:val="24"/>
          <w:szCs w:val="24"/>
        </w:rPr>
        <w:t>公开招标公告</w:t>
      </w:r>
    </w:p>
    <w:p>
      <w:pPr>
        <w:spacing w:line="360" w:lineRule="auto"/>
        <w:ind w:firstLine="600" w:firstLineChars="250"/>
        <w:rPr>
          <w:rFonts w:ascii="宋体" w:hAnsi="宋体"/>
          <w:color w:val="auto"/>
          <w:sz w:val="24"/>
          <w:szCs w:val="24"/>
        </w:rPr>
      </w:pPr>
      <w:r>
        <w:rPr>
          <w:rFonts w:hint="eastAsia" w:ascii="宋体" w:hAnsi="宋体"/>
          <w:color w:val="auto"/>
          <w:sz w:val="24"/>
          <w:szCs w:val="24"/>
          <w:lang w:eastAsia="zh-CN"/>
        </w:rPr>
        <w:t>内蒙古久诺项目管理有限公司</w:t>
      </w:r>
      <w:r>
        <w:rPr>
          <w:rFonts w:hint="eastAsia" w:ascii="宋体" w:hAnsi="宋体"/>
          <w:color w:val="auto"/>
          <w:sz w:val="24"/>
          <w:szCs w:val="24"/>
        </w:rPr>
        <w:t>受</w:t>
      </w:r>
      <w:r>
        <w:rPr>
          <w:rFonts w:hint="eastAsia" w:ascii="宋体" w:hAnsi="宋体"/>
          <w:color w:val="auto"/>
          <w:sz w:val="24"/>
          <w:szCs w:val="24"/>
          <w:lang w:eastAsia="zh-CN"/>
        </w:rPr>
        <w:t>鄂托克前旗民政局</w:t>
      </w:r>
      <w:r>
        <w:rPr>
          <w:rFonts w:hint="eastAsia" w:ascii="宋体" w:hAnsi="宋体"/>
          <w:color w:val="auto"/>
          <w:sz w:val="24"/>
          <w:szCs w:val="24"/>
        </w:rPr>
        <w:t>委托，按照采管办审批（公开招标）方式组织采购</w:t>
      </w:r>
      <w:r>
        <w:rPr>
          <w:rFonts w:hint="eastAsia" w:ascii="宋体" w:hAnsi="宋体"/>
          <w:color w:val="auto"/>
          <w:sz w:val="24"/>
          <w:szCs w:val="24"/>
          <w:lang w:eastAsia="zh-CN"/>
        </w:rPr>
        <w:t>鄂托克前旗民政局采购殡仪馆火化设备项目</w:t>
      </w:r>
      <w:r>
        <w:rPr>
          <w:rFonts w:hint="eastAsia" w:ascii="宋体" w:hAnsi="宋体"/>
          <w:color w:val="auto"/>
          <w:sz w:val="24"/>
          <w:szCs w:val="24"/>
        </w:rPr>
        <w:t>，欢迎符合资格条件的投标人前来报名参加。</w:t>
      </w:r>
    </w:p>
    <w:p>
      <w:pPr>
        <w:spacing w:line="360" w:lineRule="auto"/>
        <w:rPr>
          <w:rFonts w:ascii="宋体" w:hAnsi="宋体"/>
          <w:b/>
          <w:color w:val="auto"/>
          <w:sz w:val="24"/>
          <w:szCs w:val="24"/>
        </w:rPr>
      </w:pPr>
      <w:r>
        <w:rPr>
          <w:rFonts w:hint="eastAsia" w:ascii="宋体" w:hAnsi="宋体"/>
          <w:b/>
          <w:color w:val="auto"/>
          <w:sz w:val="24"/>
          <w:szCs w:val="24"/>
        </w:rPr>
        <w:t>一.项目概述</w:t>
      </w:r>
    </w:p>
    <w:p>
      <w:pPr>
        <w:pStyle w:val="59"/>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项目名称：</w:t>
      </w:r>
      <w:r>
        <w:rPr>
          <w:rFonts w:hint="eastAsia" w:ascii="宋体" w:hAnsi="宋体"/>
          <w:color w:val="auto"/>
          <w:sz w:val="24"/>
          <w:szCs w:val="24"/>
          <w:lang w:eastAsia="zh-CN"/>
        </w:rPr>
        <w:t>鄂托克前旗民政局采购殡仪馆火化设备项目</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批准文件编号：鄂</w:t>
      </w:r>
      <w:r>
        <w:rPr>
          <w:rFonts w:hint="eastAsia" w:ascii="宋体" w:hAnsi="宋体"/>
          <w:color w:val="auto"/>
          <w:sz w:val="24"/>
          <w:szCs w:val="24"/>
          <w:highlight w:val="none"/>
          <w:lang w:eastAsia="zh-CN"/>
        </w:rPr>
        <w:t>财购备</w:t>
      </w:r>
      <w:r>
        <w:rPr>
          <w:rFonts w:hint="eastAsia" w:ascii="宋体" w:hAnsi="宋体"/>
          <w:color w:val="auto"/>
          <w:sz w:val="24"/>
          <w:szCs w:val="24"/>
          <w:highlight w:val="none"/>
        </w:rPr>
        <w:t>字[20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QQ00043</w:t>
      </w:r>
      <w:r>
        <w:rPr>
          <w:rFonts w:hint="eastAsia" w:ascii="宋体" w:hAnsi="宋体"/>
          <w:color w:val="auto"/>
          <w:sz w:val="24"/>
          <w:szCs w:val="24"/>
          <w:highlight w:val="none"/>
        </w:rPr>
        <w:t>号</w:t>
      </w:r>
    </w:p>
    <w:p>
      <w:pPr>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采购文件编号：</w:t>
      </w:r>
      <w:r>
        <w:rPr>
          <w:rFonts w:hint="eastAsia" w:ascii="宋体" w:hAnsi="宋体"/>
          <w:color w:val="auto"/>
          <w:sz w:val="24"/>
          <w:szCs w:val="24"/>
          <w:highlight w:val="none"/>
          <w:lang w:val="en-US" w:eastAsia="zh-CN"/>
        </w:rPr>
        <w:t>CG2020HGK100</w:t>
      </w:r>
    </w:p>
    <w:p>
      <w:pPr>
        <w:numPr>
          <w:ilvl w:val="0"/>
          <w:numId w:val="2"/>
        </w:numPr>
        <w:spacing w:line="360" w:lineRule="auto"/>
        <w:ind w:firstLine="480" w:firstLineChars="200"/>
        <w:jc w:val="left"/>
        <w:rPr>
          <w:rFonts w:ascii="宋体" w:hAnsi="宋体"/>
          <w:color w:val="auto"/>
          <w:sz w:val="24"/>
          <w:szCs w:val="24"/>
        </w:rPr>
      </w:pPr>
      <w:r>
        <w:rPr>
          <w:rFonts w:hint="eastAsia" w:ascii="宋体" w:hAnsi="宋体"/>
          <w:color w:val="auto"/>
          <w:sz w:val="24"/>
          <w:szCs w:val="24"/>
        </w:rPr>
        <w:t>内容及分包情况（技术规格、参数及要求）</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12"/>
        <w:gridCol w:w="851"/>
        <w:gridCol w:w="1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33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采购名称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采购需求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33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鄂托克前旗民政局采购殡仪馆火化设备项目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rPr>
            </w:pPr>
            <w:r>
              <w:rPr>
                <w:rFonts w:hint="eastAsia" w:ascii="宋体" w:hAnsi="宋体"/>
                <w:color w:val="auto"/>
                <w:sz w:val="24"/>
                <w:szCs w:val="24"/>
              </w:rPr>
              <w:t>详见招标文件</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olor w:val="auto"/>
                <w:sz w:val="24"/>
                <w:szCs w:val="24"/>
                <w:lang w:eastAsia="zh-CN"/>
              </w:rPr>
            </w:pPr>
            <w:r>
              <w:rPr>
                <w:rFonts w:hint="eastAsia"/>
                <w:color w:val="auto"/>
                <w:sz w:val="24"/>
                <w:szCs w:val="24"/>
                <w:lang w:eastAsia="zh-CN"/>
              </w:rPr>
              <w:t>3982300.00</w:t>
            </w:r>
          </w:p>
        </w:tc>
      </w:tr>
    </w:tbl>
    <w:p>
      <w:pPr>
        <w:spacing w:line="360" w:lineRule="auto"/>
        <w:ind w:firstLine="236" w:firstLineChars="98"/>
        <w:rPr>
          <w:rFonts w:ascii="宋体" w:hAnsi="宋体"/>
          <w:b/>
          <w:color w:val="auto"/>
          <w:sz w:val="24"/>
          <w:szCs w:val="24"/>
        </w:rPr>
      </w:pPr>
      <w:r>
        <w:rPr>
          <w:rFonts w:hint="eastAsia" w:ascii="宋体" w:hAnsi="宋体"/>
          <w:b/>
          <w:color w:val="auto"/>
          <w:sz w:val="24"/>
          <w:szCs w:val="24"/>
        </w:rPr>
        <w:t>二.投标人的资格要求</w:t>
      </w:r>
    </w:p>
    <w:p>
      <w:pPr>
        <w:spacing w:line="360" w:lineRule="auto"/>
        <w:ind w:firstLine="240" w:firstLineChars="100"/>
        <w:rPr>
          <w:rFonts w:ascii="宋体" w:hAnsi="宋体"/>
          <w:color w:val="auto"/>
          <w:sz w:val="24"/>
          <w:szCs w:val="24"/>
        </w:rPr>
      </w:pPr>
      <w:r>
        <w:rPr>
          <w:rFonts w:hint="eastAsia" w:ascii="宋体" w:hAnsi="宋体"/>
          <w:color w:val="auto"/>
          <w:sz w:val="24"/>
          <w:szCs w:val="24"/>
        </w:rPr>
        <w:t>1.投标人应符合《中华人民共和国政府采购法》第二十二条规定的条件。</w:t>
      </w:r>
    </w:p>
    <w:p>
      <w:pPr>
        <w:autoSpaceDE w:val="0"/>
        <w:autoSpaceDN w:val="0"/>
        <w:adjustRightInd w:val="0"/>
        <w:snapToGrid w:val="0"/>
        <w:spacing w:line="360" w:lineRule="auto"/>
        <w:ind w:right="32" w:firstLine="240" w:firstLineChars="100"/>
        <w:rPr>
          <w:rFonts w:ascii="宋体" w:hAnsi="宋体" w:cs="宋体"/>
          <w:color w:val="auto"/>
          <w:sz w:val="24"/>
          <w:szCs w:val="24"/>
        </w:rPr>
      </w:pPr>
      <w:r>
        <w:rPr>
          <w:rFonts w:hint="eastAsia" w:ascii="宋体" w:hAnsi="宋体"/>
          <w:color w:val="auto"/>
          <w:sz w:val="24"/>
          <w:szCs w:val="24"/>
        </w:rPr>
        <w:t>2.本项目不接受联合体投标。</w:t>
      </w:r>
    </w:p>
    <w:p>
      <w:pPr>
        <w:spacing w:line="360" w:lineRule="auto"/>
        <w:ind w:firstLine="236" w:firstLineChars="98"/>
        <w:rPr>
          <w:rFonts w:ascii="宋体" w:hAnsi="宋体"/>
          <w:color w:val="auto"/>
          <w:sz w:val="24"/>
          <w:szCs w:val="24"/>
        </w:rPr>
      </w:pPr>
      <w:r>
        <w:rPr>
          <w:rFonts w:hint="eastAsia" w:ascii="宋体" w:hAnsi="宋体"/>
          <w:b/>
          <w:color w:val="auto"/>
          <w:sz w:val="24"/>
          <w:szCs w:val="24"/>
        </w:rPr>
        <w:t>三.获取招标文件的时间、地点、方式</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符合上述条件的投标人可于2020年0</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03</w:t>
      </w:r>
      <w:r>
        <w:rPr>
          <w:rFonts w:hint="eastAsia" w:ascii="宋体" w:hAnsi="宋体" w:cs="Times New Roman"/>
          <w:color w:val="auto"/>
          <w:sz w:val="24"/>
          <w:szCs w:val="24"/>
        </w:rPr>
        <w:t>日起登录内蒙古自治区政府采购网、内蒙古自治区公共资源交易网、鄂尔多斯市政府采购网或鄂尔多斯市鄂托克前旗公共资源交易网站获取招标文件。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2.内蒙古自治区公共资源交易网（www.nmgggzyjy.gov.cn）。登录网站页面，在“政府采购采购公告”中查询采购信息。</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3.鄂尔多斯市政府采购网（http://www.ordoscg.gov.cn）。登陆网站页面，点击“政府采购公告”，查询采购信息，点击信息公告页面中“下载招标文件”可浏览、下载招标文件。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5. 鄂尔多斯市鄂托克前旗公共资源交易网（http://www.ordosggzyjy.org.cn/TPFront_etkqq/）。登陆网站页面，点击“政府采购”中的“信息公告”栏，查询采购信息,点击信息公告页面左下角“附件”即可浏览、下载招标文件。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6. 鄂托克前旗人民政府网（http://www.etkqq.gov.cn/）。登陆网站页面，点击“信息公开目录”栏，点击公共资源交易中心链接进入后，栏目右侧通知公告一栏中即可浏览采购公告、也可下载招标文件。</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7.报名方式及报名时间</w:t>
      </w:r>
    </w:p>
    <w:p>
      <w:pPr>
        <w:pStyle w:val="16"/>
        <w:snapToGrid w:val="0"/>
        <w:spacing w:line="400" w:lineRule="exact"/>
        <w:ind w:firstLine="480"/>
        <w:rPr>
          <w:rFonts w:ascii="Times New Roman" w:hAnsi="Times New Roman" w:cs="Times New Roman"/>
          <w:b/>
          <w:kern w:val="2"/>
          <w:sz w:val="24"/>
          <w:szCs w:val="24"/>
        </w:rPr>
      </w:pPr>
      <w:r>
        <w:rPr>
          <w:rFonts w:ascii="Times New Roman" w:hAnsi="Times New Roman" w:cs="Times New Roman"/>
          <w:b/>
          <w:kern w:val="2"/>
          <w:sz w:val="24"/>
          <w:szCs w:val="24"/>
        </w:rPr>
        <w:t>1）报名方式流程如下：</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1.1登录鄂尔多斯市公共资源交易网站（</w:t>
      </w:r>
      <w:r>
        <w:rPr>
          <w:rFonts w:hint="eastAsia" w:ascii="宋体" w:hAnsi="宋体" w:cs="Times New Roman"/>
          <w:color w:val="auto"/>
          <w:sz w:val="24"/>
          <w:szCs w:val="24"/>
        </w:rPr>
        <w:fldChar w:fldCharType="begin"/>
      </w:r>
      <w:r>
        <w:rPr>
          <w:rFonts w:hint="eastAsia" w:ascii="宋体" w:hAnsi="宋体" w:cs="Times New Roman"/>
          <w:color w:val="auto"/>
          <w:sz w:val="24"/>
          <w:szCs w:val="24"/>
        </w:rPr>
        <w:instrText xml:space="preserve"> HYPERLINK "http://www.ordosggzyjy.com/" </w:instrText>
      </w:r>
      <w:r>
        <w:rPr>
          <w:rFonts w:hint="eastAsia" w:ascii="宋体" w:hAnsi="宋体" w:cs="Times New Roman"/>
          <w:color w:val="auto"/>
          <w:sz w:val="24"/>
          <w:szCs w:val="24"/>
        </w:rPr>
        <w:fldChar w:fldCharType="separate"/>
      </w:r>
      <w:r>
        <w:rPr>
          <w:rFonts w:hint="eastAsia" w:ascii="宋体" w:hAnsi="宋体" w:cs="Times New Roman"/>
          <w:color w:val="auto"/>
          <w:sz w:val="24"/>
          <w:szCs w:val="24"/>
        </w:rPr>
        <w:t>http://www.ordosggzyjy.org.cn</w:t>
      </w:r>
      <w:r>
        <w:rPr>
          <w:rFonts w:hint="eastAsia" w:ascii="宋体" w:hAnsi="宋体" w:cs="Times New Roman"/>
          <w:color w:val="auto"/>
          <w:sz w:val="24"/>
          <w:szCs w:val="24"/>
        </w:rPr>
        <w:fldChar w:fldCharType="end"/>
      </w:r>
      <w:r>
        <w:rPr>
          <w:rFonts w:hint="eastAsia" w:ascii="宋体" w:hAnsi="宋体" w:cs="Times New Roman"/>
          <w:color w:val="auto"/>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号，并按照招标文件规定的金额、时间电汇或转账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1.3查看报名状况。用“回执码”登录可查看报名状况；只有“是否缴纳保证金”显示“已缴纳”，报名才能成功。</w:t>
      </w:r>
    </w:p>
    <w:p>
      <w:pPr>
        <w:spacing w:line="360" w:lineRule="auto"/>
        <w:ind w:firstLine="240" w:firstLineChars="100"/>
        <w:rPr>
          <w:rFonts w:hint="eastAsia" w:ascii="宋体" w:hAnsi="宋体" w:cs="Times New Roman"/>
          <w:color w:val="auto"/>
          <w:sz w:val="24"/>
          <w:szCs w:val="24"/>
        </w:rPr>
      </w:pPr>
      <w:r>
        <w:rPr>
          <w:rFonts w:hint="eastAsia" w:ascii="宋体" w:hAnsi="宋体" w:cs="Times New Roman"/>
          <w:color w:val="auto"/>
          <w:sz w:val="24"/>
          <w:szCs w:val="24"/>
        </w:rPr>
        <w:t>2）报名时间：2020年0</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月</w:t>
      </w:r>
      <w:r>
        <w:rPr>
          <w:rFonts w:hint="eastAsia" w:ascii="宋体" w:hAnsi="宋体" w:cs="Times New Roman"/>
          <w:color w:val="auto"/>
          <w:sz w:val="24"/>
          <w:szCs w:val="24"/>
          <w:lang w:val="en-US" w:eastAsia="zh-CN"/>
        </w:rPr>
        <w:t>03</w:t>
      </w:r>
      <w:r>
        <w:rPr>
          <w:rFonts w:hint="eastAsia" w:ascii="宋体" w:hAnsi="宋体" w:cs="Times New Roman"/>
          <w:color w:val="auto"/>
          <w:sz w:val="24"/>
          <w:szCs w:val="24"/>
        </w:rPr>
        <w:t>日至</w:t>
      </w:r>
      <w:r>
        <w:rPr>
          <w:rFonts w:hint="eastAsia" w:ascii="宋体" w:hAnsi="宋体" w:cs="Times New Roman"/>
          <w:color w:val="auto"/>
          <w:sz w:val="24"/>
          <w:szCs w:val="24"/>
          <w:lang w:eastAsia="zh-CN"/>
        </w:rPr>
        <w:t>2020年04月</w:t>
      </w:r>
      <w:r>
        <w:rPr>
          <w:rFonts w:hint="eastAsia" w:ascii="宋体" w:hAnsi="宋体" w:cs="Times New Roman"/>
          <w:color w:val="auto"/>
          <w:sz w:val="24"/>
          <w:szCs w:val="24"/>
          <w:lang w:val="en-US" w:eastAsia="zh-CN"/>
        </w:rPr>
        <w:t>13</w:t>
      </w:r>
      <w:r>
        <w:rPr>
          <w:rFonts w:hint="eastAsia" w:ascii="宋体" w:hAnsi="宋体" w:cs="Times New Roman"/>
          <w:color w:val="auto"/>
          <w:sz w:val="24"/>
          <w:szCs w:val="24"/>
          <w:lang w:eastAsia="zh-CN"/>
        </w:rPr>
        <w:t>日</w:t>
      </w:r>
      <w:r>
        <w:rPr>
          <w:rFonts w:hint="eastAsia" w:ascii="宋体" w:hAnsi="宋体" w:cs="Times New Roman"/>
          <w:color w:val="auto"/>
          <w:sz w:val="24"/>
          <w:szCs w:val="24"/>
        </w:rPr>
        <w:t xml:space="preserve"> 17点 30分</w:t>
      </w:r>
    </w:p>
    <w:p>
      <w:pPr>
        <w:spacing w:line="360" w:lineRule="auto"/>
        <w:ind w:firstLine="472" w:firstLineChars="196"/>
        <w:textAlignment w:val="baseline"/>
        <w:rPr>
          <w:rFonts w:ascii="宋体" w:hAnsi="宋体"/>
          <w:b/>
          <w:color w:val="auto"/>
          <w:sz w:val="24"/>
          <w:szCs w:val="24"/>
        </w:rPr>
      </w:pPr>
      <w:r>
        <w:rPr>
          <w:rFonts w:hint="eastAsia" w:ascii="宋体" w:hAnsi="宋体"/>
          <w:b/>
          <w:color w:val="auto"/>
          <w:sz w:val="24"/>
          <w:szCs w:val="24"/>
        </w:rPr>
        <w:t>四.采购文件售价</w:t>
      </w:r>
    </w:p>
    <w:p>
      <w:pPr>
        <w:pStyle w:val="80"/>
        <w:spacing w:line="360" w:lineRule="auto"/>
        <w:rPr>
          <w:rFonts w:ascii="宋体"/>
          <w:color w:val="auto"/>
          <w:sz w:val="24"/>
          <w:szCs w:val="24"/>
        </w:rPr>
      </w:pPr>
      <w:r>
        <w:rPr>
          <w:rFonts w:hint="eastAsia" w:ascii="宋体" w:hAnsi="宋体"/>
          <w:color w:val="auto"/>
          <w:sz w:val="24"/>
          <w:szCs w:val="24"/>
        </w:rPr>
        <w:t>本次招标文件的售价为：</w:t>
      </w:r>
      <w:r>
        <w:rPr>
          <w:rFonts w:hint="eastAsia" w:ascii="宋体" w:hAnsi="宋体" w:cs="宋体"/>
          <w:b/>
          <w:bCs/>
          <w:color w:val="auto"/>
          <w:sz w:val="24"/>
          <w:szCs w:val="24"/>
          <w:u w:val="single"/>
          <w:lang w:val="en-US" w:eastAsia="zh-CN"/>
        </w:rPr>
        <w:t>500</w:t>
      </w:r>
      <w:r>
        <w:rPr>
          <w:rFonts w:ascii="宋体" w:hAnsi="宋体" w:cs="宋体"/>
          <w:b/>
          <w:bCs/>
          <w:color w:val="auto"/>
          <w:sz w:val="24"/>
          <w:szCs w:val="24"/>
          <w:u w:val="single"/>
        </w:rPr>
        <w:t xml:space="preserve"> </w:t>
      </w:r>
      <w:r>
        <w:rPr>
          <w:rFonts w:hint="eastAsia" w:ascii="宋体" w:hAnsi="宋体"/>
          <w:color w:val="auto"/>
          <w:sz w:val="24"/>
          <w:szCs w:val="24"/>
        </w:rPr>
        <w:t>元人民币</w:t>
      </w:r>
      <w:r>
        <w:rPr>
          <w:rFonts w:ascii="宋体" w:hAnsi="宋体"/>
          <w:color w:val="auto"/>
          <w:sz w:val="24"/>
          <w:szCs w:val="24"/>
        </w:rPr>
        <w:t>,</w:t>
      </w:r>
      <w:r>
        <w:rPr>
          <w:rFonts w:hint="eastAsia" w:ascii="宋体" w:hAnsi="宋体"/>
          <w:color w:val="auto"/>
          <w:sz w:val="24"/>
          <w:szCs w:val="24"/>
        </w:rPr>
        <w:t>文件费在开标现场交纳给采购代理机构，售后不退。拒不交纳者将不予接收响应文件。</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递交投标（响应）文件截止时间：</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w:t>
      </w:r>
      <w:r>
        <w:rPr>
          <w:rFonts w:hint="eastAsia" w:ascii="宋体" w:hAnsi="宋体"/>
          <w:color w:val="auto"/>
          <w:sz w:val="24"/>
          <w:szCs w:val="24"/>
          <w:lang w:val="en-US" w:eastAsia="zh-CN"/>
        </w:rPr>
        <w:t>24</w:t>
      </w:r>
      <w:r>
        <w:rPr>
          <w:rFonts w:hint="eastAsia" w:ascii="宋体" w:hAnsi="宋体"/>
          <w:color w:val="auto"/>
          <w:sz w:val="24"/>
          <w:szCs w:val="24"/>
          <w:lang w:eastAsia="zh-CN"/>
        </w:rPr>
        <w:t>日下</w:t>
      </w:r>
      <w:r>
        <w:rPr>
          <w:rFonts w:hint="eastAsia" w:ascii="宋体" w:hAnsi="宋体"/>
          <w:color w:val="auto"/>
          <w:sz w:val="24"/>
          <w:szCs w:val="24"/>
        </w:rPr>
        <w:t>午</w:t>
      </w:r>
      <w:r>
        <w:rPr>
          <w:rFonts w:hint="eastAsia" w:ascii="宋体" w:hAnsi="宋体"/>
          <w:color w:val="auto"/>
          <w:sz w:val="24"/>
          <w:szCs w:val="24"/>
          <w:lang w:val="en-US" w:eastAsia="zh-CN"/>
        </w:rPr>
        <w:t>15</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投标地点：</w:t>
      </w:r>
      <w:r>
        <w:rPr>
          <w:rFonts w:hint="eastAsia" w:ascii="宋体" w:hAnsi="宋体"/>
          <w:color w:val="auto"/>
          <w:sz w:val="24"/>
          <w:szCs w:val="24"/>
          <w:lang w:eastAsia="zh-CN"/>
        </w:rPr>
        <w:t>鄂托克前旗公共资源交易中心开标二室（鄂托克前旗公园西路文化产业园东区C2座）</w:t>
      </w:r>
    </w:p>
    <w:p>
      <w:pPr>
        <w:spacing w:line="360" w:lineRule="auto"/>
        <w:ind w:firstLine="480" w:firstLineChars="200"/>
        <w:rPr>
          <w:rFonts w:ascii="宋体" w:hAnsi="宋体"/>
          <w:color w:val="0000FF"/>
          <w:sz w:val="24"/>
          <w:szCs w:val="24"/>
        </w:rPr>
      </w:pPr>
      <w:r>
        <w:rPr>
          <w:rFonts w:hint="eastAsia" w:ascii="宋体" w:hAnsi="宋体"/>
          <w:color w:val="auto"/>
          <w:sz w:val="24"/>
          <w:szCs w:val="24"/>
        </w:rPr>
        <w:t>开标时间：</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w:t>
      </w:r>
      <w:r>
        <w:rPr>
          <w:rFonts w:hint="eastAsia" w:ascii="宋体" w:hAnsi="宋体"/>
          <w:color w:val="auto"/>
          <w:sz w:val="24"/>
          <w:szCs w:val="24"/>
          <w:lang w:val="en-US" w:eastAsia="zh-CN"/>
        </w:rPr>
        <w:t>24</w:t>
      </w:r>
      <w:r>
        <w:rPr>
          <w:rFonts w:hint="eastAsia" w:ascii="宋体" w:hAnsi="宋体"/>
          <w:color w:val="auto"/>
          <w:sz w:val="24"/>
          <w:szCs w:val="24"/>
          <w:lang w:eastAsia="zh-CN"/>
        </w:rPr>
        <w:t>日下</w:t>
      </w:r>
      <w:r>
        <w:rPr>
          <w:rFonts w:hint="eastAsia" w:ascii="宋体" w:hAnsi="宋体"/>
          <w:color w:val="auto"/>
          <w:sz w:val="24"/>
          <w:szCs w:val="24"/>
        </w:rPr>
        <w:t>午</w:t>
      </w:r>
      <w:r>
        <w:rPr>
          <w:rFonts w:hint="eastAsia" w:ascii="宋体" w:hAnsi="宋体"/>
          <w:color w:val="auto"/>
          <w:sz w:val="24"/>
          <w:szCs w:val="24"/>
          <w:lang w:val="en-US" w:eastAsia="zh-CN"/>
        </w:rPr>
        <w:t>15</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开标地点：</w:t>
      </w:r>
      <w:r>
        <w:rPr>
          <w:rFonts w:hint="eastAsia" w:ascii="宋体" w:hAnsi="宋体"/>
          <w:color w:val="auto"/>
          <w:sz w:val="24"/>
          <w:szCs w:val="24"/>
          <w:lang w:eastAsia="zh-CN"/>
        </w:rPr>
        <w:t>鄂托克前旗公共资源交易中心开标二室（鄂托克前旗公园西路文化产业园东区C2座）</w:t>
      </w:r>
    </w:p>
    <w:p>
      <w:pPr>
        <w:numPr>
          <w:ilvl w:val="0"/>
          <w:numId w:val="3"/>
        </w:numPr>
        <w:spacing w:line="360" w:lineRule="auto"/>
        <w:ind w:firstLine="354" w:firstLineChars="147"/>
        <w:rPr>
          <w:rFonts w:ascii="宋体" w:hAnsi="宋体"/>
          <w:b/>
          <w:color w:val="auto"/>
          <w:sz w:val="24"/>
          <w:szCs w:val="24"/>
        </w:rPr>
      </w:pPr>
      <w:r>
        <w:rPr>
          <w:rFonts w:hint="eastAsia" w:ascii="宋体" w:hAnsi="宋体"/>
          <w:b/>
          <w:color w:val="auto"/>
          <w:sz w:val="24"/>
          <w:szCs w:val="24"/>
        </w:rPr>
        <w:t>联系方式</w:t>
      </w:r>
    </w:p>
    <w:p>
      <w:pPr>
        <w:pStyle w:val="59"/>
        <w:spacing w:line="360" w:lineRule="auto"/>
        <w:ind w:left="420" w:firstLine="120" w:firstLineChars="5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采购人：</w:t>
      </w:r>
      <w:r>
        <w:rPr>
          <w:rFonts w:hint="eastAsia" w:asciiTheme="minorEastAsia" w:hAnsiTheme="minorEastAsia" w:eastAsiaTheme="minorEastAsia"/>
          <w:color w:val="auto"/>
          <w:sz w:val="24"/>
          <w:szCs w:val="24"/>
          <w:lang w:eastAsia="zh-CN"/>
        </w:rPr>
        <w:t>鄂托克前旗民政局</w:t>
      </w:r>
    </w:p>
    <w:p>
      <w:pPr>
        <w:pStyle w:val="59"/>
        <w:shd w:val="clear" w:color="auto" w:fill="FFFFFF"/>
        <w:spacing w:line="360" w:lineRule="auto"/>
        <w:ind w:left="420" w:firstLine="120" w:firstLineChars="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邮政编码：016200</w:t>
      </w:r>
    </w:p>
    <w:p>
      <w:pPr>
        <w:pStyle w:val="12"/>
        <w:shd w:val="clear" w:color="auto" w:fill="FFFFFF"/>
        <w:spacing w:line="360" w:lineRule="auto"/>
        <w:ind w:firstLine="480" w:firstLineChars="200"/>
        <w:rPr>
          <w:rFonts w:hint="default" w:asciiTheme="minorEastAsia" w:hAnsiTheme="minorEastAsia" w:eastAsiaTheme="minorEastAsia"/>
          <w:b w:val="0"/>
          <w:color w:val="auto"/>
          <w:sz w:val="24"/>
          <w:szCs w:val="24"/>
          <w:lang w:val="en-US" w:eastAsia="zh-CN"/>
        </w:rPr>
      </w:pPr>
      <w:r>
        <w:rPr>
          <w:rFonts w:hint="eastAsia" w:asciiTheme="minorEastAsia" w:hAnsiTheme="minorEastAsia" w:eastAsiaTheme="minorEastAsia"/>
          <w:b w:val="0"/>
          <w:color w:val="auto"/>
          <w:sz w:val="24"/>
          <w:szCs w:val="24"/>
        </w:rPr>
        <w:t>联系人：</w:t>
      </w:r>
      <w:r>
        <w:rPr>
          <w:rFonts w:hint="eastAsia" w:asciiTheme="minorEastAsia" w:hAnsiTheme="minorEastAsia" w:eastAsiaTheme="minorEastAsia"/>
          <w:b w:val="0"/>
          <w:color w:val="auto"/>
          <w:sz w:val="24"/>
          <w:szCs w:val="24"/>
          <w:lang w:eastAsia="zh-CN"/>
        </w:rPr>
        <w:t>张世荣</w:t>
      </w:r>
      <w:r>
        <w:rPr>
          <w:rFonts w:hint="eastAsia" w:asciiTheme="minorEastAsia" w:hAnsiTheme="minorEastAsia" w:eastAsiaTheme="minorEastAsia"/>
          <w:b w:val="0"/>
          <w:color w:val="auto"/>
          <w:sz w:val="24"/>
          <w:szCs w:val="24"/>
        </w:rPr>
        <w:t xml:space="preserve">    联系电话：</w:t>
      </w:r>
      <w:r>
        <w:rPr>
          <w:rFonts w:hint="eastAsia" w:asciiTheme="minorEastAsia" w:hAnsiTheme="minorEastAsia" w:eastAsiaTheme="minorEastAsia"/>
          <w:b w:val="0"/>
          <w:color w:val="auto"/>
          <w:sz w:val="24"/>
          <w:szCs w:val="24"/>
          <w:lang w:val="en-US" w:eastAsia="zh-CN"/>
        </w:rPr>
        <w:t>13134888858</w:t>
      </w:r>
    </w:p>
    <w:p>
      <w:pPr>
        <w:pStyle w:val="12"/>
        <w:shd w:val="clear" w:color="auto" w:fill="FFFFFF"/>
        <w:spacing w:line="360" w:lineRule="auto"/>
        <w:ind w:left="480" w:hanging="480" w:hangingChars="200"/>
        <w:rPr>
          <w:rFonts w:asciiTheme="minorEastAsia" w:hAnsiTheme="minorEastAsia" w:eastAsiaTheme="minorEastAsia"/>
          <w:b w:val="0"/>
          <w:color w:val="auto"/>
          <w:sz w:val="24"/>
          <w:szCs w:val="24"/>
        </w:rPr>
      </w:pPr>
      <w:r>
        <w:rPr>
          <w:rFonts w:hint="eastAsia" w:asciiTheme="minorEastAsia" w:hAnsiTheme="minorEastAsia" w:eastAsiaTheme="minorEastAsia"/>
          <w:b w:val="0"/>
          <w:color w:val="auto"/>
          <w:sz w:val="24"/>
          <w:szCs w:val="24"/>
        </w:rPr>
        <w:t xml:space="preserve">    地址：鄂托克前旗敖勒召其镇 </w:t>
      </w:r>
      <w:r>
        <w:rPr>
          <w:rFonts w:ascii="宋体" w:hAnsi="宋体" w:cs="宋体"/>
          <w:color w:val="auto"/>
          <w:sz w:val="24"/>
          <w:szCs w:val="24"/>
        </w:rPr>
        <w:br w:type="textWrapping"/>
      </w:r>
      <w:r>
        <w:rPr>
          <w:rFonts w:hint="eastAsia" w:asciiTheme="minorEastAsia" w:hAnsiTheme="minorEastAsia" w:eastAsiaTheme="minorEastAsia"/>
          <w:b w:val="0"/>
          <w:color w:val="auto"/>
          <w:sz w:val="24"/>
          <w:szCs w:val="24"/>
        </w:rPr>
        <w:t>采购代理机构</w:t>
      </w:r>
      <w:r>
        <w:rPr>
          <w:rFonts w:asciiTheme="minorEastAsia" w:hAnsiTheme="minorEastAsia" w:eastAsiaTheme="minorEastAsia"/>
          <w:b w:val="0"/>
          <w:color w:val="auto"/>
          <w:sz w:val="24"/>
          <w:szCs w:val="24"/>
        </w:rPr>
        <w:t xml:space="preserve">: </w:t>
      </w:r>
      <w:r>
        <w:rPr>
          <w:rFonts w:hint="eastAsia" w:asciiTheme="minorEastAsia" w:hAnsiTheme="minorEastAsia" w:eastAsiaTheme="minorEastAsia"/>
          <w:b w:val="0"/>
          <w:color w:val="auto"/>
          <w:sz w:val="24"/>
          <w:szCs w:val="24"/>
          <w:lang w:eastAsia="zh-CN"/>
        </w:rPr>
        <w:t>内蒙古久诺项目管理有限公司</w:t>
      </w:r>
      <w:r>
        <w:rPr>
          <w:rFonts w:asciiTheme="minorEastAsia" w:hAnsiTheme="minorEastAsia" w:eastAsiaTheme="minorEastAsia"/>
          <w:b w:val="0"/>
          <w:color w:val="auto"/>
          <w:sz w:val="24"/>
          <w:szCs w:val="24"/>
        </w:rPr>
        <w:t xml:space="preserve">  </w:t>
      </w:r>
    </w:p>
    <w:p>
      <w:pPr>
        <w:pStyle w:val="59"/>
        <w:widowControl/>
        <w:shd w:val="clear" w:color="auto" w:fill="FFFFFF"/>
        <w:spacing w:line="360" w:lineRule="auto"/>
        <w:ind w:left="420" w:firstLine="0" w:firstLineChars="0"/>
        <w:jc w:val="left"/>
        <w:rPr>
          <w:rFonts w:ascii="宋体" w:hAnsi="宋体" w:cs="宋体"/>
          <w:color w:val="auto"/>
          <w:kern w:val="0"/>
          <w:sz w:val="24"/>
          <w:szCs w:val="24"/>
        </w:rPr>
      </w:pPr>
      <w:r>
        <w:rPr>
          <w:rFonts w:hint="eastAsia" w:ascii="宋体" w:hAnsi="宋体" w:cs="宋体"/>
          <w:color w:val="auto"/>
          <w:kern w:val="0"/>
          <w:sz w:val="24"/>
          <w:szCs w:val="24"/>
        </w:rPr>
        <w:t>邮政编码：</w:t>
      </w:r>
      <w:r>
        <w:rPr>
          <w:rFonts w:hint="eastAsia" w:ascii="宋体" w:hAnsi="宋体" w:cs="宋体"/>
          <w:color w:val="auto"/>
          <w:kern w:val="0"/>
          <w:sz w:val="24"/>
          <w:szCs w:val="24"/>
          <w:lang w:val="en-US" w:eastAsia="zh-CN"/>
        </w:rPr>
        <w:t>017000</w:t>
      </w:r>
      <w:r>
        <w:rPr>
          <w:rFonts w:ascii="宋体" w:hAnsi="宋体" w:cs="宋体"/>
          <w:color w:val="auto"/>
          <w:kern w:val="0"/>
          <w:sz w:val="24"/>
          <w:szCs w:val="24"/>
        </w:rPr>
        <w:t>        </w:t>
      </w:r>
    </w:p>
    <w:p>
      <w:pPr>
        <w:pStyle w:val="59"/>
        <w:widowControl/>
        <w:shd w:val="clear" w:color="auto" w:fill="FFFFFF"/>
        <w:spacing w:line="360" w:lineRule="auto"/>
        <w:ind w:left="420" w:firstLine="0" w:firstLineChars="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联系人：雷晓燕</w:t>
      </w:r>
      <w:r>
        <w:rPr>
          <w:rFonts w:ascii="宋体" w:cs="宋体"/>
          <w:color w:val="auto"/>
          <w:kern w:val="0"/>
          <w:sz w:val="24"/>
          <w:szCs w:val="24"/>
        </w:rPr>
        <w:t>   </w:t>
      </w:r>
      <w:r>
        <w:rPr>
          <w:rFonts w:hint="eastAsia" w:ascii="宋体" w:hAnsi="宋体" w:cs="宋体"/>
          <w:color w:val="auto"/>
          <w:kern w:val="0"/>
          <w:sz w:val="24"/>
          <w:szCs w:val="24"/>
        </w:rPr>
        <w:t>电话：</w:t>
      </w:r>
      <w:r>
        <w:rPr>
          <w:rFonts w:hint="eastAsia" w:ascii="宋体" w:hAnsi="宋体" w:cs="宋体"/>
          <w:kern w:val="0"/>
          <w:sz w:val="24"/>
          <w:szCs w:val="24"/>
        </w:rPr>
        <w:t>15934973738</w:t>
      </w:r>
    </w:p>
    <w:p>
      <w:pPr>
        <w:pStyle w:val="59"/>
        <w:widowControl/>
        <w:shd w:val="clear" w:color="auto" w:fill="FFFFFF"/>
        <w:spacing w:line="360" w:lineRule="auto"/>
        <w:ind w:left="420" w:firstLine="0" w:firstLineChars="0"/>
        <w:jc w:val="left"/>
        <w:rPr>
          <w:rFonts w:ascii="宋体" w:cs="宋体"/>
          <w:color w:val="auto"/>
          <w:kern w:val="0"/>
          <w:sz w:val="24"/>
          <w:szCs w:val="24"/>
        </w:rPr>
      </w:pPr>
      <w:r>
        <w:rPr>
          <w:rFonts w:hint="eastAsia" w:ascii="宋体" w:hAnsi="宋体" w:cs="宋体"/>
          <w:color w:val="auto"/>
          <w:kern w:val="0"/>
          <w:sz w:val="24"/>
          <w:szCs w:val="24"/>
        </w:rPr>
        <w:t>地址：</w:t>
      </w:r>
      <w:r>
        <w:rPr>
          <w:rFonts w:hint="eastAsia" w:asciiTheme="minorEastAsia" w:hAnsiTheme="minorEastAsia" w:eastAsiaTheme="minorEastAsia"/>
          <w:sz w:val="24"/>
          <w:szCs w:val="24"/>
        </w:rPr>
        <w:t>鄂尔多斯市东胜区亿昌商务楼13楼1307室</w:t>
      </w:r>
    </w:p>
    <w:p>
      <w:pPr>
        <w:spacing w:line="360" w:lineRule="auto"/>
        <w:ind w:firstLine="4680" w:firstLineChars="1950"/>
        <w:rPr>
          <w:rFonts w:hint="eastAsia" w:ascii="宋体" w:hAnsi="宋体" w:eastAsia="宋体"/>
          <w:color w:val="auto"/>
          <w:sz w:val="24"/>
          <w:szCs w:val="24"/>
          <w:lang w:eastAsia="zh-CN"/>
        </w:rPr>
      </w:pPr>
      <w:r>
        <w:rPr>
          <w:rFonts w:hint="eastAsia" w:ascii="宋体" w:hAnsi="宋体"/>
          <w:color w:val="auto"/>
          <w:sz w:val="24"/>
          <w:szCs w:val="24"/>
          <w:lang w:val="en-US" w:eastAsia="zh-CN"/>
        </w:rPr>
        <w:t>2020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w:t>
      </w:r>
      <w:r>
        <w:rPr>
          <w:rFonts w:hint="eastAsia" w:ascii="宋体" w:hAnsi="宋体"/>
          <w:color w:val="auto"/>
          <w:sz w:val="24"/>
          <w:szCs w:val="24"/>
          <w:lang w:val="en-US" w:eastAsia="zh-CN"/>
        </w:rPr>
        <w:t>03</w:t>
      </w:r>
      <w:r>
        <w:rPr>
          <w:rFonts w:hint="eastAsia" w:ascii="宋体" w:hAnsi="宋体"/>
          <w:color w:val="auto"/>
          <w:sz w:val="24"/>
          <w:szCs w:val="24"/>
          <w:lang w:eastAsia="zh-CN"/>
        </w:rPr>
        <w:t>日</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center"/>
        <w:outlineLvl w:val="0"/>
        <w:rPr>
          <w:rFonts w:ascii="宋体" w:hAnsi="宋体"/>
          <w:b/>
          <w:color w:val="auto"/>
          <w:sz w:val="24"/>
          <w:szCs w:val="24"/>
        </w:rPr>
      </w:pPr>
      <w:bookmarkStart w:id="3" w:name="_Toc27824_WPSOffice_Level1"/>
      <w:bookmarkStart w:id="4" w:name="_Toc497408658"/>
      <w:r>
        <w:rPr>
          <w:rFonts w:hint="eastAsia" w:ascii="宋体" w:hAnsi="宋体"/>
          <w:b/>
          <w:color w:val="auto"/>
          <w:sz w:val="24"/>
          <w:szCs w:val="24"/>
        </w:rPr>
        <w:t>第二章 投标人须知</w:t>
      </w:r>
      <w:bookmarkEnd w:id="3"/>
      <w:bookmarkEnd w:id="4"/>
    </w:p>
    <w:p>
      <w:pPr>
        <w:spacing w:line="360" w:lineRule="auto"/>
        <w:rPr>
          <w:rFonts w:ascii="宋体" w:hAnsi="宋体"/>
          <w:b/>
          <w:color w:val="auto"/>
          <w:sz w:val="24"/>
          <w:szCs w:val="24"/>
        </w:rPr>
      </w:pPr>
      <w:r>
        <w:rPr>
          <w:rFonts w:hint="eastAsia" w:ascii="宋体" w:hAnsi="宋体"/>
          <w:b/>
          <w:color w:val="auto"/>
          <w:sz w:val="24"/>
          <w:szCs w:val="24"/>
        </w:rPr>
        <w:t>一.前附表</w:t>
      </w:r>
    </w:p>
    <w:tbl>
      <w:tblPr>
        <w:tblStyle w:val="2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2351"/>
        <w:gridCol w:w="6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条款名称</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auto"/>
                <w:sz w:val="24"/>
                <w:szCs w:val="24"/>
              </w:rPr>
            </w:pPr>
            <w:r>
              <w:rPr>
                <w:rFonts w:hint="eastAsia" w:ascii="宋体" w:hAnsi="宋体"/>
                <w:color w:val="auto"/>
                <w:sz w:val="24"/>
                <w:szCs w:val="24"/>
              </w:rPr>
              <w:t>采购人</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鄂托克前旗民政局</w:t>
            </w:r>
          </w:p>
          <w:p>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联系人：</w:t>
            </w:r>
            <w:r>
              <w:rPr>
                <w:rFonts w:hint="eastAsia" w:asciiTheme="minorEastAsia" w:hAnsiTheme="minorEastAsia" w:eastAsiaTheme="minorEastAsia"/>
                <w:b w:val="0"/>
                <w:color w:val="auto"/>
                <w:sz w:val="24"/>
                <w:szCs w:val="24"/>
                <w:lang w:eastAsia="zh-CN"/>
              </w:rPr>
              <w:t>张世荣</w:t>
            </w:r>
          </w:p>
          <w:p>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联系电话：</w:t>
            </w:r>
            <w:r>
              <w:rPr>
                <w:rFonts w:hint="eastAsia" w:asciiTheme="minorEastAsia" w:hAnsiTheme="minorEastAsia" w:eastAsiaTheme="minorEastAsia"/>
                <w:b w:val="0"/>
                <w:color w:val="auto"/>
                <w:sz w:val="24"/>
                <w:szCs w:val="24"/>
                <w:lang w:val="en-US" w:eastAsia="zh-CN"/>
              </w:rPr>
              <w:t>13134888858</w:t>
            </w:r>
          </w:p>
          <w:p>
            <w:pPr>
              <w:spacing w:line="360" w:lineRule="auto"/>
              <w:jc w:val="left"/>
              <w:rPr>
                <w:rFonts w:ascii="宋体" w:hAnsi="宋体"/>
                <w:color w:val="auto"/>
                <w:sz w:val="24"/>
                <w:szCs w:val="24"/>
              </w:rPr>
            </w:pPr>
            <w:r>
              <w:rPr>
                <w:rFonts w:hint="eastAsia" w:ascii="宋体" w:hAnsi="宋体"/>
                <w:color w:val="auto"/>
                <w:sz w:val="24"/>
                <w:szCs w:val="24"/>
              </w:rPr>
              <w:t>地址：</w:t>
            </w:r>
            <w:r>
              <w:rPr>
                <w:rFonts w:hint="eastAsia" w:asciiTheme="minorEastAsia" w:hAnsiTheme="minorEastAsia" w:eastAsiaTheme="minorEastAsia"/>
                <w:color w:val="auto"/>
                <w:sz w:val="24"/>
                <w:szCs w:val="24"/>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采购代理机构</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内蒙古久诺项目管理有限公司</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cs="宋体"/>
                <w:kern w:val="0"/>
                <w:sz w:val="24"/>
                <w:szCs w:val="24"/>
              </w:rPr>
              <w:t>雷晓燕</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联系电话：</w:t>
            </w:r>
            <w:r>
              <w:rPr>
                <w:rFonts w:hint="eastAsia" w:ascii="宋体" w:hAnsi="宋体" w:cs="宋体"/>
                <w:kern w:val="0"/>
                <w:sz w:val="24"/>
                <w:szCs w:val="24"/>
              </w:rPr>
              <w:t>15934973738</w:t>
            </w:r>
          </w:p>
          <w:p>
            <w:pPr>
              <w:widowControl/>
              <w:shd w:val="clear" w:color="auto" w:fill="FFFFFF"/>
              <w:spacing w:line="360" w:lineRule="auto"/>
              <w:jc w:val="left"/>
              <w:rPr>
                <w:rFonts w:ascii="宋体" w:cs="宋体"/>
                <w:color w:val="auto"/>
                <w:kern w:val="0"/>
                <w:sz w:val="24"/>
                <w:szCs w:val="24"/>
              </w:rPr>
            </w:pPr>
            <w:r>
              <w:rPr>
                <w:rFonts w:hint="eastAsia" w:ascii="宋体" w:hAnsi="宋体"/>
                <w:sz w:val="24"/>
                <w:szCs w:val="24"/>
              </w:rPr>
              <w:t>地址：</w:t>
            </w:r>
            <w:r>
              <w:rPr>
                <w:rFonts w:hint="eastAsia" w:asciiTheme="minorEastAsia" w:hAnsiTheme="minorEastAsia" w:eastAsiaTheme="minorEastAsia"/>
                <w:sz w:val="24"/>
                <w:szCs w:val="24"/>
              </w:rPr>
              <w:t>鄂尔多斯市东胜区亿昌商务楼13楼1307室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项目内容及要求</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auto"/>
                <w:sz w:val="24"/>
                <w:szCs w:val="24"/>
              </w:rPr>
            </w:pPr>
            <w:r>
              <w:rPr>
                <w:rFonts w:hint="eastAsia" w:ascii="宋体" w:hAnsi="宋体"/>
                <w:color w:val="auto"/>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采购预算</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b/>
                <w:sz w:val="24"/>
                <w:szCs w:val="24"/>
                <w:lang w:eastAsia="zh-CN"/>
              </w:rPr>
            </w:pPr>
            <w:bookmarkStart w:id="5" w:name="EB4e18d9f29b374789818bbaffe81f7de9"/>
            <w:r>
              <w:rPr>
                <w:rFonts w:hint="eastAsia" w:ascii="宋体" w:hAnsi="宋体"/>
                <w:b/>
                <w:sz w:val="24"/>
                <w:szCs w:val="24"/>
              </w:rPr>
              <w:t>本项目设采购预算价：</w:t>
            </w:r>
            <w:bookmarkEnd w:id="5"/>
            <w:r>
              <w:rPr>
                <w:rFonts w:hint="eastAsia" w:ascii="宋体" w:hAnsi="宋体"/>
                <w:b/>
                <w:sz w:val="24"/>
                <w:szCs w:val="24"/>
              </w:rPr>
              <w:t>大写</w:t>
            </w:r>
            <w:r>
              <w:rPr>
                <w:rFonts w:hint="eastAsia" w:ascii="宋体" w:hAnsi="宋体"/>
                <w:b/>
                <w:sz w:val="24"/>
                <w:szCs w:val="24"/>
                <w:lang w:eastAsia="zh-CN"/>
              </w:rPr>
              <w:t>：叁佰玖拾捌万贰仟叁佰</w:t>
            </w:r>
            <w:r>
              <w:rPr>
                <w:rFonts w:hint="eastAsia" w:ascii="宋体" w:hAnsi="宋体"/>
                <w:b/>
                <w:sz w:val="24"/>
                <w:szCs w:val="24"/>
              </w:rPr>
              <w:t>元整</w:t>
            </w:r>
            <w:r>
              <w:rPr>
                <w:rFonts w:ascii="宋体" w:hAnsi="宋体"/>
                <w:b/>
                <w:sz w:val="24"/>
                <w:szCs w:val="24"/>
              </w:rPr>
              <w:t>（</w:t>
            </w:r>
            <w:r>
              <w:rPr>
                <w:rFonts w:hint="eastAsia" w:ascii="宋体" w:hAnsi="宋体"/>
                <w:b/>
                <w:sz w:val="24"/>
                <w:szCs w:val="24"/>
              </w:rPr>
              <w:t>小写：3982300.00</w:t>
            </w:r>
            <w:r>
              <w:rPr>
                <w:rFonts w:ascii="宋体" w:hAnsi="宋体"/>
                <w:b/>
                <w:sz w:val="24"/>
                <w:szCs w:val="24"/>
              </w:rPr>
              <w:t>元）</w:t>
            </w:r>
          </w:p>
          <w:p>
            <w:pPr>
              <w:spacing w:line="360" w:lineRule="auto"/>
              <w:ind w:right="-140" w:rightChars="-50"/>
              <w:jc w:val="left"/>
              <w:rPr>
                <w:rFonts w:hint="eastAsia" w:ascii="宋体" w:hAnsi="宋体"/>
                <w:b/>
                <w:sz w:val="24"/>
                <w:szCs w:val="24"/>
                <w:lang w:eastAsia="zh-CN"/>
              </w:rPr>
            </w:pPr>
            <w:r>
              <w:rPr>
                <w:rFonts w:hint="eastAsia" w:ascii="宋体" w:hAnsi="宋体"/>
                <w:b/>
                <w:sz w:val="24"/>
                <w:szCs w:val="24"/>
                <w:lang w:eastAsia="zh-CN"/>
              </w:rPr>
              <w:t>其中分项采购预算单价：</w:t>
            </w:r>
          </w:p>
          <w:tbl>
            <w:tblPr>
              <w:tblStyle w:val="27"/>
              <w:tblpPr w:leftFromText="180" w:rightFromText="180" w:vertAnchor="text" w:horzAnchor="page" w:tblpX="1547" w:tblpY="447"/>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3"/>
              <w:gridCol w:w="1904"/>
              <w:gridCol w:w="967"/>
              <w:gridCol w:w="799"/>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99" w:type="pct"/>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14" w:type="pct"/>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设备名称</w:t>
                  </w:r>
                </w:p>
              </w:tc>
              <w:tc>
                <w:tcPr>
                  <w:tcW w:w="769" w:type="pct"/>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635" w:type="pct"/>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c>
                <w:tcPr>
                  <w:tcW w:w="1481" w:type="pct"/>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高档</w:t>
                  </w:r>
                </w:p>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拣灰火化机</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1512000.00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一拖二尾气净化处理设备</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790000.00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三门太平柜</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w:t>
                  </w:r>
                </w:p>
              </w:tc>
              <w:tc>
                <w:tcPr>
                  <w:tcW w:w="1481" w:type="pct"/>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液压升降车</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辆</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大型豪华</w:t>
                  </w:r>
                </w:p>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瞻仰台</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1481" w:type="pct"/>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中型豪华</w:t>
                  </w:r>
                </w:p>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瞻仰台</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w:t>
                  </w:r>
                </w:p>
              </w:tc>
              <w:tc>
                <w:tcPr>
                  <w:tcW w:w="1481" w:type="pct"/>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水晶棺</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103800.00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跪垫</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供桌</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推车</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张</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洗尸车</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辆</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59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514"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骨灰存放架</w:t>
                  </w:r>
                </w:p>
              </w:tc>
              <w:tc>
                <w:tcPr>
                  <w:tcW w:w="769"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2000</w:t>
                  </w:r>
                </w:p>
              </w:tc>
              <w:tc>
                <w:tcPr>
                  <w:tcW w:w="635"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门</w:t>
                  </w:r>
                </w:p>
              </w:tc>
              <w:tc>
                <w:tcPr>
                  <w:tcW w:w="1481" w:type="pc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900000.00</w:t>
                  </w:r>
                </w:p>
              </w:tc>
            </w:tr>
          </w:tbl>
          <w:p>
            <w:pPr>
              <w:spacing w:line="360" w:lineRule="auto"/>
              <w:ind w:right="-140" w:rightChars="-50"/>
              <w:jc w:val="left"/>
              <w:rPr>
                <w:color w:val="auto"/>
              </w:rPr>
            </w:pPr>
            <w:r>
              <w:rPr>
                <w:rFonts w:ascii="宋体" w:hAnsi="宋体"/>
                <w:b/>
                <w:sz w:val="24"/>
                <w:szCs w:val="24"/>
              </w:rPr>
              <w:t>（含</w:t>
            </w:r>
            <w:r>
              <w:rPr>
                <w:rFonts w:hint="eastAsia" w:ascii="宋体" w:hAnsi="宋体"/>
                <w:b/>
                <w:sz w:val="24"/>
                <w:szCs w:val="24"/>
              </w:rPr>
              <w:t>运输、安装、调试、规费税金、后续服务</w:t>
            </w:r>
            <w:r>
              <w:rPr>
                <w:rFonts w:ascii="宋体" w:hAnsi="宋体"/>
                <w:b/>
                <w:sz w:val="24"/>
                <w:szCs w:val="24"/>
              </w:rPr>
              <w:t>等一切费用）</w:t>
            </w:r>
            <w:r>
              <w:rPr>
                <w:rFonts w:hint="eastAsia" w:ascii="宋体" w:hAnsi="宋体"/>
                <w:b/>
                <w:sz w:val="24"/>
                <w:szCs w:val="24"/>
                <w:lang w:eastAsia="zh-CN"/>
              </w:rPr>
              <w:t>；</w:t>
            </w:r>
            <w:r>
              <w:rPr>
                <w:rFonts w:ascii="宋体" w:hAnsi="宋体"/>
                <w:sz w:val="24"/>
                <w:szCs w:val="24"/>
              </w:rPr>
              <w:t>只有一个有效报价且不高于最高竞标限价，凡报价超过最高竞标限价将作否决其</w:t>
            </w:r>
            <w:r>
              <w:rPr>
                <w:rFonts w:hint="eastAsia" w:ascii="宋体" w:hAnsi="宋体"/>
                <w:sz w:val="24"/>
                <w:szCs w:val="24"/>
                <w:lang w:eastAsia="zh-CN"/>
              </w:rPr>
              <w:t>投</w:t>
            </w:r>
            <w:r>
              <w:rPr>
                <w:rFonts w:ascii="宋体" w:hAnsi="宋体"/>
                <w:sz w:val="24"/>
                <w:szCs w:val="24"/>
              </w:rPr>
              <w:t>标处理（有效报价的分项报价也不得超过给定的分项报价，否则将作否决其</w:t>
            </w:r>
            <w:r>
              <w:rPr>
                <w:rFonts w:hint="eastAsia" w:ascii="宋体" w:hAnsi="宋体"/>
                <w:sz w:val="24"/>
                <w:szCs w:val="24"/>
                <w:lang w:eastAsia="zh-CN"/>
              </w:rPr>
              <w:t>投</w:t>
            </w:r>
            <w:r>
              <w:rPr>
                <w:rFonts w:ascii="宋体" w:hAnsi="宋体"/>
                <w:sz w:val="24"/>
                <w:szCs w:val="24"/>
              </w:rPr>
              <w:t>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TOU</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MS Mincho" w:hAnsi="MS Mincho" w:eastAsia="MS Mincho" w:cs="MS Mincho"/>
                <w:color w:val="auto"/>
                <w:sz w:val="24"/>
                <w:szCs w:val="24"/>
              </w:rPr>
              <w:t>☑</w:t>
            </w:r>
            <w:r>
              <w:rPr>
                <w:rFonts w:hint="eastAsia" w:ascii="宋体" w:hAnsi="宋体"/>
                <w:color w:val="auto"/>
                <w:sz w:val="24"/>
                <w:szCs w:val="24"/>
              </w:rPr>
              <w:t>一整包、□共___包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评标委员会数量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hint="eastAsia" w:ascii="宋体" w:hAnsi="宋体"/>
                <w:color w:val="auto"/>
                <w:sz w:val="24"/>
                <w:szCs w:val="24"/>
              </w:rPr>
            </w:pPr>
            <w:r>
              <w:rPr>
                <w:rFonts w:hint="eastAsia" w:ascii="宋体" w:hAnsi="宋体"/>
                <w:color w:val="auto"/>
                <w:sz w:val="24"/>
                <w:szCs w:val="24"/>
              </w:rPr>
              <w:t>评标委员会依法组建，由采购人代表和评审专家组成共5人；</w:t>
            </w:r>
          </w:p>
          <w:p>
            <w:pPr>
              <w:spacing w:line="360" w:lineRule="auto"/>
              <w:ind w:left="-140" w:leftChars="-50" w:right="-140" w:rightChars="-50"/>
              <w:rPr>
                <w:rFonts w:ascii="宋体" w:hAnsi="宋体"/>
                <w:color w:val="auto"/>
                <w:sz w:val="24"/>
                <w:szCs w:val="24"/>
              </w:rPr>
            </w:pPr>
            <w:r>
              <w:rPr>
                <w:rFonts w:hint="eastAsia" w:ascii="宋体" w:hAnsi="宋体"/>
                <w:color w:val="auto"/>
                <w:sz w:val="24"/>
                <w:szCs w:val="24"/>
              </w:rPr>
              <w:t>评标专家确定方式：从鄂尔多斯市公共资源交易评标专家库中采用电脑随机抽取语音通知的方式确定。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MS Mincho" w:hAnsi="MS Mincho" w:cs="MS Mincho"/>
                <w:color w:val="auto"/>
                <w:sz w:val="24"/>
                <w:szCs w:val="24"/>
                <w:lang w:eastAsia="zh-CN"/>
              </w:rPr>
              <w:t>□</w:t>
            </w:r>
            <w:r>
              <w:rPr>
                <w:rFonts w:hint="eastAsia" w:ascii="宋体" w:hAnsi="宋体"/>
                <w:color w:val="auto"/>
                <w:sz w:val="24"/>
                <w:szCs w:val="24"/>
              </w:rPr>
              <w:t>采购人授权评标委员会按照评审原则直接确定中标人。</w:t>
            </w:r>
          </w:p>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投标人资格要求</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提交投标文件时间</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6" w:firstLineChars="73"/>
              <w:rPr>
                <w:rFonts w:ascii="宋体" w:hAnsi="宋体"/>
                <w:b/>
                <w:color w:val="auto"/>
                <w:sz w:val="24"/>
                <w:szCs w:val="24"/>
              </w:rPr>
            </w:pPr>
            <w:r>
              <w:rPr>
                <w:rFonts w:hint="eastAsia" w:ascii="宋体" w:hAnsi="宋体"/>
                <w:b/>
                <w:color w:val="auto"/>
                <w:sz w:val="24"/>
                <w:szCs w:val="24"/>
                <w:lang w:eastAsia="zh-CN"/>
              </w:rPr>
              <w:t>20</w:t>
            </w:r>
            <w:r>
              <w:rPr>
                <w:rFonts w:hint="eastAsia" w:ascii="宋体" w:hAnsi="宋体"/>
                <w:b/>
                <w:color w:val="auto"/>
                <w:sz w:val="24"/>
                <w:szCs w:val="24"/>
                <w:lang w:val="en-US" w:eastAsia="zh-CN"/>
              </w:rPr>
              <w:t>20</w:t>
            </w:r>
            <w:r>
              <w:rPr>
                <w:rFonts w:hint="eastAsia" w:ascii="宋体" w:hAnsi="宋体"/>
                <w:b/>
                <w:color w:val="auto"/>
                <w:sz w:val="24"/>
                <w:szCs w:val="24"/>
                <w:lang w:eastAsia="zh-CN"/>
              </w:rPr>
              <w:t>年</w:t>
            </w:r>
            <w:r>
              <w:rPr>
                <w:rFonts w:hint="eastAsia" w:ascii="宋体" w:hAnsi="宋体"/>
                <w:b/>
                <w:color w:val="auto"/>
                <w:sz w:val="24"/>
                <w:szCs w:val="24"/>
                <w:lang w:val="en-US" w:eastAsia="zh-CN"/>
              </w:rPr>
              <w:t>04</w:t>
            </w:r>
            <w:r>
              <w:rPr>
                <w:rFonts w:hint="eastAsia" w:ascii="宋体" w:hAnsi="宋体"/>
                <w:b/>
                <w:color w:val="auto"/>
                <w:sz w:val="24"/>
                <w:szCs w:val="24"/>
                <w:lang w:eastAsia="zh-CN"/>
              </w:rPr>
              <w:t>月2</w:t>
            </w:r>
            <w:r>
              <w:rPr>
                <w:rFonts w:hint="eastAsia" w:ascii="宋体" w:hAnsi="宋体"/>
                <w:b/>
                <w:color w:val="auto"/>
                <w:sz w:val="24"/>
                <w:szCs w:val="24"/>
                <w:lang w:val="en-US" w:eastAsia="zh-CN"/>
              </w:rPr>
              <w:t>4</w:t>
            </w:r>
            <w:r>
              <w:rPr>
                <w:rFonts w:hint="eastAsia" w:ascii="宋体" w:hAnsi="宋体"/>
                <w:b/>
                <w:color w:val="auto"/>
                <w:sz w:val="24"/>
                <w:szCs w:val="24"/>
                <w:lang w:eastAsia="zh-CN"/>
              </w:rPr>
              <w:t>日下</w:t>
            </w:r>
            <w:r>
              <w:rPr>
                <w:rFonts w:hint="eastAsia" w:ascii="宋体" w:hAnsi="宋体"/>
                <w:b/>
                <w:color w:val="auto"/>
                <w:sz w:val="24"/>
                <w:szCs w:val="24"/>
              </w:rPr>
              <w:t>午</w:t>
            </w:r>
            <w:r>
              <w:rPr>
                <w:rFonts w:hint="eastAsia" w:ascii="宋体" w:hAnsi="宋体"/>
                <w:b/>
                <w:color w:val="auto"/>
                <w:sz w:val="24"/>
                <w:szCs w:val="24"/>
                <w:lang w:val="en-US" w:eastAsia="zh-CN"/>
              </w:rPr>
              <w:t>14</w:t>
            </w:r>
            <w:r>
              <w:rPr>
                <w:rFonts w:hint="eastAsia" w:ascii="宋体" w:hAnsi="宋体"/>
                <w:b/>
                <w:color w:val="auto"/>
                <w:sz w:val="24"/>
                <w:szCs w:val="24"/>
              </w:rPr>
              <w:t>时</w:t>
            </w:r>
            <w:r>
              <w:rPr>
                <w:rFonts w:hint="eastAsia" w:ascii="宋体" w:hAnsi="宋体"/>
                <w:b/>
                <w:color w:val="auto"/>
                <w:sz w:val="24"/>
                <w:szCs w:val="24"/>
                <w:lang w:val="en-US" w:eastAsia="zh-CN"/>
              </w:rPr>
              <w:t>30</w:t>
            </w:r>
            <w:r>
              <w:rPr>
                <w:rFonts w:hint="eastAsia" w:ascii="宋体" w:hAnsi="宋体"/>
                <w:b/>
                <w:color w:val="auto"/>
                <w:sz w:val="24"/>
                <w:szCs w:val="24"/>
              </w:rPr>
              <w:t>分--</w:t>
            </w:r>
            <w:r>
              <w:rPr>
                <w:rFonts w:hint="eastAsia" w:ascii="宋体" w:hAnsi="宋体"/>
                <w:b/>
                <w:color w:val="auto"/>
                <w:sz w:val="24"/>
                <w:szCs w:val="24"/>
                <w:lang w:val="en-US" w:eastAsia="zh-CN"/>
              </w:rPr>
              <w:t>15</w:t>
            </w:r>
            <w:r>
              <w:rPr>
                <w:rFonts w:hint="eastAsia" w:ascii="宋体" w:hAnsi="宋体"/>
                <w:b/>
                <w:color w:val="auto"/>
                <w:sz w:val="24"/>
                <w:szCs w:val="24"/>
              </w:rPr>
              <w:t>时</w:t>
            </w:r>
            <w:r>
              <w:rPr>
                <w:rFonts w:hint="eastAsia" w:ascii="宋体" w:hAnsi="宋体"/>
                <w:b/>
                <w:color w:val="auto"/>
                <w:sz w:val="24"/>
                <w:szCs w:val="24"/>
                <w:lang w:val="en-US" w:eastAsia="zh-CN"/>
              </w:rPr>
              <w:t>00</w:t>
            </w:r>
            <w:r>
              <w:rPr>
                <w:rFonts w:hint="eastAsia" w:ascii="宋体" w:hAnsi="宋体"/>
                <w:b/>
                <w:color w:val="auto"/>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6" w:firstLineChars="73"/>
              <w:rPr>
                <w:rFonts w:ascii="宋体" w:hAnsi="宋体"/>
                <w:b/>
                <w:color w:val="auto"/>
                <w:sz w:val="24"/>
                <w:szCs w:val="24"/>
              </w:rPr>
            </w:pPr>
            <w:r>
              <w:rPr>
                <w:rFonts w:hint="eastAsia" w:ascii="宋体" w:hAnsi="宋体"/>
                <w:b/>
                <w:color w:val="auto"/>
                <w:sz w:val="24"/>
                <w:szCs w:val="24"/>
                <w:lang w:eastAsia="zh-CN"/>
              </w:rPr>
              <w:t>20</w:t>
            </w:r>
            <w:r>
              <w:rPr>
                <w:rFonts w:hint="eastAsia" w:ascii="宋体" w:hAnsi="宋体"/>
                <w:b/>
                <w:color w:val="auto"/>
                <w:sz w:val="24"/>
                <w:szCs w:val="24"/>
                <w:lang w:val="en-US" w:eastAsia="zh-CN"/>
              </w:rPr>
              <w:t>20</w:t>
            </w:r>
            <w:r>
              <w:rPr>
                <w:rFonts w:hint="eastAsia" w:ascii="宋体" w:hAnsi="宋体"/>
                <w:b/>
                <w:color w:val="auto"/>
                <w:sz w:val="24"/>
                <w:szCs w:val="24"/>
                <w:lang w:eastAsia="zh-CN"/>
              </w:rPr>
              <w:t>年</w:t>
            </w:r>
            <w:r>
              <w:rPr>
                <w:rFonts w:hint="eastAsia" w:ascii="宋体" w:hAnsi="宋体"/>
                <w:b/>
                <w:color w:val="auto"/>
                <w:sz w:val="24"/>
                <w:szCs w:val="24"/>
                <w:lang w:val="en-US" w:eastAsia="zh-CN"/>
              </w:rPr>
              <w:t>04</w:t>
            </w:r>
            <w:r>
              <w:rPr>
                <w:rFonts w:hint="eastAsia" w:ascii="宋体" w:hAnsi="宋体"/>
                <w:b/>
                <w:color w:val="auto"/>
                <w:sz w:val="24"/>
                <w:szCs w:val="24"/>
                <w:lang w:eastAsia="zh-CN"/>
              </w:rPr>
              <w:t>月2</w:t>
            </w:r>
            <w:r>
              <w:rPr>
                <w:rFonts w:hint="eastAsia" w:ascii="宋体" w:hAnsi="宋体"/>
                <w:b/>
                <w:color w:val="auto"/>
                <w:sz w:val="24"/>
                <w:szCs w:val="24"/>
                <w:lang w:val="en-US" w:eastAsia="zh-CN"/>
              </w:rPr>
              <w:t>4</w:t>
            </w:r>
            <w:r>
              <w:rPr>
                <w:rFonts w:hint="eastAsia" w:ascii="宋体" w:hAnsi="宋体"/>
                <w:b/>
                <w:color w:val="auto"/>
                <w:sz w:val="24"/>
                <w:szCs w:val="24"/>
                <w:lang w:eastAsia="zh-CN"/>
              </w:rPr>
              <w:t>日下</w:t>
            </w:r>
            <w:r>
              <w:rPr>
                <w:rFonts w:hint="eastAsia" w:ascii="宋体" w:hAnsi="宋体"/>
                <w:b/>
                <w:color w:val="auto"/>
                <w:sz w:val="24"/>
                <w:szCs w:val="24"/>
              </w:rPr>
              <w:t>午</w:t>
            </w:r>
            <w:r>
              <w:rPr>
                <w:rFonts w:hint="eastAsia" w:ascii="宋体" w:hAnsi="宋体"/>
                <w:b/>
                <w:color w:val="auto"/>
                <w:sz w:val="24"/>
                <w:szCs w:val="24"/>
                <w:lang w:val="en-US" w:eastAsia="zh-CN"/>
              </w:rPr>
              <w:t>15</w:t>
            </w:r>
            <w:r>
              <w:rPr>
                <w:rFonts w:hint="eastAsia" w:ascii="宋体" w:hAnsi="宋体"/>
                <w:b/>
                <w:color w:val="auto"/>
                <w:sz w:val="24"/>
                <w:szCs w:val="24"/>
              </w:rPr>
              <w:t>时</w:t>
            </w:r>
            <w:r>
              <w:rPr>
                <w:rFonts w:hint="eastAsia" w:ascii="宋体" w:hAnsi="宋体"/>
                <w:b/>
                <w:color w:val="auto"/>
                <w:sz w:val="24"/>
                <w:szCs w:val="24"/>
                <w:lang w:val="en-US" w:eastAsia="zh-CN"/>
              </w:rPr>
              <w:t>00</w:t>
            </w:r>
            <w:r>
              <w:rPr>
                <w:rFonts w:hint="eastAsia" w:ascii="宋体" w:hAnsi="宋体"/>
                <w:b/>
                <w:color w:val="auto"/>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开标地点（投标文件提交地点）</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hint="eastAsia" w:ascii="宋体" w:hAnsi="宋体" w:eastAsia="宋体"/>
                <w:color w:val="auto"/>
                <w:sz w:val="24"/>
                <w:szCs w:val="24"/>
                <w:lang w:eastAsia="zh-CN"/>
              </w:rPr>
            </w:pPr>
            <w:r>
              <w:rPr>
                <w:rFonts w:hint="eastAsia" w:ascii="宋体" w:hAnsi="宋体"/>
                <w:color w:val="auto"/>
                <w:sz w:val="24"/>
                <w:szCs w:val="24"/>
                <w:lang w:eastAsia="zh-CN"/>
              </w:rPr>
              <w:t>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16</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投标文件数量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auto"/>
                <w:sz w:val="24"/>
                <w:szCs w:val="24"/>
              </w:rPr>
            </w:pPr>
            <w:r>
              <w:rPr>
                <w:rFonts w:hint="eastAsia" w:ascii="宋体" w:hAnsi="宋体"/>
                <w:color w:val="auto"/>
                <w:sz w:val="24"/>
                <w:szCs w:val="24"/>
              </w:rPr>
              <w:t>正本一份，副本四份，电子版（U盘）3份（标明投标人名称，与正本内容一致，内含不加密的PDF格式投标文件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 xml:space="preserve"> 17</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现场演示</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评标时需投标人现场演示（演示内容详见第六章评标办法）</w:t>
            </w:r>
          </w:p>
          <w:p>
            <w:pPr>
              <w:spacing w:line="360" w:lineRule="auto"/>
              <w:ind w:right="-140" w:rightChars="-50"/>
              <w:rPr>
                <w:rFonts w:hint="default" w:ascii="宋体" w:eastAsia="宋体"/>
                <w:color w:val="auto"/>
                <w:sz w:val="24"/>
                <w:szCs w:val="24"/>
                <w:highlight w:val="none"/>
                <w:lang w:val="en-US" w:eastAsia="zh-CN"/>
              </w:rPr>
            </w:pPr>
            <w:r>
              <w:rPr>
                <w:rFonts w:hint="eastAsia" w:ascii="宋体" w:hAnsi="宋体" w:cs="宋体"/>
                <w:b/>
                <w:bCs/>
                <w:color w:val="auto"/>
                <w:sz w:val="24"/>
                <w:highlight w:val="none"/>
                <w:lang w:eastAsia="zh-CN"/>
              </w:rPr>
              <w:t>注：演示设备需投标人自行配备，如未配备所造成的后果由投标人自行承担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s="宋体"/>
                <w:color w:val="auto"/>
                <w:sz w:val="24"/>
                <w:szCs w:val="24"/>
              </w:rPr>
              <w:t>联合体投标</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rPr>
            </w:pPr>
            <w:r>
              <w:rPr>
                <w:rFonts w:hint="eastAsia" w:ascii="宋体" w:hAnsi="宋体"/>
                <w:color w:val="auto"/>
                <w:sz w:val="24"/>
              </w:rPr>
              <w:t>中标单位应向代理机构交纳代理服务费。该项费用认为已含在中标单位的投标报价中，采购人不单独支付。</w:t>
            </w:r>
          </w:p>
          <w:p>
            <w:pPr>
              <w:spacing w:line="360" w:lineRule="auto"/>
              <w:ind w:right="-140" w:rightChars="-50"/>
              <w:rPr>
                <w:rFonts w:ascii="宋体" w:hAnsi="宋体"/>
                <w:color w:val="auto"/>
                <w:sz w:val="24"/>
                <w:szCs w:val="24"/>
              </w:rPr>
            </w:pPr>
            <w:r>
              <w:rPr>
                <w:rFonts w:ascii="宋体" w:hAnsi="宋体"/>
                <w:color w:val="auto"/>
                <w:sz w:val="24"/>
              </w:rPr>
              <w:t>中标人须在领取中标通知书前支付中标服务费，中标人须向招标代理机构按如下标准和规定交纳中标服务费：以中标通知书中确定的中标总价为计算基数，按内蒙古自治区工程建设协会文件，内工建协[2016]17号文件</w:t>
            </w:r>
            <w:r>
              <w:rPr>
                <w:rFonts w:hint="eastAsia" w:ascii="宋体" w:hAnsi="宋体"/>
                <w:color w:val="auto"/>
                <w:sz w:val="24"/>
              </w:rPr>
              <w:t>“货物类”</w:t>
            </w:r>
            <w:r>
              <w:rPr>
                <w:rFonts w:ascii="宋体" w:hAnsi="宋体"/>
                <w:color w:val="auto"/>
                <w:sz w:val="24"/>
              </w:rPr>
              <w:t>规定收取。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投标保证金</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sz w:val="21"/>
                <w:szCs w:val="21"/>
              </w:rPr>
            </w:pPr>
            <w:r>
              <w:rPr>
                <w:sz w:val="21"/>
                <w:szCs w:val="21"/>
              </w:rPr>
              <w:t>本项目采用“虚拟子账户”形式及法律法规规定的其它缴纳方式收退投标保证金。请各投标人特别关注并严格遵照招标文件中有关投标保证金缴纳的规定。</w:t>
            </w:r>
          </w:p>
          <w:p>
            <w:pPr>
              <w:spacing w:line="360" w:lineRule="auto"/>
              <w:ind w:right="-140" w:rightChars="-50"/>
              <w:rPr>
                <w:sz w:val="21"/>
                <w:szCs w:val="21"/>
              </w:rPr>
            </w:pPr>
            <w:r>
              <w:rPr>
                <w:sz w:val="21"/>
                <w:szCs w:val="21"/>
              </w:rPr>
              <w:t>保证金人民币</w:t>
            </w:r>
            <w:r>
              <w:rPr>
                <w:rFonts w:hint="eastAsia"/>
                <w:sz w:val="21"/>
                <w:szCs w:val="21"/>
                <w:lang w:val="en-US" w:eastAsia="zh-CN"/>
              </w:rPr>
              <w:t>3</w:t>
            </w:r>
            <w:r>
              <w:rPr>
                <w:sz w:val="21"/>
                <w:szCs w:val="21"/>
              </w:rPr>
              <w:t>0000.00元整（大写：</w:t>
            </w:r>
            <w:r>
              <w:rPr>
                <w:rFonts w:hint="eastAsia"/>
                <w:sz w:val="21"/>
                <w:szCs w:val="21"/>
                <w:lang w:eastAsia="zh-CN"/>
              </w:rPr>
              <w:t>叁</w:t>
            </w:r>
            <w:r>
              <w:rPr>
                <w:sz w:val="21"/>
                <w:szCs w:val="21"/>
              </w:rPr>
              <w:t>万</w:t>
            </w:r>
            <w:r>
              <w:rPr>
                <w:rFonts w:hint="eastAsia"/>
                <w:sz w:val="21"/>
                <w:szCs w:val="21"/>
                <w:lang w:eastAsia="zh-CN"/>
              </w:rPr>
              <w:t>元</w:t>
            </w:r>
            <w:r>
              <w:rPr>
                <w:sz w:val="21"/>
                <w:szCs w:val="21"/>
              </w:rPr>
              <w:t>整）；</w:t>
            </w:r>
          </w:p>
          <w:p>
            <w:pPr>
              <w:spacing w:line="360" w:lineRule="auto"/>
              <w:ind w:right="-140" w:rightChars="-50"/>
              <w:rPr>
                <w:sz w:val="21"/>
                <w:szCs w:val="21"/>
              </w:rPr>
            </w:pPr>
            <w:r>
              <w:rPr>
                <w:sz w:val="21"/>
                <w:szCs w:val="21"/>
              </w:rPr>
              <w:t>开户银行：鄂托克前旗农村商业银行股份有限公司。</w:t>
            </w:r>
          </w:p>
          <w:p>
            <w:pPr>
              <w:spacing w:line="360" w:lineRule="auto"/>
              <w:ind w:right="-140" w:rightChars="-50"/>
              <w:rPr>
                <w:sz w:val="21"/>
                <w:szCs w:val="21"/>
              </w:rPr>
            </w:pPr>
            <w:r>
              <w:rPr>
                <w:sz w:val="21"/>
                <w:szCs w:val="21"/>
              </w:rPr>
              <w:t>行号：402205481279。</w:t>
            </w:r>
          </w:p>
          <w:p>
            <w:pPr>
              <w:spacing w:line="360" w:lineRule="auto"/>
              <w:ind w:right="-140" w:rightChars="-50"/>
              <w:rPr>
                <w:sz w:val="21"/>
                <w:szCs w:val="21"/>
              </w:rPr>
            </w:pPr>
            <w:r>
              <w:rPr>
                <w:sz w:val="21"/>
                <w:szCs w:val="21"/>
              </w:rPr>
              <w:t>开户单位：鄂尔多斯市鄂托克前旗公共资源交易中心。</w:t>
            </w:r>
          </w:p>
          <w:p>
            <w:pPr>
              <w:spacing w:line="360" w:lineRule="auto"/>
              <w:ind w:right="-140" w:rightChars="-50"/>
              <w:rPr>
                <w:sz w:val="21"/>
                <w:szCs w:val="21"/>
              </w:rPr>
            </w:pPr>
            <w:r>
              <w:rPr>
                <w:sz w:val="21"/>
                <w:szCs w:val="21"/>
              </w:rPr>
              <w:t>账号：详见“政府采购投标信息回执函”下方所附“保证金缴纳信息”中载明的账号。</w:t>
            </w:r>
          </w:p>
          <w:p>
            <w:pPr>
              <w:spacing w:line="360" w:lineRule="auto"/>
              <w:ind w:right="-140" w:rightChars="-50"/>
              <w:rPr>
                <w:sz w:val="21"/>
                <w:szCs w:val="21"/>
              </w:rPr>
            </w:pPr>
            <w:r>
              <w:rPr>
                <w:sz w:val="21"/>
                <w:szCs w:val="21"/>
              </w:rPr>
              <w:t>投标保证金缴纳、退还联系人：白俊艳   0477—7625245</w:t>
            </w:r>
          </w:p>
          <w:p>
            <w:pPr>
              <w:spacing w:line="360" w:lineRule="auto"/>
              <w:ind w:left="-140" w:leftChars="-50" w:right="-140" w:rightChars="-50"/>
              <w:rPr>
                <w:rFonts w:ascii="宋体" w:hAnsi="宋体"/>
                <w:color w:val="auto"/>
                <w:sz w:val="24"/>
                <w:szCs w:val="24"/>
              </w:rPr>
            </w:pPr>
            <w:r>
              <w:rPr>
                <w:sz w:val="21"/>
                <w:szCs w:val="21"/>
              </w:rPr>
              <w:t>投标保证金缴纳截止时间</w:t>
            </w:r>
            <w:r>
              <w:rPr>
                <w:sz w:val="21"/>
                <w:szCs w:val="21"/>
                <w:highlight w:val="none"/>
              </w:rPr>
              <w:t>：</w:t>
            </w:r>
            <w:r>
              <w:rPr>
                <w:rFonts w:hint="eastAsia"/>
                <w:sz w:val="21"/>
                <w:szCs w:val="21"/>
                <w:highlight w:val="none"/>
              </w:rPr>
              <w:t>2020年04月</w:t>
            </w:r>
            <w:r>
              <w:rPr>
                <w:rFonts w:hint="eastAsia"/>
                <w:sz w:val="21"/>
                <w:szCs w:val="21"/>
                <w:highlight w:val="none"/>
                <w:lang w:val="en-US" w:eastAsia="zh-CN"/>
              </w:rPr>
              <w:t>24</w:t>
            </w:r>
            <w:r>
              <w:rPr>
                <w:rFonts w:hint="eastAsia"/>
                <w:sz w:val="21"/>
                <w:szCs w:val="21"/>
                <w:highlight w:val="none"/>
              </w:rPr>
              <w:t>日</w:t>
            </w:r>
            <w:r>
              <w:rPr>
                <w:rFonts w:hint="eastAsia"/>
                <w:sz w:val="21"/>
                <w:szCs w:val="21"/>
                <w:highlight w:val="none"/>
                <w:lang w:val="en-US" w:eastAsia="zh-CN"/>
              </w:rPr>
              <w:t>15</w:t>
            </w:r>
            <w:r>
              <w:rPr>
                <w:sz w:val="21"/>
                <w:szCs w:val="21"/>
                <w:highlight w:val="none"/>
              </w:rPr>
              <w:t>时</w:t>
            </w:r>
            <w:r>
              <w:rPr>
                <w:rFonts w:hint="eastAsia"/>
                <w:sz w:val="21"/>
                <w:szCs w:val="21"/>
                <w:highlight w:val="none"/>
              </w:rPr>
              <w:t>00</w:t>
            </w:r>
            <w:r>
              <w:rPr>
                <w:sz w:val="21"/>
                <w:szCs w:val="21"/>
                <w:highlight w:val="none"/>
              </w:rPr>
              <w:t>分前</w:t>
            </w:r>
          </w:p>
        </w:tc>
      </w:tr>
    </w:tbl>
    <w:p>
      <w:pPr>
        <w:spacing w:line="360" w:lineRule="auto"/>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1.报名方式</w:t>
      </w:r>
    </w:p>
    <w:p>
      <w:pPr>
        <w:spacing w:line="360" w:lineRule="auto"/>
        <w:ind w:firstLine="480" w:firstLineChars="200"/>
        <w:rPr>
          <w:kern w:val="0"/>
          <w:sz w:val="24"/>
          <w:szCs w:val="24"/>
        </w:rPr>
      </w:pPr>
      <w:r>
        <w:rPr>
          <w:sz w:val="24"/>
          <w:szCs w:val="24"/>
        </w:rPr>
        <w:t>1.1</w:t>
      </w:r>
      <w:r>
        <w:rPr>
          <w:kern w:val="0"/>
          <w:sz w:val="24"/>
          <w:szCs w:val="24"/>
        </w:rPr>
        <w:t>报名方式采用网上报名，流程如下：</w:t>
      </w:r>
    </w:p>
    <w:p>
      <w:pPr>
        <w:spacing w:line="360" w:lineRule="auto"/>
        <w:ind w:firstLine="480" w:firstLineChars="200"/>
        <w:rPr>
          <w:kern w:val="0"/>
          <w:sz w:val="24"/>
          <w:szCs w:val="24"/>
        </w:rPr>
      </w:pPr>
      <w:r>
        <w:rPr>
          <w:sz w:val="24"/>
          <w:szCs w:val="24"/>
        </w:rPr>
        <w:t>填写报名信息。登录《鄂尔多斯市公共资源交易网》（http://www.ordosggzyjy.org.cn）或《鄂托克前旗公共资源交易中心网》（http://www.ordosggzyjy.org.cn/TPFront_etkqq/）页面</w:t>
      </w:r>
      <w:r>
        <w:rPr>
          <w:kern w:val="0"/>
          <w:sz w:val="24"/>
          <w:szCs w:val="24"/>
        </w:rPr>
        <w:t>，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sz w:val="24"/>
          <w:szCs w:val="24"/>
        </w:rPr>
      </w:pPr>
      <w:r>
        <w:rPr>
          <w:kern w:val="0"/>
          <w:sz w:val="24"/>
          <w:szCs w:val="24"/>
        </w:rPr>
        <w:t>1.2缴纳投标保证金。</w:t>
      </w:r>
      <w:r>
        <w:rPr>
          <w:sz w:val="24"/>
          <w:szCs w:val="24"/>
        </w:rPr>
        <w:t>本招标项目采用“虚拟子账号”形式收退投标保证金，每一个投标人在所投的每一项目或标包会自动生成一个账号，</w:t>
      </w:r>
      <w:r>
        <w:rPr>
          <w:kern w:val="0"/>
          <w:sz w:val="24"/>
          <w:szCs w:val="24"/>
        </w:rPr>
        <w:t>称为“虚拟子账号”。投标人</w:t>
      </w:r>
      <w:r>
        <w:rPr>
          <w:sz w:val="24"/>
          <w:szCs w:val="24"/>
        </w:rPr>
        <w:t>在进行投标信息确认后，应查看“</w:t>
      </w:r>
      <w:r>
        <w:rPr>
          <w:kern w:val="0"/>
          <w:sz w:val="24"/>
          <w:szCs w:val="24"/>
        </w:rPr>
        <w:t>保证金缴纳信息</w:t>
      </w:r>
      <w:r>
        <w:rPr>
          <w:sz w:val="24"/>
          <w:szCs w:val="24"/>
        </w:rPr>
        <w:t>”下方所载明的账号，并按照招标文件规定的金额、时间电汇</w:t>
      </w:r>
      <w:r>
        <w:rPr>
          <w:kern w:val="0"/>
          <w:sz w:val="24"/>
          <w:szCs w:val="24"/>
        </w:rPr>
        <w:t>或转账</w:t>
      </w:r>
      <w:r>
        <w:rPr>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rPr>
          <w:kern w:val="0"/>
          <w:sz w:val="24"/>
          <w:szCs w:val="24"/>
        </w:rPr>
      </w:pPr>
      <w:r>
        <w:rPr>
          <w:kern w:val="0"/>
          <w:sz w:val="24"/>
          <w:szCs w:val="24"/>
        </w:rPr>
        <w:t>1.3查看报名状况。用“回执码”登录可查看报名状况；只有“是否缴纳保证金”显示“已缴纳”，报名才能成功</w:t>
      </w:r>
    </w:p>
    <w:p>
      <w:pPr>
        <w:spacing w:line="360" w:lineRule="auto"/>
        <w:rPr>
          <w:rFonts w:ascii="宋体" w:hAnsi="宋体"/>
          <w:b/>
          <w:color w:val="auto"/>
          <w:sz w:val="24"/>
          <w:szCs w:val="24"/>
        </w:rPr>
      </w:pPr>
      <w:r>
        <w:rPr>
          <w:rFonts w:hint="eastAsia" w:ascii="宋体" w:hAnsi="宋体"/>
          <w:b/>
          <w:color w:val="auto"/>
          <w:sz w:val="24"/>
          <w:szCs w:val="24"/>
        </w:rPr>
        <w:t>2.报名时间及报名截止时间（网上报名）</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2.1报名时间（招标文件提供期限）：</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w:t>
      </w:r>
      <w:r>
        <w:rPr>
          <w:rFonts w:hint="eastAsia" w:ascii="宋体" w:hAnsi="宋体"/>
          <w:color w:val="auto"/>
          <w:sz w:val="24"/>
          <w:szCs w:val="24"/>
          <w:lang w:val="en-US" w:eastAsia="zh-CN"/>
        </w:rPr>
        <w:t>03</w:t>
      </w:r>
      <w:r>
        <w:rPr>
          <w:rFonts w:hint="eastAsia" w:ascii="宋体" w:hAnsi="宋体"/>
          <w:color w:val="auto"/>
          <w:sz w:val="24"/>
          <w:szCs w:val="24"/>
          <w:lang w:eastAsia="zh-CN"/>
        </w:rPr>
        <w:t>日</w:t>
      </w:r>
      <w:r>
        <w:rPr>
          <w:rFonts w:hint="eastAsia" w:ascii="宋体" w:hAnsi="宋体"/>
          <w:color w:val="auto"/>
          <w:sz w:val="24"/>
          <w:szCs w:val="24"/>
        </w:rPr>
        <w:t xml:space="preserve">至 </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月13日</w:t>
      </w:r>
      <w:r>
        <w:rPr>
          <w:rFonts w:hint="eastAsia" w:ascii="宋体" w:hAnsi="宋体"/>
          <w:color w:val="auto"/>
          <w:sz w:val="24"/>
          <w:szCs w:val="24"/>
        </w:rPr>
        <w:t>下午17时30分止。</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2.2保证金缴纳截止时间（同提交投标文件截止时间）：</w:t>
      </w:r>
      <w:r>
        <w:rPr>
          <w:rFonts w:hint="eastAsia" w:ascii="宋体" w:hAnsi="宋体"/>
          <w:color w:val="auto"/>
          <w:sz w:val="24"/>
          <w:szCs w:val="24"/>
          <w:lang w:eastAsia="zh-CN"/>
        </w:rPr>
        <w:t>20</w:t>
      </w:r>
      <w:r>
        <w:rPr>
          <w:rFonts w:hint="eastAsia" w:ascii="宋体" w:hAnsi="宋体"/>
          <w:color w:val="auto"/>
          <w:sz w:val="24"/>
          <w:szCs w:val="24"/>
          <w:lang w:val="en-US" w:eastAsia="zh-CN"/>
        </w:rPr>
        <w:t>20</w:t>
      </w:r>
      <w:r>
        <w:rPr>
          <w:rFonts w:hint="eastAsia" w:ascii="宋体" w:hAnsi="宋体"/>
          <w:color w:val="auto"/>
          <w:sz w:val="24"/>
          <w:szCs w:val="24"/>
          <w:lang w:eastAsia="zh-CN"/>
        </w:rPr>
        <w:t>年</w:t>
      </w:r>
      <w:r>
        <w:rPr>
          <w:rFonts w:hint="eastAsia" w:ascii="宋体" w:hAnsi="宋体"/>
          <w:color w:val="auto"/>
          <w:sz w:val="24"/>
          <w:szCs w:val="24"/>
          <w:lang w:val="en-US" w:eastAsia="zh-CN"/>
        </w:rPr>
        <w:t>04</w:t>
      </w:r>
      <w:r>
        <w:rPr>
          <w:rFonts w:hint="eastAsia" w:ascii="宋体" w:hAnsi="宋体"/>
          <w:color w:val="auto"/>
          <w:sz w:val="24"/>
          <w:szCs w:val="24"/>
          <w:lang w:eastAsia="zh-CN"/>
        </w:rPr>
        <w:t>月</w:t>
      </w:r>
      <w:r>
        <w:rPr>
          <w:rFonts w:hint="eastAsia" w:ascii="宋体" w:hAnsi="宋体"/>
          <w:color w:val="auto"/>
          <w:sz w:val="24"/>
          <w:szCs w:val="24"/>
          <w:lang w:val="en-US" w:eastAsia="zh-CN"/>
        </w:rPr>
        <w:t>24</w:t>
      </w:r>
      <w:r>
        <w:rPr>
          <w:rFonts w:hint="eastAsia" w:ascii="宋体" w:hAnsi="宋体"/>
          <w:color w:val="auto"/>
          <w:sz w:val="24"/>
          <w:szCs w:val="24"/>
          <w:lang w:eastAsia="zh-CN"/>
        </w:rPr>
        <w:t>日下</w:t>
      </w:r>
      <w:r>
        <w:rPr>
          <w:rFonts w:hint="eastAsia" w:ascii="宋体" w:hAnsi="宋体"/>
          <w:color w:val="auto"/>
          <w:sz w:val="24"/>
          <w:szCs w:val="24"/>
        </w:rPr>
        <w:t>午</w:t>
      </w:r>
      <w:r>
        <w:rPr>
          <w:rFonts w:hint="eastAsia" w:ascii="宋体" w:hAnsi="宋体"/>
          <w:color w:val="auto"/>
          <w:sz w:val="24"/>
          <w:szCs w:val="24"/>
          <w:lang w:val="en-US" w:eastAsia="zh-CN"/>
        </w:rPr>
        <w:t>15</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分前。</w:t>
      </w:r>
    </w:p>
    <w:p>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交易中心财务人员（白俊艳0477—7625245）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3.2由于投标保证金到账需要一定时间，请投标人在投标截止前及早缴纳，以免导致报名无效。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3.4网上报名成功而放弃参加投标的投标人，请在提交投标文件前以书面形式并加盖单位公章（扫描件发送至</w:t>
      </w:r>
      <w:r>
        <w:rPr>
          <w:color w:val="auto"/>
        </w:rPr>
        <w:fldChar w:fldCharType="begin"/>
      </w:r>
      <w:r>
        <w:rPr>
          <w:color w:val="auto"/>
        </w:rPr>
        <w:instrText xml:space="preserve"> HYPERLINK "javascript:;" </w:instrText>
      </w:r>
      <w:r>
        <w:rPr>
          <w:color w:val="auto"/>
        </w:rPr>
        <w:fldChar w:fldCharType="separate"/>
      </w:r>
      <w:r>
        <w:rPr>
          <w:rStyle w:val="35"/>
          <w:rFonts w:hint="eastAsia" w:ascii="宋体" w:hAnsi="宋体"/>
          <w:bCs/>
          <w:color w:val="auto"/>
          <w:sz w:val="24"/>
          <w:szCs w:val="24"/>
          <w:shd w:val="clear" w:color="auto" w:fill="FFFFFF"/>
          <w:lang w:val="en-US" w:eastAsia="zh-CN"/>
        </w:rPr>
        <w:t>923308479</w:t>
      </w:r>
      <w:r>
        <w:rPr>
          <w:rStyle w:val="35"/>
          <w:rFonts w:hint="eastAsia" w:ascii="宋体" w:hAnsi="宋体"/>
          <w:bCs/>
          <w:color w:val="auto"/>
          <w:sz w:val="24"/>
          <w:szCs w:val="24"/>
          <w:shd w:val="clear" w:color="auto" w:fill="FFFFFF"/>
        </w:rPr>
        <w:t>@qq</w:t>
      </w:r>
      <w:r>
        <w:rPr>
          <w:rStyle w:val="35"/>
          <w:rFonts w:ascii="宋体" w:hAnsi="宋体"/>
          <w:bCs/>
          <w:color w:val="auto"/>
          <w:sz w:val="24"/>
          <w:szCs w:val="24"/>
          <w:shd w:val="clear" w:color="auto" w:fill="FFFFFF"/>
        </w:rPr>
        <w:t>.com</w:t>
      </w:r>
      <w:r>
        <w:rPr>
          <w:rStyle w:val="35"/>
          <w:rFonts w:ascii="宋体" w:hAnsi="宋体"/>
          <w:bCs/>
          <w:color w:val="auto"/>
          <w:sz w:val="24"/>
          <w:szCs w:val="24"/>
          <w:shd w:val="clear" w:color="auto" w:fill="FFFFFF"/>
        </w:rPr>
        <w:fldChar w:fldCharType="end"/>
      </w:r>
      <w:r>
        <w:rPr>
          <w:rFonts w:hint="eastAsia" w:ascii="宋体" w:hAnsi="宋体"/>
          <w:color w:val="auto"/>
          <w:sz w:val="24"/>
          <w:szCs w:val="24"/>
        </w:rPr>
        <w:t>或书面送达）通知鄂托克前旗公共资源交易中心，并在网上报名页面中撤销报名。放弃投标未予告知的，鄂托克前旗公共资源交易中心将给予不诚信行为记录</w:t>
      </w:r>
      <w:r>
        <w:rPr>
          <w:sz w:val="24"/>
          <w:szCs w:val="24"/>
        </w:rPr>
        <w:t>记录并在鄂尔多斯市公共资源交易网上公开通报</w:t>
      </w:r>
      <w:r>
        <w:rPr>
          <w:rFonts w:hint="eastAsia" w:ascii="宋体" w:hAnsi="宋体"/>
          <w:color w:val="auto"/>
          <w:sz w:val="24"/>
          <w:szCs w:val="24"/>
        </w:rPr>
        <w:t>。</w:t>
      </w:r>
    </w:p>
    <w:p>
      <w:pPr>
        <w:spacing w:line="360" w:lineRule="auto"/>
        <w:rPr>
          <w:rFonts w:ascii="宋体" w:hAnsi="宋体"/>
          <w:b/>
          <w:color w:val="auto"/>
          <w:sz w:val="24"/>
          <w:szCs w:val="24"/>
        </w:rPr>
      </w:pPr>
      <w:r>
        <w:rPr>
          <w:rFonts w:hint="eastAsia" w:ascii="宋体" w:hAnsi="宋体"/>
          <w:b/>
          <w:color w:val="auto"/>
          <w:sz w:val="24"/>
          <w:szCs w:val="24"/>
        </w:rPr>
        <w:t>三.说明</w:t>
      </w:r>
    </w:p>
    <w:p>
      <w:pPr>
        <w:spacing w:line="360" w:lineRule="auto"/>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本次公开招标项目，</w:t>
      </w:r>
      <w:r>
        <w:rPr>
          <w:rFonts w:ascii="宋体" w:hAnsi="宋体"/>
          <w:color w:val="auto"/>
          <w:sz w:val="24"/>
          <w:szCs w:val="24"/>
        </w:rPr>
        <w:t>是以</w:t>
      </w:r>
      <w:r>
        <w:rPr>
          <w:rFonts w:hint="eastAsia" w:ascii="宋体" w:hAnsi="宋体"/>
          <w:color w:val="auto"/>
          <w:sz w:val="24"/>
          <w:szCs w:val="24"/>
        </w:rPr>
        <w:t>招标</w:t>
      </w:r>
      <w:r>
        <w:rPr>
          <w:rFonts w:ascii="宋体" w:hAnsi="宋体"/>
          <w:color w:val="auto"/>
          <w:sz w:val="24"/>
          <w:szCs w:val="24"/>
        </w:rPr>
        <w:t>公告的方式邀请非特定的</w:t>
      </w:r>
      <w:r>
        <w:rPr>
          <w:rFonts w:hint="eastAsia" w:ascii="宋体" w:hAnsi="宋体"/>
          <w:color w:val="auto"/>
          <w:sz w:val="24"/>
          <w:szCs w:val="24"/>
        </w:rPr>
        <w:t>投标人</w:t>
      </w:r>
      <w:r>
        <w:rPr>
          <w:rFonts w:ascii="宋体" w:hAnsi="宋体"/>
          <w:color w:val="auto"/>
          <w:sz w:val="24"/>
          <w:szCs w:val="24"/>
        </w:rPr>
        <w:t>参加投标</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本招标文件所称货物，是指各种形态和种类的物品。提供的货物必须合法生产或销售且符合国家有关标准要求。</w:t>
      </w:r>
    </w:p>
    <w:p>
      <w:pPr>
        <w:pStyle w:val="16"/>
        <w:adjustRightInd w:val="0"/>
        <w:snapToGrid w:val="0"/>
        <w:spacing w:line="360" w:lineRule="auto"/>
        <w:rPr>
          <w:rFonts w:hAnsi="宋体"/>
          <w:b/>
          <w:color w:val="auto"/>
          <w:kern w:val="2"/>
          <w:sz w:val="24"/>
          <w:szCs w:val="24"/>
        </w:rPr>
      </w:pPr>
      <w:r>
        <w:rPr>
          <w:rFonts w:hint="eastAsia" w:hAnsi="宋体"/>
          <w:b/>
          <w:color w:val="auto"/>
          <w:kern w:val="2"/>
          <w:sz w:val="24"/>
          <w:szCs w:val="24"/>
        </w:rPr>
        <w:t>2.适用范围</w:t>
      </w:r>
    </w:p>
    <w:p>
      <w:pPr>
        <w:pStyle w:val="16"/>
        <w:adjustRightInd w:val="0"/>
        <w:snapToGrid w:val="0"/>
        <w:spacing w:line="360" w:lineRule="auto"/>
        <w:ind w:firstLine="480" w:firstLineChars="200"/>
        <w:rPr>
          <w:rFonts w:hAnsi="宋体"/>
          <w:b/>
          <w:color w:val="auto"/>
          <w:kern w:val="2"/>
          <w:sz w:val="24"/>
          <w:szCs w:val="24"/>
        </w:rPr>
      </w:pPr>
      <w:r>
        <w:rPr>
          <w:rFonts w:hint="eastAsia" w:hAnsi="宋体" w:cs="宋体"/>
          <w:color w:val="auto"/>
          <w:sz w:val="24"/>
          <w:szCs w:val="24"/>
        </w:rPr>
        <w:t>本招标文件仅适用于本次招标公告中所涉及的项目和内容。</w:t>
      </w:r>
    </w:p>
    <w:p>
      <w:pPr>
        <w:pStyle w:val="16"/>
        <w:adjustRightInd w:val="0"/>
        <w:snapToGrid w:val="0"/>
        <w:spacing w:line="360" w:lineRule="auto"/>
        <w:rPr>
          <w:rFonts w:hAnsi="宋体"/>
          <w:b/>
          <w:color w:val="auto"/>
          <w:sz w:val="24"/>
          <w:szCs w:val="24"/>
        </w:rPr>
      </w:pPr>
      <w:r>
        <w:rPr>
          <w:rFonts w:hint="eastAsia" w:hAnsi="宋体"/>
          <w:b/>
          <w:color w:val="auto"/>
          <w:sz w:val="24"/>
          <w:szCs w:val="24"/>
        </w:rPr>
        <w:t>3.投标费用</w:t>
      </w:r>
    </w:p>
    <w:p>
      <w:pPr>
        <w:pStyle w:val="16"/>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3.1投标人应承担所有与准备和参加投标有关的费用。不论投标结果如何，采购代理机构</w:t>
      </w:r>
      <w:r>
        <w:rPr>
          <w:rFonts w:hint="eastAsia" w:hAnsi="宋体" w:cs="Arial"/>
          <w:color w:val="auto"/>
          <w:kern w:val="2"/>
          <w:sz w:val="24"/>
          <w:szCs w:val="24"/>
        </w:rPr>
        <w:t>和采购人均无义务和责任承担相关费用。</w:t>
      </w:r>
    </w:p>
    <w:p>
      <w:pPr>
        <w:pStyle w:val="16"/>
        <w:adjustRightInd w:val="0"/>
        <w:snapToGrid w:val="0"/>
        <w:spacing w:line="360" w:lineRule="auto"/>
        <w:ind w:firstLine="480" w:firstLineChars="200"/>
        <w:rPr>
          <w:rFonts w:hAnsi="宋体"/>
          <w:color w:val="auto"/>
          <w:sz w:val="24"/>
          <w:szCs w:val="24"/>
        </w:rPr>
      </w:pPr>
      <w:r>
        <w:rPr>
          <w:rFonts w:hint="eastAsia" w:hAnsi="宋体"/>
          <w:color w:val="auto"/>
          <w:sz w:val="24"/>
          <w:szCs w:val="24"/>
        </w:rPr>
        <w:t>3.2．中标人需承担本次项目采购机构代理费用，支付方式以中标通知书中载明的中标总价为计算基数，按内蒙古自治区工程建设协会文件，内工建协[2016]17号文件规定收费收取采购代理服务费。</w:t>
      </w:r>
    </w:p>
    <w:p>
      <w:pPr>
        <w:spacing w:line="360" w:lineRule="auto"/>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依法进行政府采购的国家机关、事业单位、团体组织。本招标文件的采购人特指</w:t>
      </w:r>
      <w:r>
        <w:rPr>
          <w:rFonts w:hint="eastAsia" w:ascii="宋体" w:hAnsi="宋体" w:cs="Arial"/>
          <w:color w:val="auto"/>
          <w:sz w:val="24"/>
          <w:szCs w:val="24"/>
          <w:lang w:eastAsia="zh-CN"/>
        </w:rPr>
        <w:t>鄂托克前旗民政局</w:t>
      </w:r>
      <w:r>
        <w:rPr>
          <w:rFonts w:hint="eastAsia" w:ascii="宋体" w:hAnsi="宋体" w:cs="Arial"/>
          <w:b/>
          <w:color w:val="auto"/>
          <w:sz w:val="24"/>
          <w:szCs w:val="24"/>
        </w:rPr>
        <w:t>（采购单位名称）。</w:t>
      </w:r>
    </w:p>
    <w:p>
      <w:pPr>
        <w:spacing w:line="360" w:lineRule="auto"/>
        <w:ind w:firstLine="480" w:firstLineChars="200"/>
        <w:rPr>
          <w:rFonts w:hint="eastAsia" w:ascii="宋体" w:hAnsi="宋体"/>
          <w:color w:val="auto"/>
          <w:sz w:val="24"/>
          <w:szCs w:val="24"/>
        </w:rPr>
      </w:pPr>
      <w:r>
        <w:rPr>
          <w:rFonts w:ascii="宋体" w:hAnsi="宋体"/>
          <w:color w:val="auto"/>
          <w:sz w:val="24"/>
          <w:szCs w:val="24"/>
        </w:rPr>
        <w:t>4.2</w:t>
      </w:r>
      <w:r>
        <w:rPr>
          <w:rFonts w:hint="eastAsia" w:ascii="宋体" w:hAnsi="宋体"/>
          <w:color w:val="auto"/>
          <w:sz w:val="24"/>
          <w:szCs w:val="24"/>
        </w:rPr>
        <w:t>“集中采购机构”是指人民政府依法设立的代理集中采购项目的执行机构。本招标文件的集中采购机构特指</w:t>
      </w:r>
      <w:r>
        <w:rPr>
          <w:rFonts w:hint="eastAsia" w:ascii="宋体" w:hAnsi="宋体"/>
          <w:b/>
          <w:color w:val="auto"/>
          <w:sz w:val="24"/>
          <w:szCs w:val="24"/>
          <w:lang w:eastAsia="zh-CN"/>
        </w:rPr>
        <w:t>内蒙古久诺项目管理有限公司</w:t>
      </w:r>
      <w:r>
        <w:rPr>
          <w:rFonts w:hint="eastAsia" w:ascii="宋体" w:hAnsi="宋体"/>
          <w:color w:val="auto"/>
          <w:sz w:val="24"/>
          <w:szCs w:val="24"/>
        </w:rPr>
        <w:t>（以下简称采购代理机构）。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4.3“投标人”是指向采购人提供货物、工程或者服务的法人、其他组织或者自然人。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4.5“中标人”是指经评标委员会评审确定的对招标文件做出实质性响应，取得与采购人签订合同资格的投标人。</w:t>
      </w:r>
    </w:p>
    <w:p>
      <w:pPr>
        <w:spacing w:line="360" w:lineRule="auto"/>
        <w:rPr>
          <w:rFonts w:ascii="宋体" w:hAnsi="宋体"/>
          <w:b/>
          <w:color w:val="auto"/>
          <w:sz w:val="24"/>
          <w:szCs w:val="24"/>
        </w:rPr>
      </w:pPr>
      <w:r>
        <w:rPr>
          <w:rFonts w:hint="eastAsia" w:ascii="宋体" w:hAnsi="宋体"/>
          <w:b/>
          <w:color w:val="auto"/>
          <w:sz w:val="24"/>
          <w:szCs w:val="24"/>
        </w:rPr>
        <w:t>5.合格的投标人</w:t>
      </w:r>
    </w:p>
    <w:p>
      <w:pPr>
        <w:spacing w:line="360" w:lineRule="auto"/>
        <w:ind w:firstLine="480" w:firstLineChars="200"/>
        <w:rPr>
          <w:rFonts w:ascii="宋体" w:hAnsi="宋体"/>
          <w:bCs/>
          <w:color w:val="auto"/>
          <w:sz w:val="24"/>
          <w:szCs w:val="24"/>
        </w:rPr>
      </w:pPr>
      <w:r>
        <w:rPr>
          <w:rFonts w:hint="eastAsia" w:ascii="宋体" w:hAnsi="宋体"/>
          <w:color w:val="auto"/>
          <w:sz w:val="24"/>
          <w:szCs w:val="24"/>
        </w:rPr>
        <w:t>5.1具有独立承担民事责任的能力、</w:t>
      </w:r>
      <w:r>
        <w:rPr>
          <w:rFonts w:hint="eastAsia" w:ascii="宋体" w:hAnsi="宋体"/>
          <w:bCs/>
          <w:color w:val="auto"/>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5.2 符合本招标文件规定的资格要求，并按照要求提供相关证明材料。</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color w:val="auto"/>
          <w:sz w:val="24"/>
          <w:szCs w:val="24"/>
        </w:rPr>
      </w:pPr>
      <w:r>
        <w:rPr>
          <w:rFonts w:hint="eastAsia" w:ascii="宋体" w:hAnsi="宋体"/>
          <w:b/>
          <w:bCs/>
          <w:color w:val="auto"/>
          <w:sz w:val="24"/>
          <w:szCs w:val="24"/>
        </w:rPr>
        <w:t>6.以联合体形式投标的，应符合以下规定：</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w:t>
      </w:r>
      <w:r>
        <w:rPr>
          <w:rFonts w:hint="eastAsia" w:ascii="宋体" w:hAnsi="宋体" w:cs="宋体"/>
          <w:color w:val="auto"/>
          <w:sz w:val="24"/>
          <w:szCs w:val="24"/>
        </w:rPr>
        <w:t>联合体各方中至少应当有一方符合采购人规定的资格要求。由</w:t>
      </w:r>
      <w:r>
        <w:rPr>
          <w:rFonts w:hint="eastAsia" w:ascii="宋体" w:hAnsi="宋体"/>
          <w:color w:val="auto"/>
          <w:sz w:val="24"/>
          <w:szCs w:val="24"/>
        </w:rPr>
        <w:t>同一资质条件的投标人组成的联合体，应当按照资质等级较低的投标人确定联合体资质等级。</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6.7 投标报名时，应以联合体协议中确定的主体方名义报名，以主体方名义缴纳投标保证金，对联合体各方均具有约束力。</w:t>
      </w:r>
    </w:p>
    <w:p>
      <w:pPr>
        <w:spacing w:line="360" w:lineRule="auto"/>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7.3所有报价一律使用人民币，货币单位：元。</w:t>
      </w:r>
    </w:p>
    <w:p>
      <w:pPr>
        <w:spacing w:line="360" w:lineRule="auto"/>
        <w:rPr>
          <w:rFonts w:ascii="宋体" w:hAnsi="宋体"/>
          <w:b/>
          <w:color w:val="auto"/>
          <w:sz w:val="24"/>
          <w:szCs w:val="24"/>
        </w:rPr>
      </w:pPr>
      <w:r>
        <w:rPr>
          <w:rFonts w:hint="eastAsia" w:ascii="宋体" w:hAnsi="宋体"/>
          <w:b/>
          <w:color w:val="auto"/>
          <w:sz w:val="24"/>
          <w:szCs w:val="24"/>
        </w:rPr>
        <w:t>8.踏勘现场</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8.2投标人自行承担踏勘现场发生的责任、风险和自身费用。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8.3采购人在踏勘现场中介绍的资料和数据等，不构成对招标文件的修改或不作为投标人编制投标文件的依据。</w:t>
      </w:r>
    </w:p>
    <w:p>
      <w:pPr>
        <w:spacing w:line="360" w:lineRule="auto"/>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无论中标与否投标人递交的投标文件均不予退还。</w:t>
      </w:r>
    </w:p>
    <w:p>
      <w:pPr>
        <w:spacing w:line="360" w:lineRule="auto"/>
        <w:rPr>
          <w:rFonts w:ascii="宋体" w:hAnsi="宋体"/>
          <w:b/>
          <w:color w:val="auto"/>
          <w:sz w:val="24"/>
          <w:szCs w:val="24"/>
        </w:rPr>
      </w:pPr>
      <w:r>
        <w:rPr>
          <w:rFonts w:hint="eastAsia" w:ascii="宋体" w:hAnsi="宋体"/>
          <w:b/>
          <w:color w:val="auto"/>
          <w:sz w:val="24"/>
          <w:szCs w:val="24"/>
        </w:rPr>
        <w:t>四.招标文件的澄清或者修改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采购人或采购代理机构对已发出的招标文件进行必要的澄清或修改的，澄清或者修改的内容可能影响投标文件编制的，采购人或者采购代理机构应当在投标截止时间15日前，</w:t>
      </w:r>
      <w:r>
        <w:rPr>
          <w:rFonts w:ascii="宋体" w:hAnsi="宋体" w:cs="宋体"/>
          <w:color w:val="auto"/>
          <w:kern w:val="0"/>
          <w:sz w:val="24"/>
          <w:szCs w:val="24"/>
        </w:rPr>
        <w:t>不足</w:t>
      </w:r>
      <w:r>
        <w:rPr>
          <w:rFonts w:hint="eastAsia" w:ascii="宋体" w:hAnsi="宋体" w:cs="宋体"/>
          <w:color w:val="auto"/>
          <w:kern w:val="0"/>
          <w:sz w:val="24"/>
          <w:szCs w:val="24"/>
        </w:rPr>
        <w:t>15</w:t>
      </w:r>
      <w:r>
        <w:rPr>
          <w:rFonts w:ascii="宋体" w:hAnsi="宋体" w:cs="宋体"/>
          <w:color w:val="auto"/>
          <w:kern w:val="0"/>
          <w:sz w:val="24"/>
          <w:szCs w:val="24"/>
        </w:rPr>
        <w:t>日的，顺延</w:t>
      </w:r>
      <w:r>
        <w:rPr>
          <w:rFonts w:hint="eastAsia" w:ascii="宋体" w:hAnsi="宋体" w:cs="宋体"/>
          <w:color w:val="auto"/>
          <w:kern w:val="0"/>
          <w:sz w:val="24"/>
          <w:szCs w:val="24"/>
        </w:rPr>
        <w:t>投标</w:t>
      </w:r>
      <w:r>
        <w:rPr>
          <w:rFonts w:ascii="宋体" w:hAnsi="宋体" w:cs="宋体"/>
          <w:color w:val="auto"/>
          <w:kern w:val="0"/>
          <w:sz w:val="24"/>
          <w:szCs w:val="24"/>
        </w:rPr>
        <w:t>截止之日</w:t>
      </w:r>
      <w:r>
        <w:rPr>
          <w:rFonts w:hint="eastAsia" w:ascii="宋体" w:hAnsi="宋体" w:cs="宋体"/>
          <w:color w:val="auto"/>
          <w:kern w:val="0"/>
          <w:sz w:val="24"/>
          <w:szCs w:val="24"/>
        </w:rPr>
        <w:t>，</w:t>
      </w:r>
      <w:r>
        <w:rPr>
          <w:kern w:val="0"/>
          <w:sz w:val="24"/>
          <w:szCs w:val="24"/>
        </w:rPr>
        <w:t>同时</w:t>
      </w:r>
      <w:r>
        <w:rPr>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招标文件的组成部分，投标人应自行上网查询，采购人或</w:t>
      </w:r>
      <w:r>
        <w:rPr>
          <w:rFonts w:hint="eastAsia"/>
          <w:sz w:val="24"/>
          <w:szCs w:val="24"/>
          <w:lang w:eastAsia="zh-CN"/>
        </w:rPr>
        <w:t>采购</w:t>
      </w:r>
      <w:r>
        <w:rPr>
          <w:rFonts w:hint="eastAsia"/>
          <w:sz w:val="24"/>
          <w:szCs w:val="24"/>
        </w:rPr>
        <w:t>代理公司</w:t>
      </w:r>
      <w:r>
        <w:rPr>
          <w:sz w:val="24"/>
          <w:szCs w:val="24"/>
        </w:rPr>
        <w:t>不承担投标人未及时关注相关信息的责任。</w:t>
      </w:r>
    </w:p>
    <w:p>
      <w:pPr>
        <w:spacing w:line="360" w:lineRule="auto"/>
        <w:rPr>
          <w:rFonts w:ascii="宋体" w:hAnsi="宋体"/>
          <w:b/>
          <w:color w:val="auto"/>
          <w:sz w:val="24"/>
          <w:szCs w:val="24"/>
        </w:rPr>
      </w:pPr>
      <w:r>
        <w:rPr>
          <w:rFonts w:hint="eastAsia" w:ascii="宋体" w:hAnsi="宋体"/>
          <w:b/>
          <w:color w:val="auto"/>
          <w:sz w:val="24"/>
          <w:szCs w:val="24"/>
        </w:rPr>
        <w:t>五.投标文件</w:t>
      </w:r>
    </w:p>
    <w:p>
      <w:pPr>
        <w:spacing w:line="360" w:lineRule="auto"/>
        <w:rPr>
          <w:rFonts w:ascii="宋体" w:hAnsi="宋体"/>
          <w:b/>
          <w:color w:val="auto"/>
          <w:sz w:val="24"/>
          <w:szCs w:val="24"/>
        </w:rPr>
      </w:pPr>
      <w:r>
        <w:rPr>
          <w:rFonts w:hint="eastAsia" w:ascii="宋体" w:hAnsi="宋体"/>
          <w:b/>
          <w:color w:val="auto"/>
          <w:sz w:val="24"/>
          <w:szCs w:val="24"/>
        </w:rPr>
        <w:t>1.投标文件的构成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投标文件应按照招标文件第七章“投标文件格式”进行编写（可以增加附页），作为投标文件的组成部分。</w:t>
      </w:r>
    </w:p>
    <w:p>
      <w:pPr>
        <w:spacing w:line="360" w:lineRule="auto"/>
        <w:rPr>
          <w:rFonts w:ascii="宋体" w:hAnsi="宋体"/>
          <w:b/>
          <w:color w:val="auto"/>
          <w:sz w:val="24"/>
          <w:szCs w:val="24"/>
        </w:rPr>
      </w:pPr>
      <w:r>
        <w:rPr>
          <w:rFonts w:hint="eastAsia" w:ascii="宋体" w:hAnsi="宋体"/>
          <w:b/>
          <w:color w:val="auto"/>
          <w:sz w:val="24"/>
          <w:szCs w:val="24"/>
        </w:rPr>
        <w:t>2.投标报价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2.1 </w:t>
      </w:r>
      <w:r>
        <w:rPr>
          <w:rFonts w:ascii="宋体" w:hAnsi="宋体"/>
          <w:color w:val="auto"/>
          <w:sz w:val="24"/>
          <w:szCs w:val="24"/>
        </w:rPr>
        <w:t>投标人应按照“第四章招标内容与要求”的供货内容</w:t>
      </w:r>
      <w:r>
        <w:rPr>
          <w:rFonts w:hint="eastAsia" w:ascii="宋体" w:hAnsi="宋体"/>
          <w:color w:val="auto"/>
          <w:sz w:val="24"/>
          <w:szCs w:val="24"/>
        </w:rPr>
        <w:t>、</w:t>
      </w:r>
      <w:r>
        <w:rPr>
          <w:rFonts w:ascii="宋体" w:hAnsi="宋体"/>
          <w:color w:val="auto"/>
          <w:sz w:val="24"/>
          <w:szCs w:val="24"/>
        </w:rPr>
        <w:t>责任范围以及合同条款进行报价。并按“开标一览表”和“投标货物分项报价明细表”规定的格式报出总价和分项价格</w:t>
      </w:r>
      <w:r>
        <w:rPr>
          <w:rFonts w:ascii="宋体" w:hAnsi="宋体"/>
          <w:color w:val="auto"/>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2.2 </w:t>
      </w:r>
      <w:r>
        <w:rPr>
          <w:rFonts w:hint="eastAsia" w:ascii="宋体" w:hAnsi="宋体"/>
          <w:color w:val="auto"/>
          <w:sz w:val="24"/>
          <w:szCs w:val="24"/>
        </w:rPr>
        <w:t>投标报价的范</w:t>
      </w:r>
      <w:r>
        <w:rPr>
          <w:rFonts w:hint="eastAsia" w:ascii="宋体" w:hAnsi="宋体"/>
          <w:color w:val="auto"/>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）大写金额和小写金额不一致的，以大写金额为准；</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）单价金额小数点或者百分比有明显错位的，以开标一览表的总价为准，并修改单价。</w:t>
      </w:r>
    </w:p>
    <w:p>
      <w:pPr>
        <w:spacing w:line="360" w:lineRule="auto"/>
        <w:ind w:firstLine="482" w:firstLineChars="201"/>
        <w:rPr>
          <w:rFonts w:ascii="宋体" w:hAnsi="宋体"/>
          <w:color w:val="auto"/>
          <w:sz w:val="24"/>
          <w:szCs w:val="24"/>
        </w:rPr>
      </w:pPr>
      <w:r>
        <w:rPr>
          <w:rFonts w:hint="eastAsia" w:ascii="宋体" w:hAnsi="宋体"/>
          <w:color w:val="auto"/>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3.投标文件的编制要求</w:t>
      </w:r>
      <w:r>
        <w:rPr>
          <w:rFonts w:hint="eastAsia" w:ascii="宋体" w:hAnsi="宋体"/>
          <w:b/>
          <w:color w:val="auto"/>
          <w:sz w:val="24"/>
          <w:szCs w:val="24"/>
        </w:rPr>
        <w:br w:type="textWrapping"/>
      </w:r>
      <w:r>
        <w:rPr>
          <w:rFonts w:hint="eastAsia" w:ascii="宋体" w:hAnsi="宋体"/>
          <w:color w:val="auto"/>
          <w:sz w:val="24"/>
          <w:szCs w:val="24"/>
        </w:rPr>
        <w:t xml:space="preserve">    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r>
        <w:rPr>
          <w:rFonts w:hint="eastAsia" w:ascii="宋体" w:hAnsi="宋体"/>
          <w:color w:val="auto"/>
          <w:sz w:val="24"/>
          <w:szCs w:val="24"/>
        </w:rPr>
        <w:br w:type="textWrapping"/>
      </w:r>
      <w:r>
        <w:rPr>
          <w:rFonts w:hint="eastAsia" w:ascii="宋体" w:hAnsi="宋体"/>
          <w:color w:val="auto"/>
          <w:sz w:val="24"/>
          <w:szCs w:val="24"/>
        </w:rPr>
        <w:t xml:space="preserve">    3.2电子版响应文件编制要求：提供PDF格式和word格式电子文档三份，内容必须一致，在电子文档上标明供应商全称。（电子文档须使用U盘）。</w:t>
      </w:r>
      <w:r>
        <w:rPr>
          <w:rFonts w:hint="eastAsia" w:ascii="宋体" w:hAnsi="宋体"/>
          <w:color w:val="auto"/>
          <w:sz w:val="24"/>
          <w:szCs w:val="24"/>
        </w:rPr>
        <w:br w:type="textWrapping"/>
      </w:r>
      <w:r>
        <w:rPr>
          <w:rFonts w:hint="eastAsia" w:ascii="宋体" w:hAnsi="宋体"/>
          <w:color w:val="auto"/>
          <w:sz w:val="24"/>
          <w:szCs w:val="24"/>
        </w:rPr>
        <w:t xml:space="preserve">    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r>
        <w:rPr>
          <w:rFonts w:hint="eastAsia" w:ascii="宋体" w:hAnsi="宋体"/>
          <w:color w:val="auto"/>
          <w:sz w:val="24"/>
          <w:szCs w:val="24"/>
        </w:rPr>
        <w:br w:type="textWrapping"/>
      </w:r>
      <w:r>
        <w:rPr>
          <w:rFonts w:hint="eastAsia" w:ascii="宋体" w:hAnsi="宋体"/>
          <w:color w:val="auto"/>
          <w:sz w:val="24"/>
          <w:szCs w:val="24"/>
        </w:rPr>
        <w:t xml:space="preserve">    3.4响应文件的密封。供应商应使用密封袋将响应文件密封，电子文档可密封至响应文件中也可单独密封。密封封面上需注明“项目名称”、“项目编号”、“分包号”、“供应商全称”和《投标文件》或《电子版》字样，并在密封包装上粘贴密封条。</w:t>
      </w:r>
      <w:r>
        <w:rPr>
          <w:rFonts w:hint="eastAsia" w:ascii="宋体" w:hAnsi="宋体"/>
          <w:color w:val="auto"/>
          <w:sz w:val="24"/>
          <w:szCs w:val="24"/>
        </w:rPr>
        <w:br w:type="textWrapping"/>
      </w:r>
      <w:r>
        <w:rPr>
          <w:rFonts w:hint="eastAsia" w:ascii="宋体" w:hAnsi="宋体"/>
          <w:color w:val="auto"/>
          <w:sz w:val="24"/>
          <w:szCs w:val="24"/>
        </w:rPr>
        <w:t xml:space="preserve">    3.5供应商按上述规定进行密封和标记后，将响应文件按照投标文件的要求送达指定地点。如果未按上述规定进行密封和标记，</w:t>
      </w:r>
      <w:r>
        <w:rPr>
          <w:rFonts w:hint="eastAsia" w:ascii="宋体" w:hAnsi="宋体"/>
          <w:color w:val="auto"/>
          <w:sz w:val="24"/>
          <w:szCs w:val="24"/>
          <w:lang w:eastAsia="zh-CN"/>
        </w:rPr>
        <w:t>采购代理机构</w:t>
      </w:r>
      <w:r>
        <w:rPr>
          <w:rFonts w:hint="eastAsia" w:ascii="宋体" w:hAnsi="宋体"/>
          <w:color w:val="auto"/>
          <w:sz w:val="24"/>
          <w:szCs w:val="24"/>
        </w:rPr>
        <w:t>对误投或提前启封概不负责。</w:t>
      </w:r>
      <w:r>
        <w:rPr>
          <w:rFonts w:hint="eastAsia" w:ascii="宋体" w:hAnsi="宋体"/>
          <w:color w:val="auto"/>
          <w:sz w:val="24"/>
          <w:szCs w:val="24"/>
        </w:rPr>
        <w:br w:type="textWrapping"/>
      </w:r>
      <w:r>
        <w:rPr>
          <w:rFonts w:hint="eastAsia" w:ascii="宋体" w:hAnsi="宋体"/>
          <w:b/>
          <w:bCs/>
          <w:color w:val="auto"/>
          <w:sz w:val="24"/>
          <w:szCs w:val="24"/>
        </w:rPr>
        <w:t>注</w:t>
      </w:r>
      <w:r>
        <w:rPr>
          <w:rFonts w:hint="eastAsia" w:ascii="宋体" w:hAnsi="宋体"/>
          <w:color w:val="auto"/>
          <w:sz w:val="24"/>
          <w:szCs w:val="24"/>
        </w:rPr>
        <w:t>：1、供应商在投标文件及相关书面文件中的单位公章（包括印章、公章等）均指与供应商名称全称一致的标准公章，不得使用其他形式（如带有“专用章”、“财务章”、“业务章”等）的印章。</w:t>
      </w:r>
      <w:r>
        <w:rPr>
          <w:rFonts w:hint="eastAsia" w:ascii="宋体" w:hAnsi="宋体"/>
          <w:color w:val="auto"/>
          <w:sz w:val="24"/>
          <w:szCs w:val="24"/>
        </w:rPr>
        <w:br w:type="textWrapping"/>
      </w:r>
      <w:r>
        <w:rPr>
          <w:rFonts w:hint="eastAsia" w:ascii="宋体" w:hAnsi="宋体"/>
          <w:b/>
          <w:bCs/>
          <w:color w:val="auto"/>
          <w:sz w:val="24"/>
          <w:szCs w:val="24"/>
        </w:rPr>
        <w:t>2、供应商应单独密封、单独递交一份《开标一览表》；用于唱标时使用。</w:t>
      </w:r>
    </w:p>
    <w:p>
      <w:pPr>
        <w:spacing w:line="360" w:lineRule="auto"/>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投标文件的截止之日起算。投标文件中承诺的投标有效期应当不少于招标文件中载明的投标有效期。投标有效期内投标人撤销投标文件的，采购人或者鄂托克前旗公共资源交易中心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auto"/>
          <w:sz w:val="24"/>
          <w:szCs w:val="24"/>
        </w:rPr>
      </w:pPr>
      <w:r>
        <w:rPr>
          <w:rFonts w:hint="eastAsia" w:ascii="宋体" w:hAnsi="宋体"/>
          <w:b/>
          <w:color w:val="auto"/>
          <w:sz w:val="24"/>
          <w:szCs w:val="24"/>
        </w:rPr>
        <w:t>5.投标保证金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5.1投标保证金的缴纳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5.2投标保证金的退还：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（2）未中标人投标保证金，自中标通知书发出之日起5个工作日内退还；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5.3有下列情形之一的，投标保证金将不予退还：</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spacing w:line="360" w:lineRule="auto"/>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投标文件的修改和撤回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采购代理机构或采购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在提交投标文件截止时间后到招标文件规定的投标有效期终止之前，投标人不得补充、修改、替代或者撤回其投标文件。</w:t>
      </w:r>
    </w:p>
    <w:p>
      <w:pPr>
        <w:spacing w:line="360" w:lineRule="auto"/>
        <w:rPr>
          <w:rFonts w:ascii="宋体" w:hAnsi="宋体"/>
          <w:color w:val="auto"/>
          <w:sz w:val="24"/>
          <w:szCs w:val="24"/>
        </w:rPr>
      </w:pPr>
      <w:r>
        <w:rPr>
          <w:rFonts w:hint="eastAsia" w:ascii="宋体" w:hAnsi="宋体"/>
          <w:b/>
          <w:color w:val="auto"/>
          <w:sz w:val="24"/>
          <w:szCs w:val="24"/>
        </w:rPr>
        <w:t>7.投标文件的递交</w:t>
      </w:r>
    </w:p>
    <w:p>
      <w:pPr>
        <w:widowControl/>
        <w:jc w:val="left"/>
        <w:rPr>
          <w:rFonts w:ascii="宋体" w:hAnsi="宋体"/>
          <w:b/>
          <w:bCs/>
          <w:color w:val="auto"/>
          <w:sz w:val="24"/>
          <w:szCs w:val="24"/>
        </w:rPr>
      </w:pPr>
      <w:r>
        <w:rPr>
          <w:rFonts w:ascii="宋体" w:hAnsi="宋体" w:cs="宋体"/>
          <w:b/>
          <w:bCs/>
          <w:color w:val="auto"/>
          <w:kern w:val="0"/>
          <w:sz w:val="24"/>
          <w:szCs w:val="24"/>
        </w:rPr>
        <w:t>在</w:t>
      </w:r>
      <w:r>
        <w:rPr>
          <w:rFonts w:hint="eastAsia" w:ascii="宋体" w:hAnsi="宋体" w:cs="宋体"/>
          <w:b/>
          <w:bCs/>
          <w:color w:val="auto"/>
          <w:kern w:val="0"/>
          <w:sz w:val="24"/>
          <w:szCs w:val="24"/>
        </w:rPr>
        <w:t>招标</w:t>
      </w:r>
      <w:r>
        <w:rPr>
          <w:rFonts w:ascii="宋体" w:hAnsi="宋体" w:cs="宋体"/>
          <w:b/>
          <w:bCs/>
          <w:color w:val="auto"/>
          <w:kern w:val="0"/>
          <w:sz w:val="24"/>
          <w:szCs w:val="24"/>
        </w:rPr>
        <w:t>文件要求提交</w:t>
      </w:r>
      <w:r>
        <w:rPr>
          <w:rFonts w:hint="eastAsia" w:ascii="宋体" w:hAnsi="宋体" w:cs="宋体"/>
          <w:b/>
          <w:bCs/>
          <w:color w:val="auto"/>
          <w:kern w:val="0"/>
          <w:sz w:val="24"/>
          <w:szCs w:val="24"/>
        </w:rPr>
        <w:t>投标</w:t>
      </w:r>
      <w:r>
        <w:rPr>
          <w:rFonts w:ascii="宋体" w:hAnsi="宋体" w:cs="宋体"/>
          <w:b/>
          <w:bCs/>
          <w:color w:val="auto"/>
          <w:kern w:val="0"/>
          <w:sz w:val="24"/>
          <w:szCs w:val="24"/>
        </w:rPr>
        <w:t>文件的截止时间之后送达或没有将《开标一览表》单独密封、单独递交的</w:t>
      </w:r>
      <w:r>
        <w:rPr>
          <w:rFonts w:hint="eastAsia" w:ascii="宋体" w:hAnsi="宋体" w:cs="宋体"/>
          <w:b/>
          <w:bCs/>
          <w:color w:val="auto"/>
          <w:kern w:val="0"/>
          <w:sz w:val="24"/>
          <w:szCs w:val="24"/>
        </w:rPr>
        <w:t>投标</w:t>
      </w:r>
      <w:r>
        <w:rPr>
          <w:rFonts w:ascii="宋体" w:hAnsi="宋体" w:cs="宋体"/>
          <w:b/>
          <w:bCs/>
          <w:color w:val="auto"/>
          <w:kern w:val="0"/>
          <w:sz w:val="24"/>
          <w:szCs w:val="24"/>
        </w:rPr>
        <w:t>文件，为无效响应文件，采购单位或采购代理机构将拒收。</w:t>
      </w:r>
    </w:p>
    <w:p>
      <w:pPr>
        <w:spacing w:line="360" w:lineRule="auto"/>
        <w:rPr>
          <w:rFonts w:ascii="宋体" w:hAnsi="宋体"/>
          <w:b/>
          <w:color w:val="auto"/>
          <w:sz w:val="24"/>
          <w:szCs w:val="24"/>
        </w:rPr>
      </w:pPr>
      <w:r>
        <w:rPr>
          <w:rFonts w:hint="eastAsia" w:ascii="宋体" w:hAnsi="宋体"/>
          <w:b/>
          <w:color w:val="auto"/>
          <w:sz w:val="24"/>
          <w:szCs w:val="24"/>
        </w:rPr>
        <w:t>8.样品（演示）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8.2评标结束后，中标人与采购人共同清点、检查和密封样品，由中标人送至采购人指定地点封存。未中标投标人将样品自行带回。</w:t>
      </w:r>
    </w:p>
    <w:p>
      <w:pPr>
        <w:spacing w:line="360" w:lineRule="auto"/>
        <w:rPr>
          <w:rFonts w:ascii="宋体" w:hAnsi="宋体"/>
          <w:b/>
          <w:color w:val="auto"/>
          <w:sz w:val="24"/>
          <w:szCs w:val="24"/>
        </w:rPr>
      </w:pPr>
      <w:r>
        <w:rPr>
          <w:rFonts w:hint="eastAsia" w:ascii="宋体" w:hAnsi="宋体"/>
          <w:b/>
          <w:color w:val="auto"/>
          <w:sz w:val="24"/>
          <w:szCs w:val="24"/>
        </w:rPr>
        <w:t>六.开标</w:t>
      </w:r>
    </w:p>
    <w:p>
      <w:pPr>
        <w:spacing w:line="360" w:lineRule="auto"/>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采购人、采购代理机构对误投或未按规定时间、地点进行投标的概不负责。</w:t>
      </w:r>
    </w:p>
    <w:p>
      <w:pPr>
        <w:spacing w:line="360" w:lineRule="auto"/>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（2）公布在投标截止时间前提交投标文件的投标人名称；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（3）宣布采购人代表、采购代理机构代表、监督部门等有关人员姓名；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（5）参加开标会议人员在开标记录上对应签字确认；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（6）开标结束，投标文件移交评标委员会。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360" w:firstLineChars="150"/>
        <w:rPr>
          <w:rFonts w:ascii="宋体" w:hAnsi="宋体"/>
          <w:color w:val="auto"/>
          <w:sz w:val="24"/>
          <w:szCs w:val="24"/>
        </w:rPr>
      </w:pPr>
      <w:r>
        <w:rPr>
          <w:rFonts w:hint="eastAsia" w:ascii="宋体" w:hAnsi="宋体"/>
          <w:color w:val="auto"/>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投标人不足三家的，不得开标。</w:t>
      </w:r>
    </w:p>
    <w:p>
      <w:pPr>
        <w:spacing w:line="360" w:lineRule="auto"/>
        <w:ind w:firstLine="361" w:firstLineChars="150"/>
        <w:rPr>
          <w:rFonts w:ascii="宋体" w:hAnsi="宋体"/>
          <w:b/>
          <w:color w:val="auto"/>
          <w:sz w:val="24"/>
          <w:szCs w:val="24"/>
        </w:rPr>
      </w:pPr>
      <w:r>
        <w:rPr>
          <w:rFonts w:hint="eastAsia" w:ascii="宋体" w:hAnsi="宋体"/>
          <w:b/>
          <w:color w:val="auto"/>
          <w:sz w:val="24"/>
          <w:szCs w:val="24"/>
        </w:rPr>
        <w:t>七.评标</w:t>
      </w:r>
    </w:p>
    <w:p>
      <w:pPr>
        <w:spacing w:line="360" w:lineRule="auto"/>
        <w:rPr>
          <w:rFonts w:ascii="宋体" w:hAnsi="宋体"/>
          <w:b/>
          <w:color w:val="auto"/>
          <w:sz w:val="24"/>
          <w:szCs w:val="24"/>
        </w:rPr>
      </w:pPr>
      <w:r>
        <w:rPr>
          <w:rFonts w:hint="eastAsia" w:ascii="宋体" w:hAnsi="宋体"/>
          <w:b/>
          <w:color w:val="auto"/>
          <w:sz w:val="24"/>
          <w:szCs w:val="24"/>
        </w:rPr>
        <w:t>1.评标委员会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1.2评标委员会成员有下列情形之一的，应当回避：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（2）与投标人的法定代表人或者负责人有夫妻、直系血亲、三代以内旁系血亲或者近姻亲关系；</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（3）与投标人有其他可能影响政府采购活动公平、公正进行的关系；</w:t>
      </w:r>
    </w:p>
    <w:p>
      <w:pPr>
        <w:spacing w:line="360" w:lineRule="auto"/>
        <w:rPr>
          <w:rFonts w:ascii="宋体" w:hAnsi="宋体"/>
          <w:b/>
          <w:color w:val="auto"/>
          <w:sz w:val="24"/>
          <w:szCs w:val="24"/>
        </w:rPr>
      </w:pPr>
      <w:r>
        <w:rPr>
          <w:rFonts w:hint="eastAsia" w:ascii="宋体" w:hAnsi="宋体"/>
          <w:b/>
          <w:color w:val="auto"/>
          <w:sz w:val="24"/>
          <w:szCs w:val="24"/>
        </w:rPr>
        <w:t>2.评标原则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2.2具体评标事项由评标委员会负责，并按招标文件的规定办法进行评审。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合格投标人不足三家的，不得评标。</w:t>
      </w:r>
    </w:p>
    <w:p>
      <w:pPr>
        <w:spacing w:line="360" w:lineRule="auto"/>
        <w:rPr>
          <w:rFonts w:ascii="宋体" w:hAnsi="宋体"/>
          <w:b/>
          <w:color w:val="auto"/>
          <w:sz w:val="24"/>
          <w:szCs w:val="24"/>
        </w:rPr>
      </w:pPr>
      <w:r>
        <w:rPr>
          <w:rFonts w:hint="eastAsia" w:ascii="宋体" w:hAnsi="宋体"/>
          <w:b/>
          <w:color w:val="auto"/>
          <w:sz w:val="24"/>
          <w:szCs w:val="24"/>
        </w:rPr>
        <w:t>3.澄清</w:t>
      </w:r>
    </w:p>
    <w:p>
      <w:pPr>
        <w:ind w:firstLine="480" w:firstLineChars="200"/>
        <w:rPr>
          <w:rFonts w:ascii="宋体" w:hAnsi="宋体"/>
          <w:color w:val="auto"/>
          <w:sz w:val="24"/>
          <w:szCs w:val="24"/>
        </w:rPr>
      </w:pPr>
      <w:r>
        <w:rPr>
          <w:rFonts w:hint="eastAsia" w:ascii="宋体" w:hAnsi="宋体"/>
          <w:color w:val="auto"/>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3.1评标委员会不接受投标人主动提出的澄清、说明或补正。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3.2评标委员会对投标人提交的澄清、说明或补正有疑问的，可以要求投标人进一步澄清、说明或补正。</w:t>
      </w:r>
    </w:p>
    <w:p>
      <w:pPr>
        <w:spacing w:line="360" w:lineRule="auto"/>
        <w:rPr>
          <w:rFonts w:ascii="宋体" w:hAnsi="宋体"/>
          <w:b/>
          <w:color w:val="auto"/>
          <w:sz w:val="24"/>
          <w:szCs w:val="24"/>
        </w:rPr>
      </w:pPr>
      <w:r>
        <w:rPr>
          <w:rFonts w:hint="eastAsia" w:ascii="宋体" w:hAnsi="宋体"/>
          <w:b/>
          <w:color w:val="auto"/>
          <w:sz w:val="24"/>
          <w:szCs w:val="24"/>
        </w:rPr>
        <w:t>4.投标无效的情形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详见第六章评审表。经评标委员会认定，凡其中有一项不合格的，按无效投标处理。</w:t>
      </w:r>
    </w:p>
    <w:p>
      <w:pPr>
        <w:spacing w:line="360" w:lineRule="auto"/>
        <w:rPr>
          <w:rFonts w:ascii="宋体" w:hAnsi="宋体"/>
          <w:color w:val="auto"/>
          <w:sz w:val="24"/>
          <w:szCs w:val="24"/>
        </w:rPr>
      </w:pPr>
      <w:r>
        <w:rPr>
          <w:rFonts w:hint="eastAsia" w:ascii="宋体" w:hAnsi="宋体"/>
          <w:b/>
          <w:color w:val="auto"/>
          <w:sz w:val="24"/>
          <w:szCs w:val="24"/>
        </w:rPr>
        <w:t>5.有下列情形之一的，视为投标人串通投标：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（1）不同投标人的投标文件由同一单位或者个人编制；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（2）不同投标人委托同一单位或者个人办理投标事宜；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（3）不同投标人的投标文件载明的项目管理成员或者联系人员为同一人；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（4）不同投标人的投标文件异常一致或者投标报价呈规律性差异；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（5）不同投标人的投标文件相互混装；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（6）不同投标人的投标保证金从同一单位或者个人的账户转出。</w:t>
      </w:r>
    </w:p>
    <w:p>
      <w:pPr>
        <w:spacing w:line="360" w:lineRule="auto"/>
        <w:rPr>
          <w:rFonts w:ascii="宋体" w:hAnsi="宋体"/>
          <w:color w:val="auto"/>
          <w:sz w:val="24"/>
          <w:szCs w:val="24"/>
        </w:rPr>
      </w:pPr>
      <w:r>
        <w:rPr>
          <w:rFonts w:hint="eastAsia" w:ascii="宋体" w:hAnsi="宋体"/>
          <w:b/>
          <w:color w:val="auto"/>
          <w:sz w:val="24"/>
          <w:szCs w:val="24"/>
        </w:rPr>
        <w:t>6.废标的情形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（1）符合专业条件的投标人或者对招标文件作实质响应的投标人不足3家；</w:t>
      </w:r>
      <w:r>
        <w:rPr>
          <w:rFonts w:hint="eastAsia" w:ascii="宋体" w:hAnsi="宋体" w:cs="宋体"/>
          <w:color w:val="auto"/>
          <w:sz w:val="24"/>
          <w:szCs w:val="24"/>
        </w:rPr>
        <w:t>（或参与竞争的核心产品品牌不足</w:t>
      </w:r>
      <w:r>
        <w:rPr>
          <w:rFonts w:ascii="宋体" w:hAnsi="宋体" w:cs="宋体"/>
          <w:color w:val="auto"/>
          <w:sz w:val="24"/>
          <w:szCs w:val="24"/>
        </w:rPr>
        <w:t>3</w:t>
      </w:r>
      <w:r>
        <w:rPr>
          <w:rFonts w:hint="eastAsia" w:ascii="宋体" w:hAnsi="宋体" w:cs="宋体"/>
          <w:color w:val="auto"/>
          <w:sz w:val="24"/>
          <w:szCs w:val="24"/>
        </w:rPr>
        <w:t>个）的；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（3）投标人的报价均超过了采购预算；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（5）法律、法规以及招标文件规定其他情形。</w:t>
      </w:r>
    </w:p>
    <w:p>
      <w:pPr>
        <w:spacing w:line="360" w:lineRule="auto"/>
        <w:rPr>
          <w:rFonts w:ascii="宋体" w:hAnsi="宋体"/>
          <w:b/>
          <w:color w:val="auto"/>
          <w:sz w:val="24"/>
          <w:szCs w:val="24"/>
        </w:rPr>
      </w:pPr>
      <w:r>
        <w:rPr>
          <w:rFonts w:hint="eastAsia" w:ascii="宋体" w:hAnsi="宋体"/>
          <w:b/>
          <w:color w:val="auto"/>
          <w:sz w:val="24"/>
          <w:szCs w:val="24"/>
        </w:rPr>
        <w:t>7.定标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auto"/>
          <w:sz w:val="24"/>
          <w:szCs w:val="24"/>
        </w:rPr>
      </w:pPr>
      <w:r>
        <w:rPr>
          <w:rFonts w:hint="eastAsia" w:ascii="宋体" w:hAnsi="宋体"/>
          <w:b/>
          <w:color w:val="auto"/>
          <w:sz w:val="24"/>
          <w:szCs w:val="24"/>
        </w:rPr>
        <w:t>8.中标结果公告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8.1中标人确定后，采购代理机构将在内蒙古自治区政府采购网、内蒙古自治区公共资源交易网、鄂尔多斯市政府采购网和鄂尔多斯市公共资源交易网鄂托克前旗人民政府网上发布中标结果公告，同时将中标结果以公告形式通知未中标的投标人，中标结果公告期为</w:t>
      </w:r>
      <w:r>
        <w:rPr>
          <w:rFonts w:hint="eastAsia" w:ascii="宋体" w:hAnsi="宋体"/>
          <w:color w:val="auto"/>
          <w:sz w:val="24"/>
          <w:szCs w:val="24"/>
          <w:u w:val="single"/>
        </w:rPr>
        <w:t xml:space="preserve"> 1 </w:t>
      </w:r>
      <w:r>
        <w:rPr>
          <w:rFonts w:hint="eastAsia" w:ascii="宋体" w:hAnsi="宋体"/>
          <w:color w:val="auto"/>
          <w:sz w:val="24"/>
          <w:szCs w:val="24"/>
        </w:rPr>
        <w:t>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w:t>
      </w:r>
      <w:r>
        <w:rPr>
          <w:rFonts w:hint="eastAsia" w:ascii="宋体" w:hAnsi="宋体"/>
          <w:sz w:val="24"/>
          <w:szCs w:val="24"/>
        </w:rPr>
        <w:t>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政府采购相关范本）（包括主要中标标的的名称、规格型号、数量、单价、服务要求）于评标结束后当天发送在采购代理机构工作人员邮箱内（</w:t>
      </w:r>
      <w:r>
        <w:fldChar w:fldCharType="begin"/>
      </w:r>
      <w:r>
        <w:instrText xml:space="preserve"> HYPERLINK "mailto:806391668@qq.com" </w:instrText>
      </w:r>
      <w:r>
        <w:fldChar w:fldCharType="separate"/>
      </w:r>
      <w:r>
        <w:rPr>
          <w:rStyle w:val="35"/>
          <w:rFonts w:hint="eastAsia" w:ascii="宋体" w:hAnsi="宋体"/>
          <w:color w:val="auto"/>
          <w:sz w:val="24"/>
          <w:szCs w:val="24"/>
        </w:rPr>
        <w:t>923308479@qq.com</w:t>
      </w:r>
      <w:r>
        <w:rPr>
          <w:rStyle w:val="35"/>
          <w:rFonts w:hint="eastAsia" w:ascii="宋体" w:hAnsi="宋体"/>
          <w:color w:val="auto"/>
          <w:sz w:val="24"/>
          <w:szCs w:val="24"/>
        </w:rPr>
        <w:fldChar w:fldCharType="end"/>
      </w:r>
      <w:r>
        <w:rPr>
          <w:rFonts w:hint="eastAsia" w:ascii="宋体" w:hAnsi="宋体"/>
          <w:sz w:val="24"/>
          <w:szCs w:val="24"/>
        </w:rPr>
        <w:t>，联系人雷晓燕，联系电话15934973738），并在邮件标题注明项目名称及中标单位名称，否则不予发布中标结果公告。</w:t>
      </w:r>
    </w:p>
    <w:p>
      <w:pPr>
        <w:spacing w:line="360" w:lineRule="auto"/>
        <w:rPr>
          <w:rFonts w:ascii="宋体" w:hAnsi="宋体"/>
          <w:b/>
          <w:color w:val="auto"/>
          <w:sz w:val="24"/>
          <w:szCs w:val="24"/>
        </w:rPr>
      </w:pPr>
      <w:r>
        <w:rPr>
          <w:rFonts w:hint="eastAsia" w:ascii="宋体" w:hAnsi="宋体"/>
          <w:b/>
          <w:color w:val="auto"/>
          <w:sz w:val="24"/>
          <w:szCs w:val="24"/>
        </w:rPr>
        <w:t>9.中标通知书发放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采购代理机构向中标人发出中标通知书，</w:t>
      </w:r>
      <w:r>
        <w:rPr>
          <w:rFonts w:ascii="宋体" w:hAnsi="宋体"/>
          <w:color w:val="auto"/>
          <w:sz w:val="24"/>
          <w:szCs w:val="24"/>
        </w:rPr>
        <w:t>中标通知书是合同的组成部分</w:t>
      </w:r>
      <w:r>
        <w:rPr>
          <w:rFonts w:hint="eastAsia" w:ascii="宋体" w:hAnsi="宋体"/>
          <w:color w:val="auto"/>
          <w:sz w:val="24"/>
          <w:szCs w:val="24"/>
        </w:rPr>
        <w:t>，中标通知书对采购人和中标投标人具有同等法律效力。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中标通知书发出后，采购人不得违法改变中标结果，中标人无正当理由不得放弃中标。</w:t>
      </w:r>
    </w:p>
    <w:p>
      <w:pPr>
        <w:spacing w:line="360" w:lineRule="auto"/>
        <w:ind w:firstLine="480" w:firstLineChars="200"/>
        <w:rPr>
          <w:rFonts w:ascii="宋体"/>
          <w:color w:val="auto"/>
          <w:sz w:val="24"/>
          <w:szCs w:val="24"/>
        </w:rPr>
      </w:pPr>
      <w:r>
        <w:rPr>
          <w:rFonts w:hint="eastAsia" w:ascii="宋体" w:hAnsi="宋体"/>
          <w:color w:val="auto"/>
          <w:sz w:val="24"/>
          <w:szCs w:val="24"/>
        </w:rPr>
        <w:t>中标人须持法定代表人授权委托书及本人身份证至</w:t>
      </w:r>
      <w:r>
        <w:rPr>
          <w:rFonts w:hint="eastAsia" w:ascii="宋体" w:hAnsi="宋体"/>
          <w:color w:val="auto"/>
          <w:sz w:val="24"/>
          <w:szCs w:val="24"/>
          <w:lang w:eastAsia="zh-CN"/>
        </w:rPr>
        <w:t>内蒙古久诺项目管理有限公司</w:t>
      </w:r>
      <w:r>
        <w:rPr>
          <w:rFonts w:hint="eastAsia" w:ascii="宋体" w:hAnsi="宋体"/>
          <w:color w:val="auto"/>
          <w:sz w:val="24"/>
          <w:szCs w:val="24"/>
        </w:rPr>
        <w:t>领取。</w:t>
      </w:r>
    </w:p>
    <w:p>
      <w:pPr>
        <w:spacing w:line="360" w:lineRule="auto"/>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投标人对政府采购活动事项有疑问的，可以向采购人或采购代理机构提出询问，采购人或采购代理机构应当在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投标人提出的询问超出采购人对采购代理机构委托授权范围的，采购代理机构应当告知其向采购人提出。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为了使提出的询问事项在规定时间内得到有效回复，询问采用实名制，询问内容以书面材料的形式亲自递交到采购代理机构，正式受理后方可生效，否则，为无效询问。</w:t>
      </w:r>
    </w:p>
    <w:p>
      <w:pPr>
        <w:spacing w:line="360" w:lineRule="auto"/>
        <w:rPr>
          <w:rFonts w:ascii="宋体" w:hAnsi="宋体" w:cs="宋体"/>
          <w:b/>
          <w:color w:val="auto"/>
          <w:kern w:val="0"/>
          <w:sz w:val="24"/>
          <w:szCs w:val="24"/>
        </w:rPr>
      </w:pPr>
      <w:r>
        <w:rPr>
          <w:rFonts w:hint="eastAsia" w:ascii="宋体" w:hAnsi="宋体" w:cs="宋体"/>
          <w:b/>
          <w:color w:val="auto"/>
          <w:kern w:val="0"/>
          <w:sz w:val="24"/>
          <w:szCs w:val="24"/>
        </w:rPr>
        <w:t>2.质疑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2.4为了使提出的质疑事项在规定时间内得到有效答复、处理，质疑采用实名制，质疑人必须为本次采购活动当事人，且由法定代表人或投标授权人亲自递交到采购代理机构，正式受理后方可生效，否则，为无效质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2.5递交的质疑函务必提供以下信息和内容：</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（1）质疑人的单位名称和姓名、地址、联系电话、身份证明和法人授权委托书；</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（2）被质疑人的单位名称或姓名等；</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（3）质疑应当有明确的请求和必要的证明材料；</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（4）质疑人的签章及提出质疑的准确日期。</w:t>
      </w:r>
    </w:p>
    <w:p>
      <w:pPr>
        <w:spacing w:line="360" w:lineRule="auto"/>
        <w:ind w:firstLine="482" w:firstLineChars="201"/>
        <w:rPr>
          <w:rFonts w:ascii="宋体" w:hAnsi="宋体"/>
          <w:color w:val="auto"/>
          <w:sz w:val="24"/>
          <w:szCs w:val="24"/>
        </w:rPr>
      </w:pPr>
      <w:r>
        <w:rPr>
          <w:rFonts w:hint="eastAsia" w:ascii="宋体" w:hAnsi="宋体"/>
          <w:color w:val="auto"/>
          <w:sz w:val="24"/>
          <w:szCs w:val="24"/>
        </w:rPr>
        <w:t>2.6有下列情况之一的质疑不予受理：</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）非投标人提出的质疑；</w:t>
      </w:r>
    </w:p>
    <w:p>
      <w:pPr>
        <w:spacing w:line="360" w:lineRule="auto"/>
        <w:ind w:firstLine="482" w:firstLineChars="201"/>
        <w:rPr>
          <w:rFonts w:ascii="宋体" w:hAnsi="宋体"/>
          <w:color w:val="auto"/>
          <w:sz w:val="24"/>
          <w:szCs w:val="24"/>
        </w:rPr>
      </w:pPr>
      <w:r>
        <w:rPr>
          <w:rFonts w:hint="eastAsia" w:ascii="宋体" w:hAnsi="宋体"/>
          <w:color w:val="auto"/>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color w:val="auto"/>
          <w:sz w:val="24"/>
          <w:szCs w:val="24"/>
        </w:rPr>
      </w:pPr>
      <w:r>
        <w:rPr>
          <w:rFonts w:hint="eastAsia" w:ascii="宋体" w:hAnsi="宋体"/>
          <w:color w:val="auto"/>
          <w:sz w:val="24"/>
          <w:szCs w:val="24"/>
        </w:rPr>
        <w:t>（3）质疑函件无实质性内容或佐证文件资料，主观臆断及推理得出结论的质疑；</w:t>
      </w:r>
    </w:p>
    <w:p>
      <w:pPr>
        <w:spacing w:line="360" w:lineRule="auto"/>
        <w:ind w:firstLine="482" w:firstLineChars="201"/>
        <w:rPr>
          <w:rFonts w:ascii="宋体" w:hAnsi="宋体"/>
          <w:color w:val="auto"/>
          <w:sz w:val="24"/>
          <w:szCs w:val="24"/>
        </w:rPr>
      </w:pPr>
      <w:r>
        <w:rPr>
          <w:rFonts w:hint="eastAsia" w:ascii="宋体" w:hAnsi="宋体"/>
          <w:color w:val="auto"/>
          <w:sz w:val="24"/>
          <w:szCs w:val="24"/>
        </w:rPr>
        <w:t>（4）相应证明材料不真实或来源不合法的质疑；</w:t>
      </w:r>
    </w:p>
    <w:p>
      <w:pPr>
        <w:spacing w:line="360" w:lineRule="auto"/>
        <w:ind w:firstLine="482" w:firstLineChars="201"/>
        <w:rPr>
          <w:rFonts w:ascii="宋体" w:hAnsi="宋体"/>
          <w:color w:val="auto"/>
          <w:sz w:val="24"/>
          <w:szCs w:val="24"/>
        </w:rPr>
      </w:pPr>
      <w:r>
        <w:rPr>
          <w:rFonts w:hint="eastAsia" w:ascii="宋体" w:hAnsi="宋体"/>
          <w:color w:val="auto"/>
          <w:sz w:val="24"/>
          <w:szCs w:val="24"/>
        </w:rPr>
        <w:t>（5）未按规定时间或超过质疑时限提出的质疑；</w:t>
      </w:r>
    </w:p>
    <w:p>
      <w:pPr>
        <w:spacing w:line="360" w:lineRule="auto"/>
        <w:ind w:firstLine="482" w:firstLineChars="201"/>
        <w:rPr>
          <w:rFonts w:ascii="宋体" w:hAnsi="宋体"/>
          <w:color w:val="auto"/>
          <w:sz w:val="24"/>
          <w:szCs w:val="24"/>
        </w:rPr>
      </w:pPr>
      <w:r>
        <w:rPr>
          <w:rFonts w:hint="eastAsia" w:ascii="宋体" w:hAnsi="宋体"/>
          <w:color w:val="auto"/>
          <w:sz w:val="24"/>
          <w:szCs w:val="24"/>
        </w:rPr>
        <w:t>（6）除亲自送达书面质疑书式外，其他任何方式的质疑。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2.7对捏造事实，提供虚假材料或者以非法手段取得证明材料进行恶意质疑的，一经查实，将上报监督部门，并给以相应处罚。</w:t>
      </w:r>
    </w:p>
    <w:p>
      <w:pPr>
        <w:spacing w:line="360" w:lineRule="auto"/>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质疑人对采购人、采购代理机构的答复不满意或者采购人、采购代理机构未在规定的时间内做出书面答复的，可以在答复期满后十五个工作日内向监督部门进行投诉。投诉程序按《政府采购法》及相关规定执行。</w:t>
      </w:r>
    </w:p>
    <w:p>
      <w:pPr>
        <w:ind w:firstLine="480" w:firstLineChars="200"/>
        <w:rPr>
          <w:rFonts w:ascii="宋体" w:hAnsi="宋体"/>
          <w:color w:val="auto"/>
          <w:sz w:val="24"/>
          <w:szCs w:val="24"/>
        </w:rPr>
      </w:pPr>
      <w:r>
        <w:rPr>
          <w:rFonts w:hint="eastAsia" w:ascii="宋体" w:hAnsi="宋体"/>
          <w:color w:val="auto"/>
          <w:sz w:val="24"/>
          <w:szCs w:val="24"/>
        </w:rPr>
        <w:t>投标人投诉的事项不得超出已质疑事项的范围。</w:t>
      </w:r>
      <w:bookmarkStart w:id="6" w:name="_Toc447030613"/>
      <w:bookmarkStart w:id="7" w:name="_Toc266431157"/>
    </w:p>
    <w:p>
      <w:pPr>
        <w:pStyle w:val="25"/>
        <w:spacing w:line="360" w:lineRule="auto"/>
        <w:jc w:val="both"/>
        <w:rPr>
          <w:rFonts w:ascii="宋体" w:hAnsi="宋体" w:eastAsia="宋体" w:cs="宋体"/>
          <w:bCs w:val="0"/>
          <w:color w:val="auto"/>
          <w:sz w:val="24"/>
          <w:szCs w:val="24"/>
        </w:rPr>
      </w:pPr>
      <w:r>
        <w:rPr>
          <w:rFonts w:ascii="宋体" w:hAnsi="宋体" w:eastAsia="宋体" w:cs="宋体"/>
          <w:bCs w:val="0"/>
          <w:color w:val="auto"/>
          <w:sz w:val="24"/>
          <w:szCs w:val="24"/>
        </w:rPr>
        <w:br w:type="page"/>
      </w:r>
    </w:p>
    <w:p>
      <w:pPr>
        <w:pStyle w:val="25"/>
        <w:spacing w:line="360" w:lineRule="auto"/>
        <w:rPr>
          <w:rFonts w:ascii="宋体" w:hAnsi="宋体" w:eastAsia="宋体" w:cs="宋体"/>
          <w:bCs w:val="0"/>
          <w:color w:val="auto"/>
          <w:sz w:val="24"/>
          <w:szCs w:val="24"/>
        </w:rPr>
      </w:pPr>
      <w:bookmarkStart w:id="8" w:name="_Toc497408659"/>
      <w:bookmarkStart w:id="9" w:name="_Toc6175_WPSOffice_Level1"/>
      <w:r>
        <w:rPr>
          <w:rFonts w:hint="eastAsia" w:ascii="宋体" w:hAnsi="宋体" w:eastAsia="宋体" w:cs="宋体"/>
          <w:bCs w:val="0"/>
          <w:color w:val="auto"/>
          <w:sz w:val="24"/>
          <w:szCs w:val="24"/>
        </w:rPr>
        <w:t xml:space="preserve">第三章 </w:t>
      </w:r>
      <w:bookmarkEnd w:id="6"/>
      <w:bookmarkEnd w:id="7"/>
      <w:r>
        <w:rPr>
          <w:rFonts w:hint="eastAsia" w:ascii="宋体" w:hAnsi="宋体" w:eastAsia="宋体" w:cs="宋体"/>
          <w:bCs w:val="0"/>
          <w:color w:val="auto"/>
          <w:sz w:val="24"/>
          <w:szCs w:val="24"/>
        </w:rPr>
        <w:t>合同与验收</w:t>
      </w:r>
      <w:bookmarkEnd w:id="8"/>
      <w:bookmarkEnd w:id="9"/>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1.3采购人与中标人应当根据合同的约定依法履行合同义务。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2.2《合同文本》的内容可以根据《合同法》和合同签订双方的实际要求进行修改，但不得改变范本中的实质性内容。</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hAnsi="宋体"/>
          <w:color w:val="auto"/>
          <w:sz w:val="24"/>
          <w:szCs w:val="24"/>
        </w:rPr>
      </w:pPr>
      <w:r>
        <w:rPr>
          <w:rFonts w:hint="eastAsia" w:ascii="宋体" w:hAnsi="宋体"/>
          <w:color w:val="auto"/>
          <w:sz w:val="24"/>
          <w:szCs w:val="24"/>
        </w:rPr>
        <w:t>中标人在供货、工程竣工或服务结束后，采购人应及时组织验收，并按照招标文件、投标文件及合同约定填写验收单（下载地址：鄂尔多斯市公共资源交易网</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w:t>
      </w:r>
      <w:r>
        <w:rPr>
          <w:rFonts w:ascii="宋体" w:hAnsi="宋体"/>
          <w:color w:val="auto"/>
          <w:sz w:val="24"/>
          <w:szCs w:val="24"/>
        </w:rPr>
        <w:t>—</w:t>
      </w:r>
      <w:r>
        <w:rPr>
          <w:rFonts w:hint="eastAsia" w:ascii="宋体" w:hAnsi="宋体"/>
          <w:color w:val="auto"/>
          <w:sz w:val="24"/>
          <w:szCs w:val="24"/>
        </w:rPr>
        <w:t>政府采购相关范本）。验收合格后2个工作日内，中标人应将政府采购项目验收单送达至旗公共资源交易中心政府采购部（联系人：宋先生，联系电话：0477-7621750 ）存档。逾期未验收或未按时交回验收单，将按照相关法律法规做出相应处罚。</w:t>
      </w:r>
    </w:p>
    <w:p>
      <w:pPr>
        <w:rPr>
          <w:rFonts w:hAnsi="宋体"/>
          <w:color w:val="auto"/>
          <w:sz w:val="24"/>
          <w:szCs w:val="24"/>
        </w:rPr>
      </w:pPr>
    </w:p>
    <w:p>
      <w:pPr>
        <w:jc w:val="center"/>
        <w:rPr>
          <w:rFonts w:ascii="宋体" w:hAnsi="宋体"/>
          <w:b/>
          <w:bCs/>
          <w:color w:val="auto"/>
          <w:kern w:val="44"/>
          <w:sz w:val="24"/>
          <w:szCs w:val="24"/>
          <w:lang w:val="zh-CN"/>
        </w:rPr>
      </w:pPr>
      <w:r>
        <w:rPr>
          <w:rFonts w:ascii="宋体" w:hAnsi="宋体"/>
          <w:b/>
          <w:bCs/>
          <w:color w:val="auto"/>
          <w:kern w:val="44"/>
          <w:sz w:val="24"/>
          <w:szCs w:val="24"/>
          <w:lang w:val="zh-CN"/>
        </w:rPr>
        <w:br w:type="page"/>
      </w:r>
    </w:p>
    <w:p>
      <w:pPr>
        <w:jc w:val="center"/>
        <w:rPr>
          <w:rFonts w:ascii="宋体" w:hAnsi="宋体"/>
          <w:b/>
          <w:color w:val="auto"/>
          <w:sz w:val="24"/>
          <w:szCs w:val="24"/>
        </w:rPr>
      </w:pPr>
      <w:r>
        <w:rPr>
          <w:rFonts w:hint="eastAsia" w:ascii="宋体" w:hAnsi="宋体"/>
          <w:b/>
          <w:color w:val="auto"/>
          <w:sz w:val="24"/>
          <w:szCs w:val="24"/>
        </w:rPr>
        <w:t>政府采购合同（合同文本）</w:t>
      </w:r>
    </w:p>
    <w:p>
      <w:pPr>
        <w:rPr>
          <w:rFonts w:ascii="宋体" w:hAnsi="宋体"/>
          <w:b/>
          <w:color w:val="auto"/>
          <w:sz w:val="44"/>
          <w:szCs w:val="44"/>
        </w:rPr>
      </w:pPr>
    </w:p>
    <w:p>
      <w:pPr>
        <w:rPr>
          <w:rFonts w:hint="eastAsia" w:asciiTheme="minorEastAsia" w:hAnsiTheme="minorEastAsia" w:eastAsiaTheme="minorEastAsia"/>
          <w:color w:val="auto"/>
          <w:sz w:val="24"/>
          <w:szCs w:val="24"/>
          <w:u w:val="single"/>
          <w:lang w:eastAsia="zh-CN"/>
        </w:rPr>
      </w:pPr>
      <w:r>
        <w:rPr>
          <w:rFonts w:hint="eastAsia" w:asciiTheme="minorEastAsia" w:hAnsiTheme="minorEastAsia" w:eastAsiaTheme="minorEastAsia"/>
          <w:b/>
          <w:color w:val="auto"/>
          <w:sz w:val="24"/>
          <w:szCs w:val="24"/>
        </w:rPr>
        <w:t>甲方：</w:t>
      </w:r>
      <w:r>
        <w:rPr>
          <w:rFonts w:hint="eastAsia" w:asciiTheme="minorEastAsia" w:hAnsiTheme="minorEastAsia" w:eastAsiaTheme="minorEastAsia"/>
          <w:b/>
          <w:color w:val="auto"/>
          <w:sz w:val="24"/>
          <w:szCs w:val="24"/>
          <w:u w:val="single"/>
          <w:lang w:eastAsia="zh-CN"/>
        </w:rPr>
        <w:t>鄂托克前旗民政局</w:t>
      </w:r>
    </w:p>
    <w:p>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地址：</w:t>
      </w:r>
      <w:r>
        <w:rPr>
          <w:rFonts w:hint="eastAsia" w:asciiTheme="minorEastAsia" w:hAnsiTheme="minorEastAsia" w:eastAsiaTheme="minorEastAsia"/>
          <w:b/>
          <w:color w:val="auto"/>
          <w:sz w:val="24"/>
          <w:szCs w:val="24"/>
          <w:u w:val="single"/>
        </w:rPr>
        <w:t>鄂前旗敖镇</w:t>
      </w:r>
    </w:p>
    <w:p>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乙方：***（填写中标投标人）</w:t>
      </w:r>
    </w:p>
    <w:p>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地址（详细地址）：</w:t>
      </w:r>
    </w:p>
    <w:p>
      <w:pPr>
        <w:jc w:val="left"/>
        <w:rPr>
          <w:rFonts w:asciiTheme="minorEastAsia" w:hAnsiTheme="minorEastAsia" w:eastAsiaTheme="minorEastAsia"/>
          <w:color w:val="auto"/>
          <w:sz w:val="24"/>
          <w:szCs w:val="24"/>
          <w:u w:val="single"/>
        </w:rPr>
      </w:pPr>
      <w:r>
        <w:rPr>
          <w:rFonts w:hint="eastAsia" w:asciiTheme="minorEastAsia" w:hAnsiTheme="minorEastAsia" w:eastAsiaTheme="minorEastAsia"/>
          <w:b/>
          <w:color w:val="auto"/>
          <w:sz w:val="24"/>
          <w:szCs w:val="24"/>
        </w:rPr>
        <w:t>合同号：</w:t>
      </w:r>
      <w:r>
        <w:rPr>
          <w:rFonts w:hint="eastAsia" w:asciiTheme="minorEastAsia" w:hAnsiTheme="minorEastAsia" w:eastAsiaTheme="minorEastAsia"/>
          <w:color w:val="auto"/>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根据《中华人民共和国政府采购法》、《中华人民共和国合同法》等相关法律法规，甲、乙双方就</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eastAsia="zh-CN"/>
        </w:rPr>
        <w:t>鄂托克前旗民政局殡仪馆设施设备项目</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（政府采购项目批准书编号：</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，经平等自愿协商一致达成合同如下：</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一、合同文件</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本合同所附下列文件是构成本合同不可分割的部分：</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1、合同格式以及合同条款</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2、中标结果公告及中标通知书</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3、招标文件</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4、投标文件</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5、变更合同</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三、合同金额</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合同金额为人民币万元，大写：</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四、付款方式及时间</w:t>
      </w:r>
    </w:p>
    <w:p>
      <w:pPr>
        <w:spacing w:line="15" w:lineRule="atLeast"/>
        <w:ind w:firstLine="600" w:firstLineChars="250"/>
        <w:jc w:val="left"/>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***（见招标文件第四章）</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五、交货安装</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交货时间：</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交货地点：</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六、质量</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七、包装</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八、运输要求</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（一）运输方式及线路：</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（二）运输及相关费用由乙方承担。</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九、知识产权</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十、验收</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十一、售后服务</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（一）乙方应按招标文件、投标文件及乙方在谈判过程中做出的书面说明或承诺提供及时、快速、优质的售后服务。</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（二）其他售后服务内容：</w:t>
      </w:r>
      <w:r>
        <w:rPr>
          <w:rFonts w:hint="eastAsia" w:asciiTheme="minorEastAsia" w:hAnsiTheme="minorEastAsia" w:eastAsiaTheme="minorEastAsia"/>
          <w:color w:val="auto"/>
          <w:sz w:val="24"/>
          <w:szCs w:val="24"/>
          <w:u w:val="single"/>
        </w:rPr>
        <w:t xml:space="preserve">（投标文件售后承诺等） </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十二、违约条款</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（一）乙方逾期交付标的物、甲方逾期付款，按日承担违约部分合同金额的违约金。</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十三、不可抗力条款</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十四、争议的解决方式</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（一）提交仲裁委员会仲裁。</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（二）向人民法院起诉。            </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十五、合同保存</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合同文本一式五份，采购单位、投标人、政府采购监管部门、市旗公共资源交易中心、国库支付执行机构各一份，自双方签订之日起生效。</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十六、</w:t>
      </w:r>
      <w:r>
        <w:rPr>
          <w:rFonts w:asciiTheme="minorEastAsia" w:hAnsiTheme="minorEastAsia" w:eastAsiaTheme="minorEastAsia"/>
          <w:color w:val="auto"/>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 （章）                              乙 方： （章）</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开户银行：                                  开户银行： </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帐    号：                                  帐    号：</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联系电话：                                  联系电话：</w:t>
      </w:r>
    </w:p>
    <w:p>
      <w:pPr>
        <w:spacing w:line="15" w:lineRule="atLeast"/>
        <w:ind w:firstLine="645"/>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签订时间       年  月  日</w:t>
      </w:r>
    </w:p>
    <w:p>
      <w:pPr>
        <w:ind w:firstLine="645"/>
        <w:jc w:val="left"/>
        <w:rPr>
          <w:rFonts w:asciiTheme="minorEastAsia" w:hAnsiTheme="minorEastAsia" w:eastAsiaTheme="minorEastAsia"/>
          <w:color w:val="auto"/>
          <w:sz w:val="24"/>
          <w:szCs w:val="24"/>
        </w:rPr>
      </w:pPr>
    </w:p>
    <w:p>
      <w:pPr>
        <w:jc w:val="left"/>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 xml:space="preserve">附表：标的物清单（主要技术参数需与投标文件相一致）                                                </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名 称</w:t>
            </w:r>
          </w:p>
        </w:tc>
        <w:tc>
          <w:tcPr>
            <w:tcW w:w="4082"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品牌、规格、标准</w:t>
            </w:r>
          </w:p>
        </w:tc>
        <w:tc>
          <w:tcPr>
            <w:tcW w:w="616"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产地</w:t>
            </w:r>
          </w:p>
        </w:tc>
        <w:tc>
          <w:tcPr>
            <w:tcW w:w="932"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数量</w:t>
            </w:r>
          </w:p>
        </w:tc>
        <w:tc>
          <w:tcPr>
            <w:tcW w:w="940"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单价（元）</w:t>
            </w:r>
          </w:p>
        </w:tc>
        <w:tc>
          <w:tcPr>
            <w:tcW w:w="1413" w:type="dxa"/>
            <w:vAlign w:val="center"/>
          </w:tcPr>
          <w:p>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4082"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616"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auto"/>
                <w:sz w:val="24"/>
                <w:szCs w:val="24"/>
              </w:rPr>
            </w:pPr>
          </w:p>
        </w:tc>
        <w:tc>
          <w:tcPr>
            <w:tcW w:w="4082" w:type="dxa"/>
            <w:vAlign w:val="center"/>
          </w:tcPr>
          <w:p>
            <w:pPr>
              <w:jc w:val="center"/>
              <w:rPr>
                <w:rFonts w:asciiTheme="minorEastAsia" w:hAnsiTheme="minorEastAsia" w:eastAsiaTheme="minorEastAsia"/>
                <w:color w:val="auto"/>
                <w:sz w:val="24"/>
                <w:szCs w:val="24"/>
              </w:rPr>
            </w:pPr>
          </w:p>
        </w:tc>
        <w:tc>
          <w:tcPr>
            <w:tcW w:w="616" w:type="dxa"/>
            <w:vAlign w:val="center"/>
          </w:tcPr>
          <w:p>
            <w:pPr>
              <w:jc w:val="center"/>
              <w:rPr>
                <w:rFonts w:asciiTheme="minorEastAsia" w:hAnsiTheme="minorEastAsia" w:eastAsiaTheme="minorEastAsia"/>
                <w:color w:val="auto"/>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auto"/>
                <w:sz w:val="24"/>
                <w:szCs w:val="24"/>
              </w:rPr>
            </w:pPr>
          </w:p>
        </w:tc>
        <w:tc>
          <w:tcPr>
            <w:tcW w:w="4082" w:type="dxa"/>
            <w:vAlign w:val="center"/>
          </w:tcPr>
          <w:p>
            <w:pPr>
              <w:jc w:val="center"/>
              <w:rPr>
                <w:rFonts w:asciiTheme="minorEastAsia" w:hAnsiTheme="minorEastAsia" w:eastAsiaTheme="minorEastAsia"/>
                <w:color w:val="auto"/>
                <w:sz w:val="24"/>
                <w:szCs w:val="24"/>
              </w:rPr>
            </w:pPr>
          </w:p>
        </w:tc>
        <w:tc>
          <w:tcPr>
            <w:tcW w:w="616" w:type="dxa"/>
            <w:vAlign w:val="center"/>
          </w:tcPr>
          <w:p>
            <w:pPr>
              <w:jc w:val="center"/>
              <w:rPr>
                <w:rFonts w:asciiTheme="minorEastAsia" w:hAnsiTheme="minorEastAsia" w:eastAsiaTheme="minorEastAsia"/>
                <w:color w:val="auto"/>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auto"/>
                <w:sz w:val="24"/>
                <w:szCs w:val="24"/>
              </w:rPr>
            </w:pPr>
          </w:p>
        </w:tc>
        <w:tc>
          <w:tcPr>
            <w:tcW w:w="4082" w:type="dxa"/>
            <w:vAlign w:val="center"/>
          </w:tcPr>
          <w:p>
            <w:pPr>
              <w:jc w:val="center"/>
              <w:rPr>
                <w:rFonts w:asciiTheme="minorEastAsia" w:hAnsiTheme="minorEastAsia" w:eastAsiaTheme="minorEastAsia"/>
                <w:color w:val="auto"/>
                <w:sz w:val="24"/>
                <w:szCs w:val="24"/>
              </w:rPr>
            </w:pPr>
          </w:p>
        </w:tc>
        <w:tc>
          <w:tcPr>
            <w:tcW w:w="616" w:type="dxa"/>
            <w:vAlign w:val="center"/>
          </w:tcPr>
          <w:p>
            <w:pPr>
              <w:jc w:val="center"/>
              <w:rPr>
                <w:rFonts w:asciiTheme="minorEastAsia" w:hAnsiTheme="minorEastAsia" w:eastAsiaTheme="minorEastAsia"/>
                <w:color w:val="auto"/>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auto"/>
                <w:sz w:val="24"/>
                <w:szCs w:val="24"/>
              </w:rPr>
            </w:pPr>
          </w:p>
        </w:tc>
        <w:tc>
          <w:tcPr>
            <w:tcW w:w="4082" w:type="dxa"/>
            <w:vAlign w:val="center"/>
          </w:tcPr>
          <w:p>
            <w:pPr>
              <w:jc w:val="center"/>
              <w:rPr>
                <w:rFonts w:asciiTheme="minorEastAsia" w:hAnsiTheme="minorEastAsia" w:eastAsiaTheme="minorEastAsia"/>
                <w:color w:val="auto"/>
                <w:sz w:val="24"/>
                <w:szCs w:val="24"/>
              </w:rPr>
            </w:pPr>
          </w:p>
        </w:tc>
        <w:tc>
          <w:tcPr>
            <w:tcW w:w="616" w:type="dxa"/>
            <w:vAlign w:val="center"/>
          </w:tcPr>
          <w:p>
            <w:pPr>
              <w:jc w:val="center"/>
              <w:rPr>
                <w:rFonts w:asciiTheme="minorEastAsia" w:hAnsiTheme="minorEastAsia" w:eastAsiaTheme="minorEastAsia"/>
                <w:color w:val="auto"/>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auto"/>
                <w:sz w:val="24"/>
                <w:szCs w:val="24"/>
              </w:rPr>
            </w:pPr>
          </w:p>
        </w:tc>
        <w:tc>
          <w:tcPr>
            <w:tcW w:w="4082" w:type="dxa"/>
            <w:vAlign w:val="center"/>
          </w:tcPr>
          <w:p>
            <w:pPr>
              <w:jc w:val="center"/>
              <w:rPr>
                <w:rFonts w:asciiTheme="minorEastAsia" w:hAnsiTheme="minorEastAsia" w:eastAsiaTheme="minorEastAsia"/>
                <w:color w:val="auto"/>
                <w:sz w:val="24"/>
                <w:szCs w:val="24"/>
              </w:rPr>
            </w:pPr>
          </w:p>
        </w:tc>
        <w:tc>
          <w:tcPr>
            <w:tcW w:w="616" w:type="dxa"/>
            <w:vAlign w:val="center"/>
          </w:tcPr>
          <w:p>
            <w:pPr>
              <w:jc w:val="center"/>
              <w:rPr>
                <w:rFonts w:asciiTheme="minorEastAsia" w:hAnsiTheme="minorEastAsia" w:eastAsiaTheme="minorEastAsia"/>
                <w:color w:val="auto"/>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人民币大写：**</w:t>
            </w:r>
            <w:r>
              <w:rPr>
                <w:rFonts w:asciiTheme="minorEastAsia" w:hAnsiTheme="minorEastAsia" w:eastAsiaTheme="minorEastAsia"/>
                <w:color w:val="auto"/>
                <w:sz w:val="24"/>
                <w:szCs w:val="24"/>
              </w:rPr>
              <w:t>元</w:t>
            </w:r>
            <w:r>
              <w:rPr>
                <w:rFonts w:hint="eastAsia" w:asciiTheme="minorEastAsia" w:hAnsiTheme="minorEastAsia" w:eastAsiaTheme="minorEastAsia"/>
                <w:color w:val="auto"/>
                <w:sz w:val="24"/>
                <w:szCs w:val="24"/>
              </w:rPr>
              <w:t>整</w:t>
            </w:r>
          </w:p>
        </w:tc>
        <w:tc>
          <w:tcPr>
            <w:tcW w:w="1413" w:type="dxa"/>
            <w:vAlign w:val="center"/>
          </w:tcPr>
          <w:p>
            <w:pPr>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tc>
      </w:tr>
    </w:tbl>
    <w:p>
      <w:pPr>
        <w:jc w:val="center"/>
        <w:outlineLvl w:val="0"/>
        <w:rPr>
          <w:rFonts w:ascii="宋体" w:hAnsi="宋体"/>
          <w:b/>
          <w:bCs/>
          <w:color w:val="auto"/>
          <w:kern w:val="44"/>
          <w:sz w:val="24"/>
          <w:szCs w:val="24"/>
          <w:lang w:val="zh-CN"/>
        </w:rPr>
      </w:pPr>
      <w:r>
        <w:rPr>
          <w:rFonts w:ascii="宋体" w:hAnsi="宋体"/>
          <w:b/>
          <w:bCs/>
          <w:color w:val="auto"/>
          <w:kern w:val="44"/>
          <w:sz w:val="24"/>
          <w:szCs w:val="24"/>
          <w:lang w:val="zh-CN"/>
        </w:rPr>
        <w:br w:type="page"/>
      </w:r>
    </w:p>
    <w:p>
      <w:pPr>
        <w:jc w:val="center"/>
        <w:outlineLvl w:val="0"/>
        <w:rPr>
          <w:rFonts w:ascii="宋体" w:hAnsi="宋体"/>
          <w:b/>
          <w:bCs/>
          <w:color w:val="auto"/>
          <w:kern w:val="44"/>
          <w:sz w:val="24"/>
          <w:szCs w:val="24"/>
          <w:lang w:val="zh-CN"/>
        </w:rPr>
      </w:pPr>
      <w:bookmarkStart w:id="10" w:name="_Toc497408660"/>
      <w:bookmarkStart w:id="11" w:name="_Toc29659_WPSOffice_Level1"/>
      <w:r>
        <w:rPr>
          <w:rFonts w:hint="eastAsia" w:ascii="宋体" w:hAnsi="宋体"/>
          <w:b/>
          <w:bCs/>
          <w:color w:val="auto"/>
          <w:kern w:val="44"/>
          <w:sz w:val="24"/>
          <w:szCs w:val="24"/>
          <w:lang w:val="zh-CN"/>
        </w:rPr>
        <w:t>第四章 招标内容与技术要求</w:t>
      </w:r>
      <w:bookmarkEnd w:id="10"/>
      <w:bookmarkEnd w:id="11"/>
    </w:p>
    <w:p>
      <w:pPr>
        <w:jc w:val="left"/>
        <w:rPr>
          <w:rFonts w:hAnsi="宋体"/>
          <w:color w:val="auto"/>
          <w:sz w:val="24"/>
          <w:szCs w:val="24"/>
        </w:rPr>
      </w:pPr>
      <w:r>
        <w:rPr>
          <w:rFonts w:hint="eastAsia" w:ascii="宋体" w:hAnsi="宋体"/>
          <w:b/>
          <w:bCs/>
          <w:color w:val="auto"/>
          <w:kern w:val="44"/>
          <w:sz w:val="24"/>
          <w:szCs w:val="24"/>
          <w:lang w:val="zh-CN"/>
        </w:rPr>
        <w:t>一.主要商务要求</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59"/>
              <w:ind w:firstLine="0" w:firstLineChars="0"/>
              <w:jc w:val="center"/>
              <w:rPr>
                <w:rFonts w:ascii="宋体" w:hAnsi="宋体"/>
                <w:color w:val="auto"/>
                <w:sz w:val="24"/>
                <w:szCs w:val="24"/>
              </w:rPr>
            </w:pPr>
            <w:bookmarkStart w:id="12" w:name="_Toc491862079"/>
            <w:r>
              <w:rPr>
                <w:rFonts w:hint="eastAsia" w:ascii="宋体" w:hAnsi="宋体"/>
                <w:color w:val="auto"/>
                <w:sz w:val="24"/>
                <w:szCs w:val="24"/>
              </w:rPr>
              <w:t xml:space="preserve">   主要商务条款</w:t>
            </w:r>
            <w:bookmarkEnd w:id="12"/>
          </w:p>
        </w:tc>
        <w:tc>
          <w:tcPr>
            <w:tcW w:w="6957" w:type="dxa"/>
            <w:vAlign w:val="center"/>
          </w:tcPr>
          <w:p>
            <w:pPr>
              <w:pStyle w:val="59"/>
              <w:ind w:firstLine="0" w:firstLineChars="0"/>
              <w:jc w:val="center"/>
              <w:rPr>
                <w:rFonts w:ascii="宋体" w:hAnsi="宋体"/>
                <w:color w:val="auto"/>
                <w:sz w:val="24"/>
                <w:szCs w:val="24"/>
              </w:rPr>
            </w:pPr>
            <w:bookmarkStart w:id="13" w:name="_Toc491862080"/>
            <w:r>
              <w:rPr>
                <w:rFonts w:hint="eastAsia" w:ascii="宋体" w:hAnsi="宋体"/>
                <w:color w:val="auto"/>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1" w:type="dxa"/>
            <w:vAlign w:val="center"/>
          </w:tcPr>
          <w:p>
            <w:pPr>
              <w:pStyle w:val="59"/>
              <w:ind w:firstLine="0" w:firstLineChars="0"/>
              <w:jc w:val="center"/>
              <w:rPr>
                <w:rFonts w:ascii="宋体" w:hAnsi="宋体"/>
                <w:color w:val="auto"/>
                <w:sz w:val="24"/>
                <w:szCs w:val="24"/>
              </w:rPr>
            </w:pPr>
            <w:bookmarkStart w:id="14" w:name="_Toc491862082"/>
            <w:r>
              <w:rPr>
                <w:rFonts w:hint="eastAsia" w:ascii="宋体" w:hAnsi="宋体"/>
                <w:color w:val="auto"/>
                <w:sz w:val="24"/>
                <w:szCs w:val="24"/>
              </w:rPr>
              <w:t xml:space="preserve">  采购预算</w:t>
            </w:r>
            <w:bookmarkEnd w:id="14"/>
            <w:r>
              <w:rPr>
                <w:rFonts w:hint="eastAsia" w:ascii="宋体" w:hAnsi="宋体"/>
                <w:color w:val="auto"/>
                <w:sz w:val="24"/>
                <w:szCs w:val="24"/>
              </w:rPr>
              <w:t>价</w:t>
            </w:r>
          </w:p>
        </w:tc>
        <w:tc>
          <w:tcPr>
            <w:tcW w:w="6957" w:type="dxa"/>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lang w:val="en-US" w:eastAsia="zh-CN"/>
              </w:rPr>
              <w:t>3982300.00</w:t>
            </w:r>
            <w:r>
              <w:rPr>
                <w:rFonts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spacing w:line="360" w:lineRule="auto"/>
              <w:ind w:right="-140" w:rightChars="-50"/>
              <w:jc w:val="center"/>
              <w:rPr>
                <w:rFonts w:ascii="宋体" w:hAnsi="宋体"/>
                <w:color w:val="auto"/>
                <w:sz w:val="24"/>
                <w:szCs w:val="24"/>
              </w:rPr>
            </w:pPr>
            <w:r>
              <w:rPr>
                <w:rFonts w:hint="eastAsia" w:ascii="宋体" w:hAnsi="宋体"/>
                <w:color w:val="auto"/>
                <w:sz w:val="24"/>
                <w:szCs w:val="24"/>
              </w:rPr>
              <w:t>交付使用时间</w:t>
            </w:r>
          </w:p>
        </w:tc>
        <w:tc>
          <w:tcPr>
            <w:tcW w:w="6957" w:type="dxa"/>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签订合同后</w:t>
            </w:r>
            <w:r>
              <w:rPr>
                <w:rFonts w:hint="eastAsia" w:ascii="宋体" w:hAnsi="宋体"/>
                <w:color w:val="auto"/>
                <w:sz w:val="24"/>
                <w:szCs w:val="24"/>
                <w:lang w:val="en-US" w:eastAsia="zh-CN"/>
              </w:rPr>
              <w:t>45</w:t>
            </w:r>
            <w:r>
              <w:rPr>
                <w:rFonts w:hint="eastAsia" w:ascii="宋体" w:hAnsi="宋体"/>
                <w:color w:val="auto"/>
                <w:sz w:val="24"/>
                <w:szCs w:val="24"/>
              </w:rPr>
              <w:t xml:space="preserve">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spacing w:line="360" w:lineRule="auto"/>
              <w:ind w:right="-140" w:rightChars="-50"/>
              <w:jc w:val="center"/>
              <w:rPr>
                <w:rFonts w:ascii="宋体" w:hAnsi="宋体"/>
                <w:color w:val="auto"/>
                <w:sz w:val="24"/>
                <w:szCs w:val="24"/>
              </w:rPr>
            </w:pPr>
            <w:bookmarkStart w:id="15" w:name="_Toc491862089"/>
            <w:r>
              <w:rPr>
                <w:rFonts w:hint="eastAsia" w:ascii="宋体" w:hAnsi="宋体"/>
                <w:color w:val="auto"/>
                <w:sz w:val="24"/>
                <w:szCs w:val="24"/>
              </w:rPr>
              <w:t>交付使用地点</w:t>
            </w:r>
            <w:bookmarkEnd w:id="15"/>
          </w:p>
        </w:tc>
        <w:tc>
          <w:tcPr>
            <w:tcW w:w="6957" w:type="dxa"/>
            <w:vAlign w:val="center"/>
          </w:tcPr>
          <w:p>
            <w:pPr>
              <w:spacing w:line="360" w:lineRule="auto"/>
              <w:ind w:right="-140" w:rightChars="-50"/>
              <w:rPr>
                <w:rFonts w:ascii="宋体" w:hAnsi="宋体"/>
                <w:color w:val="auto"/>
                <w:sz w:val="24"/>
                <w:szCs w:val="24"/>
              </w:rPr>
            </w:pPr>
            <w:bookmarkStart w:id="16" w:name="_Toc491862090"/>
            <w:r>
              <w:rPr>
                <w:rFonts w:hint="eastAsia" w:ascii="宋体" w:hAnsi="宋体"/>
                <w:color w:val="auto"/>
                <w:sz w:val="24"/>
                <w:szCs w:val="24"/>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spacing w:line="360" w:lineRule="auto"/>
              <w:ind w:right="-140" w:rightChars="-50"/>
              <w:jc w:val="center"/>
              <w:rPr>
                <w:rFonts w:ascii="宋体" w:hAnsi="宋体"/>
                <w:color w:val="auto"/>
                <w:sz w:val="24"/>
                <w:szCs w:val="24"/>
              </w:rPr>
            </w:pPr>
            <w:r>
              <w:rPr>
                <w:rFonts w:hint="eastAsia" w:ascii="宋体" w:hAnsi="宋体"/>
                <w:color w:val="auto"/>
                <w:sz w:val="24"/>
                <w:szCs w:val="24"/>
              </w:rPr>
              <w:t>投标有效期</w:t>
            </w:r>
          </w:p>
        </w:tc>
        <w:tc>
          <w:tcPr>
            <w:tcW w:w="6957" w:type="dxa"/>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spacing w:line="360" w:lineRule="auto"/>
              <w:ind w:right="-140" w:rightChars="-50"/>
              <w:jc w:val="center"/>
              <w:rPr>
                <w:rFonts w:ascii="宋体" w:hAnsi="宋体"/>
                <w:color w:val="auto"/>
                <w:sz w:val="24"/>
                <w:szCs w:val="24"/>
              </w:rPr>
            </w:pPr>
            <w:bookmarkStart w:id="17" w:name="_Toc491862092"/>
            <w:r>
              <w:rPr>
                <w:rFonts w:hint="eastAsia" w:ascii="宋体" w:hAnsi="宋体"/>
                <w:color w:val="auto"/>
                <w:sz w:val="24"/>
                <w:szCs w:val="24"/>
              </w:rPr>
              <w:t>质保期</w:t>
            </w:r>
            <w:bookmarkEnd w:id="17"/>
          </w:p>
        </w:tc>
        <w:tc>
          <w:tcPr>
            <w:tcW w:w="6957" w:type="dxa"/>
            <w:vAlign w:val="center"/>
          </w:tcPr>
          <w:p>
            <w:pPr>
              <w:spacing w:line="360" w:lineRule="auto"/>
              <w:ind w:right="-140" w:rightChars="-50"/>
              <w:rPr>
                <w:rFonts w:ascii="宋体" w:hAnsi="宋体"/>
                <w:color w:val="auto"/>
                <w:sz w:val="24"/>
                <w:szCs w:val="24"/>
              </w:rPr>
            </w:pPr>
            <w:bookmarkStart w:id="18" w:name="_Toc491862093"/>
            <w:r>
              <w:rPr>
                <w:rFonts w:hint="eastAsia" w:ascii="宋体" w:hAnsi="宋体"/>
                <w:color w:val="auto"/>
                <w:sz w:val="24"/>
                <w:szCs w:val="24"/>
              </w:rPr>
              <w:t>质保期</w:t>
            </w:r>
            <w:r>
              <w:rPr>
                <w:rFonts w:hint="eastAsia" w:ascii="宋体" w:hAnsi="宋体"/>
                <w:color w:val="auto"/>
                <w:sz w:val="24"/>
                <w:szCs w:val="24"/>
                <w:lang w:val="en-US" w:eastAsia="zh-CN"/>
              </w:rPr>
              <w:t>2</w:t>
            </w:r>
            <w:r>
              <w:rPr>
                <w:rFonts w:hint="eastAsia" w:ascii="宋体" w:hAnsi="宋体"/>
                <w:color w:val="auto"/>
                <w:sz w:val="24"/>
                <w:szCs w:val="24"/>
              </w:rPr>
              <w:t>年。</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71" w:type="dxa"/>
            <w:vAlign w:val="center"/>
          </w:tcPr>
          <w:p>
            <w:pPr>
              <w:pStyle w:val="59"/>
              <w:ind w:firstLine="0" w:firstLineChars="0"/>
              <w:jc w:val="center"/>
              <w:rPr>
                <w:rFonts w:ascii="宋体" w:hAnsi="宋体"/>
                <w:color w:val="auto"/>
                <w:sz w:val="24"/>
                <w:szCs w:val="24"/>
              </w:rPr>
            </w:pPr>
            <w:bookmarkStart w:id="19" w:name="_Toc491862095"/>
            <w:r>
              <w:rPr>
                <w:rFonts w:hint="eastAsia" w:ascii="宋体" w:hAnsi="宋体"/>
                <w:color w:val="auto"/>
                <w:sz w:val="24"/>
                <w:szCs w:val="24"/>
              </w:rPr>
              <w:t>付款方式</w:t>
            </w:r>
            <w:bookmarkEnd w:id="19"/>
          </w:p>
        </w:tc>
        <w:tc>
          <w:tcPr>
            <w:tcW w:w="6957" w:type="dxa"/>
            <w:vAlign w:val="center"/>
          </w:tcPr>
          <w:p>
            <w:pPr>
              <w:pStyle w:val="59"/>
              <w:ind w:firstLine="0" w:firstLineChars="0"/>
              <w:rPr>
                <w:rFonts w:ascii="宋体" w:hAnsi="宋体"/>
                <w:color w:val="auto"/>
                <w:sz w:val="24"/>
                <w:szCs w:val="24"/>
              </w:rPr>
            </w:pPr>
            <w:r>
              <w:rPr>
                <w:rFonts w:hint="eastAsia" w:ascii="宋体" w:hAnsi="宋体"/>
                <w:color w:val="auto"/>
                <w:sz w:val="24"/>
                <w:szCs w:val="24"/>
              </w:rPr>
              <w:t>国库集中支付（合同中另行约定）</w:t>
            </w:r>
          </w:p>
        </w:tc>
      </w:tr>
    </w:tbl>
    <w:p>
      <w:pPr>
        <w:numPr>
          <w:ilvl w:val="0"/>
          <w:numId w:val="4"/>
        </w:numPr>
        <w:spacing w:line="360" w:lineRule="auto"/>
        <w:jc w:val="left"/>
        <w:rPr>
          <w:rFonts w:hAnsi="宋体"/>
          <w:b/>
          <w:bCs/>
          <w:color w:val="auto"/>
          <w:sz w:val="24"/>
          <w:szCs w:val="24"/>
        </w:rPr>
      </w:pPr>
      <w:r>
        <w:rPr>
          <w:rFonts w:hint="eastAsia" w:ascii="宋体" w:hAnsi="宋体"/>
          <w:b/>
          <w:bCs/>
          <w:color w:val="auto"/>
          <w:sz w:val="24"/>
          <w:szCs w:val="24"/>
        </w:rPr>
        <w:t>技术标准与要求</w:t>
      </w:r>
      <w:r>
        <w:rPr>
          <w:rFonts w:hint="eastAsia" w:hAnsi="宋体"/>
          <w:b/>
          <w:bCs/>
          <w:color w:val="auto"/>
          <w:sz w:val="24"/>
          <w:szCs w:val="24"/>
        </w:rPr>
        <w:t>：</w:t>
      </w: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p>
    <w:p>
      <w:pPr>
        <w:pStyle w:val="2"/>
        <w:jc w:val="center"/>
        <w:rPr>
          <w:b/>
          <w:bCs/>
          <w:color w:val="auto"/>
          <w:sz w:val="40"/>
          <w:szCs w:val="24"/>
        </w:rPr>
      </w:pPr>
      <w:r>
        <w:rPr>
          <w:b/>
          <w:bCs/>
          <w:color w:val="auto"/>
          <w:sz w:val="40"/>
          <w:szCs w:val="24"/>
        </w:rPr>
        <w:t>货物清单</w:t>
      </w:r>
    </w:p>
    <w:tbl>
      <w:tblPr>
        <w:tblStyle w:val="27"/>
        <w:tblpPr w:leftFromText="180" w:rightFromText="180" w:vertAnchor="text" w:horzAnchor="page" w:tblpX="1547" w:tblpY="447"/>
        <w:tblOverlap w:val="never"/>
        <w:tblW w:w="953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502"/>
        <w:gridCol w:w="1614"/>
        <w:gridCol w:w="1814"/>
        <w:gridCol w:w="2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设备名称</w:t>
            </w:r>
          </w:p>
        </w:tc>
        <w:tc>
          <w:tcPr>
            <w:tcW w:w="1614"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w:t>
            </w:r>
          </w:p>
        </w:tc>
        <w:tc>
          <w:tcPr>
            <w:tcW w:w="1814"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w:t>
            </w:r>
          </w:p>
        </w:tc>
        <w:tc>
          <w:tcPr>
            <w:tcW w:w="2943"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533" w:type="dxa"/>
            <w:gridSpan w:val="5"/>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b/>
                <w:bCs/>
                <w:color w:val="auto"/>
                <w:sz w:val="21"/>
                <w:szCs w:val="21"/>
                <w:shd w:val="clear" w:color="auto" w:fill="auto"/>
              </w:rPr>
              <w:t>火化炉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高档</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拣灰火化机</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含烟道砌筑，设备安装、调试、售后（详见相关措施）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一拖二尾气净化处理设备</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含设备安装、调试、售后（详见相关措施）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533" w:type="dxa"/>
            <w:gridSpan w:val="5"/>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遗体存放室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三门太平柜</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w:t>
            </w:r>
          </w:p>
        </w:tc>
        <w:tc>
          <w:tcPr>
            <w:tcW w:w="2943" w:type="dxa"/>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含设备安装、调试、售后（详见相关措施）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液压升降车</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辆</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533" w:type="dxa"/>
            <w:gridSpan w:val="5"/>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悼念厅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大型豪华</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瞻仰台</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2943" w:type="dxa"/>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含设备安装、调试、售后（详见相关措施）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中型豪华</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瞻仰台</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2943" w:type="dxa"/>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含设备安装、调试、售后（详见相关措施）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水晶棺</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张</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跪垫</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个</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供桌</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张</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推车</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张</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洗尸车</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辆</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9533" w:type="dxa"/>
            <w:gridSpan w:val="5"/>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eastAsia="zh-CN"/>
              </w:rPr>
              <w:t>骨灰炉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2502"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骨灰存放架</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2000</w:t>
            </w:r>
          </w:p>
        </w:tc>
        <w:tc>
          <w:tcPr>
            <w:tcW w:w="181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w:t>
            </w:r>
          </w:p>
        </w:tc>
        <w:tc>
          <w:tcPr>
            <w:tcW w:w="2943"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含设备安装、调试售后（详见相关措施）</w:t>
            </w:r>
          </w:p>
        </w:tc>
      </w:tr>
    </w:tbl>
    <w:p>
      <w:pPr>
        <w:pStyle w:val="2"/>
        <w:spacing w:line="240" w:lineRule="auto"/>
        <w:rPr>
          <w:rFonts w:hint="eastAsia" w:asciiTheme="minorEastAsia" w:hAnsiTheme="minorEastAsia" w:eastAsiaTheme="minorEastAsia" w:cstheme="minorEastAsia"/>
          <w:color w:val="auto"/>
          <w:sz w:val="21"/>
          <w:szCs w:val="21"/>
        </w:rPr>
      </w:pPr>
    </w:p>
    <w:p>
      <w:pPr>
        <w:pStyle w:val="2"/>
        <w:spacing w:line="240" w:lineRule="auto"/>
        <w:rPr>
          <w:rFonts w:hint="eastAsia" w:asciiTheme="minorEastAsia" w:hAnsiTheme="minorEastAsia" w:eastAsiaTheme="minorEastAsia" w:cstheme="minorEastAsia"/>
          <w:color w:val="auto"/>
          <w:sz w:val="21"/>
          <w:szCs w:val="21"/>
        </w:rPr>
      </w:pPr>
    </w:p>
    <w:p>
      <w:pPr>
        <w:pStyle w:val="2"/>
        <w:spacing w:line="240" w:lineRule="auto"/>
        <w:ind w:firstLine="210" w:firstLineChars="100"/>
        <w:jc w:val="center"/>
        <w:rPr>
          <w:rFonts w:hint="eastAsia" w:asciiTheme="minorEastAsia" w:hAnsiTheme="minorEastAsia" w:eastAsiaTheme="minorEastAsia" w:cstheme="minorEastAsia"/>
          <w:color w:val="auto"/>
          <w:sz w:val="21"/>
          <w:szCs w:val="21"/>
        </w:rPr>
      </w:pPr>
    </w:p>
    <w:p>
      <w:pPr>
        <w:pStyle w:val="2"/>
        <w:spacing w:line="240" w:lineRule="auto"/>
        <w:ind w:firstLine="210" w:firstLineChars="100"/>
        <w:jc w:val="center"/>
        <w:rPr>
          <w:rFonts w:hint="eastAsia" w:asciiTheme="minorEastAsia" w:hAnsiTheme="minorEastAsia" w:eastAsiaTheme="minorEastAsia" w:cstheme="minorEastAsia"/>
          <w:color w:val="auto"/>
          <w:sz w:val="21"/>
          <w:szCs w:val="21"/>
        </w:rPr>
      </w:pPr>
    </w:p>
    <w:p>
      <w:pPr>
        <w:pStyle w:val="2"/>
        <w:spacing w:line="240" w:lineRule="auto"/>
        <w:ind w:firstLine="210" w:firstLineChars="100"/>
        <w:jc w:val="center"/>
        <w:rPr>
          <w:rFonts w:hint="eastAsia" w:asciiTheme="minorEastAsia" w:hAnsiTheme="minorEastAsia" w:eastAsiaTheme="minorEastAsia" w:cstheme="minorEastAsia"/>
          <w:color w:val="auto"/>
          <w:sz w:val="21"/>
          <w:szCs w:val="21"/>
        </w:rPr>
      </w:pPr>
    </w:p>
    <w:p>
      <w:pPr>
        <w:pStyle w:val="2"/>
        <w:spacing w:line="240" w:lineRule="auto"/>
        <w:ind w:firstLine="210" w:firstLineChars="100"/>
        <w:jc w:val="center"/>
        <w:rPr>
          <w:rFonts w:hint="eastAsia" w:asciiTheme="minorEastAsia" w:hAnsiTheme="minorEastAsia" w:eastAsiaTheme="minorEastAsia" w:cstheme="minorEastAsia"/>
          <w:color w:val="auto"/>
          <w:sz w:val="21"/>
          <w:szCs w:val="21"/>
        </w:rPr>
      </w:pPr>
    </w:p>
    <w:p>
      <w:pPr>
        <w:pStyle w:val="2"/>
        <w:spacing w:line="240" w:lineRule="auto"/>
        <w:jc w:val="both"/>
        <w:rPr>
          <w:rFonts w:hint="eastAsia" w:asciiTheme="minorEastAsia" w:hAnsiTheme="minorEastAsia" w:eastAsiaTheme="minorEastAsia" w:cstheme="minorEastAsia"/>
          <w:color w:val="auto"/>
          <w:sz w:val="21"/>
          <w:szCs w:val="21"/>
        </w:rPr>
      </w:pPr>
    </w:p>
    <w:p>
      <w:pPr>
        <w:pStyle w:val="2"/>
        <w:spacing w:line="240" w:lineRule="auto"/>
        <w:ind w:firstLine="321" w:firstLineChars="100"/>
        <w:jc w:val="center"/>
        <w:rPr>
          <w:rFonts w:hint="eastAsia" w:asciiTheme="minorEastAsia" w:hAnsiTheme="minorEastAsia" w:eastAsiaTheme="minorEastAsia" w:cstheme="minorEastAsia"/>
          <w:b/>
          <w:bCs/>
          <w:color w:val="auto"/>
          <w:sz w:val="32"/>
          <w:szCs w:val="32"/>
          <w:lang w:eastAsia="zh-CN"/>
        </w:rPr>
      </w:pPr>
    </w:p>
    <w:p>
      <w:pPr>
        <w:pStyle w:val="2"/>
        <w:spacing w:line="240" w:lineRule="auto"/>
        <w:ind w:firstLine="321" w:firstLineChars="10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eastAsia="zh-CN"/>
        </w:rPr>
        <w:t>火化炉</w:t>
      </w:r>
      <w:r>
        <w:rPr>
          <w:rFonts w:hint="eastAsia" w:asciiTheme="minorEastAsia" w:hAnsiTheme="minorEastAsia" w:eastAsiaTheme="minorEastAsia" w:cstheme="minorEastAsia"/>
          <w:b/>
          <w:bCs/>
          <w:color w:val="auto"/>
          <w:sz w:val="32"/>
          <w:szCs w:val="32"/>
        </w:rPr>
        <w:t>设备技术参数及要求</w:t>
      </w:r>
    </w:p>
    <w:tbl>
      <w:tblPr>
        <w:tblStyle w:val="27"/>
        <w:tblpPr w:leftFromText="180" w:rightFromText="180" w:vertAnchor="text" w:horzAnchor="page" w:tblpX="872" w:tblpY="447"/>
        <w:tblOverlap w:val="never"/>
        <w:tblW w:w="101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561"/>
        <w:gridCol w:w="1210"/>
        <w:gridCol w:w="1920"/>
        <w:gridCol w:w="5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设备名称</w:t>
            </w:r>
          </w:p>
        </w:tc>
        <w:tc>
          <w:tcPr>
            <w:tcW w:w="9125" w:type="dxa"/>
            <w:gridSpan w:val="4"/>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档</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拣</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灰</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火</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化</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w:t>
            </w: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产品技术项目</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产品技术规格、参数及技术要求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炉体外形尺寸</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L3500×W2250×H3200，组合式部件出厂，便于装卸和进入现场。外观造型呈流线型，美观实用，操作方便。操作门拉手绝热不烫手。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主炉膛</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L2200×W700×H750，耐温1500℃，二侧下火口耐温1760℃。主炉膛工作温度600-900℃。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炉膛工作压力</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-5Pa～-30Pa内调节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主炉二燃室</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L1324×W700×H350，工作温度750-900℃。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耐火材料与砌筑工艺</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5.1耐火材料全部选用优质品砌筑</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5.2砌筑工艺做到砌筑耐火砖的灰缝不大于3mm，主炉膛灰缝不大于2mm，横平竖直，泥浆饱满，砌体垂直度、平面直线度不大于3‰，用切割机切砖并磨平后使用，砌保温砖像砌耐火砖一样用耐火泥砌、不堆砌。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210"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供风系统</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热风管</w:t>
            </w:r>
          </w:p>
        </w:tc>
        <w:tc>
          <w:tcPr>
            <w:tcW w:w="543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炉膛左、右侧风、顶风，主枪风都装有热风输入管道和风咀，并与炉体管道式预热器相连提供热风直接喷到炉膛达到快速升温节能的效果。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风量控制</w:t>
            </w:r>
          </w:p>
        </w:tc>
        <w:tc>
          <w:tcPr>
            <w:tcW w:w="543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设主枪风、左侧风、右侧风、顶风、回烟道冷风五个风量控制阀，转动灵活、久用无卡阻。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炉门</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L1060×W1000，不锈钢制作，耐火面用高温（＞1500℃）外表用不锈钢板装饰，具有手动应急操作功能，启闭轻松，停位准确，关闭密封严实。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炉体外装饰</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炉体外装饰用304不锈钢板，暗扣式安装，拆装方便，外观造型美观大方，光亮豪华。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保温性能</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停炉15小时≥300℃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炉体表面温度</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炉体表面平均温升≤20℃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提升双坑面台车</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括升降装置、遗体输送车、冷却风机、耐高温坑面。升降装置的高度2300mm，跨距1184mm,升降高度823mm，通过升降装置的运行把高温的骨灰连同坑面提升到骨灰冷却装置固定的安装高度823mm，进行骨灰冷却并完成双坑面的交换使用。接送坑面骨灰进行冷却仅需垂直提升利用空间面积节省了预备室有限横向地面积。</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遗体输送车L3750×W417×H521,坑面自动升降高度150mm以内调节，自动完成预备室外接遗体，带棺木入炉，骨灰送至拣灰台等，其过程运行平稳，停位精确无误。</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冷却风机功率3KW，风量7000m³，风压1180Pa和不锈钢冷却罩配套使用，冷却时间20-30分钟/具，冷却后坑面灰尘全部送人集灰房，无尘落地。</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耐高温坑面，L2150×W680×H100，长时间高温下使用不变形，不炸裂，每台炉配二副交换使用，更换期800-1000具。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预备门</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预备门宽1000，高1850，完全满足遗体棺木进入，用不锈钢板制作，装饰豪华美观、传动选用可逆减速电机同步带轮传动，噪音小、平稳、预备门轨道选用铝合金移门吊轮吊轨，滑动轻松，使用寿命都在10年以上。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工作状态显示</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预备门上方配置LED显示屏，根据火化机的工作状态显示工作、停炉、故障信息。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鼓风机</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7.5KW高压鼓风机，风量1291m³，风压12075Pa。风机运转平稳无振动，噪音小于70分贝。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燃烧系统</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15.1主燃烧器选用知名品牌产品，油耗7-12kg/h，油嘴孔径Φ1.2mm，火焰长度达800-1100mm。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15.2燃烧角度上下可调＞30°，保证炉膛头尾正常火化。</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15.3炉膛主枪点火采用高能点火装置，不需油耗，点火棒高压点火，着火几率100%。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密封性</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火化设备（火化机、预备室、鼓风装置、引风装置、闸板装置、烟道、各烟道口等）在正常运行工作中或停机后不出现烟气溢出、倒烟、回烟、异味现象。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热电偶</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安装位置正确，采用磁导管K式热电偶长650mm，测量温度0-1300℃。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w:t>
            </w:r>
            <w:r>
              <w:rPr>
                <w:rFonts w:hint="eastAsia" w:asciiTheme="minorEastAsia" w:hAnsiTheme="minorEastAsia" w:eastAsiaTheme="minorEastAsia" w:cstheme="minorEastAsia"/>
                <w:color w:val="auto"/>
                <w:sz w:val="21"/>
                <w:szCs w:val="21"/>
              </w:rPr>
              <w:t>电器自动化控制</w:t>
            </w:r>
          </w:p>
          <w:p>
            <w:pPr>
              <w:pStyle w:val="2"/>
              <w:spacing w:line="240" w:lineRule="auto"/>
              <w:jc w:val="center"/>
              <w:rPr>
                <w:rFonts w:hint="eastAsia" w:asciiTheme="minorEastAsia" w:hAnsiTheme="minorEastAsia" w:eastAsiaTheme="minorEastAsia" w:cstheme="minorEastAsia"/>
                <w:color w:val="auto"/>
                <w:sz w:val="21"/>
                <w:szCs w:val="21"/>
              </w:rPr>
            </w:pP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19.1硬件选用：摆臂式铝合金组合支杆360度旋转，触摸屏选用10.1寸真彩屏，PLC控制器功能模块选用低压电器元件选用优质产品，耐用、故障率极低。（通过摆臂旋转，操作工可多角度操控设备，触摸屏脱离火化机机体，不受炉体温度影响，稳定性更高，延长使用寿命。）</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19.2后厅控制功能：摆臂式触摸屏制作动态流程动画画面显示，温度压力显示，具有自动控温、自动控压、自动控油气、自动调节风氧量、引风机，鼓风机起停控制，权限授权，参数校准，故障报警功能据。</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19.3前厅控制功能：触摸屏选用10.1寸真彩屏，PLC控制器功能模块选用低压电器元件选用优质产品，耐用、故障率极低。触摸屏制作精致简洁画面，具有实现手动，点动，一键全自动操作模式，点动模式实现预备门点动开闭，炉门的点动升降，尸车点动前后升降。手动模式实现预备门开闭定位操作，炉门升降定位操作，尸车定位前后操作。自动模式实现预备门，炉门，尸车自动完成接尸，送尸操作，模式无忧切换，故障报警闪烁，报警点自动显示功能。</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注：</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须</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提供操作功能演示。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使用燃料</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0#轻柴油、天然气。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连续火化时间</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30-50分钟/具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平均火化油耗</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耗油8-12L/具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使用寿命</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设备正常使用大修期：4500具或三年以上。</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设备正常使用寿命：13000以上或10年。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总功率</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设备总用电功率18-20KW。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有害物质排放</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符合GB13801-2015《火葬场大气污染物排放标准》的要求。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土建施工</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通风管道挖槽，深2米宽1.5米长约10米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混凝土浇灌</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浇灌通风管道大约30立方米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27</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防火棉</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需在通风管道两侧填放防火棉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拖</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尾</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气</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净</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化</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理</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w:t>
            </w: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系统名称</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设备组成</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烟气急冷塔烟气急冷系统。喷雾脱酸塔、组合式高效旋风除尘器、二噁英吸附装置、高温自动转换阀、新型布袋除尘器、脉冲自动清灰装置、应急旁通装置、变频引风机、达标排放引射、螺杆空压机供气系统、PLC全电脑自动控制系统等组成。具有结构紧凑、外形美观、使用操作方便，无二次污染，实用性强等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处理流程</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火化机烟气→应急旁通系统→烟气急冷塔（烟气急冷至200℃）→喷雾脱酸塔→高效旋风除尘器→活性炭吸附装置→布袋除尘器→变频引风机→引射达标排放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工艺保证与工程安装</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用料严格按图纸技术要求选用国标材料不以劣代优。产品技术不断持续改进，应用先进的技术，成熟的工艺，并配置激光切割，数控剪折冲床，二保焊接等主导设备加工产品，焊工持证上岗，焊接工艺达行业标准要求，从而为制造优质的产品提供了技术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安装后效果</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1、尾气处理的污染物排放指标达到GB13801-2015标准。</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2、排放无黑烟、达到林格曼0-1级。</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3、二噁英的排放含量符合国家标准要求。</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4、殡仪馆周边无青烟现象，尾气排放无漂浮物。</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5、车间周围空气中没有火化遗体的异味。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风冷烟气急冷塔</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1600×W1200×H3850，优质钢材制作，冷却管用Φ57无缝不锈钢镜面管，实厚2mm，管总长达194米。冷却温度随手可控出口烟气≤200℃，确保散热快，耐高温、耐腐蚀。6年以上不被气体腐蚀穿透。表面温度适应手感，为方便使用冷风底部专门设置了清灰口和检修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喷雾脱酸塔</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系统采用的是脱酸技术。材料选用优质钢材，不易腐蚀，塔表温度略高室温，6年不被气体腐蚀穿透。塔体外形Φ1200×3750.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碱液喷雾通过二流体喷头雾化颗粒达5μ，雾化后的碱液喷入脱硫器和含硫烟气充分混合反应进行脱硫，由于雾化碱液颗粒细，用量每小时约16KG，充分被烟气温度吸收而无废水产生。</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石灰粉喷洒系统主要有石灰粉储存罐，流量调节阀，螺旋铰刀、自动添加摆线减速机构组成，用量5.3KG/h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双管旋风除尘器</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双管旋风外形L1840×W940×H3750采用优质钢材制作，外形结构美观，焊接平整，能去除烟气中50μ以上的粉尘和火星，无二次吸尘现象，底部装有集灰桶，拉开清灰门随时可清灰。表面温度＜50℃，使用时间6年以上。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活性炭喷洒及吸附装置</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用活性炭喷洒和吸附方式能去除烟气中的二噁英。使其排放质量浓度≤0.1ngTE/m³，二噁英化合物及重金属去除率达95%以上，该装置由活性炭储存罐，摆线减速机自动添加机构等组成，用量每小时1-2KG，装有活性炭添加平台，更换迅速方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旁通阀</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规格Φ500、气动控制、启闭迅速、零泄漏、布袋超温自动转换，优质钢材制作耐温无卡阻。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布袋除尘器</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用先进技术自主生产加工的布袋除尘器由上箱体、支架、风室、安全护栏、检修人孔，龙骨、覆膜高温滤袋、收尘器、电磁脉冲、清灰装置、清灰程控箱组成。设计结构新颖。除尘效率99%，过滤面积180㎡，清灰压力4kg/cm2，过滤流速≤1.2m/s，L2500×W3800×6600，采用优质碳钢材质制作，箱体经保温防结雾处理，表面温度略高室温，配装不锈钢进口气动阀和旁路管道，以便应急备用。耐温耐酸碱性能优良，数量180条，Φ133×2250，使用寿命达二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变频引风机</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功率30KW，变频器控制调节负压，灵敏度高，空炉负压-300Pa以上，运转平稳，有减震装置和清灰门。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排放引射</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高度在8米以上，优质钢材制作，检测口高3米，工作时引射口远近都看不见烟气。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螺杆空压机</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选用知名品牌螺杆空压机，全自动控制，一天只需开关一次，噪音小，运行平稳、自动报警、功率11-18.5KW、气压0.7-0.8MPa。流量2.6--3.2m³/h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储气罐</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容积1m³，承压1MPa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油水分离器</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油水分离器为立式能把压缩空气中的水分和油自动分离而使压缩空气净化保护布袋。流量2.6-3.2m³/h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干燥机</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风冷式干燥机，功率1.1KW，流量2.6-3.2m³/h,通过风冷再次把压缩空气中的水分烘干保证布袋干燥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自动化电器控制</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1、具有与火化机一体化操作功能；</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2、触摸显示屏选用知名品牌10寸真彩，PLC功能模块选用知名品牌进行程序控制，故障自动诊断报警，触摸屏显示运行参数；</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3、低压电器元件选用知名品牌产品，经久耐用，故障率非常低；</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4、电脑操控有自动、手动控制方式，可随时切换。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总功率</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小于或等于35KW。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使用寿命</w:t>
            </w:r>
          </w:p>
        </w:tc>
        <w:tc>
          <w:tcPr>
            <w:tcW w:w="7354" w:type="dxa"/>
            <w:gridSpan w:val="2"/>
            <w:tcBorders>
              <w:top w:val="single" w:color="000000" w:sz="4" w:space="0"/>
              <w:left w:val="single" w:color="000000" w:sz="4" w:space="0"/>
              <w:bottom w:val="single" w:color="000000" w:sz="4" w:space="0"/>
              <w:right w:val="single" w:color="000000" w:sz="4" w:space="0"/>
            </w:tcBorders>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正常使用寿命10年。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土建施工</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通风管道挖槽，深2米宽1.5米长约10米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混凝土浇灌</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浇灌通风管道大约30立方米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047"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6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210"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防火棉</w:t>
            </w:r>
          </w:p>
        </w:tc>
        <w:tc>
          <w:tcPr>
            <w:tcW w:w="735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需在通风管道两侧填放防火棉</w:t>
            </w:r>
          </w:p>
        </w:tc>
      </w:tr>
    </w:tbl>
    <w:p>
      <w:pPr>
        <w:pStyle w:val="2"/>
        <w:spacing w:line="240" w:lineRule="auto"/>
        <w:rPr>
          <w:rFonts w:hint="eastAsia" w:asciiTheme="minorEastAsia" w:hAnsiTheme="minorEastAsia" w:eastAsiaTheme="minorEastAsia" w:cstheme="minorEastAsia"/>
          <w:color w:val="auto"/>
          <w:sz w:val="21"/>
          <w:szCs w:val="21"/>
        </w:rPr>
      </w:pPr>
    </w:p>
    <w:p>
      <w:pPr>
        <w:pStyle w:val="2"/>
        <w:spacing w:line="24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遗体存放室设备技术参数及要求</w:t>
      </w:r>
    </w:p>
    <w:tbl>
      <w:tblPr>
        <w:tblStyle w:val="27"/>
        <w:tblpPr w:leftFromText="180" w:rightFromText="180" w:vertAnchor="text" w:horzAnchor="page" w:tblpX="758" w:tblpY="447"/>
        <w:tblOverlap w:val="never"/>
        <w:tblW w:w="101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735"/>
        <w:gridCol w:w="1245"/>
        <w:gridCol w:w="7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11" w:type="dxa"/>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设备名称</w:t>
            </w:r>
          </w:p>
        </w:tc>
        <w:tc>
          <w:tcPr>
            <w:tcW w:w="9375" w:type="dxa"/>
            <w:gridSpan w:val="3"/>
            <w:tcBorders>
              <w:top w:val="single" w:color="000000" w:sz="4" w:space="0"/>
              <w:left w:val="single" w:color="000000" w:sz="4" w:space="0"/>
              <w:bottom w:val="single" w:color="000000" w:sz="4" w:space="0"/>
              <w:right w:val="single" w:color="000000" w:sz="4" w:space="0"/>
            </w:tcBorders>
            <w:shd w:val="clear" w:color="auto" w:fill="E6E6E6"/>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太</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柜</w:t>
            </w:r>
          </w:p>
        </w:tc>
        <w:tc>
          <w:tcPr>
            <w:tcW w:w="735" w:type="dxa"/>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245" w:type="dxa"/>
            <w:tcBorders>
              <w:top w:val="single" w:color="000000" w:sz="4" w:space="0"/>
              <w:left w:val="single" w:color="000000" w:sz="4" w:space="0"/>
              <w:bottom w:val="single" w:color="000000" w:sz="4" w:space="0"/>
              <w:right w:val="single" w:color="000000" w:sz="4" w:space="0"/>
            </w:tcBorders>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项目内容</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外部尺寸（长*宽*高）mm：2871*940*1853</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内部尺寸（长*宽*高）mm：2000*740*1590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外墙</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304不锈钢，厚度0.7mm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内胆</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经氧化处理冰柜专用轧花铝板，厚度0.6mm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门洞</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640*440（mm）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柜门</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凸装门</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外表面材料：304无指纹板，厚度0.8mm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内部材料：PS板一次吸塑成型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框架</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不绣钢方管，规格25*25*0.7（mm）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外形尺寸（长*宽）mm:1970*625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材料：不锈钢管，规格25*25*0.7（mm）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不锈钢板，厚度0.7mm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助力导轮</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工业耐磨尼龙，规格φ30*30（mm）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制冷方式</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蒸发器</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直冷内藏式紫铜盘管蒸发器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冷凝器</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风冷式翅片紫铜盘管冷凝器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保温层</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聚氨酯整体高压回温发泡，密度50Kg/m3，</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额定温度</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电源</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输入功率</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1154W（首次运行2308W）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机组形式</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全封闭进口压缩机4台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制冷剂</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无氟绿色环保制冷剂R404a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温度控制</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微电脑全自动控制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双系统报警功能</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双系统功能。首次通电，两系统在正常延时后同时工作；首次运行（开机和停机）后，两系统交替工作；当一系统故障，立即报警，并自动跳入另一系统正常运行；根据环境温度变化实现三种模式自动运行。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基脚架</w:t>
            </w:r>
          </w:p>
        </w:tc>
        <w:tc>
          <w:tcPr>
            <w:tcW w:w="739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槽钢，外表面镀锌处理，规格63*40（mm）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液压升降车</w:t>
            </w:r>
          </w:p>
        </w:tc>
        <w:tc>
          <w:tcPr>
            <w:tcW w:w="9375"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升降车均使用不锈钢型材管制作，承载部分的尺寸为2000*630（㎜），升起高度1350㎜，折叠状态下的高度（最低位置起升重量≥150㎏）为500㎜。电动升降车总长2500㎜；手动升降车包括脚踏2200㎜。总宽为680㎜，（注：根据液压升降系统的不同，长度会变动。）</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升降部分采用50*25*1.3㎜方管制作，最上架安装滚动拉杆，进出抬尸板轻松自如。</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3L液压升降系统，H3G液压缸，缸体外径50㎜，伸缩杆直径Φ35㎜，行程400㎜。</w:t>
            </w:r>
          </w:p>
        </w:tc>
      </w:tr>
    </w:tbl>
    <w:p>
      <w:pPr>
        <w:pStyle w:val="2"/>
        <w:spacing w:line="240" w:lineRule="auto"/>
        <w:jc w:val="center"/>
        <w:rPr>
          <w:rFonts w:hint="eastAsia" w:asciiTheme="minorEastAsia" w:hAnsiTheme="minorEastAsia" w:eastAsiaTheme="minorEastAsia" w:cstheme="minorEastAsia"/>
          <w:color w:val="auto"/>
          <w:sz w:val="21"/>
          <w:szCs w:val="21"/>
        </w:rPr>
      </w:pPr>
    </w:p>
    <w:p>
      <w:pPr>
        <w:pStyle w:val="2"/>
        <w:spacing w:line="24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悼念厅设备技术参数及要求</w:t>
      </w:r>
    </w:p>
    <w:tbl>
      <w:tblPr>
        <w:tblStyle w:val="27"/>
        <w:tblpPr w:leftFromText="180" w:rightFromText="180" w:vertAnchor="text" w:horzAnchor="page" w:tblpX="629" w:tblpY="447"/>
        <w:tblOverlap w:val="never"/>
        <w:tblW w:w="102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555"/>
        <w:gridCol w:w="1391"/>
        <w:gridCol w:w="6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515" w:type="dxa"/>
            <w:tcBorders>
              <w:top w:val="single" w:color="000000" w:sz="4" w:space="0"/>
              <w:left w:val="single" w:color="000000" w:sz="4" w:space="0"/>
              <w:bottom w:val="single" w:color="000000" w:sz="4" w:space="0"/>
              <w:right w:val="single" w:color="000000" w:sz="4" w:space="0"/>
            </w:tcBorders>
            <w:shd w:val="clear" w:color="auto" w:fill="DBEEF3"/>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设备名称</w:t>
            </w:r>
          </w:p>
        </w:tc>
        <w:tc>
          <w:tcPr>
            <w:tcW w:w="8700" w:type="dxa"/>
            <w:gridSpan w:val="3"/>
            <w:tcBorders>
              <w:top w:val="single" w:color="000000" w:sz="4" w:space="0"/>
              <w:left w:val="single" w:color="000000" w:sz="4" w:space="0"/>
              <w:bottom w:val="single" w:color="000000" w:sz="4" w:space="0"/>
              <w:right w:val="single" w:color="000000" w:sz="4" w:space="0"/>
            </w:tcBorders>
            <w:shd w:val="clear" w:color="auto" w:fill="DBEEF3"/>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型</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豪</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华</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瞻</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仰</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外形尺寸（长*宽*高）mm：5300*4200*1140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棺体</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外部尺寸（长*宽*高）mm：2300*1000*1140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内部尺寸（长*宽*高）mm：2100*800*375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外部材料：钛金板，厚度0.8mm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内部材料：经氧化处理冰柜专用轧花铝板，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厚度0.6mm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棺罩</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外形尺寸（长*宽*高）mm：2300*1000*390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顶部材料：PC透明板一次吸塑成型双层罩，</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厚度4mm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其它材料：钛金板，厚度0.9mm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不锈钢管，规格80*20*1.2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开罩方式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台布</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单层高度：176mm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表面材料：钛金板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内部骨架：不锈钢管，规格25*25*0.7</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前台布开启方式：自动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w:t>
            </w:r>
            <w:r>
              <w:rPr>
                <w:rFonts w:hint="eastAsia" w:asciiTheme="minorEastAsia" w:hAnsiTheme="minorEastAsia" w:eastAsiaTheme="minorEastAsia" w:cstheme="minorEastAsia"/>
                <w:color w:val="auto"/>
                <w:sz w:val="21"/>
                <w:szCs w:val="21"/>
              </w:rPr>
              <w:t>围栏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材料：钛金中华柱、亚克力喷画，实现柱体发光。</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注：</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须</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提供</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中华柱体发光</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外形尺寸（长*宽）mm:1970*625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材料：不锈钢管，规格25*25*0.7（mm）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不锈钢板，厚度0.7mm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托板架</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材料：不锈钢管，规格30*15*1.5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托板架升降与棺罩同步开启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助力导轮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材质：铝质，规格φ30*30（mm）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蒸发器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直冷内藏式紫铜盘管蒸发器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冷凝器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风冷式翅片紫铜盘管冷凝器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保温层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聚氨酯整体高压回温发泡，密度50Kg/m3，</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额定温度</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电源</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输入功率</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1292W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机组形式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全封闭进口压缩机2台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无氟绿色环保制冷剂R404a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温度控制</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微电脑全自动控制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双系统运行，同开同停；台布开关与棺罩升降遥控控制；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型</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豪</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华</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瞻</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仰</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产品项目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外形尺寸（长*宽*高）mm：4200*3500*1140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棺体</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外部尺寸（长*宽*高）mm：2300*1000*1140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内部尺寸（长*宽*高）mm：2100*800*375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外部材料：钛金板，厚度0.8mm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内部材料：经氧化处理冰柜专用轧花铝板，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厚度0.6mm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棺罩</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外形尺寸（长*宽*高）mm：2300*1000*390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顶部材料：PC透明板一次吸塑成型双层罩，</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厚度4mm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其它材料：钛金板，厚度0.9mm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不锈钢管，规格80*20*1.2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开罩方式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台布</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单层高度：176mm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表面材料：钛金板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内部骨架：不锈钢管，规格25*25*0.7</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前台布开启方式：自动/手动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围栏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材料：钛金中华柱、亚克力喷画，实现柱体发光。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外形尺寸（长*宽）mm:1970*625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材料：不锈钢管，规格25*25*0.7（mm）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不锈钢板，厚度0.7mm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托板架</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材料：不锈钢管，规格30*15*1.5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托板架升降与棺罩同步开启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助力导轮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材质：铝质，规格φ30*30（mm）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蒸发器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直冷内藏式紫铜盘管蒸发器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冷凝器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风冷式翅片紫铜盘管冷凝器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保温层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聚氨酯整体高压回温发泡，密度50Kg/m3</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rPr>
              <w:t>，</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额定温度</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电源</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输入功率</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1292W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机组形式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全封闭进口压缩机2台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无氟绿色环保制冷剂R404a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温度控制</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微电脑全自动控制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双系统运行，同开同停；台布开关与棺罩升降遥控控制；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普</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型</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瞻</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仰</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w:t>
            </w: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产品项目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外形尺寸（长*宽*高）mm：4200*3500*1140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棺体</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外部尺寸（长*宽*高）mm：2300*1000*1140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内部尺寸（长*宽*高）mm：2100*800*375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外部材料：不锈钢板，厚度0.8mm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内部材料：经氧化处理冰柜专用轧花铝板，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厚度0.6mm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棺罩</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外形尺寸（长*宽*高）mm：2300*1000*390</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顶部材料：PC透明板一次吸塑成型双层罩，</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厚度4mm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其它材料：不锈钢板，厚度0.9mm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不锈钢管，规格80*20*1.2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开罩方式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手动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台布</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单层高度：176mm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表面材料：不锈钢板</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内部骨架：不锈钢管，规格25*25*0.7</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前台布开启方式：手动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围栏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组合式不锈钢圆管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托板</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外形尺寸（长*宽）mm:1970*625</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材料：不锈钢管，规格25*25*0.7（mm）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不锈钢板，厚度0.7mm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助力导轮</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工业耐磨尼龙，规格φ30*30（mm）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制冷方式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蒸发器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直冷内藏式紫铜盘管蒸发器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冷凝器</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风冷式翅片紫铜盘管冷凝器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保温层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聚氨酯整体高压回温发泡，密度50Kg/m3，</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厚度100mm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额定温度</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电源</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输入功率</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1292W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机组形式</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全封闭进口压缩机2台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制冷剂</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无氟绿色环保制冷剂R404a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温度控制</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微电脑全自动控制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w:t>
            </w:r>
          </w:p>
        </w:tc>
        <w:tc>
          <w:tcPr>
            <w:tcW w:w="6754"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双系统，同开同停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51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水晶棺</w:t>
            </w:r>
          </w:p>
        </w:tc>
        <w:tc>
          <w:tcPr>
            <w:tcW w:w="870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外壳采用不锈钢板精制而成（常规产品为镀锌板）制冷效果好，温度均匀,</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外形尺寸；L2240*W930*H930外部材料：不锈钢板，厚度0.8mm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内部材料：经氧化处理冰柜专用轧花铝板，厚度0.8mm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51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跪垫</w:t>
            </w:r>
          </w:p>
        </w:tc>
        <w:tc>
          <w:tcPr>
            <w:tcW w:w="870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51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供桌</w:t>
            </w:r>
          </w:p>
        </w:tc>
        <w:tc>
          <w:tcPr>
            <w:tcW w:w="870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材质：优质不锈钢</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规格：850×360×650mm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1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p>
        </w:tc>
        <w:tc>
          <w:tcPr>
            <w:tcW w:w="870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材质：优质不锈钢</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规格：L2000×W660×H975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15" w:type="dxa"/>
            <w:tcBorders>
              <w:top w:val="single" w:color="000000" w:sz="4" w:space="0"/>
              <w:left w:val="single" w:color="000000" w:sz="4" w:space="0"/>
              <w:bottom w:val="single" w:color="000000" w:sz="4" w:space="0"/>
              <w:right w:val="single" w:color="000000" w:sz="4" w:space="0"/>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p>
        </w:tc>
        <w:tc>
          <w:tcPr>
            <w:tcW w:w="870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材质：优质不锈钢</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规格：L2600×W800×H800</w:t>
            </w:r>
          </w:p>
        </w:tc>
      </w:tr>
    </w:tbl>
    <w:tbl>
      <w:tblPr>
        <w:tblStyle w:val="27"/>
        <w:tblpPr w:leftFromText="180" w:rightFromText="180" w:vertAnchor="page" w:horzAnchor="page" w:tblpX="571" w:tblpY="2031"/>
        <w:tblW w:w="102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634"/>
        <w:gridCol w:w="2434"/>
        <w:gridCol w:w="1754"/>
        <w:gridCol w:w="1446"/>
        <w:gridCol w:w="2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规格</w:t>
            </w:r>
          </w:p>
        </w:tc>
        <w:tc>
          <w:tcPr>
            <w:tcW w:w="8630" w:type="dxa"/>
            <w:gridSpan w:val="4"/>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单穴外径尺寸：宽400*高300*深300mm    单穴内径尺寸：宽370*高270*深300mm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597" w:type="dxa"/>
            <w:gridSpan w:val="2"/>
            <w:vMerge w:val="restart"/>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箱体</w:t>
            </w:r>
          </w:p>
          <w:p>
            <w:pPr>
              <w:pStyle w:val="2"/>
              <w:spacing w:line="240" w:lineRule="auto"/>
              <w:jc w:val="center"/>
              <w:rPr>
                <w:rFonts w:hint="eastAsia" w:asciiTheme="minorEastAsia" w:hAnsiTheme="minorEastAsia" w:eastAsiaTheme="minorEastAsia" w:cstheme="minorEastAsia"/>
                <w:color w:val="auto"/>
                <w:sz w:val="21"/>
                <w:szCs w:val="21"/>
              </w:rPr>
            </w:pPr>
          </w:p>
          <w:p>
            <w:pPr>
              <w:pStyle w:val="2"/>
              <w:spacing w:line="240" w:lineRule="auto"/>
              <w:jc w:val="center"/>
              <w:rPr>
                <w:rFonts w:hint="eastAsia" w:asciiTheme="minorEastAsia" w:hAnsiTheme="minorEastAsia" w:eastAsiaTheme="minorEastAsia" w:cstheme="minorEastAsia"/>
                <w:color w:val="auto"/>
                <w:sz w:val="21"/>
                <w:szCs w:val="21"/>
              </w:rPr>
            </w:pPr>
          </w:p>
        </w:tc>
        <w:tc>
          <w:tcPr>
            <w:tcW w:w="4188" w:type="dxa"/>
            <w:gridSpan w:val="2"/>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立板成型总厚度15mm</w:t>
            </w:r>
          </w:p>
        </w:tc>
        <w:tc>
          <w:tcPr>
            <w:tcW w:w="4442" w:type="dxa"/>
            <w:gridSpan w:val="2"/>
            <w:vMerge w:val="restart"/>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采用优质冷轧镀锌板，板材厚度为0.6mm，</w:t>
            </w:r>
          </w:p>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表面静电粉沫喷涂，颜色为金黄色，50年不生锈不变形。箱体内压印“福”“寿”图案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597" w:type="dxa"/>
            <w:gridSpan w:val="2"/>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4188" w:type="dxa"/>
            <w:gridSpan w:val="2"/>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承重板成型总厚度30mm</w:t>
            </w:r>
          </w:p>
        </w:tc>
        <w:tc>
          <w:tcPr>
            <w:tcW w:w="4442" w:type="dxa"/>
            <w:gridSpan w:val="2"/>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227" w:type="dxa"/>
            <w:gridSpan w:val="6"/>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门板结构及用材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227" w:type="dxa"/>
            <w:gridSpan w:val="6"/>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门板开门方式：采用下翻门方式，便于供奉供品。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597" w:type="dxa"/>
            <w:gridSpan w:val="2"/>
            <w:vMerge w:val="restart"/>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面板</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门面板采用国标纯铝板厚0.8mm一体压印成型，成型总厚度为18mm.</w:t>
            </w:r>
          </w:p>
        </w:tc>
        <w:tc>
          <w:tcPr>
            <w:tcW w:w="3200" w:type="dxa"/>
            <w:gridSpan w:val="2"/>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门面板为一体压印浮雕图案，四周采用专用连接装置，防止人员碰伤及划伤</w:t>
            </w:r>
          </w:p>
        </w:tc>
        <w:tc>
          <w:tcPr>
            <w:tcW w:w="2996" w:type="dxa"/>
            <w:vMerge w:val="restart"/>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表面进行纳米喷镀泰国金色处理，增强了面板的抗划力和抗氧化力；抗拉力不小于220N/㎜²，50年内不褪色不变形。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597" w:type="dxa"/>
            <w:gridSpan w:val="2"/>
            <w:vMerge w:val="continue"/>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门背板采用优质冷轧镀锌板厚0.6mm</w:t>
            </w:r>
          </w:p>
        </w:tc>
        <w:tc>
          <w:tcPr>
            <w:tcW w:w="3200" w:type="dxa"/>
            <w:gridSpan w:val="2"/>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背板四周采用专用卡扣装置，整体不使用螺丝和铆钉固定</w:t>
            </w:r>
          </w:p>
        </w:tc>
        <w:tc>
          <w:tcPr>
            <w:tcW w:w="2996" w:type="dxa"/>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 盖</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高60mm厚0.8mm</w:t>
            </w:r>
          </w:p>
        </w:tc>
        <w:tc>
          <w:tcPr>
            <w:tcW w:w="3200" w:type="dxa"/>
            <w:gridSpan w:val="2"/>
            <w:vMerge w:val="restart"/>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国标6063铝合金</w:t>
            </w:r>
          </w:p>
        </w:tc>
        <w:tc>
          <w:tcPr>
            <w:tcW w:w="2996" w:type="dxa"/>
            <w:vMerge w:val="restart"/>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表面抛光、阳极氧化金砂处理，型材表面增强了抗划力和抗氧化力、抗拉力不小于220N/㎜²．50年内不褪色不变形。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底 座</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高120mm厚1.0mm</w:t>
            </w:r>
          </w:p>
        </w:tc>
        <w:tc>
          <w:tcPr>
            <w:tcW w:w="3200" w:type="dxa"/>
            <w:gridSpan w:val="2"/>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2996" w:type="dxa"/>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侧板立柱</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厚1.0mm</w:t>
            </w:r>
          </w:p>
        </w:tc>
        <w:tc>
          <w:tcPr>
            <w:tcW w:w="3200" w:type="dxa"/>
            <w:gridSpan w:val="2"/>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c>
          <w:tcPr>
            <w:tcW w:w="2996" w:type="dxa"/>
            <w:vMerge w:val="continue"/>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侧面板</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优质铝塑板</w:t>
            </w:r>
          </w:p>
        </w:tc>
        <w:tc>
          <w:tcPr>
            <w:tcW w:w="3200" w:type="dxa"/>
            <w:gridSpan w:val="2"/>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厚3.8mm</w:t>
            </w:r>
          </w:p>
        </w:tc>
        <w:tc>
          <w:tcPr>
            <w:tcW w:w="2996" w:type="dxa"/>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表面打印立体浮雕彩印图案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拉 杆</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304不锈钢折叠拉杆</w:t>
            </w:r>
          </w:p>
        </w:tc>
        <w:tc>
          <w:tcPr>
            <w:tcW w:w="6196" w:type="dxa"/>
            <w:gridSpan w:val="3"/>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耐用性好，50年内不褪色不变形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锁具</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钢铜材质</w:t>
            </w:r>
          </w:p>
        </w:tc>
        <w:tc>
          <w:tcPr>
            <w:tcW w:w="6196" w:type="dxa"/>
            <w:gridSpan w:val="3"/>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优质子母锁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门轴</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采用黄铜材质</w:t>
            </w:r>
          </w:p>
        </w:tc>
        <w:tc>
          <w:tcPr>
            <w:tcW w:w="6196" w:type="dxa"/>
            <w:gridSpan w:val="3"/>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内部带弹力销安装方便，美观耐用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顶、底</w:t>
            </w:r>
          </w:p>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连接装置</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ABS材质</w:t>
            </w:r>
          </w:p>
        </w:tc>
        <w:tc>
          <w:tcPr>
            <w:tcW w:w="6196" w:type="dxa"/>
            <w:gridSpan w:val="3"/>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专用连接装置，避免人员的碰撞及刮伤，既美观又安全。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97" w:type="dxa"/>
            <w:gridSpan w:val="2"/>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编号牌</w:t>
            </w:r>
          </w:p>
        </w:tc>
        <w:tc>
          <w:tcPr>
            <w:tcW w:w="2434" w:type="dxa"/>
            <w:tcBorders>
              <w:tl2br w:val="nil"/>
              <w:tr2bl w:val="nil"/>
            </w:tcBorders>
            <w:vAlign w:val="center"/>
          </w:tcPr>
          <w:p>
            <w:pPr>
              <w:pStyle w:val="2"/>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优质铝塑板</w:t>
            </w:r>
          </w:p>
        </w:tc>
        <w:tc>
          <w:tcPr>
            <w:tcW w:w="6196" w:type="dxa"/>
            <w:gridSpan w:val="3"/>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金底红字,方便查找，能遮住锁孔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963" w:type="dxa"/>
            <w:tcBorders>
              <w:tl2br w:val="nil"/>
              <w:tr2bl w:val="nil"/>
            </w:tcBorders>
            <w:vAlign w:val="center"/>
          </w:tcPr>
          <w:p>
            <w:pPr>
              <w:pStyle w:val="2"/>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结构</w:t>
            </w:r>
          </w:p>
        </w:tc>
        <w:tc>
          <w:tcPr>
            <w:tcW w:w="9264" w:type="dxa"/>
            <w:gridSpan w:val="5"/>
            <w:tcBorders>
              <w:tl2br w:val="nil"/>
              <w:tr2bl w:val="nil"/>
            </w:tcBorders>
            <w:vAlign w:val="center"/>
          </w:tcPr>
          <w:p>
            <w:pPr>
              <w:pStyle w:val="2"/>
              <w:spacing w:line="240" w:lineRule="auto"/>
              <w:rPr>
                <w:rFonts w:hint="default" w:asciiTheme="minorEastAsia" w:hAnsiTheme="minorEastAsia" w:eastAsiaTheme="minorEastAsia" w:cstheme="minorEastAsia"/>
                <w:color w:val="auto"/>
                <w:sz w:val="21"/>
                <w:szCs w:val="21"/>
                <w:lang w:val="en-US"/>
              </w:rPr>
            </w:pPr>
            <w:r>
              <w:rPr>
                <w:rFonts w:hint="default" w:asciiTheme="minorEastAsia" w:hAnsiTheme="minorEastAsia" w:eastAsiaTheme="minorEastAsia" w:cstheme="minorEastAsia"/>
                <w:color w:val="auto"/>
                <w:sz w:val="21"/>
                <w:szCs w:val="21"/>
                <w:lang w:val="en-US"/>
              </w:rPr>
              <w:t>1、顶底铝合金及门板的拼装采用专用连接件连接，既美观又避免人员的碰撞刮伤。</w:t>
            </w:r>
          </w:p>
          <w:p>
            <w:pPr>
              <w:pStyle w:val="2"/>
              <w:spacing w:line="240" w:lineRule="auto"/>
              <w:rPr>
                <w:rFonts w:hint="default" w:asciiTheme="minorEastAsia" w:hAnsiTheme="minorEastAsia" w:eastAsiaTheme="minorEastAsia" w:cstheme="minorEastAsia"/>
                <w:color w:val="auto"/>
                <w:sz w:val="21"/>
                <w:szCs w:val="21"/>
                <w:lang w:val="en-US"/>
              </w:rPr>
            </w:pPr>
            <w:r>
              <w:rPr>
                <w:rFonts w:hint="default" w:asciiTheme="minorEastAsia" w:hAnsiTheme="minorEastAsia" w:eastAsiaTheme="minorEastAsia" w:cstheme="minorEastAsia"/>
                <w:color w:val="auto"/>
                <w:sz w:val="21"/>
                <w:szCs w:val="21"/>
                <w:lang w:val="en-US"/>
              </w:rPr>
              <w:t>2、产品结构形式：整体组合式，不接受积木式和插接式。</w:t>
            </w:r>
          </w:p>
          <w:p>
            <w:pPr>
              <w:pStyle w:val="2"/>
              <w:spacing w:line="240" w:lineRule="auto"/>
              <w:rPr>
                <w:rFonts w:hint="default" w:asciiTheme="minorEastAsia" w:hAnsiTheme="minorEastAsia" w:eastAsiaTheme="minorEastAsia" w:cstheme="minorEastAsia"/>
                <w:color w:val="auto"/>
                <w:sz w:val="21"/>
                <w:szCs w:val="21"/>
                <w:lang w:val="en-US"/>
              </w:rPr>
            </w:pPr>
            <w:r>
              <w:rPr>
                <w:rFonts w:hint="default" w:asciiTheme="minorEastAsia" w:hAnsiTheme="minorEastAsia" w:eastAsiaTheme="minorEastAsia" w:cstheme="minorEastAsia"/>
                <w:color w:val="auto"/>
                <w:sz w:val="21"/>
                <w:szCs w:val="21"/>
                <w:lang w:val="en-US"/>
              </w:rPr>
              <w:t>3、外观：门板与骨灰存放架箱体整体横平竖直，美观大方。</w:t>
            </w:r>
          </w:p>
          <w:p>
            <w:pPr>
              <w:pStyle w:val="2"/>
              <w:spacing w:line="240" w:lineRule="auto"/>
              <w:rPr>
                <w:rFonts w:hint="default" w:asciiTheme="minorEastAsia" w:hAnsiTheme="minorEastAsia" w:eastAsiaTheme="minorEastAsia" w:cstheme="minorEastAsia"/>
                <w:color w:val="auto"/>
                <w:sz w:val="21"/>
                <w:szCs w:val="21"/>
                <w:lang w:val="en-US"/>
              </w:rPr>
            </w:pPr>
            <w:r>
              <w:rPr>
                <w:rFonts w:hint="default" w:asciiTheme="minorEastAsia" w:hAnsiTheme="minorEastAsia" w:eastAsiaTheme="minorEastAsia" w:cstheme="minorEastAsia"/>
                <w:color w:val="auto"/>
                <w:sz w:val="21"/>
                <w:szCs w:val="21"/>
                <w:lang w:val="en-US"/>
              </w:rPr>
              <w:t>4、箱体承重能力：每个穴位能承重100公斤以上。</w:t>
            </w:r>
          </w:p>
        </w:tc>
      </w:tr>
    </w:tbl>
    <w:p>
      <w:pPr>
        <w:pStyle w:val="2"/>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骨灰炉</w:t>
      </w:r>
      <w:r>
        <w:rPr>
          <w:rFonts w:hint="eastAsia" w:asciiTheme="minorEastAsia" w:hAnsiTheme="minorEastAsia" w:eastAsiaTheme="minorEastAsia" w:cstheme="minorEastAsia"/>
          <w:b/>
          <w:bCs/>
          <w:color w:val="auto"/>
          <w:sz w:val="24"/>
          <w:szCs w:val="24"/>
        </w:rPr>
        <w:t>骨灰存放架设备技术参数</w:t>
      </w:r>
    </w:p>
    <w:p>
      <w:pPr>
        <w:spacing w:line="240" w:lineRule="auto"/>
        <w:rPr>
          <w:rFonts w:hint="eastAsia" w:asciiTheme="minorEastAsia" w:hAnsiTheme="minorEastAsia" w:eastAsiaTheme="minorEastAsia" w:cstheme="minorEastAsia"/>
          <w:b/>
          <w:bCs/>
          <w:color w:val="auto"/>
          <w:sz w:val="21"/>
          <w:szCs w:val="21"/>
        </w:rPr>
      </w:pPr>
      <w:bookmarkStart w:id="20" w:name="_Toc20924_WPSOffice_Level1"/>
      <w:bookmarkStart w:id="21" w:name="_Toc497408661"/>
      <w:bookmarkStart w:id="22" w:name="_Toc494546014"/>
      <w:r>
        <w:rPr>
          <w:rFonts w:hint="eastAsia" w:asciiTheme="minorEastAsia" w:hAnsiTheme="minorEastAsia" w:eastAsiaTheme="minorEastAsia" w:cstheme="minorEastAsia"/>
          <w:b/>
          <w:bCs/>
          <w:color w:val="auto"/>
          <w:sz w:val="21"/>
          <w:szCs w:val="21"/>
        </w:rPr>
        <w:t>注：1.以上凡涉及到品牌的则仅供参考，投标人可投不低于参考品牌的其他品牌产品。</w:t>
      </w:r>
    </w:p>
    <w:p>
      <w:pPr>
        <w:widowControl/>
        <w:jc w:val="both"/>
        <w:rPr>
          <w:rFonts w:hint="eastAsia" w:ascii="宋体" w:hAnsi="宋体"/>
          <w:b/>
          <w:bCs/>
          <w:color w:val="auto"/>
          <w:kern w:val="44"/>
          <w:sz w:val="24"/>
          <w:szCs w:val="24"/>
          <w:lang w:val="zh-CN"/>
        </w:rPr>
      </w:pPr>
    </w:p>
    <w:p>
      <w:pPr>
        <w:widowControl/>
        <w:jc w:val="center"/>
        <w:rPr>
          <w:rFonts w:hint="eastAsia" w:ascii="宋体" w:hAnsi="宋体"/>
          <w:b/>
          <w:bCs/>
          <w:color w:val="auto"/>
          <w:kern w:val="44"/>
          <w:sz w:val="24"/>
          <w:szCs w:val="24"/>
          <w:lang w:val="zh-CN"/>
        </w:rPr>
      </w:pPr>
    </w:p>
    <w:p>
      <w:pPr>
        <w:widowControl/>
        <w:jc w:val="center"/>
        <w:rPr>
          <w:rFonts w:hint="eastAsia" w:ascii="宋体" w:hAnsi="宋体"/>
          <w:b/>
          <w:bCs/>
          <w:color w:val="auto"/>
          <w:kern w:val="44"/>
          <w:sz w:val="24"/>
          <w:szCs w:val="24"/>
          <w:lang w:val="zh-CN"/>
        </w:rPr>
      </w:pPr>
    </w:p>
    <w:p>
      <w:pPr>
        <w:widowControl/>
        <w:jc w:val="both"/>
        <w:rPr>
          <w:rFonts w:hint="eastAsia" w:ascii="宋体" w:hAnsi="宋体"/>
          <w:b/>
          <w:bCs/>
          <w:color w:val="auto"/>
          <w:kern w:val="44"/>
          <w:sz w:val="24"/>
          <w:szCs w:val="24"/>
          <w:lang w:val="zh-CN"/>
        </w:rPr>
      </w:pPr>
    </w:p>
    <w:p>
      <w:pPr>
        <w:widowControl/>
        <w:jc w:val="center"/>
        <w:rPr>
          <w:rFonts w:hint="eastAsia" w:ascii="宋体" w:hAnsi="宋体"/>
          <w:b/>
          <w:bCs/>
          <w:color w:val="auto"/>
          <w:kern w:val="44"/>
          <w:sz w:val="24"/>
          <w:szCs w:val="24"/>
          <w:lang w:val="zh-CN"/>
        </w:rPr>
      </w:pPr>
    </w:p>
    <w:p>
      <w:pPr>
        <w:widowControl/>
        <w:jc w:val="center"/>
        <w:rPr>
          <w:rFonts w:hint="eastAsia" w:ascii="宋体" w:hAnsi="宋体"/>
          <w:b/>
          <w:bCs/>
          <w:color w:val="auto"/>
          <w:kern w:val="44"/>
          <w:sz w:val="24"/>
          <w:szCs w:val="24"/>
          <w:lang w:val="zh-CN"/>
        </w:rPr>
      </w:pPr>
    </w:p>
    <w:p>
      <w:pPr>
        <w:widowControl/>
        <w:jc w:val="center"/>
        <w:rPr>
          <w:rFonts w:ascii="宋体" w:hAnsi="宋体"/>
          <w:b/>
          <w:bCs/>
          <w:color w:val="auto"/>
          <w:kern w:val="44"/>
          <w:sz w:val="24"/>
          <w:szCs w:val="24"/>
          <w:lang w:val="zh-CN"/>
        </w:rPr>
      </w:pPr>
      <w:r>
        <w:rPr>
          <w:rFonts w:hint="eastAsia" w:ascii="宋体" w:hAnsi="宋体"/>
          <w:b/>
          <w:bCs/>
          <w:color w:val="auto"/>
          <w:kern w:val="44"/>
          <w:sz w:val="24"/>
          <w:szCs w:val="24"/>
          <w:lang w:val="zh-CN"/>
        </w:rPr>
        <w:t>第五章投标人资格证明及相关文件要求</w:t>
      </w:r>
      <w:bookmarkEnd w:id="20"/>
      <w:bookmarkEnd w:id="21"/>
      <w:bookmarkEnd w:id="22"/>
    </w:p>
    <w:p>
      <w:pPr>
        <w:spacing w:line="360" w:lineRule="auto"/>
        <w:jc w:val="center"/>
        <w:rPr>
          <w:rFonts w:ascii="宋体" w:hAnsi="宋体"/>
          <w:b/>
          <w:bCs/>
          <w:color w:val="auto"/>
          <w:kern w:val="44"/>
          <w:sz w:val="24"/>
          <w:szCs w:val="24"/>
          <w:lang w:val="zh-CN"/>
        </w:rPr>
      </w:pPr>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投标人应提交证明其有资格参加投标和中标后有能力履行合同的文件，并作为其投标文件的一部分，所有文件</w:t>
      </w:r>
      <w:r>
        <w:rPr>
          <w:rFonts w:hint="eastAsia" w:ascii="宋体" w:hAnsi="宋体" w:cs="宋体"/>
          <w:color w:val="auto"/>
          <w:sz w:val="24"/>
          <w:szCs w:val="24"/>
        </w:rPr>
        <w:t>必须真实可靠、不得伪造，否则将按相关规定予以处罚。资质证明文件及其它文件</w:t>
      </w:r>
      <w:r>
        <w:rPr>
          <w:rFonts w:hint="eastAsia" w:ascii="宋体" w:hAnsi="宋体" w:cs="宋体"/>
          <w:color w:val="auto"/>
          <w:kern w:val="0"/>
          <w:sz w:val="24"/>
          <w:szCs w:val="24"/>
        </w:rPr>
        <w:t>应包括：</w:t>
      </w:r>
    </w:p>
    <w:p>
      <w:pPr>
        <w:spacing w:line="360" w:lineRule="auto"/>
        <w:rPr>
          <w:rFonts w:ascii="宋体" w:hAnsi="宋体" w:cs="宋体"/>
          <w:color w:val="auto"/>
          <w:sz w:val="24"/>
          <w:szCs w:val="24"/>
        </w:rPr>
      </w:pPr>
      <w:r>
        <w:rPr>
          <w:rFonts w:hint="eastAsia" w:ascii="宋体" w:hAnsi="宋体" w:cs="宋体"/>
          <w:b/>
          <w:color w:val="auto"/>
          <w:sz w:val="24"/>
          <w:szCs w:val="24"/>
        </w:rPr>
        <w:t>一.投标人的资格性证明文件</w:t>
      </w:r>
    </w:p>
    <w:p>
      <w:pPr>
        <w:spacing w:line="360" w:lineRule="auto"/>
        <w:ind w:firstLine="482" w:firstLineChars="201"/>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 xml:space="preserve"> 法人营业执照副本（三证合一）；</w:t>
      </w:r>
    </w:p>
    <w:p>
      <w:pPr>
        <w:spacing w:line="360" w:lineRule="auto"/>
        <w:ind w:firstLine="482" w:firstLineChars="201"/>
        <w:rPr>
          <w:rFonts w:hAnsi="宋体"/>
          <w:color w:val="auto"/>
          <w:sz w:val="24"/>
          <w:szCs w:val="24"/>
        </w:rPr>
      </w:pPr>
      <w:r>
        <w:rPr>
          <w:rFonts w:hAnsi="宋体"/>
          <w:color w:val="auto"/>
          <w:sz w:val="24"/>
          <w:szCs w:val="24"/>
        </w:rPr>
        <w:t>2</w:t>
      </w:r>
      <w:r>
        <w:rPr>
          <w:rFonts w:hint="eastAsia" w:hAnsi="宋体"/>
          <w:color w:val="auto"/>
          <w:sz w:val="24"/>
          <w:szCs w:val="24"/>
        </w:rPr>
        <w:t>．委托代表投标时的法人代表授权书（开标时须提供原件）；</w:t>
      </w:r>
    </w:p>
    <w:p>
      <w:pPr>
        <w:spacing w:line="360" w:lineRule="auto"/>
        <w:ind w:firstLine="482" w:firstLineChars="201"/>
        <w:rPr>
          <w:rFonts w:ascii="宋体" w:hAnsi="宋体"/>
          <w:color w:val="auto"/>
          <w:sz w:val="24"/>
          <w:szCs w:val="24"/>
        </w:rPr>
      </w:pPr>
      <w:r>
        <w:rPr>
          <w:rFonts w:hint="eastAsia" w:ascii="宋体" w:hAnsi="宋体"/>
          <w:color w:val="auto"/>
          <w:sz w:val="24"/>
          <w:szCs w:val="24"/>
        </w:rPr>
        <w:t>3</w:t>
      </w:r>
      <w:r>
        <w:rPr>
          <w:rFonts w:hint="eastAsia" w:ascii="宋体" w:hAnsi="宋体" w:cs="宋体"/>
          <w:color w:val="auto"/>
          <w:sz w:val="24"/>
          <w:szCs w:val="24"/>
        </w:rPr>
        <w:t>．①供应商需提供由“征信中心网”（https://ipcrs.pbccrc.org.cn/）查询的信用报告；</w:t>
      </w:r>
      <w:r>
        <w:rPr>
          <w:rFonts w:hint="eastAsia" w:ascii="宋体" w:hAnsi="宋体"/>
          <w:color w:val="auto"/>
          <w:sz w:val="24"/>
          <w:szCs w:val="24"/>
        </w:rPr>
        <w:t>②供应商是企业或个体经营户的需带公司法人身份证及公司营业执照和公章去项目所在地或当地中国人民银行出具信用报告。</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4．投标人依法缴纳税收证明（以税务机关提供的纳税凭证或银行入账单为准）；</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5．投标人为企业员工缴纳社保资金的凭证（以社保机构出具的缴纳纪录凭证或银行入账单为准）；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color w:val="auto"/>
          <w:kern w:val="0"/>
          <w:sz w:val="24"/>
          <w:szCs w:val="24"/>
        </w:rPr>
      </w:pPr>
      <w:r>
        <w:rPr>
          <w:rFonts w:hint="eastAsia" w:ascii="宋体" w:hAnsi="宋体" w:cs="宋体"/>
          <w:color w:val="auto"/>
          <w:sz w:val="24"/>
          <w:szCs w:val="24"/>
        </w:rPr>
        <w:t>6．投标人参加政府采购前</w:t>
      </w:r>
      <w:r>
        <w:rPr>
          <w:rFonts w:hint="eastAsia" w:ascii="宋体" w:hAnsi="宋体" w:cs="宋体"/>
          <w:color w:val="auto"/>
          <w:kern w:val="0"/>
          <w:sz w:val="24"/>
          <w:szCs w:val="24"/>
        </w:rPr>
        <w:t>三年内在经营活动中没有重大违法记录书面声明；</w:t>
      </w:r>
    </w:p>
    <w:p>
      <w:pPr>
        <w:autoSpaceDE w:val="0"/>
        <w:autoSpaceDN w:val="0"/>
        <w:adjustRightInd w:val="0"/>
        <w:snapToGrid w:val="0"/>
        <w:spacing w:line="360" w:lineRule="auto"/>
        <w:ind w:right="32" w:firstLine="482" w:firstLineChars="201"/>
        <w:rPr>
          <w:rFonts w:ascii="宋体" w:hAnsi="宋体"/>
          <w:color w:val="auto"/>
          <w:sz w:val="24"/>
          <w:szCs w:val="24"/>
        </w:rPr>
      </w:pPr>
      <w:r>
        <w:rPr>
          <w:rFonts w:hint="eastAsia" w:ascii="宋体" w:hAnsi="宋体"/>
          <w:color w:val="auto"/>
          <w:sz w:val="24"/>
          <w:szCs w:val="24"/>
        </w:rPr>
        <w:t>7. 投标人须在投标文件中提供企业工商注册所在地或项目所在地信用管理中心出具的《信用信息查询结果》且在有效期范围内，办理步骤：详见第七章格式。</w:t>
      </w:r>
    </w:p>
    <w:p>
      <w:pPr>
        <w:autoSpaceDE w:val="0"/>
        <w:autoSpaceDN w:val="0"/>
        <w:adjustRightInd w:val="0"/>
        <w:snapToGrid w:val="0"/>
        <w:spacing w:line="360" w:lineRule="auto"/>
        <w:ind w:right="32" w:firstLine="482" w:firstLineChars="201"/>
        <w:rPr>
          <w:rFonts w:ascii="宋体" w:hAnsi="宋体" w:cs="宋体"/>
          <w:color w:val="auto"/>
          <w:kern w:val="0"/>
          <w:sz w:val="24"/>
          <w:szCs w:val="24"/>
        </w:rPr>
      </w:pPr>
      <w:r>
        <w:rPr>
          <w:rFonts w:hint="eastAsia" w:ascii="宋体" w:hAnsi="宋体" w:cs="宋体"/>
          <w:color w:val="auto"/>
          <w:kern w:val="0"/>
          <w:sz w:val="24"/>
          <w:szCs w:val="24"/>
        </w:rPr>
        <w:t>8.招标文件对投标人的其他资格要求。</w:t>
      </w:r>
    </w:p>
    <w:p>
      <w:pPr>
        <w:spacing w:line="360" w:lineRule="auto"/>
        <w:ind w:firstLine="482" w:firstLineChars="201"/>
        <w:rPr>
          <w:rFonts w:ascii="宋体" w:hAnsi="宋体"/>
          <w:color w:val="auto"/>
          <w:sz w:val="24"/>
          <w:szCs w:val="24"/>
        </w:rPr>
      </w:pPr>
      <w:r>
        <w:rPr>
          <w:rFonts w:hint="eastAsia" w:ascii="宋体" w:hAnsi="宋体"/>
          <w:color w:val="auto"/>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color w:val="auto"/>
          <w:sz w:val="24"/>
          <w:szCs w:val="24"/>
        </w:rPr>
      </w:pPr>
      <w:r>
        <w:rPr>
          <w:rFonts w:hint="eastAsia" w:ascii="宋体" w:hAnsi="宋体"/>
          <w:color w:val="auto"/>
          <w:sz w:val="24"/>
          <w:szCs w:val="24"/>
        </w:rPr>
        <w:t>二.</w:t>
      </w:r>
      <w:r>
        <w:rPr>
          <w:rFonts w:hint="eastAsia" w:ascii="宋体" w:hAnsi="宋体"/>
          <w:b/>
          <w:color w:val="auto"/>
          <w:sz w:val="24"/>
          <w:szCs w:val="24"/>
        </w:rPr>
        <w:t>投标人应提供的其它材料</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2. 最新一期政府采购节能、环保清单截图证明；（如有）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 </w:t>
      </w:r>
      <w:r>
        <w:rPr>
          <w:rFonts w:ascii="宋体" w:hAnsi="宋体"/>
          <w:color w:val="auto"/>
          <w:sz w:val="24"/>
          <w:szCs w:val="24"/>
        </w:rPr>
        <w:t>能够真实反映投标人业绩的有效证明材料，如</w:t>
      </w:r>
      <w:r>
        <w:rPr>
          <w:rFonts w:hint="eastAsia" w:ascii="宋体" w:hAnsi="宋体"/>
          <w:color w:val="auto"/>
          <w:sz w:val="24"/>
          <w:szCs w:val="24"/>
        </w:rPr>
        <w:t>销售或服务</w:t>
      </w:r>
      <w:r>
        <w:rPr>
          <w:rFonts w:ascii="宋体" w:hAnsi="宋体"/>
          <w:color w:val="auto"/>
          <w:sz w:val="24"/>
          <w:szCs w:val="24"/>
        </w:rPr>
        <w:t>合同等</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kern w:val="0"/>
          <w:sz w:val="24"/>
          <w:szCs w:val="24"/>
        </w:rPr>
        <w:t>. 产品生产（或经销）企业的质量管理体系认证证书、环境认证证书等；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5. </w:t>
      </w:r>
      <w:r>
        <w:rPr>
          <w:rFonts w:ascii="宋体" w:hAnsi="宋体"/>
          <w:color w:val="auto"/>
          <w:kern w:val="0"/>
          <w:sz w:val="24"/>
          <w:szCs w:val="24"/>
        </w:rPr>
        <w:t>投标人认为需要提供的证明文件及资料。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以上文件除要求提供原件以外，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在响应文件中</w:t>
      </w:r>
      <w:r>
        <w:rPr>
          <w:rFonts w:ascii="宋体" w:hAnsi="宋体"/>
          <w:color w:val="auto"/>
          <w:sz w:val="24"/>
          <w:szCs w:val="24"/>
        </w:rPr>
        <w:t>提供复印件并加盖供应商公章</w:t>
      </w:r>
      <w:r>
        <w:rPr>
          <w:rFonts w:hint="eastAsia" w:ascii="宋体" w:hAnsi="宋体"/>
          <w:color w:val="auto"/>
          <w:sz w:val="24"/>
          <w:szCs w:val="24"/>
        </w:rPr>
        <w:t>；如不提供则为无效投标。</w:t>
      </w:r>
    </w:p>
    <w:p>
      <w:pPr>
        <w:outlineLvl w:val="0"/>
        <w:rPr>
          <w:rFonts w:ascii="宋体" w:hAnsi="宋体"/>
          <w:color w:val="auto"/>
          <w:sz w:val="24"/>
          <w:szCs w:val="24"/>
        </w:rPr>
      </w:pPr>
      <w:r>
        <w:rPr>
          <w:rFonts w:ascii="宋体" w:hAnsi="宋体"/>
          <w:color w:val="auto"/>
          <w:sz w:val="24"/>
          <w:szCs w:val="24"/>
        </w:rPr>
        <w:br w:type="page"/>
      </w:r>
    </w:p>
    <w:p>
      <w:pPr>
        <w:spacing w:line="360" w:lineRule="auto"/>
        <w:jc w:val="center"/>
        <w:outlineLvl w:val="0"/>
        <w:rPr>
          <w:rFonts w:ascii="宋体" w:hAnsi="宋体"/>
          <w:b/>
          <w:bCs/>
          <w:color w:val="auto"/>
          <w:kern w:val="44"/>
          <w:sz w:val="24"/>
          <w:szCs w:val="24"/>
          <w:lang w:val="zh-CN"/>
        </w:rPr>
      </w:pPr>
      <w:bookmarkStart w:id="23" w:name="_Toc844_WPSOffice_Level1"/>
      <w:bookmarkStart w:id="24" w:name="_Toc497408662"/>
      <w:r>
        <w:rPr>
          <w:rFonts w:hint="eastAsia" w:ascii="宋体" w:hAnsi="宋体"/>
          <w:b/>
          <w:bCs/>
          <w:color w:val="auto"/>
          <w:kern w:val="44"/>
          <w:sz w:val="24"/>
          <w:szCs w:val="24"/>
          <w:lang w:val="zh-CN"/>
        </w:rPr>
        <w:t>第六章 评标办法（综合评分法）</w:t>
      </w:r>
      <w:bookmarkEnd w:id="23"/>
      <w:bookmarkEnd w:id="24"/>
    </w:p>
    <w:p>
      <w:pPr>
        <w:spacing w:line="360" w:lineRule="auto"/>
        <w:ind w:firstLine="482" w:firstLineChars="200"/>
        <w:rPr>
          <w:rFonts w:ascii="宋体" w:hAnsi="宋体"/>
          <w:b/>
          <w:color w:val="auto"/>
          <w:sz w:val="24"/>
          <w:szCs w:val="24"/>
        </w:rPr>
      </w:pPr>
      <w:r>
        <w:rPr>
          <w:rFonts w:hint="eastAsia" w:ascii="宋体" w:hAnsi="宋体" w:cs="黑体"/>
          <w:b/>
          <w:color w:val="auto"/>
          <w:sz w:val="24"/>
          <w:szCs w:val="24"/>
        </w:rPr>
        <w:t>一.评标原则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auto"/>
          <w:sz w:val="24"/>
          <w:szCs w:val="24"/>
        </w:rPr>
      </w:pPr>
      <w:r>
        <w:rPr>
          <w:rFonts w:hint="eastAsia" w:ascii="宋体" w:hAnsi="宋体" w:cs="黑体"/>
          <w:b/>
          <w:color w:val="auto"/>
          <w:sz w:val="24"/>
          <w:szCs w:val="24"/>
        </w:rPr>
        <w:t>二.</w:t>
      </w:r>
      <w:r>
        <w:rPr>
          <w:rFonts w:hint="eastAsia" w:ascii="宋体" w:hAnsi="宋体" w:cs="宋体"/>
          <w:b/>
          <w:color w:val="auto"/>
          <w:sz w:val="24"/>
          <w:szCs w:val="24"/>
        </w:rPr>
        <w:t>评标办法</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（一）综合评分法评标</w:t>
      </w:r>
      <w:r>
        <w:rPr>
          <w:rFonts w:ascii="宋体" w:hAnsi="宋体" w:cs="宋体"/>
          <w:color w:val="auto"/>
          <w:sz w:val="24"/>
          <w:szCs w:val="24"/>
        </w:rPr>
        <w:t>,</w:t>
      </w:r>
      <w:r>
        <w:rPr>
          <w:rFonts w:hint="eastAsia" w:ascii="宋体" w:hAnsi="宋体" w:cs="宋体"/>
          <w:color w:val="auto"/>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（二）具体评审工作按照以下步骤进行。</w:t>
      </w:r>
    </w:p>
    <w:p>
      <w:pPr>
        <w:widowControl/>
        <w:spacing w:line="360" w:lineRule="auto"/>
        <w:ind w:firstLine="482" w:firstLineChars="201"/>
        <w:rPr>
          <w:rFonts w:ascii="宋体" w:hAnsi="宋体" w:cs="宋体"/>
          <w:color w:val="auto"/>
          <w:kern w:val="0"/>
          <w:sz w:val="24"/>
          <w:szCs w:val="24"/>
        </w:rPr>
      </w:pP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kern w:val="0"/>
          <w:sz w:val="24"/>
          <w:szCs w:val="24"/>
        </w:rPr>
        <w:t>初审。初审分为资格性检查和符合性检查。</w:t>
      </w:r>
      <w:r>
        <w:rPr>
          <w:rFonts w:hint="eastAsia" w:ascii="宋体" w:hAnsi="宋体" w:cs="宋体"/>
          <w:b/>
          <w:color w:val="auto"/>
          <w:kern w:val="0"/>
          <w:sz w:val="24"/>
          <w:szCs w:val="24"/>
        </w:rPr>
        <w:t>（详见后附表一初审表）</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kern w:val="0"/>
          <w:sz w:val="24"/>
          <w:szCs w:val="24"/>
        </w:rPr>
        <w:t>评审结果为“通过”或“未通过”，未通过资格性检查、符合性检查的投标单位按无</w:t>
      </w:r>
      <w:r>
        <w:rPr>
          <w:rFonts w:hint="eastAsia" w:ascii="宋体" w:hAnsi="宋体" w:cs="宋体"/>
          <w:color w:val="auto"/>
          <w:sz w:val="24"/>
          <w:szCs w:val="24"/>
        </w:rPr>
        <w:t>效投标处理。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2.详细评审。分为投标报价、商务部分、技术部分。</w:t>
      </w:r>
      <w:r>
        <w:rPr>
          <w:rFonts w:hint="eastAsia" w:ascii="宋体" w:hAnsi="宋体" w:cs="宋体"/>
          <w:b/>
          <w:color w:val="auto"/>
          <w:sz w:val="24"/>
          <w:szCs w:val="24"/>
        </w:rPr>
        <w:t>（详见后附表二详细评审表）</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color w:val="auto"/>
          <w:sz w:val="24"/>
          <w:szCs w:val="24"/>
        </w:rPr>
      </w:pPr>
      <w:r>
        <w:rPr>
          <w:rFonts w:hint="eastAsia" w:ascii="宋体" w:hAnsi="宋体"/>
          <w:color w:val="auto"/>
          <w:sz w:val="24"/>
          <w:szCs w:val="24"/>
        </w:rPr>
        <w:t>3．</w:t>
      </w:r>
      <w:r>
        <w:rPr>
          <w:rFonts w:hint="eastAsia" w:ascii="宋体" w:hAnsi="宋体" w:cs="宋体"/>
          <w:color w:val="auto"/>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color w:val="auto"/>
          <w:sz w:val="24"/>
          <w:szCs w:val="24"/>
        </w:rPr>
      </w:pPr>
      <w:r>
        <w:rPr>
          <w:rFonts w:hint="eastAsia" w:ascii="宋体" w:hAnsi="宋体" w:cs="宋体"/>
          <w:b/>
          <w:color w:val="auto"/>
          <w:sz w:val="24"/>
          <w:szCs w:val="24"/>
        </w:rPr>
        <w:t>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color w:val="auto"/>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2.参与竞争的核心产品品牌不足</w:t>
      </w:r>
      <w:r>
        <w:rPr>
          <w:rFonts w:ascii="宋体" w:hAnsi="宋体" w:cs="宋体"/>
          <w:color w:val="auto"/>
          <w:sz w:val="24"/>
          <w:szCs w:val="24"/>
        </w:rPr>
        <w:t>3</w:t>
      </w:r>
      <w:r>
        <w:rPr>
          <w:rFonts w:hint="eastAsia" w:ascii="宋体" w:hAnsi="宋体" w:cs="宋体"/>
          <w:color w:val="auto"/>
          <w:sz w:val="24"/>
          <w:szCs w:val="24"/>
        </w:rPr>
        <w:t>个的，项目废标处理。</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3.在同等条件下，</w:t>
      </w:r>
      <w:r>
        <w:rPr>
          <w:rFonts w:hint="eastAsia" w:ascii="宋体" w:hAnsi="宋体"/>
          <w:color w:val="auto"/>
          <w:sz w:val="24"/>
          <w:szCs w:val="24"/>
        </w:rPr>
        <w:t>保护环境、不发达地区和少数民族地区</w:t>
      </w:r>
      <w:r>
        <w:rPr>
          <w:rFonts w:ascii="宋体" w:hAnsi="宋体" w:cs="Arial"/>
          <w:color w:val="auto"/>
          <w:sz w:val="24"/>
          <w:szCs w:val="24"/>
        </w:rPr>
        <w:t>企业</w:t>
      </w:r>
      <w:r>
        <w:rPr>
          <w:rFonts w:hint="eastAsia" w:ascii="宋体" w:hAnsi="宋体"/>
          <w:color w:val="auto"/>
          <w:sz w:val="24"/>
          <w:szCs w:val="24"/>
        </w:rPr>
        <w:t>优先。（需提供相关证明材料）</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rPr>
        <w:t>三.政府采购政策落实：</w:t>
      </w:r>
    </w:p>
    <w:p>
      <w:pPr>
        <w:pStyle w:val="40"/>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非联合体投标人</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tcPr>
          <w:p>
            <w:pPr>
              <w:snapToGrid w:val="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（1）上述评标价仅用于计算价格评分，中标金额以实际投标价为准。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25" w:name="OLE_LINK1"/>
      <w:bookmarkStart w:id="26" w:name="OLE_LINK9"/>
      <w:r>
        <w:rPr>
          <w:rFonts w:hint="eastAsia" w:ascii="宋体" w:hAnsi="宋体"/>
          <w:color w:val="auto"/>
          <w:sz w:val="24"/>
          <w:szCs w:val="24"/>
        </w:rPr>
        <w:t>本项所称货物不包括使用大型企业注册商标的货物。</w:t>
      </w:r>
      <w:bookmarkEnd w:id="25"/>
      <w:bookmarkEnd w:id="26"/>
      <w:r>
        <w:rPr>
          <w:rFonts w:hint="eastAsia" w:ascii="宋体" w:hAnsi="宋体"/>
          <w:color w:val="auto"/>
          <w:sz w:val="24"/>
          <w:szCs w:val="24"/>
        </w:rPr>
        <w:t>小型、微型企业提供中型企业制造的货物的，视同为中型企业。</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7" w:name="OLE_LINK14"/>
      <w:bookmarkStart w:id="28" w:name="OLE_LINK13"/>
      <w:r>
        <w:rPr>
          <w:rFonts w:hint="eastAsia" w:ascii="宋体" w:hAnsi="宋体"/>
          <w:color w:val="auto"/>
          <w:sz w:val="24"/>
          <w:szCs w:val="24"/>
        </w:rPr>
        <w:t>《残疾人福利性单位声明函》</w:t>
      </w:r>
      <w:bookmarkEnd w:id="27"/>
      <w:bookmarkEnd w:id="28"/>
      <w:r>
        <w:rPr>
          <w:rFonts w:hint="eastAsia" w:ascii="宋体" w:hAnsi="宋体"/>
          <w:color w:val="auto"/>
          <w:sz w:val="24"/>
          <w:szCs w:val="24"/>
        </w:rPr>
        <w:t>为判定标准，否则不认定价格扣除。</w:t>
      </w:r>
    </w:p>
    <w:p>
      <w:pPr>
        <w:widowControl/>
        <w:spacing w:line="360" w:lineRule="auto"/>
        <w:ind w:firstLine="360" w:firstLineChars="150"/>
        <w:jc w:val="left"/>
        <w:rPr>
          <w:rFonts w:ascii="宋体" w:hAnsi="宋体"/>
          <w:color w:val="auto"/>
          <w:sz w:val="24"/>
          <w:szCs w:val="24"/>
        </w:rPr>
      </w:pPr>
      <w:r>
        <w:rPr>
          <w:rFonts w:hint="eastAsia" w:ascii="宋体" w:hAnsi="宋体"/>
          <w:color w:val="auto"/>
          <w:sz w:val="24"/>
          <w:szCs w:val="24"/>
        </w:rPr>
        <w:t>（3）提供投标人的《中小企业声明函》、《残疾人福利性单位声明函》（格式后附，不可修改），未提供、未盖章的不予价格扣除。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color w:val="auto"/>
          <w:sz w:val="24"/>
          <w:szCs w:val="24"/>
        </w:rPr>
      </w:pPr>
      <w:r>
        <w:rPr>
          <w:rFonts w:ascii="宋体" w:hAnsi="宋体"/>
          <w:color w:val="auto"/>
          <w:sz w:val="24"/>
          <w:szCs w:val="24"/>
        </w:rPr>
        <w:br w:type="page"/>
      </w:r>
    </w:p>
    <w:p>
      <w:pPr>
        <w:spacing w:line="360" w:lineRule="auto"/>
        <w:rPr>
          <w:rFonts w:ascii="宋体" w:hAnsi="宋体" w:cs="宋体"/>
          <w:b/>
          <w:color w:val="auto"/>
          <w:kern w:val="0"/>
          <w:sz w:val="24"/>
          <w:szCs w:val="24"/>
        </w:rPr>
      </w:pPr>
      <w:r>
        <w:rPr>
          <w:rFonts w:hint="eastAsia" w:ascii="宋体" w:hAnsi="宋体" w:cs="宋体"/>
          <w:b/>
          <w:color w:val="auto"/>
          <w:kern w:val="0"/>
          <w:sz w:val="24"/>
          <w:szCs w:val="24"/>
        </w:rPr>
        <w:t>表一初审表：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auto"/>
                <w:sz w:val="21"/>
                <w:szCs w:val="21"/>
              </w:rPr>
            </w:pPr>
            <w:r>
              <w:rPr>
                <w:rFonts w:hint="eastAsia" w:ascii="宋体" w:hAnsi="宋体"/>
                <w:color w:val="auto"/>
                <w:sz w:val="21"/>
                <w:szCs w:val="21"/>
              </w:rPr>
              <w:t>资格性检查</w:t>
            </w:r>
          </w:p>
          <w:p>
            <w:pPr>
              <w:jc w:val="left"/>
              <w:rPr>
                <w:rFonts w:ascii="宋体" w:hAnsi="宋体"/>
                <w:color w:val="auto"/>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auto"/>
                <w:sz w:val="24"/>
                <w:szCs w:val="24"/>
              </w:rPr>
              <w:t>1.供应商需提供由“征信中心网”（https://ipcrs.pbccrc.org.cn/）查询的信用报告。</w:t>
            </w:r>
          </w:p>
          <w:p>
            <w:pPr>
              <w:jc w:val="left"/>
              <w:rPr>
                <w:rFonts w:ascii="宋体" w:hAnsi="宋体"/>
                <w:color w:val="auto"/>
                <w:sz w:val="24"/>
                <w:szCs w:val="24"/>
              </w:rPr>
            </w:pPr>
            <w:r>
              <w:rPr>
                <w:rFonts w:hint="eastAsia" w:ascii="宋体" w:hAnsi="宋体"/>
                <w:color w:val="auto"/>
                <w:sz w:val="24"/>
                <w:szCs w:val="24"/>
              </w:rPr>
              <w:t>2.供应商是企业或个体经营户的需带公司法人身份证及公司营业执照和公章去项目所在地或当地中国人民银行出具信用报告。</w:t>
            </w:r>
            <w:r>
              <w:rPr>
                <w:rFonts w:ascii="宋体" w:hAnsi="宋体"/>
                <w:b/>
                <w:color w:val="auto"/>
                <w:sz w:val="24"/>
                <w:szCs w:val="24"/>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1.201</w:t>
            </w:r>
            <w:r>
              <w:rPr>
                <w:rFonts w:hint="eastAsia" w:ascii="宋体" w:hAnsi="宋体"/>
                <w:color w:val="auto"/>
                <w:sz w:val="24"/>
                <w:szCs w:val="24"/>
                <w:lang w:val="en-US" w:eastAsia="zh-CN"/>
              </w:rPr>
              <w:t>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月至开标当日的任意一个月缴纳增值税、营业税或企业所得税的凭据。</w:t>
            </w:r>
          </w:p>
          <w:p>
            <w:pPr>
              <w:jc w:val="left"/>
              <w:rPr>
                <w:rFonts w:ascii="宋体" w:hAnsi="宋体"/>
                <w:color w:val="auto"/>
                <w:sz w:val="24"/>
                <w:szCs w:val="24"/>
              </w:rPr>
            </w:pPr>
            <w:r>
              <w:rPr>
                <w:rFonts w:hint="eastAsia" w:ascii="宋体" w:hAnsi="宋体"/>
                <w:color w:val="auto"/>
                <w:sz w:val="24"/>
                <w:szCs w:val="24"/>
              </w:rPr>
              <w:t>2.201</w:t>
            </w:r>
            <w:r>
              <w:rPr>
                <w:rFonts w:hint="eastAsia" w:ascii="宋体" w:hAnsi="宋体"/>
                <w:color w:val="auto"/>
                <w:sz w:val="24"/>
                <w:szCs w:val="24"/>
                <w:lang w:val="en-US" w:eastAsia="zh-CN"/>
              </w:rPr>
              <w:t>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月至开标当日的任意一个月缴纳社会保险的凭据（专用收据或社保缴纳清单）</w:t>
            </w:r>
          </w:p>
          <w:p>
            <w:pPr>
              <w:jc w:val="left"/>
              <w:rPr>
                <w:rFonts w:ascii="宋体" w:hAnsi="宋体"/>
                <w:color w:val="auto"/>
                <w:sz w:val="24"/>
                <w:szCs w:val="24"/>
              </w:rPr>
            </w:pPr>
            <w:r>
              <w:rPr>
                <w:rFonts w:hint="eastAsia" w:ascii="宋体" w:hAnsi="宋体"/>
                <w:color w:val="auto"/>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color w:val="auto"/>
                <w:kern w:val="36"/>
                <w:sz w:val="24"/>
                <w:szCs w:val="24"/>
              </w:rPr>
            </w:pPr>
            <w:r>
              <w:rPr>
                <w:rFonts w:hint="eastAsia" w:ascii="宋体" w:hAnsi="宋体" w:cs="宋体"/>
                <w:bCs/>
                <w:color w:val="auto"/>
                <w:kern w:val="36"/>
                <w:sz w:val="24"/>
                <w:szCs w:val="24"/>
              </w:rPr>
              <w:t>1.审查参加政府采购活动近三年内在经营活动中没有重大违法违规记录书面声明函；</w:t>
            </w:r>
          </w:p>
          <w:p>
            <w:pPr>
              <w:pStyle w:val="2"/>
              <w:spacing w:line="240" w:lineRule="auto"/>
              <w:jc w:val="left"/>
              <w:rPr>
                <w:rFonts w:ascii="宋体" w:hAnsi="宋体" w:cs="宋体"/>
                <w:bCs/>
                <w:color w:val="auto"/>
                <w:kern w:val="36"/>
                <w:sz w:val="24"/>
                <w:szCs w:val="24"/>
              </w:rPr>
            </w:pPr>
            <w:r>
              <w:rPr>
                <w:rFonts w:hint="eastAsia" w:ascii="宋体" w:hAnsi="宋体" w:cs="宋体"/>
                <w:bCs/>
                <w:color w:val="auto"/>
                <w:kern w:val="36"/>
                <w:sz w:val="24"/>
                <w:szCs w:val="24"/>
              </w:rPr>
              <w:t>2.供应商是法人或其他组织的，需提供企业工商注册所在地或项目所在地信用管理中心出具的《信用信息查询结果》且在有效期范围内。</w:t>
            </w:r>
          </w:p>
          <w:p>
            <w:pPr>
              <w:pStyle w:val="2"/>
              <w:spacing w:line="240" w:lineRule="auto"/>
              <w:jc w:val="left"/>
              <w:rPr>
                <w:rFonts w:ascii="宋体" w:hAnsi="宋体"/>
                <w:color w:val="auto"/>
                <w:sz w:val="24"/>
                <w:szCs w:val="24"/>
              </w:rPr>
            </w:pPr>
            <w:r>
              <w:rPr>
                <w:rFonts w:hint="eastAsia" w:ascii="宋体" w:hAnsi="宋体" w:cs="宋体"/>
                <w:bCs/>
                <w:color w:val="auto"/>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color w:val="auto"/>
                <w:kern w:val="36"/>
                <w:sz w:val="24"/>
                <w:szCs w:val="24"/>
              </w:rPr>
            </w:pPr>
            <w:r>
              <w:rPr>
                <w:rFonts w:hint="eastAsia" w:ascii="宋体" w:hAnsi="宋体" w:cs="宋体"/>
                <w:bCs/>
                <w:color w:val="auto"/>
                <w:kern w:val="36"/>
                <w:sz w:val="24"/>
                <w:szCs w:val="24"/>
              </w:rPr>
              <w:t>其他资格要求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color w:val="auto"/>
                <w:kern w:val="36"/>
                <w:sz w:val="24"/>
                <w:szCs w:val="24"/>
              </w:rPr>
            </w:pPr>
            <w:r>
              <w:rPr>
                <w:rFonts w:hint="eastAsia" w:ascii="宋体" w:hAnsi="宋体" w:cs="宋体"/>
                <w:bCs/>
                <w:color w:val="auto"/>
                <w:kern w:val="36"/>
                <w:sz w:val="24"/>
                <w:szCs w:val="24"/>
              </w:rPr>
              <w:t>无其他资质要求。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auto"/>
                <w:sz w:val="21"/>
                <w:szCs w:val="21"/>
              </w:rPr>
            </w:pPr>
            <w:r>
              <w:rPr>
                <w:rFonts w:hint="eastAsia" w:ascii="宋体" w:hAnsi="宋体"/>
                <w:color w:val="auto"/>
                <w:sz w:val="21"/>
                <w:szCs w:val="21"/>
              </w:rPr>
              <w:t>符合性检查</w:t>
            </w:r>
          </w:p>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响应文件的编制、密封、装订、签署、盖章、涂改、删除、插字、公章使用等符合招标文件要求；响应文件的格式、文字、目录、页码等符合招标文件要求或对投标无实质性影响。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rPr>
            </w:pPr>
            <w:r>
              <w:rPr>
                <w:rFonts w:hint="eastAsia" w:ascii="宋体" w:hAnsi="宋体"/>
                <w:color w:val="auto"/>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rPr>
            </w:pPr>
            <w:r>
              <w:rPr>
                <w:rFonts w:hint="eastAsia" w:ascii="宋体" w:hAnsi="宋体"/>
                <w:color w:val="auto"/>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457" w:type="dxa"/>
            <w:tcBorders>
              <w:left w:val="single" w:color="auto" w:sz="4" w:space="0"/>
              <w:right w:val="single" w:color="auto" w:sz="4" w:space="0"/>
            </w:tcBorders>
            <w:vAlign w:val="center"/>
          </w:tcPr>
          <w:p>
            <w:pPr>
              <w:rPr>
                <w:rFonts w:ascii="宋体" w:hAnsi="宋体"/>
                <w:color w:val="auto"/>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rPr>
            </w:pPr>
            <w:r>
              <w:rPr>
                <w:rFonts w:hint="eastAsia" w:ascii="宋体" w:hAnsi="宋体"/>
                <w:color w:val="auto"/>
                <w:sz w:val="24"/>
                <w:szCs w:val="24"/>
              </w:rPr>
              <w:t>特别说明</w:t>
            </w:r>
          </w:p>
        </w:tc>
        <w:tc>
          <w:tcPr>
            <w:tcW w:w="6258" w:type="dxa"/>
            <w:tcBorders>
              <w:top w:val="single" w:color="auto" w:sz="4" w:space="0"/>
              <w:left w:val="single" w:color="auto" w:sz="4" w:space="0"/>
              <w:right w:val="single" w:color="auto" w:sz="4" w:space="0"/>
            </w:tcBorders>
            <w:vAlign w:val="center"/>
          </w:tcPr>
          <w:p>
            <w:pPr>
              <w:rPr>
                <w:rFonts w:ascii="宋体" w:hAnsi="宋体"/>
                <w:color w:val="auto"/>
                <w:sz w:val="24"/>
                <w:szCs w:val="24"/>
              </w:rPr>
            </w:pPr>
            <w:r>
              <w:rPr>
                <w:rFonts w:hint="eastAsia" w:ascii="宋体" w:hAnsi="宋体" w:cs="宋体"/>
                <w:bCs/>
                <w:color w:val="auto"/>
                <w:kern w:val="36"/>
                <w:sz w:val="24"/>
                <w:szCs w:val="24"/>
              </w:rPr>
              <w:t>说明：1.供应商提供的《信用查询结果》、中国政府采购网查询截图以及</w:t>
            </w:r>
            <w:r>
              <w:rPr>
                <w:rFonts w:hint="eastAsia" w:ascii="宋体" w:hAnsi="宋体"/>
                <w:color w:val="auto"/>
                <w:sz w:val="24"/>
                <w:szCs w:val="24"/>
              </w:rPr>
              <w:t>“征信中心网”查询的信用报告</w:t>
            </w:r>
            <w:r>
              <w:rPr>
                <w:rFonts w:hint="eastAsia" w:ascii="宋体" w:hAnsi="宋体" w:cs="宋体"/>
                <w:bCs/>
                <w:color w:val="auto"/>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hint="eastAsia" w:ascii="宋体" w:hAnsi="宋体" w:cs="宋体"/>
          <w:b/>
          <w:color w:val="auto"/>
          <w:kern w:val="0"/>
          <w:sz w:val="24"/>
          <w:szCs w:val="24"/>
        </w:rPr>
      </w:pPr>
    </w:p>
    <w:p>
      <w:pPr>
        <w:spacing w:line="360" w:lineRule="auto"/>
        <w:rPr>
          <w:rFonts w:ascii="宋体" w:hAnsi="宋体" w:cs="宋体"/>
          <w:b/>
          <w:color w:val="auto"/>
          <w:kern w:val="0"/>
          <w:sz w:val="24"/>
          <w:szCs w:val="24"/>
        </w:rPr>
      </w:pPr>
      <w:r>
        <w:rPr>
          <w:rFonts w:hint="eastAsia" w:ascii="宋体" w:hAnsi="宋体" w:cs="宋体"/>
          <w:b/>
          <w:color w:val="auto"/>
          <w:kern w:val="0"/>
          <w:sz w:val="24"/>
          <w:szCs w:val="24"/>
        </w:rPr>
        <w:t>表二详细评审表：</w:t>
      </w:r>
    </w:p>
    <w:tbl>
      <w:tblPr>
        <w:tblStyle w:val="27"/>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475"/>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0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评审因素</w:t>
            </w:r>
          </w:p>
        </w:tc>
        <w:tc>
          <w:tcPr>
            <w:tcW w:w="7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0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分值构成</w:t>
            </w:r>
          </w:p>
        </w:tc>
        <w:tc>
          <w:tcPr>
            <w:tcW w:w="7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 xml:space="preserve">1、报价得分 30分 </w:t>
            </w:r>
          </w:p>
          <w:p>
            <w:pPr>
              <w:spacing w:line="320" w:lineRule="exact"/>
              <w:rPr>
                <w:rFonts w:ascii="宋体" w:hAnsi="宋体"/>
                <w:color w:val="auto"/>
                <w:sz w:val="24"/>
                <w:szCs w:val="24"/>
              </w:rPr>
            </w:pPr>
            <w:r>
              <w:rPr>
                <w:rFonts w:hint="eastAsia" w:ascii="宋体" w:hAnsi="宋体"/>
                <w:color w:val="auto"/>
                <w:sz w:val="24"/>
                <w:szCs w:val="24"/>
              </w:rPr>
              <w:t>2、商务部分 20分</w:t>
            </w:r>
          </w:p>
          <w:p>
            <w:pPr>
              <w:spacing w:line="320" w:lineRule="exact"/>
              <w:rPr>
                <w:rFonts w:ascii="宋体" w:hAnsi="宋体"/>
                <w:color w:val="auto"/>
                <w:sz w:val="24"/>
                <w:szCs w:val="24"/>
              </w:rPr>
            </w:pPr>
            <w:r>
              <w:rPr>
                <w:rFonts w:hint="eastAsia" w:ascii="宋体" w:hAnsi="宋体"/>
                <w:color w:val="auto"/>
                <w:sz w:val="24"/>
                <w:szCs w:val="24"/>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olor w:val="auto"/>
                <w:sz w:val="24"/>
                <w:szCs w:val="24"/>
                <w:lang w:val="en-US" w:eastAsia="zh-CN"/>
              </w:rPr>
            </w:pPr>
            <w:r>
              <w:rPr>
                <w:rFonts w:hint="eastAsia" w:ascii="宋体" w:hAnsi="宋体"/>
                <w:color w:val="auto"/>
                <w:sz w:val="24"/>
                <w:szCs w:val="24"/>
              </w:rPr>
              <w:t>投标报价</w:t>
            </w:r>
            <w:r>
              <w:rPr>
                <w:rFonts w:hint="eastAsia" w:ascii="宋体" w:hAnsi="宋体"/>
                <w:color w:val="auto"/>
                <w:sz w:val="24"/>
                <w:szCs w:val="24"/>
                <w:lang w:val="en-US" w:eastAsia="zh-CN"/>
              </w:rPr>
              <w:t>30分</w:t>
            </w:r>
          </w:p>
        </w:tc>
        <w:tc>
          <w:tcPr>
            <w:tcW w:w="247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评标基准价确定方法</w:t>
            </w:r>
          </w:p>
        </w:tc>
        <w:tc>
          <w:tcPr>
            <w:tcW w:w="70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 w:val="24"/>
                <w:szCs w:val="24"/>
              </w:rPr>
            </w:pPr>
            <w:r>
              <w:rPr>
                <w:rFonts w:hint="eastAsia" w:ascii="宋体" w:hAnsi="宋体"/>
                <w:color w:val="auto"/>
                <w:sz w:val="24"/>
                <w:szCs w:val="24"/>
              </w:rPr>
              <w:t>满足招标文件要求通过初步评审的且投标报价最低的为评标基准价。符合小型、微型企业等规定进行价格调整的，以调整后的价格计算评标基准价。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 w:val="24"/>
                <w:szCs w:val="24"/>
              </w:rPr>
            </w:pPr>
            <w:r>
              <w:rPr>
                <w:rFonts w:hint="eastAsia" w:ascii="宋体" w:hAnsi="宋体"/>
                <w:color w:val="auto"/>
                <w:sz w:val="24"/>
                <w:szCs w:val="24"/>
              </w:rPr>
              <w:t>投标报价得分（30分）</w:t>
            </w:r>
          </w:p>
        </w:tc>
        <w:tc>
          <w:tcPr>
            <w:tcW w:w="70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auto"/>
                <w:sz w:val="24"/>
                <w:szCs w:val="24"/>
              </w:rPr>
            </w:pPr>
            <w:r>
              <w:rPr>
                <w:rFonts w:hint="eastAsia" w:ascii="宋体" w:hAnsi="宋体"/>
                <w:color w:val="auto"/>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97" w:type="dxa"/>
            <w:vMerge w:val="restart"/>
            <w:tcBorders>
              <w:left w:val="single" w:color="auto" w:sz="4" w:space="0"/>
              <w:right w:val="single" w:color="auto" w:sz="4" w:space="0"/>
            </w:tcBorders>
            <w:vAlign w:val="center"/>
          </w:tcPr>
          <w:p>
            <w:pPr>
              <w:widowControl/>
              <w:rPr>
                <w:rFonts w:hint="eastAsia" w:ascii="宋体" w:hAnsi="宋体"/>
                <w:color w:val="auto"/>
                <w:sz w:val="24"/>
                <w:szCs w:val="24"/>
              </w:rPr>
            </w:pPr>
            <w:r>
              <w:rPr>
                <w:rFonts w:hint="eastAsia" w:ascii="宋体" w:hAnsi="宋体"/>
                <w:color w:val="auto"/>
                <w:sz w:val="24"/>
                <w:szCs w:val="24"/>
              </w:rPr>
              <w:t>商务部</w:t>
            </w:r>
          </w:p>
          <w:p>
            <w:pPr>
              <w:widowControl/>
              <w:rPr>
                <w:rFonts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c>
          <w:tcPr>
            <w:tcW w:w="24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4"/>
                <w:szCs w:val="24"/>
                <w:highlight w:val="none"/>
              </w:rPr>
            </w:pPr>
            <w:r>
              <w:rPr>
                <w:rFonts w:hint="eastAsia" w:ascii="宋体" w:hAnsi="宋体"/>
                <w:color w:val="auto"/>
                <w:sz w:val="24"/>
                <w:szCs w:val="24"/>
                <w:highlight w:val="none"/>
              </w:rPr>
              <w:t>业绩（</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w:t>
            </w:r>
          </w:p>
        </w:tc>
        <w:tc>
          <w:tcPr>
            <w:tcW w:w="7070" w:type="dxa"/>
            <w:tcBorders>
              <w:top w:val="single" w:color="auto" w:sz="4" w:space="0"/>
              <w:left w:val="single" w:color="auto" w:sz="4" w:space="0"/>
              <w:bottom w:val="single" w:color="auto" w:sz="4" w:space="0"/>
              <w:right w:val="single" w:color="auto" w:sz="4" w:space="0"/>
            </w:tcBorders>
            <w:vAlign w:val="center"/>
          </w:tcPr>
          <w:p>
            <w:pPr>
              <w:widowControl/>
              <w:rPr>
                <w:color w:val="auto"/>
                <w:highlight w:val="none"/>
              </w:rPr>
            </w:pPr>
            <w:r>
              <w:rPr>
                <w:rFonts w:hint="eastAsia" w:ascii="宋体" w:hAnsi="宋体"/>
                <w:color w:val="auto"/>
                <w:sz w:val="24"/>
                <w:szCs w:val="24"/>
                <w:highlight w:val="none"/>
              </w:rPr>
              <w:t>投标人近三年（201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至今）的类似业绩</w:t>
            </w:r>
            <w:r>
              <w:rPr>
                <w:rFonts w:hint="eastAsia" w:ascii="宋体" w:hAnsi="宋体"/>
                <w:color w:val="auto"/>
                <w:sz w:val="24"/>
                <w:szCs w:val="24"/>
                <w:highlight w:val="none"/>
                <w:lang w:eastAsia="zh-CN"/>
              </w:rPr>
              <w:t>，单项合同金额</w:t>
            </w:r>
            <w:r>
              <w:rPr>
                <w:rFonts w:hint="eastAsia" w:ascii="宋体" w:hAnsi="宋体"/>
                <w:color w:val="auto"/>
                <w:sz w:val="24"/>
                <w:szCs w:val="24"/>
                <w:highlight w:val="none"/>
                <w:lang w:val="en-US" w:eastAsia="zh-CN"/>
              </w:rPr>
              <w:t>200（含）万元以上</w:t>
            </w:r>
            <w:r>
              <w:rPr>
                <w:rFonts w:hint="eastAsia" w:ascii="宋体" w:hAnsi="宋体"/>
                <w:color w:val="auto"/>
                <w:sz w:val="24"/>
                <w:szCs w:val="24"/>
                <w:highlight w:val="none"/>
              </w:rPr>
              <w:t>（</w:t>
            </w:r>
            <w:r>
              <w:rPr>
                <w:rFonts w:hint="eastAsia" w:ascii="宋体" w:hAnsi="宋体"/>
                <w:color w:val="auto"/>
                <w:sz w:val="24"/>
                <w:szCs w:val="24"/>
                <w:highlight w:val="none"/>
                <w:lang w:eastAsia="zh-CN"/>
              </w:rPr>
              <w:t>殡葬类</w:t>
            </w:r>
            <w:r>
              <w:rPr>
                <w:rFonts w:hint="eastAsia" w:ascii="宋体" w:hAnsi="宋体"/>
                <w:color w:val="auto"/>
                <w:sz w:val="24"/>
                <w:szCs w:val="24"/>
                <w:highlight w:val="none"/>
              </w:rPr>
              <w:t>销售或服务</w:t>
            </w:r>
            <w:r>
              <w:rPr>
                <w:rFonts w:ascii="宋体" w:hAnsi="宋体"/>
                <w:color w:val="auto"/>
                <w:sz w:val="24"/>
                <w:szCs w:val="24"/>
                <w:highlight w:val="none"/>
              </w:rPr>
              <w:t>合同</w:t>
            </w:r>
            <w:r>
              <w:rPr>
                <w:rFonts w:hint="eastAsia" w:ascii="宋体" w:hAnsi="宋体"/>
                <w:color w:val="auto"/>
                <w:sz w:val="24"/>
                <w:szCs w:val="24"/>
                <w:highlight w:val="none"/>
              </w:rPr>
              <w:t>），每提供一份有效材料得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分，最高得</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ascii="宋体" w:hAnsi="宋体"/>
                <w:color w:val="auto"/>
                <w:sz w:val="32"/>
                <w:szCs w:val="32"/>
                <w:highlight w:val="none"/>
              </w:rPr>
            </w:pPr>
            <w:r>
              <w:rPr>
                <w:rFonts w:hint="eastAsia" w:asciiTheme="minorEastAsia" w:hAnsiTheme="minorEastAsia" w:eastAsiaTheme="minorEastAsia" w:cstheme="minorEastAsia"/>
                <w:color w:val="auto"/>
                <w:sz w:val="24"/>
                <w:szCs w:val="24"/>
                <w:highlight w:val="none"/>
              </w:rPr>
              <w:t>相关认证（</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7070"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Times New Roman"/>
                <w:color w:val="auto"/>
                <w:sz w:val="24"/>
                <w:szCs w:val="24"/>
                <w:highlight w:val="none"/>
              </w:rPr>
            </w:pPr>
            <w:r>
              <w:rPr>
                <w:rFonts w:hint="eastAsia" w:asciiTheme="minorEastAsia" w:hAnsiTheme="minorEastAsia" w:eastAsiaTheme="minorEastAsia" w:cstheme="minorEastAsia"/>
                <w:color w:val="auto"/>
                <w:sz w:val="24"/>
                <w:szCs w:val="24"/>
                <w:highlight w:val="none"/>
              </w:rPr>
              <w:t>投标人具</w:t>
            </w:r>
            <w:r>
              <w:rPr>
                <w:rFonts w:hint="eastAsia" w:ascii="宋体" w:hAnsi="宋体" w:cs="Times New Roman"/>
                <w:color w:val="auto"/>
                <w:sz w:val="24"/>
                <w:szCs w:val="24"/>
                <w:highlight w:val="none"/>
              </w:rPr>
              <w:t>有且提供（在有效期内）：</w:t>
            </w:r>
          </w:p>
          <w:p>
            <w:pPr>
              <w:widowControl/>
              <w:numPr>
                <w:ilvl w:val="0"/>
                <w:numId w:val="5"/>
              </w:numP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ISO9001</w:t>
            </w:r>
            <w:r>
              <w:rPr>
                <w:rFonts w:hint="eastAsia" w:ascii="宋体" w:hAnsi="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rPr>
              <w:t>质量</w:t>
            </w:r>
            <w:r>
              <w:rPr>
                <w:rFonts w:hint="eastAsia" w:ascii="宋体" w:hAnsi="宋体" w:cs="Times New Roman"/>
                <w:color w:val="auto"/>
                <w:sz w:val="24"/>
                <w:szCs w:val="24"/>
                <w:highlight w:val="none"/>
                <w:lang w:eastAsia="zh-CN"/>
              </w:rPr>
              <w:t>管理</w:t>
            </w:r>
            <w:r>
              <w:rPr>
                <w:rFonts w:hint="eastAsia" w:ascii="宋体" w:hAnsi="宋体" w:cs="Times New Roman"/>
                <w:color w:val="auto"/>
                <w:sz w:val="24"/>
                <w:szCs w:val="24"/>
                <w:highlight w:val="none"/>
              </w:rPr>
              <w:t>体系认证证书；</w:t>
            </w:r>
          </w:p>
          <w:p>
            <w:pPr>
              <w:widowControl/>
              <w:numPr>
                <w:ilvl w:val="0"/>
                <w:numId w:val="5"/>
              </w:numP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rPr>
              <w:fldChar w:fldCharType="begin"/>
            </w:r>
            <w:r>
              <w:rPr>
                <w:rFonts w:hint="eastAsia" w:ascii="宋体" w:hAnsi="宋体" w:cs="Times New Roman"/>
                <w:color w:val="auto"/>
                <w:sz w:val="24"/>
                <w:szCs w:val="24"/>
                <w:highlight w:val="none"/>
              </w:rPr>
              <w:instrText xml:space="preserve"> HYPERLINK "http://www.bjlkb.net/about.php?id=12" \o "ISO14001环境管理体系" </w:instrText>
            </w:r>
            <w:r>
              <w:rPr>
                <w:rFonts w:hint="eastAsia" w:ascii="宋体" w:hAnsi="宋体" w:cs="Times New Roman"/>
                <w:color w:val="auto"/>
                <w:sz w:val="24"/>
                <w:szCs w:val="24"/>
                <w:highlight w:val="none"/>
              </w:rPr>
              <w:fldChar w:fldCharType="separate"/>
            </w:r>
            <w:r>
              <w:rPr>
                <w:rFonts w:hint="eastAsia" w:ascii="宋体" w:hAnsi="宋体" w:cs="Times New Roman"/>
                <w:color w:val="auto"/>
                <w:sz w:val="24"/>
                <w:szCs w:val="24"/>
                <w:highlight w:val="none"/>
              </w:rPr>
              <w:t>ISO14001环境管理体系</w:t>
            </w:r>
            <w:r>
              <w:rPr>
                <w:rFonts w:hint="eastAsia" w:ascii="宋体" w:hAnsi="宋体" w:cs="Times New Roman"/>
                <w:color w:val="auto"/>
                <w:sz w:val="24"/>
                <w:szCs w:val="24"/>
                <w:highlight w:val="none"/>
              </w:rPr>
              <w:fldChar w:fldCharType="end"/>
            </w:r>
            <w:r>
              <w:rPr>
                <w:rFonts w:hint="eastAsia" w:ascii="宋体" w:hAnsi="宋体" w:cs="Times New Roman"/>
                <w:color w:val="auto"/>
                <w:sz w:val="24"/>
                <w:szCs w:val="24"/>
                <w:highlight w:val="none"/>
              </w:rPr>
              <w:t>认证证书；</w:t>
            </w:r>
          </w:p>
          <w:p>
            <w:pPr>
              <w:widowControl/>
              <w:numPr>
                <w:ilvl w:val="0"/>
                <w:numId w:val="5"/>
              </w:numP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fldChar w:fldCharType="begin"/>
            </w:r>
            <w:r>
              <w:rPr>
                <w:rFonts w:hint="eastAsia" w:ascii="宋体" w:hAnsi="宋体" w:cs="Times New Roman"/>
                <w:color w:val="auto"/>
                <w:sz w:val="24"/>
                <w:szCs w:val="24"/>
                <w:highlight w:val="none"/>
                <w:lang w:val="en-US" w:eastAsia="zh-CN"/>
              </w:rPr>
              <w:instrText xml:space="preserve"> HYPERLINK "http://www.bjlkb.net/about.php?id=49" \o "ISO18001职业健康安全管理体系认证" </w:instrText>
            </w:r>
            <w:r>
              <w:rPr>
                <w:rFonts w:hint="eastAsia" w:ascii="宋体" w:hAnsi="宋体" w:cs="Times New Roman"/>
                <w:color w:val="auto"/>
                <w:sz w:val="24"/>
                <w:szCs w:val="24"/>
                <w:highlight w:val="none"/>
                <w:lang w:val="en-US" w:eastAsia="zh-CN"/>
              </w:rPr>
              <w:fldChar w:fldCharType="separate"/>
            </w:r>
            <w:r>
              <w:rPr>
                <w:rFonts w:hint="eastAsia" w:ascii="宋体" w:hAnsi="宋体" w:cs="Times New Roman"/>
                <w:color w:val="auto"/>
                <w:sz w:val="24"/>
                <w:szCs w:val="24"/>
                <w:highlight w:val="none"/>
                <w:lang w:val="en-US" w:eastAsia="zh-CN"/>
              </w:rPr>
              <w:t>ISO18001职业健康安全管理体系认证</w:t>
            </w:r>
            <w:r>
              <w:rPr>
                <w:rFonts w:hint="eastAsia" w:ascii="宋体" w:hAnsi="宋体" w:cs="Times New Roman"/>
                <w:color w:val="auto"/>
                <w:sz w:val="24"/>
                <w:szCs w:val="24"/>
                <w:highlight w:val="none"/>
                <w:lang w:val="en-US" w:eastAsia="zh-CN"/>
              </w:rPr>
              <w:fldChar w:fldCharType="end"/>
            </w:r>
            <w:r>
              <w:rPr>
                <w:rFonts w:hint="eastAsia" w:ascii="宋体" w:hAnsi="宋体" w:cs="Times New Roman"/>
                <w:color w:val="auto"/>
                <w:sz w:val="24"/>
                <w:szCs w:val="24"/>
                <w:highlight w:val="none"/>
                <w:lang w:val="en-US" w:eastAsia="zh-CN"/>
              </w:rPr>
              <w:t>；</w:t>
            </w:r>
          </w:p>
          <w:p>
            <w:pPr>
              <w:keepNext w:val="0"/>
              <w:keepLines w:val="0"/>
              <w:widowControl/>
              <w:numPr>
                <w:ilvl w:val="0"/>
                <w:numId w:val="0"/>
              </w:numPr>
              <w:suppressLineNumbers w:val="0"/>
              <w:spacing w:before="0" w:beforeAutospacing="0" w:after="0" w:afterAutospacing="0" w:line="240" w:lineRule="auto"/>
              <w:ind w:right="0" w:rightChars="0"/>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每有一项</w:t>
            </w:r>
            <w:r>
              <w:rPr>
                <w:rFonts w:hint="eastAsia" w:asciiTheme="minorEastAsia" w:hAnsiTheme="minorEastAsia" w:eastAsiaTheme="minorEastAsia" w:cstheme="minorEastAsia"/>
                <w:color w:val="auto"/>
                <w:sz w:val="24"/>
                <w:szCs w:val="24"/>
                <w:highlight w:val="none"/>
                <w:lang w:eastAsia="zh-CN"/>
              </w:rPr>
              <w:t>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分，</w:t>
            </w:r>
            <w:r>
              <w:rPr>
                <w:rFonts w:hint="eastAsia" w:asciiTheme="minorEastAsia" w:hAnsiTheme="minorEastAsia" w:eastAsiaTheme="minorEastAsia" w:cstheme="minorEastAsia"/>
                <w:color w:val="auto"/>
                <w:sz w:val="24"/>
                <w:szCs w:val="24"/>
                <w:highlight w:val="none"/>
                <w:lang w:val="en-US" w:eastAsia="zh-CN"/>
              </w:rPr>
              <w:t>三项证书全部提供得8分。</w:t>
            </w:r>
            <w:r>
              <w:rPr>
                <w:rStyle w:val="87"/>
                <w:rFonts w:ascii="宋体" w:hAnsi="宋体"/>
                <w:color w:val="auto"/>
                <w:sz w:val="24"/>
                <w:szCs w:val="24"/>
              </w:rPr>
              <w:t>（</w:t>
            </w:r>
            <w:r>
              <w:rPr>
                <w:rStyle w:val="87"/>
                <w:rFonts w:hint="eastAsia" w:ascii="宋体" w:hAnsi="宋体"/>
                <w:color w:val="auto"/>
                <w:sz w:val="24"/>
                <w:szCs w:val="24"/>
              </w:rPr>
              <w:t>投标文件需附</w:t>
            </w:r>
            <w:r>
              <w:rPr>
                <w:rStyle w:val="87"/>
                <w:rFonts w:ascii="宋体" w:hAnsi="宋体"/>
                <w:color w:val="auto"/>
                <w:sz w:val="24"/>
                <w:szCs w:val="24"/>
              </w:rPr>
              <w:t>复印件</w:t>
            </w:r>
            <w:r>
              <w:rPr>
                <w:rStyle w:val="87"/>
                <w:rFonts w:hint="eastAsia" w:ascii="宋体" w:hAnsi="宋体"/>
                <w:color w:val="auto"/>
                <w:sz w:val="24"/>
                <w:szCs w:val="24"/>
                <w:lang w:eastAsia="zh-CN"/>
              </w:rPr>
              <w:t>。</w:t>
            </w:r>
            <w:r>
              <w:rPr>
                <w:rStyle w:val="87"/>
                <w:rFonts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597" w:type="dxa"/>
            <w:vMerge w:val="restart"/>
            <w:tcBorders>
              <w:top w:val="single" w:color="auto" w:sz="4" w:space="0"/>
              <w:left w:val="single" w:color="auto" w:sz="4" w:space="0"/>
              <w:right w:val="single" w:color="auto" w:sz="4" w:space="0"/>
            </w:tcBorders>
            <w:vAlign w:val="center"/>
          </w:tcPr>
          <w:p>
            <w:pPr>
              <w:widowControl/>
              <w:rPr>
                <w:rFonts w:hint="default" w:ascii="宋体" w:hAnsi="宋体" w:eastAsia="宋体"/>
                <w:color w:val="auto"/>
                <w:sz w:val="24"/>
                <w:szCs w:val="24"/>
                <w:lang w:val="en-US" w:eastAsia="zh-CN"/>
              </w:rPr>
            </w:pPr>
            <w:r>
              <w:rPr>
                <w:rFonts w:hint="eastAsia" w:ascii="宋体" w:hAnsi="宋体"/>
                <w:color w:val="auto"/>
                <w:sz w:val="24"/>
                <w:szCs w:val="24"/>
              </w:rPr>
              <w:t>技术部</w:t>
            </w:r>
            <w:r>
              <w:rPr>
                <w:rFonts w:hint="eastAsia" w:ascii="宋体" w:hAnsi="宋体"/>
                <w:color w:val="auto"/>
                <w:sz w:val="24"/>
                <w:szCs w:val="24"/>
                <w:lang w:val="en-US" w:eastAsia="zh-CN"/>
              </w:rPr>
              <w:t>50</w:t>
            </w:r>
            <w:r>
              <w:rPr>
                <w:rFonts w:hint="eastAsia" w:ascii="宋体" w:hAnsi="宋体"/>
                <w:color w:val="auto"/>
                <w:sz w:val="24"/>
                <w:szCs w:val="24"/>
              </w:rPr>
              <w:t>分</w:t>
            </w:r>
          </w:p>
        </w:tc>
        <w:tc>
          <w:tcPr>
            <w:tcW w:w="2475" w:type="dxa"/>
            <w:tcBorders>
              <w:top w:val="single" w:color="auto" w:sz="4" w:space="0"/>
              <w:left w:val="single" w:color="auto" w:sz="4" w:space="0"/>
              <w:right w:val="single" w:color="auto" w:sz="4" w:space="0"/>
            </w:tcBorders>
            <w:vAlign w:val="center"/>
          </w:tcPr>
          <w:p>
            <w:pPr>
              <w:spacing w:line="240" w:lineRule="auto"/>
              <w:jc w:val="center"/>
              <w:rPr>
                <w:rStyle w:val="87"/>
                <w:rFonts w:ascii="宋体" w:hAnsi="宋体"/>
                <w:sz w:val="24"/>
                <w:szCs w:val="24"/>
              </w:rPr>
            </w:pPr>
            <w:r>
              <w:rPr>
                <w:rStyle w:val="87"/>
                <w:rFonts w:ascii="宋体" w:hAnsi="宋体"/>
                <w:color w:val="000000"/>
                <w:sz w:val="24"/>
                <w:szCs w:val="24"/>
              </w:rPr>
              <w:t>所投产品技术</w:t>
            </w:r>
            <w:r>
              <w:rPr>
                <w:rStyle w:val="87"/>
                <w:rFonts w:ascii="宋体" w:hAnsi="宋体"/>
                <w:sz w:val="24"/>
                <w:szCs w:val="24"/>
              </w:rPr>
              <w:t>情况</w:t>
            </w:r>
          </w:p>
          <w:p>
            <w:pPr>
              <w:pStyle w:val="13"/>
              <w:jc w:val="center"/>
              <w:rPr>
                <w:rFonts w:ascii="宋体" w:hAnsi="宋体"/>
                <w:color w:val="auto"/>
                <w:sz w:val="24"/>
                <w:szCs w:val="24"/>
              </w:rPr>
            </w:pPr>
            <w:r>
              <w:rPr>
                <w:rStyle w:val="87"/>
                <w:rFonts w:hint="eastAsia" w:ascii="宋体" w:hAnsi="宋体"/>
                <w:sz w:val="24"/>
                <w:szCs w:val="24"/>
              </w:rPr>
              <w:t>（</w:t>
            </w:r>
            <w:r>
              <w:rPr>
                <w:rStyle w:val="87"/>
                <w:rFonts w:hint="eastAsia" w:ascii="宋体" w:hAnsi="宋体"/>
                <w:sz w:val="24"/>
                <w:szCs w:val="24"/>
                <w:lang w:val="en-US"/>
              </w:rPr>
              <w:t>20分</w:t>
            </w:r>
            <w:r>
              <w:rPr>
                <w:rStyle w:val="87"/>
                <w:rFonts w:hint="eastAsia" w:ascii="宋体" w:hAnsi="宋体"/>
                <w:sz w:val="24"/>
                <w:szCs w:val="24"/>
              </w:rPr>
              <w:t>）</w:t>
            </w:r>
          </w:p>
        </w:tc>
        <w:tc>
          <w:tcPr>
            <w:tcW w:w="7070" w:type="dxa"/>
            <w:tcBorders>
              <w:top w:val="single" w:color="auto" w:sz="4" w:space="0"/>
              <w:left w:val="single" w:color="auto" w:sz="4" w:space="0"/>
              <w:bottom w:val="single" w:color="auto" w:sz="4" w:space="0"/>
              <w:right w:val="single" w:color="auto" w:sz="4" w:space="0"/>
            </w:tcBorders>
            <w:vAlign w:val="center"/>
          </w:tcPr>
          <w:p>
            <w:pPr>
              <w:pStyle w:val="91"/>
              <w:spacing w:line="240" w:lineRule="auto"/>
              <w:ind w:left="0" w:leftChars="0" w:firstLine="0" w:firstLineChars="0"/>
              <w:jc w:val="left"/>
              <w:rPr>
                <w:rFonts w:ascii="宋体" w:hAnsi="宋体"/>
                <w:color w:val="auto"/>
                <w:sz w:val="24"/>
                <w:szCs w:val="24"/>
              </w:rPr>
            </w:pPr>
            <w:r>
              <w:rPr>
                <w:rStyle w:val="87"/>
                <w:rFonts w:ascii="宋体" w:hAnsi="宋体"/>
                <w:color w:val="000000"/>
                <w:sz w:val="24"/>
                <w:szCs w:val="24"/>
              </w:rPr>
              <w:t>所投产品技术</w:t>
            </w:r>
            <w:r>
              <w:rPr>
                <w:rStyle w:val="87"/>
                <w:rFonts w:ascii="宋体" w:hAnsi="宋体"/>
                <w:sz w:val="24"/>
                <w:szCs w:val="24"/>
              </w:rPr>
              <w:t>情况：满足采购人技术参数要求，部分指标低于采购人需求</w:t>
            </w:r>
            <w:r>
              <w:rPr>
                <w:rStyle w:val="87"/>
                <w:rFonts w:hint="eastAsia" w:ascii="宋体" w:hAnsi="宋体"/>
                <w:sz w:val="24"/>
                <w:szCs w:val="24"/>
              </w:rPr>
              <w:t>或</w:t>
            </w:r>
            <w:r>
              <w:rPr>
                <w:rStyle w:val="87"/>
                <w:rFonts w:ascii="宋体" w:hAnsi="宋体" w:cs="宋体"/>
                <w:bCs/>
                <w:sz w:val="24"/>
                <w:szCs w:val="24"/>
              </w:rPr>
              <w:t>出现负偏离</w:t>
            </w:r>
            <w:r>
              <w:rPr>
                <w:rStyle w:val="87"/>
                <w:rFonts w:hint="eastAsia" w:ascii="宋体" w:hAnsi="宋体" w:cs="宋体"/>
                <w:bCs/>
                <w:sz w:val="24"/>
                <w:szCs w:val="24"/>
              </w:rPr>
              <w:t>的，</w:t>
            </w:r>
            <w:r>
              <w:rPr>
                <w:rStyle w:val="87"/>
                <w:rFonts w:ascii="宋体" w:hAnsi="宋体" w:cs="宋体"/>
                <w:bCs/>
                <w:sz w:val="24"/>
                <w:szCs w:val="24"/>
              </w:rPr>
              <w:t>每项扣</w:t>
            </w:r>
            <w:r>
              <w:rPr>
                <w:rStyle w:val="87"/>
                <w:rFonts w:hint="eastAsia" w:ascii="宋体" w:hAnsi="宋体" w:cs="宋体"/>
                <w:bCs/>
                <w:sz w:val="24"/>
                <w:szCs w:val="24"/>
              </w:rPr>
              <w:t>2</w:t>
            </w:r>
            <w:r>
              <w:rPr>
                <w:rStyle w:val="87"/>
                <w:rFonts w:ascii="宋体" w:hAnsi="宋体" w:cs="宋体"/>
                <w:bCs/>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olor w:val="auto"/>
                <w:sz w:val="24"/>
                <w:szCs w:val="24"/>
                <w:lang w:val="en-US" w:eastAsia="zh-CN"/>
              </w:rPr>
            </w:pPr>
            <w:r>
              <w:rPr>
                <w:rFonts w:hint="eastAsia" w:ascii="宋体" w:hAnsi="宋体"/>
                <w:sz w:val="24"/>
                <w:highlight w:val="none"/>
              </w:rPr>
              <w:t>售后</w:t>
            </w:r>
            <w:r>
              <w:rPr>
                <w:rFonts w:ascii="宋体" w:hAnsi="宋体"/>
                <w:sz w:val="24"/>
                <w:highlight w:val="none"/>
              </w:rPr>
              <w:t>服务</w:t>
            </w:r>
            <w:r>
              <w:rPr>
                <w:rFonts w:hint="eastAsia" w:ascii="宋体" w:hAnsi="宋体"/>
                <w:sz w:val="24"/>
                <w:highlight w:val="none"/>
                <w:lang w:eastAsia="zh-CN"/>
              </w:rPr>
              <w:t>（</w:t>
            </w:r>
            <w:r>
              <w:rPr>
                <w:rFonts w:hint="eastAsia" w:ascii="宋体" w:hAnsi="宋体"/>
                <w:sz w:val="24"/>
                <w:highlight w:val="none"/>
                <w:lang w:val="en-US" w:eastAsia="zh-CN"/>
              </w:rPr>
              <w:t>6分</w:t>
            </w:r>
            <w:r>
              <w:rPr>
                <w:rFonts w:hint="eastAsia" w:ascii="宋体" w:hAnsi="宋体"/>
                <w:sz w:val="24"/>
                <w:highlight w:val="none"/>
                <w:lang w:eastAsia="zh-CN"/>
              </w:rPr>
              <w:t>）</w:t>
            </w:r>
          </w:p>
        </w:tc>
        <w:tc>
          <w:tcPr>
            <w:tcW w:w="7070" w:type="dxa"/>
            <w:tcBorders>
              <w:top w:val="single" w:color="auto" w:sz="4" w:space="0"/>
              <w:left w:val="single" w:color="auto" w:sz="4" w:space="0"/>
              <w:bottom w:val="single" w:color="auto" w:sz="4" w:space="0"/>
              <w:right w:val="single" w:color="auto" w:sz="4" w:space="0"/>
            </w:tcBorders>
            <w:vAlign w:val="center"/>
          </w:tcPr>
          <w:p>
            <w:pPr>
              <w:pStyle w:val="91"/>
              <w:spacing w:line="240" w:lineRule="auto"/>
              <w:ind w:left="0" w:leftChars="0"/>
              <w:rPr>
                <w:rStyle w:val="87"/>
                <w:rFonts w:hint="eastAsia" w:ascii="宋体" w:hAnsi="宋体" w:eastAsia="宋体" w:cs="Times New Roman"/>
                <w:color w:val="auto"/>
                <w:sz w:val="24"/>
                <w:szCs w:val="24"/>
                <w:lang w:val="en-US" w:eastAsia="zh-CN"/>
              </w:rPr>
            </w:pPr>
            <w:r>
              <w:rPr>
                <w:rStyle w:val="87"/>
                <w:rFonts w:hint="default" w:ascii="宋体" w:hAnsi="宋体" w:cs="Times New Roman"/>
                <w:color w:val="auto"/>
                <w:sz w:val="24"/>
                <w:szCs w:val="24"/>
                <w:lang w:val="en-US" w:eastAsia="zh-CN"/>
              </w:rPr>
              <w:t>售后服务方案进行综合评价，包括：</w:t>
            </w:r>
            <w:r>
              <w:rPr>
                <w:rStyle w:val="87"/>
                <w:rFonts w:hint="eastAsia" w:ascii="宋体" w:hAnsi="宋体" w:cs="Times New Roman"/>
                <w:color w:val="auto"/>
                <w:sz w:val="24"/>
                <w:szCs w:val="24"/>
                <w:lang w:val="en-US" w:eastAsia="zh-CN"/>
              </w:rPr>
              <w:t>1.</w:t>
            </w:r>
            <w:r>
              <w:rPr>
                <w:rStyle w:val="87"/>
                <w:rFonts w:hint="default" w:ascii="宋体" w:hAnsi="宋体" w:cs="Times New Roman"/>
                <w:color w:val="auto"/>
                <w:sz w:val="24"/>
                <w:szCs w:val="24"/>
                <w:lang w:val="en-US" w:eastAsia="zh-CN"/>
              </w:rPr>
              <w:t>售后服务机构和人员</w:t>
            </w:r>
            <w:r>
              <w:rPr>
                <w:rStyle w:val="87"/>
                <w:rFonts w:hint="eastAsia" w:ascii="宋体" w:hAnsi="宋体" w:cs="Times New Roman"/>
                <w:color w:val="auto"/>
                <w:sz w:val="24"/>
                <w:szCs w:val="24"/>
                <w:lang w:val="en-US" w:eastAsia="zh-CN"/>
              </w:rPr>
              <w:t>、2.</w:t>
            </w:r>
            <w:r>
              <w:rPr>
                <w:rStyle w:val="87"/>
                <w:rFonts w:hint="default" w:ascii="宋体" w:hAnsi="宋体" w:cs="Times New Roman"/>
                <w:color w:val="auto"/>
                <w:sz w:val="24"/>
                <w:szCs w:val="24"/>
                <w:lang w:val="en-US" w:eastAsia="zh-CN"/>
              </w:rPr>
              <w:t>服务响应时间、</w:t>
            </w:r>
            <w:r>
              <w:rPr>
                <w:rStyle w:val="87"/>
                <w:rFonts w:hint="eastAsia" w:ascii="宋体" w:hAnsi="宋体" w:cs="Times New Roman"/>
                <w:color w:val="auto"/>
                <w:sz w:val="24"/>
                <w:szCs w:val="24"/>
                <w:lang w:val="en-US" w:eastAsia="zh-CN"/>
              </w:rPr>
              <w:t>3.</w:t>
            </w:r>
            <w:r>
              <w:rPr>
                <w:rStyle w:val="87"/>
                <w:rFonts w:hint="default" w:ascii="宋体" w:hAnsi="宋体" w:cs="Times New Roman"/>
                <w:color w:val="auto"/>
                <w:sz w:val="24"/>
                <w:szCs w:val="24"/>
                <w:lang w:val="en-US" w:eastAsia="zh-CN"/>
              </w:rPr>
              <w:t>服务体系</w:t>
            </w:r>
            <w:r>
              <w:rPr>
                <w:rStyle w:val="87"/>
                <w:rFonts w:hint="eastAsia" w:ascii="宋体" w:hAnsi="宋体" w:cs="Times New Roman"/>
                <w:color w:val="auto"/>
                <w:sz w:val="24"/>
                <w:szCs w:val="24"/>
                <w:lang w:val="en-US" w:eastAsia="zh-CN"/>
              </w:rPr>
              <w:t>、4.</w:t>
            </w:r>
            <w:r>
              <w:rPr>
                <w:rStyle w:val="87"/>
                <w:rFonts w:hint="default" w:ascii="宋体" w:hAnsi="宋体" w:cs="Times New Roman"/>
                <w:color w:val="auto"/>
                <w:sz w:val="24"/>
                <w:szCs w:val="24"/>
                <w:lang w:val="en-US" w:eastAsia="zh-CN"/>
              </w:rPr>
              <w:t>备品备件</w:t>
            </w:r>
            <w:r>
              <w:rPr>
                <w:rStyle w:val="87"/>
                <w:rFonts w:hint="eastAsia" w:ascii="宋体" w:hAnsi="宋体" w:cs="Times New Roman"/>
                <w:color w:val="auto"/>
                <w:sz w:val="24"/>
                <w:szCs w:val="24"/>
                <w:lang w:val="en-US" w:eastAsia="zh-CN"/>
              </w:rPr>
              <w:t>、5.运输、6</w:t>
            </w:r>
            <w:r>
              <w:rPr>
                <w:rStyle w:val="87"/>
                <w:rFonts w:hint="default" w:ascii="宋体" w:hAnsi="宋体" w:cs="Times New Roman"/>
                <w:color w:val="auto"/>
                <w:sz w:val="24"/>
                <w:szCs w:val="24"/>
                <w:lang w:val="en-US" w:eastAsia="zh-CN"/>
              </w:rPr>
              <w:t>安装调试</w:t>
            </w:r>
            <w:r>
              <w:rPr>
                <w:rStyle w:val="87"/>
                <w:rFonts w:hint="eastAsia" w:ascii="宋体" w:hAnsi="宋体" w:cs="Times New Roman"/>
                <w:color w:val="auto"/>
                <w:sz w:val="24"/>
                <w:szCs w:val="24"/>
                <w:lang w:val="en-US" w:eastAsia="zh-CN"/>
              </w:rPr>
              <w:t>,</w:t>
            </w:r>
            <w:r>
              <w:rPr>
                <w:rFonts w:hint="eastAsia" w:ascii="宋体" w:hAnsi="宋体" w:cs="宋体"/>
                <w:color w:val="000000"/>
                <w:sz w:val="24"/>
                <w:szCs w:val="24"/>
                <w:u w:val="none" w:color="auto"/>
                <w:lang w:val="en-US" w:eastAsia="zh-CN"/>
              </w:rPr>
              <w:t>每有一项且</w:t>
            </w:r>
            <w:r>
              <w:rPr>
                <w:rFonts w:hint="eastAsia" w:ascii="宋体" w:hAnsi="宋体" w:eastAsia="宋体" w:cs="宋体"/>
                <w:color w:val="000000"/>
                <w:sz w:val="24"/>
                <w:szCs w:val="24"/>
                <w:u w:val="none" w:color="auto"/>
                <w:lang w:val="en-US" w:eastAsia="zh-CN"/>
              </w:rPr>
              <w:t>内容完整明确、合理</w:t>
            </w:r>
            <w:r>
              <w:rPr>
                <w:rFonts w:hint="eastAsia" w:ascii="宋体" w:hAnsi="宋体" w:cs="宋体"/>
                <w:color w:val="000000"/>
                <w:sz w:val="24"/>
                <w:szCs w:val="24"/>
                <w:u w:val="none" w:color="auto"/>
                <w:lang w:val="en-US" w:eastAsia="zh-CN"/>
              </w:rPr>
              <w:t>的</w:t>
            </w:r>
            <w:r>
              <w:rPr>
                <w:rFonts w:hint="eastAsia" w:ascii="宋体" w:hAnsi="宋体" w:cs="宋体"/>
                <w:color w:val="000000"/>
                <w:sz w:val="24"/>
                <w:szCs w:val="24"/>
                <w:highlight w:val="none"/>
                <w:u w:val="none" w:color="auto"/>
                <w:lang w:val="en-US" w:eastAsia="zh-CN"/>
              </w:rPr>
              <w:t>得1</w:t>
            </w:r>
            <w:r>
              <w:rPr>
                <w:rFonts w:hint="eastAsia" w:ascii="宋体" w:hAnsi="宋体" w:eastAsia="宋体" w:cs="宋体"/>
                <w:color w:val="000000"/>
                <w:sz w:val="24"/>
                <w:szCs w:val="24"/>
                <w:highlight w:val="none"/>
                <w:u w:val="none" w:color="auto"/>
                <w:lang w:val="en-US" w:eastAsia="zh-CN"/>
              </w:rPr>
              <w:t>分，</w:t>
            </w:r>
            <w:r>
              <w:rPr>
                <w:rFonts w:hint="eastAsia" w:ascii="宋体" w:hAnsi="宋体" w:cs="宋体"/>
                <w:color w:val="000000"/>
                <w:sz w:val="24"/>
                <w:szCs w:val="24"/>
                <w:highlight w:val="none"/>
                <w:u w:val="none" w:color="auto"/>
                <w:lang w:val="en-US" w:eastAsia="zh-CN"/>
              </w:rPr>
              <w:t>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20" w:lineRule="exact"/>
              <w:ind w:left="0" w:leftChars="0" w:right="0" w:rightChars="0"/>
              <w:jc w:val="center"/>
              <w:rPr>
                <w:rStyle w:val="87"/>
                <w:rFonts w:ascii="宋体" w:hAnsi="宋体"/>
                <w:sz w:val="24"/>
                <w:szCs w:val="24"/>
              </w:rPr>
            </w:pPr>
            <w:r>
              <w:rPr>
                <w:rStyle w:val="87"/>
                <w:rFonts w:ascii="宋体" w:hAnsi="宋体"/>
                <w:sz w:val="24"/>
                <w:szCs w:val="20"/>
                <w:highlight w:val="none"/>
              </w:rPr>
              <w:t>检测和认证</w:t>
            </w:r>
            <w:r>
              <w:rPr>
                <w:rStyle w:val="87"/>
                <w:rFonts w:hint="eastAsia" w:ascii="宋体" w:hAnsi="宋体"/>
                <w:sz w:val="24"/>
                <w:szCs w:val="20"/>
                <w:highlight w:val="none"/>
              </w:rPr>
              <w:t>（</w:t>
            </w:r>
            <w:r>
              <w:rPr>
                <w:rStyle w:val="87"/>
                <w:rFonts w:hint="eastAsia" w:ascii="宋体" w:hAnsi="宋体"/>
                <w:sz w:val="24"/>
                <w:szCs w:val="20"/>
                <w:highlight w:val="none"/>
                <w:lang w:val="en-US"/>
              </w:rPr>
              <w:t>8分</w:t>
            </w:r>
            <w:r>
              <w:rPr>
                <w:rStyle w:val="87"/>
                <w:rFonts w:hint="eastAsia" w:ascii="宋体" w:hAnsi="宋体"/>
                <w:sz w:val="24"/>
                <w:szCs w:val="20"/>
                <w:highlight w:val="none"/>
              </w:rPr>
              <w:t>）</w:t>
            </w:r>
          </w:p>
        </w:tc>
        <w:tc>
          <w:tcPr>
            <w:tcW w:w="7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hint="eastAsia" w:ascii="宋体" w:hAnsi="宋体"/>
                <w:color w:val="auto"/>
                <w:sz w:val="24"/>
                <w:szCs w:val="24"/>
              </w:rPr>
            </w:pPr>
            <w:r>
              <w:rPr>
                <w:rStyle w:val="87"/>
                <w:rFonts w:hint="eastAsia" w:ascii="宋体" w:hAnsi="宋体"/>
                <w:color w:val="auto"/>
                <w:sz w:val="24"/>
                <w:szCs w:val="24"/>
              </w:rPr>
              <w:t>提供二噁英控制检测合格证书；</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hint="eastAsia" w:ascii="宋体" w:hAnsi="宋体"/>
                <w:color w:val="auto"/>
                <w:sz w:val="24"/>
                <w:szCs w:val="24"/>
              </w:rPr>
              <w:t>提供由国家环境分析测试中心检测的尾气净化设备的检测报告（按国家GB13801-2015新标准）；</w:t>
            </w:r>
          </w:p>
          <w:p>
            <w:pPr>
              <w:keepNext w:val="0"/>
              <w:keepLines w:val="0"/>
              <w:widowControl w:val="0"/>
              <w:numPr>
                <w:ilvl w:val="0"/>
                <w:numId w:val="6"/>
              </w:numPr>
              <w:suppressLineNumbers w:val="0"/>
              <w:spacing w:before="0" w:beforeAutospacing="0" w:after="0" w:afterAutospacing="0" w:line="320" w:lineRule="exact"/>
              <w:ind w:left="0" w:leftChars="0" w:right="0" w:rightChars="0"/>
              <w:jc w:val="both"/>
              <w:rPr>
                <w:rStyle w:val="87"/>
                <w:rFonts w:ascii="宋体" w:hAnsi="宋体"/>
                <w:color w:val="auto"/>
                <w:sz w:val="24"/>
                <w:szCs w:val="24"/>
              </w:rPr>
            </w:pPr>
            <w:r>
              <w:rPr>
                <w:rStyle w:val="87"/>
                <w:rFonts w:ascii="宋体" w:hAnsi="宋体"/>
                <w:color w:val="auto"/>
                <w:sz w:val="24"/>
                <w:szCs w:val="24"/>
              </w:rPr>
              <w:t>提供由国家环境分析测试中心出具的火化机检测报告（按国家GB13801-2015新标准）；</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ascii="宋体" w:hAnsi="宋体"/>
                <w:color w:val="auto"/>
                <w:sz w:val="24"/>
                <w:szCs w:val="24"/>
              </w:rPr>
              <w:t>提供权威火化机尾气电控柜的检测报告；</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ascii="宋体" w:hAnsi="宋体"/>
                <w:color w:val="auto"/>
                <w:sz w:val="24"/>
                <w:szCs w:val="24"/>
              </w:rPr>
              <w:t>提供瞻仰台检测报告；</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ascii="宋体" w:hAnsi="宋体"/>
                <w:color w:val="auto"/>
                <w:sz w:val="24"/>
                <w:szCs w:val="24"/>
              </w:rPr>
              <w:t>提供水晶棺检测报告；</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ascii="宋体" w:hAnsi="宋体"/>
                <w:color w:val="auto"/>
                <w:sz w:val="24"/>
                <w:szCs w:val="24"/>
              </w:rPr>
              <w:t>提供太平柜检测报告；</w:t>
            </w:r>
          </w:p>
          <w:p>
            <w:pPr>
              <w:keepNext w:val="0"/>
              <w:keepLines w:val="0"/>
              <w:widowControl w:val="0"/>
              <w:numPr>
                <w:ilvl w:val="0"/>
                <w:numId w:val="6"/>
              </w:numPr>
              <w:suppressLineNumbers w:val="0"/>
              <w:spacing w:before="0" w:beforeAutospacing="0" w:after="0" w:afterAutospacing="0" w:line="320" w:lineRule="exact"/>
              <w:ind w:left="0" w:leftChars="0" w:right="0" w:rightChars="0" w:firstLine="0" w:firstLineChars="0"/>
              <w:jc w:val="both"/>
              <w:rPr>
                <w:rStyle w:val="87"/>
                <w:rFonts w:ascii="宋体" w:hAnsi="宋体"/>
                <w:color w:val="auto"/>
                <w:sz w:val="24"/>
                <w:szCs w:val="24"/>
              </w:rPr>
            </w:pPr>
            <w:r>
              <w:rPr>
                <w:rStyle w:val="87"/>
                <w:rFonts w:ascii="宋体" w:hAnsi="宋体"/>
                <w:color w:val="auto"/>
                <w:sz w:val="24"/>
                <w:szCs w:val="24"/>
              </w:rPr>
              <w:t>提供骨灰存放架检测报告；</w:t>
            </w:r>
          </w:p>
          <w:p>
            <w:pPr>
              <w:keepNext w:val="0"/>
              <w:keepLines w:val="0"/>
              <w:widowControl w:val="0"/>
              <w:numPr>
                <w:ilvl w:val="0"/>
                <w:numId w:val="0"/>
              </w:numPr>
              <w:suppressLineNumbers w:val="0"/>
              <w:spacing w:before="0" w:beforeAutospacing="0" w:after="0" w:afterAutospacing="0" w:line="320" w:lineRule="exact"/>
              <w:ind w:leftChars="0" w:right="0" w:rightChars="0"/>
              <w:jc w:val="both"/>
              <w:rPr>
                <w:rStyle w:val="87"/>
                <w:rFonts w:ascii="宋体" w:hAnsi="宋体"/>
                <w:color w:val="auto"/>
                <w:sz w:val="24"/>
                <w:szCs w:val="24"/>
              </w:rPr>
            </w:pPr>
            <w:r>
              <w:rPr>
                <w:rStyle w:val="87"/>
                <w:rFonts w:hint="eastAsia" w:ascii="宋体" w:hAnsi="宋体"/>
                <w:color w:val="auto"/>
                <w:sz w:val="24"/>
                <w:szCs w:val="24"/>
                <w:lang w:eastAsia="zh-CN"/>
              </w:rPr>
              <w:t>合格的检测报告</w:t>
            </w:r>
            <w:r>
              <w:rPr>
                <w:rStyle w:val="87"/>
                <w:rFonts w:hint="eastAsia" w:ascii="宋体" w:hAnsi="宋体"/>
                <w:color w:val="auto"/>
                <w:sz w:val="24"/>
                <w:szCs w:val="24"/>
              </w:rPr>
              <w:t>每提供一份得</w:t>
            </w:r>
            <w:r>
              <w:rPr>
                <w:rStyle w:val="87"/>
                <w:rFonts w:hint="eastAsia" w:ascii="宋体" w:hAnsi="宋体"/>
                <w:color w:val="auto"/>
                <w:sz w:val="24"/>
                <w:szCs w:val="24"/>
                <w:lang w:val="en-US"/>
              </w:rPr>
              <w:t>1分，</w:t>
            </w:r>
            <w:r>
              <w:rPr>
                <w:rStyle w:val="87"/>
                <w:rFonts w:ascii="宋体" w:hAnsi="宋体"/>
                <w:color w:val="auto"/>
                <w:sz w:val="24"/>
                <w:szCs w:val="24"/>
              </w:rPr>
              <w:t>满分</w:t>
            </w:r>
            <w:r>
              <w:rPr>
                <w:rStyle w:val="87"/>
                <w:rFonts w:hint="eastAsia" w:ascii="宋体" w:hAnsi="宋体"/>
                <w:color w:val="auto"/>
                <w:sz w:val="24"/>
                <w:szCs w:val="24"/>
                <w:lang w:val="en-US"/>
              </w:rPr>
              <w:t>8</w:t>
            </w:r>
            <w:r>
              <w:rPr>
                <w:rStyle w:val="87"/>
                <w:rFonts w:ascii="宋体" w:hAnsi="宋体"/>
                <w:color w:val="auto"/>
                <w:sz w:val="24"/>
                <w:szCs w:val="24"/>
              </w:rPr>
              <w:t>分。（</w:t>
            </w:r>
            <w:r>
              <w:rPr>
                <w:rStyle w:val="87"/>
                <w:rFonts w:hint="eastAsia" w:ascii="宋体" w:hAnsi="宋体"/>
                <w:color w:val="auto"/>
                <w:sz w:val="24"/>
                <w:szCs w:val="24"/>
              </w:rPr>
              <w:t>投标文件需附</w:t>
            </w:r>
            <w:r>
              <w:rPr>
                <w:rStyle w:val="87"/>
                <w:rFonts w:ascii="宋体" w:hAnsi="宋体"/>
                <w:color w:val="auto"/>
                <w:sz w:val="24"/>
                <w:szCs w:val="24"/>
              </w:rPr>
              <w:t>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lang w:val="en-US" w:eastAsia="zh-CN"/>
              </w:rPr>
              <w:t>现场演示（10）</w:t>
            </w:r>
          </w:p>
        </w:tc>
        <w:tc>
          <w:tcPr>
            <w:tcW w:w="7070" w:type="dxa"/>
            <w:tcBorders>
              <w:top w:val="single" w:color="auto" w:sz="4" w:space="0"/>
              <w:left w:val="single" w:color="auto" w:sz="4" w:space="0"/>
              <w:bottom w:val="single" w:color="auto" w:sz="4" w:space="0"/>
              <w:right w:val="single" w:color="auto" w:sz="4" w:space="0"/>
            </w:tcBorders>
            <w:vAlign w:val="center"/>
          </w:tcPr>
          <w:p>
            <w:pPr>
              <w:widowControl/>
              <w:rPr>
                <w:rFonts w:hint="default"/>
                <w:lang w:val="en-US" w:eastAsia="zh-CN"/>
              </w:rPr>
            </w:pPr>
            <w:r>
              <w:rPr>
                <w:rFonts w:hint="eastAsia" w:asciiTheme="minorEastAsia" w:hAnsiTheme="minorEastAsia" w:eastAsiaTheme="minorEastAsia" w:cstheme="minorEastAsia"/>
                <w:color w:val="auto"/>
                <w:kern w:val="2"/>
                <w:sz w:val="24"/>
                <w:szCs w:val="24"/>
                <w:lang w:val="en-US" w:eastAsia="zh-CN" w:bidi="ar-SA"/>
              </w:rPr>
              <w:t>对投标人提供提供的高档捡灰火化机摆臂式操作触摸液晶面板、大型豪华瞻仰台智能发光中华柱演示进行评分，根据可靠性、操作性、智能性方面，投标人自主编程进行操作演示评审和比较：基础分为4分，每有一项且演示内容完整明确、合理的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auto"/>
                <w:sz w:val="24"/>
                <w:szCs w:val="24"/>
              </w:rPr>
            </w:pPr>
          </w:p>
        </w:tc>
        <w:tc>
          <w:tcPr>
            <w:tcW w:w="24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000000"/>
                <w:sz w:val="24"/>
                <w:szCs w:val="24"/>
              </w:rPr>
              <w:t>质保期（</w:t>
            </w:r>
            <w:r>
              <w:rPr>
                <w:rFonts w:hint="eastAsia" w:ascii="宋体" w:hAnsi="宋体"/>
                <w:color w:val="000000"/>
                <w:sz w:val="24"/>
                <w:szCs w:val="24"/>
                <w:lang w:val="en-US" w:eastAsia="zh-CN"/>
              </w:rPr>
              <w:t>6</w:t>
            </w:r>
            <w:r>
              <w:rPr>
                <w:rFonts w:hint="eastAsia" w:ascii="宋体" w:hAnsi="宋体"/>
                <w:color w:val="000000"/>
                <w:sz w:val="24"/>
                <w:szCs w:val="24"/>
              </w:rPr>
              <w:t>分）</w:t>
            </w:r>
          </w:p>
        </w:tc>
        <w:tc>
          <w:tcPr>
            <w:tcW w:w="7070"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olor w:val="auto"/>
                <w:sz w:val="24"/>
                <w:szCs w:val="24"/>
                <w:lang w:val="en-US"/>
              </w:rPr>
            </w:pPr>
            <w:r>
              <w:rPr>
                <w:rFonts w:hint="eastAsia" w:ascii="宋体" w:hAnsi="宋体"/>
                <w:color w:val="000000"/>
                <w:sz w:val="24"/>
                <w:szCs w:val="24"/>
                <w:lang w:val="en-US" w:eastAsia="zh-CN"/>
              </w:rPr>
              <w:t>投标人所投产品</w:t>
            </w:r>
            <w:r>
              <w:rPr>
                <w:rFonts w:hint="eastAsia" w:ascii="宋体" w:hAnsi="宋体"/>
                <w:color w:val="000000"/>
                <w:sz w:val="24"/>
                <w:szCs w:val="24"/>
              </w:rPr>
              <w:t>质保期满足</w:t>
            </w:r>
            <w:r>
              <w:rPr>
                <w:rFonts w:hint="eastAsia" w:ascii="宋体" w:hAnsi="宋体"/>
                <w:color w:val="000000"/>
                <w:sz w:val="24"/>
                <w:szCs w:val="24"/>
                <w:lang w:val="en-US" w:eastAsia="zh-CN"/>
              </w:rPr>
              <w:t>招标</w:t>
            </w:r>
            <w:r>
              <w:rPr>
                <w:rFonts w:hint="eastAsia" w:ascii="宋体" w:hAnsi="宋体"/>
                <w:color w:val="000000"/>
                <w:sz w:val="24"/>
                <w:szCs w:val="24"/>
              </w:rPr>
              <w:t>文件得</w:t>
            </w:r>
            <w:r>
              <w:rPr>
                <w:rFonts w:hint="eastAsia" w:ascii="宋体" w:hAnsi="宋体"/>
                <w:color w:val="000000"/>
                <w:sz w:val="24"/>
                <w:szCs w:val="24"/>
                <w:lang w:val="en-US" w:eastAsia="zh-CN"/>
              </w:rPr>
              <w:t>3</w:t>
            </w:r>
            <w:r>
              <w:rPr>
                <w:rFonts w:hint="eastAsia" w:ascii="宋体" w:hAnsi="宋体"/>
                <w:color w:val="000000"/>
                <w:sz w:val="24"/>
                <w:szCs w:val="24"/>
              </w:rPr>
              <w:t>分，质保期每超出一年加1分，满分</w:t>
            </w:r>
            <w:r>
              <w:rPr>
                <w:rFonts w:hint="eastAsia" w:ascii="宋体" w:hAnsi="宋体"/>
                <w:color w:val="000000"/>
                <w:sz w:val="24"/>
                <w:szCs w:val="24"/>
                <w:lang w:val="en-US" w:eastAsia="zh-CN"/>
              </w:rPr>
              <w:t>6</w:t>
            </w:r>
            <w:r>
              <w:rPr>
                <w:rFonts w:hint="eastAsia" w:ascii="宋体" w:hAnsi="宋体"/>
                <w:color w:val="000000"/>
                <w:sz w:val="24"/>
                <w:szCs w:val="24"/>
              </w:rPr>
              <w:t>分。</w:t>
            </w:r>
          </w:p>
        </w:tc>
      </w:tr>
    </w:tbl>
    <w:p>
      <w:pPr>
        <w:spacing w:line="360" w:lineRule="auto"/>
        <w:rPr>
          <w:rFonts w:ascii="宋体" w:hAnsi="宋体" w:cs="宋体"/>
          <w:b/>
          <w:color w:val="auto"/>
          <w:kern w:val="0"/>
          <w:sz w:val="24"/>
          <w:szCs w:val="24"/>
        </w:rPr>
      </w:pPr>
    </w:p>
    <w:p>
      <w:pPr>
        <w:spacing w:line="360" w:lineRule="auto"/>
        <w:rPr>
          <w:rFonts w:ascii="宋体" w:hAnsi="宋体"/>
          <w:color w:val="auto"/>
          <w:sz w:val="24"/>
          <w:szCs w:val="24"/>
        </w:rPr>
      </w:pPr>
      <w:r>
        <w:rPr>
          <w:rFonts w:ascii="宋体" w:hAnsi="宋体"/>
          <w:color w:val="auto"/>
          <w:sz w:val="24"/>
          <w:szCs w:val="24"/>
        </w:rPr>
        <w:br w:type="page"/>
      </w:r>
    </w:p>
    <w:p>
      <w:pPr>
        <w:pStyle w:val="3"/>
        <w:keepNext w:val="0"/>
        <w:keepLines w:val="0"/>
        <w:spacing w:line="360" w:lineRule="auto"/>
        <w:rPr>
          <w:rFonts w:ascii="宋体" w:hAnsi="宋体"/>
          <w:color w:val="auto"/>
          <w:sz w:val="24"/>
          <w:szCs w:val="24"/>
        </w:rPr>
      </w:pPr>
      <w:bookmarkStart w:id="29" w:name="_Toc29111_WPSOffice_Level1"/>
      <w:bookmarkStart w:id="30" w:name="_Toc497408663"/>
      <w:r>
        <w:rPr>
          <w:rFonts w:hint="eastAsia" w:ascii="宋体" w:hAnsi="宋体"/>
          <w:color w:val="auto"/>
          <w:sz w:val="24"/>
          <w:szCs w:val="24"/>
        </w:rPr>
        <w:t>第七章 投标文件格式与要求</w:t>
      </w:r>
      <w:bookmarkEnd w:id="29"/>
      <w:bookmarkEnd w:id="30"/>
    </w:p>
    <w:p>
      <w:pPr>
        <w:rPr>
          <w:color w:val="auto"/>
          <w:sz w:val="24"/>
          <w:szCs w:val="24"/>
          <w:lang w:val="zh-CN"/>
        </w:rPr>
      </w:pPr>
    </w:p>
    <w:p>
      <w:pPr>
        <w:widowControl/>
        <w:jc w:val="left"/>
        <w:rPr>
          <w:color w:val="auto"/>
        </w:rPr>
      </w:pPr>
      <w:r>
        <w:rPr>
          <w:rFonts w:ascii="宋体" w:hAnsi="宋体" w:cs="宋体"/>
          <w:color w:val="auto"/>
          <w:kern w:val="0"/>
          <w:sz w:val="24"/>
          <w:szCs w:val="24"/>
        </w:rPr>
        <w:t>供应商提供响应文件应当按照以下格式及要求进行编制，具体要求见所附各格式及说明。</w:t>
      </w:r>
    </w:p>
    <w:p>
      <w:pPr>
        <w:spacing w:line="360" w:lineRule="auto"/>
        <w:rPr>
          <w:rFonts w:ascii="宋体" w:hAnsi="宋体"/>
          <w:b/>
          <w:bCs/>
          <w:color w:val="auto"/>
          <w:kern w:val="0"/>
          <w:sz w:val="24"/>
          <w:szCs w:val="24"/>
          <w:lang w:val="zh-CN"/>
        </w:rPr>
      </w:pPr>
      <w:r>
        <w:rPr>
          <w:rFonts w:ascii="宋体" w:hAnsi="宋体"/>
          <w:b/>
          <w:bCs/>
          <w:color w:val="auto"/>
          <w:kern w:val="0"/>
          <w:sz w:val="24"/>
          <w:szCs w:val="24"/>
          <w:lang w:val="zh-CN"/>
        </w:rPr>
        <w:br w:type="page"/>
      </w:r>
    </w:p>
    <w:p>
      <w:pPr>
        <w:spacing w:line="360" w:lineRule="auto"/>
        <w:jc w:val="left"/>
        <w:rPr>
          <w:rFonts w:ascii="宋体" w:hAnsi="宋体"/>
          <w:bCs/>
          <w:color w:val="auto"/>
          <w:kern w:val="0"/>
          <w:sz w:val="24"/>
          <w:szCs w:val="24"/>
          <w:lang w:val="zh-CN"/>
        </w:rPr>
      </w:pPr>
      <w:r>
        <w:rPr>
          <w:rFonts w:hint="eastAsia" w:ascii="宋体" w:hAnsi="宋体"/>
          <w:b/>
          <w:bCs/>
          <w:color w:val="auto"/>
          <w:kern w:val="0"/>
          <w:sz w:val="24"/>
          <w:szCs w:val="24"/>
          <w:lang w:val="zh-CN"/>
        </w:rPr>
        <w:t>格式一</w:t>
      </w:r>
      <w:r>
        <w:rPr>
          <w:rFonts w:hint="eastAsia" w:ascii="宋体" w:hAnsi="宋体"/>
          <w:bCs/>
          <w:color w:val="auto"/>
          <w:kern w:val="0"/>
          <w:sz w:val="24"/>
          <w:szCs w:val="24"/>
          <w:lang w:val="zh-CN"/>
        </w:rPr>
        <w:t>：</w:t>
      </w: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Theme="minorEastAsia" w:hAnsiTheme="minorEastAsia" w:eastAsiaTheme="minorEastAsia"/>
          <w:b/>
          <w:bCs/>
          <w:color w:val="auto"/>
          <w:sz w:val="36"/>
          <w:szCs w:val="36"/>
        </w:rPr>
      </w:pPr>
      <w:bookmarkStart w:id="31" w:name="_Toc12051_WPSOffice_Level1"/>
      <w:r>
        <w:rPr>
          <w:rFonts w:hint="eastAsia" w:cs="宋体" w:asciiTheme="minorEastAsia" w:hAnsiTheme="minorEastAsia" w:eastAsiaTheme="minorEastAsia"/>
          <w:b/>
          <w:bCs/>
          <w:color w:val="auto"/>
          <w:sz w:val="36"/>
          <w:szCs w:val="36"/>
        </w:rPr>
        <w:t>投标文件封面</w:t>
      </w:r>
      <w:bookmarkEnd w:id="31"/>
    </w:p>
    <w:p>
      <w:pPr>
        <w:spacing w:line="360" w:lineRule="auto"/>
        <w:ind w:firstLine="1049" w:firstLineChars="201"/>
        <w:jc w:val="center"/>
        <w:rPr>
          <w:rFonts w:asciiTheme="minorEastAsia" w:hAnsiTheme="minorEastAsia" w:eastAsiaTheme="minorEastAsia"/>
          <w:b/>
          <w:bCs/>
          <w:color w:val="auto"/>
          <w:sz w:val="52"/>
          <w:szCs w:val="52"/>
        </w:rPr>
      </w:pPr>
    </w:p>
    <w:p>
      <w:pPr>
        <w:spacing w:line="360" w:lineRule="auto"/>
        <w:ind w:firstLine="1049" w:firstLineChars="201"/>
        <w:jc w:val="center"/>
        <w:rPr>
          <w:rFonts w:asciiTheme="minorEastAsia" w:hAnsiTheme="minorEastAsia" w:eastAsiaTheme="minorEastAsia"/>
          <w:b/>
          <w:bCs/>
          <w:color w:val="auto"/>
          <w:kern w:val="0"/>
          <w:sz w:val="52"/>
          <w:szCs w:val="52"/>
        </w:rPr>
      </w:pPr>
      <w:bookmarkStart w:id="32" w:name="_Toc26457_WPSOffice_Level1"/>
      <w:r>
        <w:rPr>
          <w:rFonts w:hint="eastAsia" w:cs="宋体" w:asciiTheme="minorEastAsia" w:hAnsiTheme="minorEastAsia" w:eastAsiaTheme="minorEastAsia"/>
          <w:b/>
          <w:bCs/>
          <w:color w:val="auto"/>
          <w:kern w:val="0"/>
          <w:sz w:val="52"/>
          <w:szCs w:val="52"/>
        </w:rPr>
        <w:t>（项目名称）</w:t>
      </w:r>
      <w:bookmarkEnd w:id="32"/>
    </w:p>
    <w:p>
      <w:pPr>
        <w:spacing w:line="360" w:lineRule="auto"/>
        <w:ind w:firstLine="1049" w:firstLineChars="201"/>
        <w:jc w:val="center"/>
        <w:rPr>
          <w:rFonts w:asciiTheme="minorEastAsia" w:hAnsiTheme="minorEastAsia" w:eastAsiaTheme="minorEastAsia"/>
          <w:b/>
          <w:bCs/>
          <w:color w:val="auto"/>
          <w:kern w:val="0"/>
          <w:sz w:val="52"/>
          <w:szCs w:val="52"/>
        </w:rPr>
      </w:pPr>
      <w:bookmarkStart w:id="33" w:name="_Toc3817_WPSOffice_Level1"/>
      <w:r>
        <w:rPr>
          <w:rFonts w:hint="eastAsia" w:cs="宋体" w:asciiTheme="minorEastAsia" w:hAnsiTheme="minorEastAsia" w:eastAsiaTheme="minorEastAsia"/>
          <w:b/>
          <w:bCs/>
          <w:color w:val="auto"/>
          <w:kern w:val="0"/>
          <w:sz w:val="52"/>
          <w:szCs w:val="52"/>
        </w:rPr>
        <w:t>投标文件</w:t>
      </w:r>
      <w:bookmarkEnd w:id="33"/>
    </w:p>
    <w:p>
      <w:pPr>
        <w:spacing w:line="360" w:lineRule="auto"/>
        <w:ind w:firstLine="723" w:firstLineChars="201"/>
        <w:jc w:val="center"/>
        <w:rPr>
          <w:rFonts w:asciiTheme="minorEastAsia" w:hAnsiTheme="minorEastAsia" w:eastAsiaTheme="minorEastAsia"/>
          <w:b/>
          <w:bCs/>
          <w:color w:val="auto"/>
          <w:kern w:val="0"/>
          <w:sz w:val="36"/>
          <w:szCs w:val="36"/>
        </w:rPr>
      </w:pPr>
      <w:bookmarkStart w:id="34" w:name="_Toc704_WPSOffice_Level1"/>
      <w:r>
        <w:rPr>
          <w:rFonts w:hint="eastAsia" w:cs="楷体_GB2312" w:asciiTheme="minorEastAsia" w:hAnsiTheme="minorEastAsia" w:eastAsiaTheme="minorEastAsia"/>
          <w:color w:val="auto"/>
          <w:sz w:val="36"/>
          <w:szCs w:val="36"/>
        </w:rPr>
        <w:t>（正本</w:t>
      </w:r>
      <w:r>
        <w:rPr>
          <w:rFonts w:cs="楷体_GB2312" w:asciiTheme="minorEastAsia" w:hAnsiTheme="minorEastAsia" w:eastAsiaTheme="minorEastAsia"/>
          <w:color w:val="auto"/>
          <w:sz w:val="36"/>
          <w:szCs w:val="36"/>
        </w:rPr>
        <w:t>/</w:t>
      </w:r>
      <w:r>
        <w:rPr>
          <w:rFonts w:hint="eastAsia" w:cs="楷体_GB2312" w:asciiTheme="minorEastAsia" w:hAnsiTheme="minorEastAsia" w:eastAsiaTheme="minorEastAsia"/>
          <w:color w:val="auto"/>
          <w:sz w:val="36"/>
          <w:szCs w:val="36"/>
        </w:rPr>
        <w:t>副本）</w:t>
      </w:r>
      <w:bookmarkEnd w:id="34"/>
    </w:p>
    <w:p>
      <w:pPr>
        <w:spacing w:line="360" w:lineRule="auto"/>
        <w:ind w:firstLine="723" w:firstLineChars="201"/>
        <w:rPr>
          <w:rFonts w:asciiTheme="minorEastAsia" w:hAnsiTheme="minorEastAsia" w:eastAsiaTheme="minorEastAsia"/>
          <w:color w:val="auto"/>
          <w:sz w:val="36"/>
          <w:szCs w:val="36"/>
        </w:rPr>
      </w:pPr>
      <w:r>
        <w:rPr>
          <w:rFonts w:hint="eastAsia" w:cs="楷体_GB2312" w:asciiTheme="minorEastAsia" w:hAnsiTheme="minorEastAsia" w:eastAsiaTheme="minorEastAsia"/>
          <w:color w:val="auto"/>
          <w:sz w:val="36"/>
          <w:szCs w:val="36"/>
        </w:rPr>
        <w:t>项目编号：</w:t>
      </w:r>
    </w:p>
    <w:p>
      <w:pPr>
        <w:spacing w:line="360" w:lineRule="auto"/>
        <w:ind w:firstLine="723" w:firstLineChars="201"/>
        <w:rPr>
          <w:rFonts w:asciiTheme="minorEastAsia" w:hAnsiTheme="minorEastAsia" w:eastAsiaTheme="minorEastAsia"/>
          <w:b/>
          <w:bCs/>
          <w:color w:val="auto"/>
          <w:kern w:val="0"/>
          <w:sz w:val="36"/>
          <w:szCs w:val="36"/>
        </w:rPr>
      </w:pPr>
      <w:r>
        <w:rPr>
          <w:rFonts w:hint="eastAsia" w:cs="楷体_GB2312" w:asciiTheme="minorEastAsia" w:hAnsiTheme="minorEastAsia" w:eastAsiaTheme="minorEastAsia"/>
          <w:color w:val="auto"/>
          <w:sz w:val="36"/>
          <w:szCs w:val="36"/>
        </w:rPr>
        <w:t>包    号：第   包</w:t>
      </w:r>
      <w:r>
        <w:rPr>
          <w:rFonts w:hint="eastAsia" w:cs="方正楷体简体" w:asciiTheme="minorEastAsia" w:hAnsiTheme="minorEastAsia" w:eastAsiaTheme="minorEastAsia"/>
          <w:color w:val="auto"/>
          <w:szCs w:val="28"/>
        </w:rPr>
        <w:t>（</w:t>
      </w:r>
      <w:r>
        <w:rPr>
          <w:rFonts w:hint="eastAsia" w:cs="宋体" w:asciiTheme="minorEastAsia" w:hAnsiTheme="minorEastAsia" w:eastAsiaTheme="minorEastAsia"/>
          <w:color w:val="auto"/>
          <w:kern w:val="0"/>
          <w:szCs w:val="28"/>
        </w:rPr>
        <w:t>若项目分包时使用）</w:t>
      </w:r>
    </w:p>
    <w:p>
      <w:pPr>
        <w:spacing w:line="360" w:lineRule="auto"/>
        <w:rPr>
          <w:rFonts w:asciiTheme="minorEastAsia" w:hAnsiTheme="minorEastAsia" w:eastAsiaTheme="minorEastAsia"/>
          <w:color w:val="auto"/>
          <w:kern w:val="0"/>
          <w:szCs w:val="28"/>
        </w:rPr>
      </w:pPr>
    </w:p>
    <w:p>
      <w:pPr>
        <w:spacing w:line="360" w:lineRule="auto"/>
        <w:rPr>
          <w:rFonts w:asciiTheme="minorEastAsia" w:hAnsiTheme="minorEastAsia" w:eastAsiaTheme="minorEastAsia"/>
          <w:color w:val="auto"/>
          <w:kern w:val="0"/>
          <w:szCs w:val="28"/>
        </w:rPr>
      </w:pPr>
    </w:p>
    <w:p>
      <w:pPr>
        <w:spacing w:line="360" w:lineRule="auto"/>
        <w:ind w:firstLine="723" w:firstLineChars="201"/>
        <w:jc w:val="center"/>
        <w:rPr>
          <w:rFonts w:asciiTheme="minorEastAsia" w:hAnsiTheme="minorEastAsia" w:eastAsiaTheme="minorEastAsia"/>
          <w:color w:val="auto"/>
          <w:sz w:val="36"/>
          <w:szCs w:val="36"/>
        </w:rPr>
      </w:pPr>
      <w:bookmarkStart w:id="35" w:name="_Toc5270_WPSOffice_Level1"/>
      <w:r>
        <w:rPr>
          <w:rFonts w:hint="eastAsia" w:cs="楷体_GB2312" w:asciiTheme="minorEastAsia" w:hAnsiTheme="minorEastAsia" w:eastAsiaTheme="minorEastAsia"/>
          <w:color w:val="auto"/>
          <w:sz w:val="36"/>
          <w:szCs w:val="36"/>
        </w:rPr>
        <w:t>（投标人名称）</w:t>
      </w:r>
      <w:bookmarkEnd w:id="35"/>
    </w:p>
    <w:p>
      <w:pPr>
        <w:spacing w:line="360" w:lineRule="auto"/>
        <w:ind w:firstLine="723" w:firstLineChars="201"/>
        <w:jc w:val="center"/>
        <w:rPr>
          <w:rFonts w:asciiTheme="minorEastAsia" w:hAnsiTheme="minorEastAsia" w:eastAsiaTheme="minorEastAsia"/>
          <w:color w:val="auto"/>
          <w:sz w:val="36"/>
          <w:szCs w:val="36"/>
        </w:rPr>
      </w:pPr>
    </w:p>
    <w:p>
      <w:pPr>
        <w:spacing w:line="360" w:lineRule="auto"/>
        <w:ind w:firstLine="723" w:firstLineChars="201"/>
        <w:jc w:val="center"/>
        <w:rPr>
          <w:rFonts w:asciiTheme="minorEastAsia" w:hAnsiTheme="minorEastAsia" w:eastAsiaTheme="minorEastAsia"/>
          <w:color w:val="auto"/>
          <w:sz w:val="36"/>
          <w:szCs w:val="36"/>
        </w:rPr>
      </w:pPr>
    </w:p>
    <w:p>
      <w:pPr>
        <w:spacing w:line="360" w:lineRule="auto"/>
        <w:ind w:firstLine="723" w:firstLineChars="201"/>
        <w:jc w:val="center"/>
        <w:rPr>
          <w:rFonts w:asciiTheme="minorEastAsia" w:hAnsiTheme="minorEastAsia" w:eastAsiaTheme="minorEastAsia"/>
          <w:color w:val="auto"/>
          <w:sz w:val="36"/>
          <w:szCs w:val="36"/>
        </w:rPr>
      </w:pPr>
      <w:bookmarkStart w:id="36" w:name="_Toc20528_WPSOffice_Level1"/>
      <w:r>
        <w:rPr>
          <w:rFonts w:hint="eastAsia" w:cs="楷体_GB2312" w:asciiTheme="minorEastAsia" w:hAnsiTheme="minorEastAsia" w:eastAsiaTheme="minorEastAsia"/>
          <w:color w:val="auto"/>
          <w:sz w:val="36"/>
          <w:szCs w:val="36"/>
        </w:rPr>
        <w:t>年月日</w:t>
      </w:r>
      <w:bookmarkEnd w:id="36"/>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 xml:space="preserve">格式二：                 </w:t>
      </w:r>
    </w:p>
    <w:p>
      <w:pPr>
        <w:spacing w:line="360" w:lineRule="auto"/>
        <w:jc w:val="center"/>
        <w:rPr>
          <w:rFonts w:ascii="宋体" w:hAnsi="宋体"/>
          <w:color w:val="auto"/>
          <w:sz w:val="24"/>
          <w:szCs w:val="24"/>
        </w:rPr>
      </w:pPr>
      <w:bookmarkStart w:id="37" w:name="_Toc24195_WPSOffice_Level1"/>
      <w:r>
        <w:rPr>
          <w:rFonts w:hint="eastAsia" w:ascii="宋体" w:hAnsi="宋体"/>
          <w:color w:val="auto"/>
          <w:sz w:val="24"/>
          <w:szCs w:val="24"/>
        </w:rPr>
        <w:t>投标文件目录</w:t>
      </w:r>
      <w:bookmarkEnd w:id="37"/>
    </w:p>
    <w:p>
      <w:pPr>
        <w:spacing w:line="360" w:lineRule="auto"/>
        <w:rPr>
          <w:rFonts w:ascii="宋体" w:hAnsi="宋体"/>
          <w:color w:val="auto"/>
          <w:sz w:val="24"/>
          <w:szCs w:val="24"/>
        </w:rPr>
      </w:pPr>
      <w:bookmarkStart w:id="38" w:name="_Toc29400_WPSOffice_Level1"/>
      <w:r>
        <w:rPr>
          <w:rFonts w:hint="eastAsia" w:ascii="宋体" w:hAnsi="宋体"/>
          <w:color w:val="auto"/>
          <w:sz w:val="24"/>
          <w:szCs w:val="24"/>
        </w:rPr>
        <w:t>一. 投标承诺书………………………………………………………</w:t>
      </w:r>
      <w:r>
        <w:rPr>
          <w:rFonts w:ascii="宋体" w:hAnsi="宋体"/>
          <w:color w:val="auto"/>
          <w:sz w:val="24"/>
          <w:szCs w:val="24"/>
        </w:rPr>
        <w:t>…………</w:t>
      </w:r>
      <w:r>
        <w:rPr>
          <w:rFonts w:hint="eastAsia" w:ascii="宋体" w:hAnsi="宋体"/>
          <w:color w:val="auto"/>
          <w:sz w:val="24"/>
          <w:szCs w:val="24"/>
        </w:rPr>
        <w:t xml:space="preserve">  （ ）</w:t>
      </w:r>
      <w:bookmarkEnd w:id="38"/>
    </w:p>
    <w:p>
      <w:pPr>
        <w:spacing w:line="360" w:lineRule="auto"/>
        <w:rPr>
          <w:rFonts w:ascii="宋体" w:hAnsi="宋体"/>
          <w:color w:val="auto"/>
          <w:sz w:val="24"/>
          <w:szCs w:val="24"/>
        </w:rPr>
      </w:pPr>
      <w:bookmarkStart w:id="39" w:name="_Toc12256_WPSOffice_Level1"/>
      <w:r>
        <w:rPr>
          <w:rFonts w:hint="eastAsia" w:ascii="宋体" w:hAnsi="宋体"/>
          <w:color w:val="auto"/>
          <w:sz w:val="24"/>
          <w:szCs w:val="24"/>
        </w:rPr>
        <w:t>二. 开标一览表……………………………………………………</w:t>
      </w:r>
      <w:r>
        <w:rPr>
          <w:rFonts w:ascii="宋体" w:hAnsi="宋体"/>
          <w:color w:val="auto"/>
          <w:sz w:val="24"/>
          <w:szCs w:val="24"/>
        </w:rPr>
        <w:t>…………</w:t>
      </w:r>
      <w:r>
        <w:rPr>
          <w:rFonts w:hint="eastAsia" w:ascii="宋体" w:hAnsi="宋体"/>
          <w:color w:val="auto"/>
          <w:sz w:val="24"/>
          <w:szCs w:val="24"/>
        </w:rPr>
        <w:t>…  （ ）</w:t>
      </w:r>
      <w:bookmarkEnd w:id="39"/>
    </w:p>
    <w:p>
      <w:pPr>
        <w:spacing w:line="360" w:lineRule="auto"/>
        <w:rPr>
          <w:rFonts w:ascii="宋体" w:hAnsi="宋体"/>
          <w:color w:val="auto"/>
          <w:sz w:val="24"/>
          <w:szCs w:val="24"/>
        </w:rPr>
      </w:pPr>
      <w:bookmarkStart w:id="40" w:name="_Toc8927_WPSOffice_Level1"/>
      <w:r>
        <w:rPr>
          <w:rFonts w:hint="eastAsia" w:ascii="宋体" w:hAnsi="宋体"/>
          <w:color w:val="auto"/>
          <w:sz w:val="24"/>
          <w:szCs w:val="24"/>
        </w:rPr>
        <w:t>三. 法定代表人身份证明……………………………………………………</w:t>
      </w:r>
      <w:r>
        <w:rPr>
          <w:rFonts w:ascii="宋体" w:hAnsi="宋体"/>
          <w:color w:val="auto"/>
          <w:sz w:val="24"/>
          <w:szCs w:val="24"/>
        </w:rPr>
        <w:t>…</w:t>
      </w:r>
      <w:r>
        <w:rPr>
          <w:rFonts w:hint="eastAsia" w:ascii="宋体" w:hAnsi="宋体"/>
          <w:color w:val="auto"/>
          <w:sz w:val="24"/>
          <w:szCs w:val="24"/>
        </w:rPr>
        <w:t xml:space="preserve">  （ ）</w:t>
      </w:r>
      <w:bookmarkEnd w:id="40"/>
    </w:p>
    <w:p>
      <w:pPr>
        <w:spacing w:line="360" w:lineRule="auto"/>
        <w:rPr>
          <w:rFonts w:asciiTheme="minorEastAsia" w:hAnsiTheme="minorEastAsia" w:eastAsiaTheme="minorEastAsia"/>
          <w:color w:val="auto"/>
          <w:sz w:val="24"/>
          <w:szCs w:val="24"/>
        </w:rPr>
      </w:pPr>
      <w:bookmarkStart w:id="41" w:name="_Toc17165_WPSOffice_Level1"/>
      <w:r>
        <w:rPr>
          <w:rFonts w:hint="eastAsia" w:ascii="宋体" w:hAnsi="宋体"/>
          <w:color w:val="auto"/>
          <w:sz w:val="24"/>
          <w:szCs w:val="24"/>
        </w:rPr>
        <w:t>四.</w:t>
      </w:r>
      <w:r>
        <w:rPr>
          <w:rFonts w:asciiTheme="minorEastAsia" w:hAnsiTheme="minorEastAsia" w:eastAsiaTheme="minorEastAsia"/>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bookmarkEnd w:id="41"/>
    </w:p>
    <w:p>
      <w:pPr>
        <w:spacing w:line="360" w:lineRule="auto"/>
        <w:rPr>
          <w:rFonts w:asciiTheme="minorEastAsia" w:hAnsiTheme="minorEastAsia" w:eastAsiaTheme="minorEastAsia"/>
          <w:color w:val="auto"/>
          <w:sz w:val="24"/>
          <w:szCs w:val="24"/>
        </w:rPr>
      </w:pPr>
      <w:bookmarkStart w:id="42" w:name="_Toc20660_WPSOffice_Level1"/>
      <w:r>
        <w:rPr>
          <w:rFonts w:hint="eastAsia" w:ascii="宋体" w:hAnsi="宋体"/>
          <w:color w:val="auto"/>
          <w:sz w:val="24"/>
          <w:szCs w:val="24"/>
        </w:rPr>
        <w:t>五.</w:t>
      </w:r>
      <w:r>
        <w:rPr>
          <w:rFonts w:asciiTheme="minorEastAsia" w:hAnsiTheme="minorEastAsia" w:eastAsiaTheme="minorEastAsia"/>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bookmarkEnd w:id="42"/>
    </w:p>
    <w:p>
      <w:pPr>
        <w:spacing w:line="360" w:lineRule="auto"/>
        <w:rPr>
          <w:rFonts w:asciiTheme="minorEastAsia" w:hAnsiTheme="minorEastAsia" w:eastAsiaTheme="minorEastAsia"/>
          <w:bCs/>
          <w:color w:val="auto"/>
          <w:sz w:val="24"/>
          <w:szCs w:val="24"/>
        </w:rPr>
      </w:pPr>
      <w:bookmarkStart w:id="43" w:name="_Toc4125_WPSOffice_Level1"/>
      <w:r>
        <w:rPr>
          <w:rFonts w:hint="eastAsia" w:ascii="宋体" w:hAnsi="宋体"/>
          <w:color w:val="auto"/>
          <w:sz w:val="24"/>
          <w:szCs w:val="24"/>
        </w:rPr>
        <w:t>六.</w:t>
      </w:r>
      <w:r>
        <w:rPr>
          <w:rFonts w:asciiTheme="minorEastAsia" w:hAnsiTheme="minorEastAsia" w:eastAsiaTheme="minorEastAsia"/>
          <w:bCs/>
          <w:color w:val="auto"/>
          <w:sz w:val="24"/>
          <w:szCs w:val="24"/>
        </w:rPr>
        <w:t>投标保证金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 ）</w:t>
      </w:r>
      <w:bookmarkEnd w:id="43"/>
    </w:p>
    <w:p>
      <w:pPr>
        <w:spacing w:line="360" w:lineRule="auto"/>
        <w:rPr>
          <w:rFonts w:ascii="宋体" w:hAnsi="宋体"/>
          <w:color w:val="auto"/>
          <w:sz w:val="24"/>
          <w:szCs w:val="24"/>
        </w:rPr>
      </w:pPr>
      <w:bookmarkStart w:id="44" w:name="_Toc16370_WPSOffice_Level1"/>
      <w:r>
        <w:rPr>
          <w:rFonts w:hint="eastAsia" w:ascii="宋体" w:hAnsi="宋体"/>
          <w:color w:val="auto"/>
          <w:sz w:val="24"/>
          <w:szCs w:val="24"/>
        </w:rPr>
        <w:t>七.</w:t>
      </w:r>
      <w:r>
        <w:rPr>
          <w:rFonts w:asciiTheme="minorEastAsia" w:hAnsiTheme="minorEastAsia" w:eastAsiaTheme="minorEastAsia"/>
          <w:bCs/>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xml:space="preserve">   （ ）</w:t>
      </w:r>
      <w:bookmarkEnd w:id="44"/>
    </w:p>
    <w:p>
      <w:pPr>
        <w:spacing w:line="360" w:lineRule="auto"/>
        <w:rPr>
          <w:rFonts w:ascii="宋体" w:hAnsi="宋体"/>
          <w:color w:val="auto"/>
          <w:sz w:val="24"/>
          <w:szCs w:val="24"/>
        </w:rPr>
      </w:pPr>
      <w:bookmarkStart w:id="45" w:name="_Toc12469_WPSOffice_Level1"/>
      <w:r>
        <w:rPr>
          <w:rFonts w:hint="eastAsia" w:ascii="宋体" w:hAnsi="宋体"/>
          <w:color w:val="auto"/>
          <w:sz w:val="24"/>
          <w:szCs w:val="24"/>
        </w:rPr>
        <w:t>八.投标货物分项报价明细表……………………………………</w:t>
      </w:r>
      <w:r>
        <w:rPr>
          <w:rFonts w:ascii="宋体" w:hAnsi="宋体"/>
          <w:color w:val="auto"/>
          <w:sz w:val="24"/>
          <w:szCs w:val="24"/>
        </w:rPr>
        <w:t>…………</w:t>
      </w:r>
      <w:r>
        <w:rPr>
          <w:rFonts w:hint="eastAsia" w:ascii="宋体" w:hAnsi="宋体"/>
          <w:color w:val="auto"/>
          <w:sz w:val="24"/>
          <w:szCs w:val="24"/>
        </w:rPr>
        <w:t>…   （ ）</w:t>
      </w:r>
      <w:bookmarkEnd w:id="45"/>
    </w:p>
    <w:p>
      <w:pPr>
        <w:spacing w:line="360" w:lineRule="auto"/>
        <w:rPr>
          <w:rFonts w:ascii="宋体" w:hAnsi="宋体"/>
          <w:color w:val="auto"/>
          <w:sz w:val="24"/>
          <w:szCs w:val="24"/>
        </w:rPr>
      </w:pPr>
      <w:bookmarkStart w:id="46" w:name="_Toc15962_WPSOffice_Level1"/>
      <w:r>
        <w:rPr>
          <w:rFonts w:hint="eastAsia" w:ascii="宋体" w:hAnsi="宋体"/>
          <w:color w:val="auto"/>
          <w:sz w:val="24"/>
          <w:szCs w:val="24"/>
        </w:rPr>
        <w:t>九.投标货物情况介绍表</w:t>
      </w:r>
      <w:r>
        <w:rPr>
          <w:rFonts w:ascii="宋体" w:hAnsi="宋体"/>
          <w:color w:val="auto"/>
          <w:sz w:val="24"/>
          <w:szCs w:val="24"/>
        </w:rPr>
        <w:t>………………………………………………………</w:t>
      </w:r>
      <w:r>
        <w:rPr>
          <w:rFonts w:hint="eastAsia" w:ascii="宋体" w:hAnsi="宋体"/>
          <w:color w:val="auto"/>
          <w:sz w:val="24"/>
          <w:szCs w:val="24"/>
        </w:rPr>
        <w:t xml:space="preserve">   （ ）</w:t>
      </w:r>
      <w:bookmarkEnd w:id="46"/>
    </w:p>
    <w:p>
      <w:pPr>
        <w:spacing w:line="360" w:lineRule="auto"/>
        <w:rPr>
          <w:rFonts w:ascii="宋体" w:hAnsi="宋体"/>
          <w:color w:val="auto"/>
          <w:sz w:val="24"/>
          <w:szCs w:val="24"/>
        </w:rPr>
      </w:pPr>
      <w:bookmarkStart w:id="47" w:name="_Toc5007_WPSOffice_Level1"/>
      <w:r>
        <w:rPr>
          <w:rFonts w:hint="eastAsia" w:ascii="宋体" w:hAnsi="宋体"/>
          <w:color w:val="auto"/>
          <w:sz w:val="24"/>
          <w:szCs w:val="24"/>
        </w:rPr>
        <w:t>十.技术规格响应表………………………………………………</w:t>
      </w:r>
      <w:r>
        <w:rPr>
          <w:rFonts w:ascii="宋体" w:hAnsi="宋体"/>
          <w:color w:val="auto"/>
          <w:sz w:val="24"/>
          <w:szCs w:val="24"/>
        </w:rPr>
        <w:t>……………</w:t>
      </w:r>
      <w:r>
        <w:rPr>
          <w:rFonts w:hint="eastAsia" w:ascii="宋体" w:hAnsi="宋体"/>
          <w:color w:val="auto"/>
          <w:sz w:val="24"/>
          <w:szCs w:val="24"/>
        </w:rPr>
        <w:t xml:space="preserve">   （ ）</w:t>
      </w:r>
      <w:bookmarkEnd w:id="47"/>
    </w:p>
    <w:p>
      <w:pPr>
        <w:spacing w:line="360" w:lineRule="auto"/>
        <w:rPr>
          <w:rFonts w:ascii="宋体" w:hAnsi="宋体"/>
          <w:color w:val="auto"/>
          <w:sz w:val="24"/>
          <w:szCs w:val="24"/>
        </w:rPr>
      </w:pPr>
      <w:bookmarkStart w:id="48" w:name="_Toc32691_WPSOffice_Level1"/>
      <w:r>
        <w:rPr>
          <w:rFonts w:hint="eastAsia" w:ascii="宋体" w:hAnsi="宋体"/>
          <w:color w:val="auto"/>
          <w:sz w:val="24"/>
          <w:szCs w:val="24"/>
        </w:rPr>
        <w:t>十一.售后服务承诺及方案  ………………………………………</w:t>
      </w:r>
      <w:r>
        <w:rPr>
          <w:rFonts w:ascii="宋体" w:hAnsi="宋体"/>
          <w:color w:val="auto"/>
          <w:sz w:val="24"/>
          <w:szCs w:val="24"/>
        </w:rPr>
        <w:t>…………</w:t>
      </w:r>
      <w:r>
        <w:rPr>
          <w:rFonts w:hint="eastAsia" w:ascii="宋体" w:hAnsi="宋体"/>
          <w:color w:val="auto"/>
          <w:sz w:val="24"/>
          <w:szCs w:val="24"/>
        </w:rPr>
        <w:t>… （ ）</w:t>
      </w:r>
      <w:bookmarkEnd w:id="48"/>
    </w:p>
    <w:p>
      <w:pPr>
        <w:spacing w:line="360" w:lineRule="auto"/>
        <w:rPr>
          <w:rFonts w:ascii="宋体" w:hAnsi="宋体"/>
          <w:color w:val="auto"/>
          <w:sz w:val="24"/>
          <w:szCs w:val="24"/>
        </w:rPr>
      </w:pPr>
      <w:bookmarkStart w:id="49" w:name="_Toc1386_WPSOffice_Level1"/>
      <w:r>
        <w:rPr>
          <w:rFonts w:hint="eastAsia" w:ascii="宋体" w:hAnsi="宋体"/>
          <w:color w:val="auto"/>
          <w:sz w:val="24"/>
          <w:szCs w:val="24"/>
        </w:rPr>
        <w:t>十二.商务规格响应表…………………………………………</w:t>
      </w:r>
      <w:r>
        <w:rPr>
          <w:rFonts w:ascii="宋体" w:hAnsi="宋体"/>
          <w:color w:val="auto"/>
          <w:sz w:val="24"/>
          <w:szCs w:val="24"/>
        </w:rPr>
        <w:t>…………………</w:t>
      </w:r>
      <w:r>
        <w:rPr>
          <w:rFonts w:hint="eastAsia" w:ascii="宋体" w:hAnsi="宋体"/>
          <w:color w:val="auto"/>
          <w:sz w:val="24"/>
          <w:szCs w:val="24"/>
        </w:rPr>
        <w:t xml:space="preserve"> （ ）</w:t>
      </w:r>
      <w:bookmarkEnd w:id="49"/>
    </w:p>
    <w:p>
      <w:pPr>
        <w:spacing w:line="360" w:lineRule="auto"/>
        <w:rPr>
          <w:rFonts w:ascii="宋体" w:hAnsi="宋体"/>
          <w:color w:val="auto"/>
          <w:sz w:val="24"/>
          <w:szCs w:val="24"/>
        </w:rPr>
      </w:pPr>
      <w:bookmarkStart w:id="50" w:name="_Toc11664_WPSOffice_Level1"/>
      <w:r>
        <w:rPr>
          <w:rFonts w:hint="eastAsia" w:ascii="宋体" w:hAnsi="宋体"/>
          <w:color w:val="auto"/>
          <w:sz w:val="24"/>
          <w:szCs w:val="24"/>
        </w:rPr>
        <w:t>十三.投标人业绩情况表…………………</w:t>
      </w:r>
      <w:r>
        <w:rPr>
          <w:rFonts w:ascii="宋体" w:hAnsi="宋体"/>
          <w:color w:val="auto"/>
          <w:sz w:val="24"/>
          <w:szCs w:val="24"/>
        </w:rPr>
        <w:t>………………………………………</w:t>
      </w:r>
      <w:r>
        <w:rPr>
          <w:rFonts w:hint="eastAsia" w:ascii="宋体" w:hAnsi="宋体"/>
          <w:color w:val="auto"/>
          <w:sz w:val="24"/>
          <w:szCs w:val="24"/>
        </w:rPr>
        <w:t xml:space="preserve"> （ ）</w:t>
      </w:r>
      <w:bookmarkEnd w:id="50"/>
    </w:p>
    <w:p>
      <w:pPr>
        <w:spacing w:line="360" w:lineRule="auto"/>
        <w:rPr>
          <w:rFonts w:ascii="宋体" w:hAnsi="宋体"/>
          <w:color w:val="auto"/>
          <w:sz w:val="24"/>
          <w:szCs w:val="24"/>
        </w:rPr>
      </w:pPr>
      <w:bookmarkStart w:id="51" w:name="_Toc561_WPSOffice_Level1"/>
      <w:r>
        <w:rPr>
          <w:rFonts w:hint="eastAsia" w:ascii="宋体" w:hAnsi="宋体"/>
          <w:color w:val="auto"/>
          <w:sz w:val="24"/>
          <w:szCs w:val="24"/>
        </w:rPr>
        <w:t>十四.投标人基本情况表……………………………………………</w:t>
      </w:r>
      <w:r>
        <w:rPr>
          <w:rFonts w:ascii="宋体" w:hAnsi="宋体"/>
          <w:color w:val="auto"/>
          <w:sz w:val="24"/>
          <w:szCs w:val="24"/>
        </w:rPr>
        <w:t>……………</w:t>
      </w:r>
      <w:r>
        <w:rPr>
          <w:rFonts w:hint="eastAsia" w:ascii="宋体" w:hAnsi="宋体"/>
          <w:color w:val="auto"/>
          <w:sz w:val="24"/>
          <w:szCs w:val="24"/>
        </w:rPr>
        <w:t xml:space="preserve"> （ ）</w:t>
      </w:r>
      <w:bookmarkEnd w:id="51"/>
    </w:p>
    <w:p>
      <w:pPr>
        <w:spacing w:line="360" w:lineRule="auto"/>
        <w:rPr>
          <w:rFonts w:ascii="宋体" w:hAnsi="宋体"/>
          <w:color w:val="auto"/>
          <w:sz w:val="24"/>
          <w:szCs w:val="24"/>
        </w:rPr>
      </w:pPr>
      <w:bookmarkStart w:id="52" w:name="_Toc29251_WPSOffice_Level1"/>
      <w:r>
        <w:rPr>
          <w:rFonts w:hint="eastAsia" w:ascii="宋体" w:hAnsi="宋体"/>
          <w:color w:val="auto"/>
          <w:sz w:val="24"/>
          <w:szCs w:val="24"/>
        </w:rPr>
        <w:t xml:space="preserve">十五.具有良好的商业信誉… </w:t>
      </w:r>
      <w:r>
        <w:rPr>
          <w:rFonts w:ascii="宋体" w:hAnsi="宋体"/>
          <w:color w:val="auto"/>
          <w:sz w:val="24"/>
          <w:szCs w:val="24"/>
        </w:rPr>
        <w:t>……………………………………………</w:t>
      </w:r>
      <w:r>
        <w:rPr>
          <w:rFonts w:hint="eastAsia" w:ascii="宋体" w:hAnsi="宋体"/>
          <w:color w:val="auto"/>
          <w:sz w:val="24"/>
          <w:szCs w:val="24"/>
        </w:rPr>
        <w:t xml:space="preserve">    （ ）</w:t>
      </w:r>
      <w:bookmarkEnd w:id="52"/>
    </w:p>
    <w:p>
      <w:pPr>
        <w:autoSpaceDE w:val="0"/>
        <w:autoSpaceDN w:val="0"/>
        <w:spacing w:line="360" w:lineRule="auto"/>
        <w:rPr>
          <w:rFonts w:ascii="宋体" w:hAnsi="宋体"/>
          <w:color w:val="auto"/>
          <w:sz w:val="24"/>
          <w:szCs w:val="24"/>
        </w:rPr>
      </w:pPr>
      <w:bookmarkStart w:id="53" w:name="_Toc6299_WPSOffice_Level1"/>
      <w:r>
        <w:rPr>
          <w:rFonts w:hint="eastAsia" w:ascii="宋体" w:hAnsi="宋体"/>
          <w:color w:val="auto"/>
          <w:sz w:val="24"/>
          <w:szCs w:val="24"/>
        </w:rPr>
        <w:t>十六.缴纳增值税、营业税或企业所得税的凭据</w:t>
      </w:r>
      <w:r>
        <w:rPr>
          <w:rFonts w:ascii="宋体" w:hAnsi="宋体"/>
          <w:color w:val="auto"/>
          <w:sz w:val="24"/>
          <w:szCs w:val="24"/>
        </w:rPr>
        <w:t>……………………………</w:t>
      </w:r>
      <w:r>
        <w:rPr>
          <w:rFonts w:hint="eastAsia" w:ascii="宋体" w:hAnsi="宋体"/>
          <w:color w:val="auto"/>
          <w:sz w:val="24"/>
          <w:szCs w:val="24"/>
        </w:rPr>
        <w:t xml:space="preserve">   （ ）</w:t>
      </w:r>
      <w:bookmarkEnd w:id="53"/>
    </w:p>
    <w:p>
      <w:pPr>
        <w:autoSpaceDE w:val="0"/>
        <w:autoSpaceDN w:val="0"/>
        <w:spacing w:line="360" w:lineRule="auto"/>
        <w:rPr>
          <w:rFonts w:ascii="宋体" w:hAnsi="宋体"/>
          <w:color w:val="auto"/>
          <w:sz w:val="24"/>
          <w:szCs w:val="24"/>
        </w:rPr>
      </w:pPr>
      <w:bookmarkStart w:id="54" w:name="_Toc16532_WPSOffice_Level1"/>
      <w:r>
        <w:rPr>
          <w:rFonts w:hint="eastAsia" w:ascii="宋体" w:hAnsi="宋体"/>
          <w:color w:val="auto"/>
          <w:sz w:val="24"/>
          <w:szCs w:val="24"/>
        </w:rPr>
        <w:t>十七.缴纳社会保险的凭据………………………………………</w:t>
      </w:r>
      <w:r>
        <w:rPr>
          <w:rFonts w:ascii="宋体" w:hAnsi="宋体"/>
          <w:color w:val="auto"/>
          <w:sz w:val="24"/>
          <w:szCs w:val="24"/>
        </w:rPr>
        <w:t>…………</w:t>
      </w:r>
      <w:r>
        <w:rPr>
          <w:rFonts w:hint="eastAsia" w:ascii="宋体" w:hAnsi="宋体"/>
          <w:color w:val="auto"/>
          <w:sz w:val="24"/>
          <w:szCs w:val="24"/>
        </w:rPr>
        <w:t>…   （ ）</w:t>
      </w:r>
      <w:bookmarkEnd w:id="54"/>
    </w:p>
    <w:p>
      <w:pPr>
        <w:autoSpaceDE w:val="0"/>
        <w:autoSpaceDN w:val="0"/>
        <w:spacing w:line="360" w:lineRule="auto"/>
        <w:jc w:val="left"/>
        <w:rPr>
          <w:rFonts w:ascii="宋体" w:hAnsi="宋体"/>
          <w:color w:val="auto"/>
          <w:sz w:val="24"/>
          <w:szCs w:val="24"/>
        </w:rPr>
      </w:pPr>
      <w:bookmarkStart w:id="55" w:name="_Toc15258_WPSOffice_Level1"/>
      <w:r>
        <w:rPr>
          <w:rFonts w:hint="eastAsia" w:ascii="宋体" w:hAnsi="宋体"/>
          <w:color w:val="auto"/>
          <w:sz w:val="24"/>
          <w:szCs w:val="24"/>
        </w:rPr>
        <w:t>十八.参加政府采购前三年内在经营活动中无重大违法记录书面声明</w:t>
      </w:r>
      <w:r>
        <w:rPr>
          <w:rFonts w:ascii="宋体" w:hAnsi="宋体"/>
          <w:color w:val="auto"/>
          <w:sz w:val="24"/>
          <w:szCs w:val="24"/>
        </w:rPr>
        <w:t>……</w:t>
      </w:r>
      <w:r>
        <w:rPr>
          <w:rFonts w:hint="eastAsia" w:ascii="宋体" w:hAnsi="宋体"/>
          <w:color w:val="auto"/>
          <w:sz w:val="24"/>
          <w:szCs w:val="24"/>
        </w:rPr>
        <w:t xml:space="preserve">   （ ）</w:t>
      </w:r>
      <w:bookmarkEnd w:id="55"/>
    </w:p>
    <w:p>
      <w:pPr>
        <w:spacing w:line="360" w:lineRule="auto"/>
        <w:rPr>
          <w:rFonts w:ascii="宋体" w:hAnsi="宋体"/>
          <w:color w:val="auto"/>
          <w:sz w:val="24"/>
          <w:szCs w:val="24"/>
        </w:rPr>
      </w:pPr>
      <w:bookmarkStart w:id="56" w:name="_Toc26090_WPSOffice_Level1"/>
      <w:r>
        <w:rPr>
          <w:rFonts w:hint="eastAsia" w:ascii="宋体" w:hAnsi="宋体"/>
          <w:color w:val="auto"/>
          <w:sz w:val="24"/>
          <w:szCs w:val="24"/>
        </w:rPr>
        <w:t>十九.</w:t>
      </w:r>
      <w:bookmarkEnd w:id="56"/>
      <w:r>
        <w:rPr>
          <w:rFonts w:hint="eastAsia" w:ascii="宋体" w:hAnsi="宋体"/>
          <w:color w:val="auto"/>
          <w:sz w:val="24"/>
          <w:szCs w:val="24"/>
        </w:rPr>
        <w:t>政府采购政策情况表</w:t>
      </w:r>
      <w:r>
        <w:rPr>
          <w:rFonts w:ascii="宋体" w:hAnsi="宋体"/>
          <w:color w:val="auto"/>
          <w:sz w:val="24"/>
          <w:szCs w:val="24"/>
        </w:rPr>
        <w:t>……………………………………………………</w:t>
      </w:r>
      <w:r>
        <w:rPr>
          <w:rFonts w:hint="eastAsia" w:ascii="宋体" w:hAnsi="宋体"/>
          <w:color w:val="auto"/>
          <w:sz w:val="24"/>
          <w:szCs w:val="24"/>
        </w:rPr>
        <w:t xml:space="preserve">  （）</w:t>
      </w:r>
    </w:p>
    <w:p>
      <w:pPr>
        <w:autoSpaceDE w:val="0"/>
        <w:autoSpaceDN w:val="0"/>
        <w:spacing w:line="360" w:lineRule="auto"/>
        <w:rPr>
          <w:rFonts w:ascii="宋体" w:hAnsi="宋体"/>
          <w:color w:val="auto"/>
          <w:sz w:val="24"/>
          <w:szCs w:val="24"/>
        </w:rPr>
      </w:pPr>
      <w:bookmarkStart w:id="57" w:name="_Toc30786_WPSOffice_Level1"/>
      <w:r>
        <w:rPr>
          <w:rFonts w:hint="eastAsia" w:ascii="宋体" w:hAnsi="宋体"/>
          <w:color w:val="auto"/>
          <w:sz w:val="24"/>
          <w:szCs w:val="24"/>
        </w:rPr>
        <w:t>二十.</w:t>
      </w:r>
      <w:bookmarkEnd w:id="57"/>
      <w:r>
        <w:rPr>
          <w:rFonts w:hint="eastAsia" w:ascii="宋体" w:hAnsi="宋体"/>
          <w:color w:val="auto"/>
          <w:sz w:val="24"/>
          <w:szCs w:val="24"/>
        </w:rPr>
        <w:t>《信用信息查询结果》</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二十一. 中小企业声明函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rPr>
          <w:rFonts w:ascii="宋体" w:hAnsi="宋体"/>
          <w:color w:val="auto"/>
          <w:sz w:val="24"/>
          <w:szCs w:val="24"/>
        </w:rPr>
      </w:pPr>
      <w:bookmarkStart w:id="58" w:name="_Toc8973_WPSOffice_Level1"/>
      <w:r>
        <w:rPr>
          <w:rFonts w:hint="eastAsia" w:ascii="宋体" w:hAnsi="宋体"/>
          <w:color w:val="auto"/>
          <w:sz w:val="24"/>
          <w:szCs w:val="24"/>
        </w:rPr>
        <w:t>二十二.</w:t>
      </w:r>
      <w:bookmarkEnd w:id="58"/>
      <w:r>
        <w:rPr>
          <w:rFonts w:hint="eastAsia" w:ascii="宋体" w:hAnsi="宋体"/>
          <w:color w:val="auto"/>
          <w:sz w:val="24"/>
          <w:szCs w:val="24"/>
        </w:rPr>
        <w:t>残疾人福利性单位声明函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rPr>
          <w:rFonts w:ascii="宋体" w:hAnsi="宋体"/>
          <w:color w:val="auto"/>
          <w:sz w:val="24"/>
          <w:szCs w:val="24"/>
        </w:rPr>
      </w:pPr>
      <w:bookmarkStart w:id="59" w:name="_Toc10156_WPSOffice_Level1"/>
      <w:r>
        <w:rPr>
          <w:rFonts w:hint="eastAsia" w:ascii="宋体" w:hAnsi="宋体"/>
          <w:color w:val="auto"/>
          <w:sz w:val="24"/>
          <w:szCs w:val="24"/>
        </w:rPr>
        <w:t>二十三.</w:t>
      </w:r>
      <w:bookmarkEnd w:id="59"/>
      <w:r>
        <w:rPr>
          <w:rFonts w:hint="eastAsia" w:ascii="宋体" w:hAnsi="宋体"/>
          <w:color w:val="auto"/>
          <w:sz w:val="24"/>
          <w:szCs w:val="24"/>
        </w:rPr>
        <w:t>各类证明材料…………………………………………………</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b/>
          <w:color w:val="auto"/>
          <w:sz w:val="24"/>
          <w:szCs w:val="24"/>
        </w:rPr>
      </w:pPr>
      <w:bookmarkStart w:id="60" w:name="_Toc482026547"/>
      <w:r>
        <w:rPr>
          <w:rFonts w:ascii="宋体" w:hAnsi="宋体"/>
          <w:b/>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格式三：</w:t>
      </w:r>
      <w:bookmarkEnd w:id="60"/>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7680" w:firstLineChars="3200"/>
        <w:textAlignment w:val="auto"/>
      </w:pPr>
      <w:r>
        <w:rPr>
          <w:rFonts w:hint="eastAsia" w:ascii="宋体" w:hAnsi="宋体"/>
          <w:sz w:val="24"/>
          <w:szCs w:val="24"/>
        </w:rPr>
        <w:t>年 月 日</w:t>
      </w:r>
    </w:p>
    <w:p>
      <w:pPr>
        <w:widowControl/>
        <w:ind w:firstLine="720" w:firstLineChars="300"/>
        <w:jc w:val="left"/>
        <w:rPr>
          <w:rFonts w:ascii="宋体" w:hAnsi="宋体"/>
          <w:color w:val="auto"/>
          <w:sz w:val="24"/>
          <w:szCs w:val="24"/>
        </w:rPr>
      </w:pPr>
      <w:r>
        <w:rPr>
          <w:rFonts w:ascii="宋体" w:hAnsi="宋体"/>
          <w:color w:val="auto"/>
          <w:sz w:val="24"/>
          <w:szCs w:val="24"/>
        </w:rPr>
        <w:br w:type="page"/>
      </w:r>
    </w:p>
    <w:p>
      <w:pPr>
        <w:adjustRightInd w:val="0"/>
        <w:snapToGrid w:val="0"/>
        <w:spacing w:line="360" w:lineRule="auto"/>
        <w:jc w:val="center"/>
        <w:rPr>
          <w:rFonts w:ascii="宋体" w:hAnsi="宋体"/>
          <w:color w:val="auto"/>
          <w:sz w:val="24"/>
          <w:szCs w:val="24"/>
        </w:rPr>
      </w:pPr>
      <w:bookmarkStart w:id="61" w:name="_Toc28482_WPSOffice_Level1"/>
      <w:r>
        <w:rPr>
          <w:rFonts w:hint="eastAsia" w:ascii="宋体" w:hAnsi="宋体"/>
          <w:color w:val="auto"/>
          <w:sz w:val="24"/>
          <w:szCs w:val="24"/>
        </w:rPr>
        <w:t>二．开标一览表</w:t>
      </w:r>
      <w:bookmarkEnd w:id="61"/>
    </w:p>
    <w:p>
      <w:pPr>
        <w:pStyle w:val="16"/>
        <w:spacing w:line="360" w:lineRule="auto"/>
        <w:ind w:left="57" w:right="57" w:firstLine="57"/>
        <w:rPr>
          <w:rFonts w:hAnsi="宋体"/>
          <w:bCs/>
          <w:color w:val="auto"/>
          <w:sz w:val="24"/>
          <w:szCs w:val="24"/>
        </w:rPr>
      </w:pPr>
    </w:p>
    <w:p>
      <w:pPr>
        <w:pStyle w:val="16"/>
        <w:spacing w:line="360" w:lineRule="auto"/>
        <w:ind w:left="57" w:right="57" w:firstLine="57"/>
        <w:rPr>
          <w:rFonts w:hAnsi="宋体"/>
          <w:color w:val="auto"/>
          <w:sz w:val="24"/>
          <w:szCs w:val="24"/>
        </w:rPr>
      </w:pPr>
      <w:r>
        <w:rPr>
          <w:rFonts w:hint="eastAsia" w:hAnsi="宋体"/>
          <w:color w:val="auto"/>
          <w:sz w:val="24"/>
          <w:szCs w:val="24"/>
        </w:rPr>
        <w:t>投标人名称（加盖公章）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项目名称、包号：                          项目编号：</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rPr>
              <w:t>投标总报价（元）</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售后服务网点</w:t>
            </w:r>
          </w:p>
        </w:tc>
        <w:tc>
          <w:tcPr>
            <w:tcW w:w="187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877" w:type="dxa"/>
            <w:vMerge w:val="restart"/>
          </w:tcPr>
          <w:p>
            <w:pPr>
              <w:spacing w:line="360" w:lineRule="auto"/>
              <w:ind w:left="57" w:right="57" w:firstLine="57"/>
              <w:jc w:val="center"/>
              <w:outlineLvl w:val="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877" w:type="dxa"/>
            <w:vMerge w:val="continue"/>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cs="Courier New"/>
          <w:b/>
          <w:color w:val="auto"/>
          <w:kern w:val="0"/>
          <w:sz w:val="24"/>
          <w:szCs w:val="24"/>
        </w:rPr>
      </w:pPr>
      <w:r>
        <w:rPr>
          <w:rFonts w:hint="eastAsia" w:ascii="宋体" w:hAnsi="宋体" w:cs="Courier New"/>
          <w:color w:val="auto"/>
          <w:kern w:val="0"/>
          <w:sz w:val="24"/>
          <w:szCs w:val="24"/>
        </w:rPr>
        <w:t>4、</w:t>
      </w:r>
      <w:r>
        <w:rPr>
          <w:rFonts w:hint="eastAsia" w:ascii="宋体" w:hAnsi="宋体" w:cs="Courier New"/>
          <w:b/>
          <w:color w:val="auto"/>
          <w:kern w:val="0"/>
          <w:sz w:val="24"/>
          <w:szCs w:val="24"/>
        </w:rPr>
        <w:t>此表除保留在投标文件中外，</w:t>
      </w:r>
      <w:r>
        <w:rPr>
          <w:rFonts w:ascii="宋体" w:hAnsi="宋体" w:cs="Courier New"/>
          <w:b/>
          <w:color w:val="auto"/>
          <w:kern w:val="0"/>
          <w:sz w:val="24"/>
          <w:szCs w:val="24"/>
        </w:rPr>
        <w:t>还要将另一份</w:t>
      </w:r>
      <w:r>
        <w:rPr>
          <w:rFonts w:hint="eastAsia" w:ascii="宋体" w:hAnsi="宋体" w:cs="Courier New"/>
          <w:b/>
          <w:color w:val="auto"/>
          <w:kern w:val="0"/>
          <w:sz w:val="24"/>
          <w:szCs w:val="24"/>
        </w:rPr>
        <w:t>完全</w:t>
      </w:r>
      <w:r>
        <w:rPr>
          <w:rFonts w:ascii="宋体" w:hAnsi="宋体" w:cs="Courier New"/>
          <w:b/>
          <w:color w:val="auto"/>
          <w:kern w:val="0"/>
          <w:sz w:val="24"/>
          <w:szCs w:val="24"/>
        </w:rPr>
        <w:t>相同</w:t>
      </w:r>
      <w:r>
        <w:rPr>
          <w:rFonts w:hint="eastAsia" w:ascii="宋体" w:hAnsi="宋体" w:cs="Courier New"/>
          <w:b/>
          <w:color w:val="auto"/>
          <w:kern w:val="0"/>
          <w:sz w:val="24"/>
          <w:szCs w:val="24"/>
        </w:rPr>
        <w:t>的本表密封装在一个信封中，单独递交，作为唱标之用。</w:t>
      </w:r>
    </w:p>
    <w:p>
      <w:pPr>
        <w:adjustRightInd w:val="0"/>
        <w:snapToGrid w:val="0"/>
        <w:spacing w:line="360" w:lineRule="auto"/>
        <w:ind w:firstLine="720" w:firstLineChars="300"/>
        <w:rPr>
          <w:rFonts w:ascii="宋体" w:hAnsi="宋体"/>
          <w:color w:val="auto"/>
          <w:sz w:val="24"/>
          <w:szCs w:val="24"/>
        </w:rPr>
      </w:pPr>
      <w:r>
        <w:rPr>
          <w:rFonts w:hint="eastAsia" w:ascii="宋体" w:hAnsi="宋体" w:cs="Courier New"/>
          <w:color w:val="auto"/>
          <w:kern w:val="0"/>
          <w:sz w:val="24"/>
          <w:szCs w:val="24"/>
        </w:rPr>
        <w:t>5.《</w:t>
      </w:r>
      <w:r>
        <w:rPr>
          <w:rFonts w:hint="eastAsia" w:ascii="宋体" w:hAnsi="宋体"/>
          <w:color w:val="auto"/>
          <w:sz w:val="24"/>
          <w:szCs w:val="24"/>
        </w:rPr>
        <w:t>开标一览表</w:t>
      </w:r>
      <w:r>
        <w:rPr>
          <w:rFonts w:hint="eastAsia" w:ascii="宋体" w:hAnsi="宋体" w:cs="Courier New"/>
          <w:color w:val="auto"/>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auto"/>
          <w:kern w:val="0"/>
          <w:sz w:val="24"/>
          <w:szCs w:val="24"/>
        </w:rPr>
      </w:pP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r>
        <w:rPr>
          <w:rFonts w:hint="eastAsia" w:ascii="宋体" w:hAnsi="宋体"/>
          <w:color w:val="auto"/>
          <w:sz w:val="24"/>
          <w:szCs w:val="24"/>
        </w:rPr>
        <w:t>法定代表人或法人授权代表（签字）：</w:t>
      </w:r>
    </w:p>
    <w:p>
      <w:pPr>
        <w:adjustRightInd w:val="0"/>
        <w:snapToGrid w:val="0"/>
        <w:spacing w:line="360" w:lineRule="auto"/>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                                              年    月     日</w:t>
      </w:r>
    </w:p>
    <w:p>
      <w:pPr>
        <w:widowControl/>
        <w:jc w:val="left"/>
        <w:rPr>
          <w:rFonts w:ascii="宋体" w:hAnsi="宋体"/>
          <w:color w:val="auto"/>
          <w:sz w:val="24"/>
          <w:szCs w:val="24"/>
        </w:rPr>
      </w:pPr>
      <w:r>
        <w:rPr>
          <w:rFonts w:ascii="宋体" w:hAnsi="宋体"/>
          <w:color w:val="auto"/>
          <w:sz w:val="24"/>
          <w:szCs w:val="24"/>
        </w:rPr>
        <w:br w:type="page"/>
      </w:r>
    </w:p>
    <w:p>
      <w:pPr>
        <w:spacing w:line="360" w:lineRule="auto"/>
        <w:ind w:firstLine="420"/>
        <w:jc w:val="center"/>
        <w:rPr>
          <w:rFonts w:asciiTheme="minorEastAsia" w:hAnsiTheme="minorEastAsia" w:eastAsiaTheme="minorEastAsia"/>
          <w:color w:val="auto"/>
          <w:sz w:val="24"/>
          <w:szCs w:val="24"/>
        </w:rPr>
      </w:pPr>
      <w:bookmarkStart w:id="62" w:name="_Toc32076_WPSOffice_Level1"/>
      <w:bookmarkStart w:id="63" w:name="_Toc496001220"/>
      <w:bookmarkStart w:id="64" w:name="_Toc482026549"/>
      <w:r>
        <w:rPr>
          <w:rFonts w:hint="eastAsia" w:asciiTheme="minorEastAsia" w:hAnsiTheme="minorEastAsia" w:eastAsiaTheme="minorEastAsia"/>
          <w:color w:val="auto"/>
          <w:sz w:val="24"/>
          <w:szCs w:val="24"/>
        </w:rPr>
        <w:t>三．</w:t>
      </w:r>
      <w:r>
        <w:rPr>
          <w:rFonts w:asciiTheme="minorEastAsia" w:hAnsiTheme="minorEastAsia" w:eastAsiaTheme="minorEastAsia"/>
          <w:color w:val="auto"/>
          <w:sz w:val="24"/>
          <w:szCs w:val="24"/>
        </w:rPr>
        <w:t>法定代表人身份证明</w:t>
      </w:r>
      <w:bookmarkEnd w:id="62"/>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投标人名称：</w:t>
      </w:r>
      <w:r>
        <w:rPr>
          <w:rFonts w:hint="eastAsia" w:asciiTheme="minorEastAsia" w:hAnsiTheme="minorEastAsia" w:eastAsiaTheme="minorEastAsia"/>
          <w:color w:val="auto"/>
          <w:sz w:val="24"/>
          <w:szCs w:val="24"/>
        </w:rPr>
        <w:t>__________________________</w:t>
      </w:r>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姓名：</w:t>
      </w:r>
      <w:r>
        <w:rPr>
          <w:rFonts w:hint="eastAsia" w:asciiTheme="minorEastAsia" w:hAnsiTheme="minorEastAsia" w:eastAsiaTheme="minorEastAsia"/>
          <w:color w:val="auto"/>
          <w:sz w:val="24"/>
          <w:szCs w:val="24"/>
        </w:rPr>
        <w:t>_______________</w:t>
      </w:r>
      <w:r>
        <w:rPr>
          <w:rFonts w:asciiTheme="minorEastAsia" w:hAnsiTheme="minorEastAsia" w:eastAsiaTheme="minorEastAsia"/>
          <w:color w:val="auto"/>
          <w:sz w:val="24"/>
          <w:szCs w:val="24"/>
        </w:rPr>
        <w:t>性别：</w:t>
      </w:r>
      <w:r>
        <w:rPr>
          <w:rFonts w:hint="eastAsia" w:asciiTheme="minorEastAsia" w:hAnsiTheme="minorEastAsia" w:eastAsiaTheme="minorEastAsia"/>
          <w:color w:val="auto"/>
          <w:sz w:val="24"/>
          <w:szCs w:val="24"/>
        </w:rPr>
        <w:t>______________</w:t>
      </w:r>
      <w:r>
        <w:rPr>
          <w:rFonts w:asciiTheme="minorEastAsia" w:hAnsiTheme="minorEastAsia" w:eastAsiaTheme="minorEastAsia"/>
          <w:color w:val="auto"/>
          <w:sz w:val="24"/>
          <w:szCs w:val="24"/>
        </w:rPr>
        <w:t>年龄：</w:t>
      </w:r>
      <w:r>
        <w:rPr>
          <w:rFonts w:hint="eastAsia" w:asciiTheme="minorEastAsia" w:hAnsiTheme="minorEastAsia" w:eastAsiaTheme="minorEastAsia"/>
          <w:color w:val="auto"/>
          <w:sz w:val="24"/>
          <w:szCs w:val="24"/>
        </w:rPr>
        <w:t>_____________</w:t>
      </w:r>
      <w:r>
        <w:rPr>
          <w:rFonts w:asciiTheme="minorEastAsia" w:hAnsiTheme="minorEastAsia" w:eastAsiaTheme="minorEastAsia"/>
          <w:color w:val="auto"/>
          <w:sz w:val="24"/>
          <w:szCs w:val="24"/>
        </w:rPr>
        <w:t>职务：</w:t>
      </w:r>
      <w:r>
        <w:rPr>
          <w:rFonts w:hint="eastAsia" w:asciiTheme="minorEastAsia" w:hAnsiTheme="minorEastAsia" w:eastAsiaTheme="minorEastAsia"/>
          <w:color w:val="auto"/>
          <w:sz w:val="24"/>
          <w:szCs w:val="24"/>
        </w:rPr>
        <w:t>______________</w:t>
      </w:r>
      <w:r>
        <w:rPr>
          <w:rFonts w:asciiTheme="minorEastAsia" w:hAnsiTheme="minorEastAsia" w:eastAsiaTheme="minorEastAsia"/>
          <w:color w:val="auto"/>
          <w:sz w:val="24"/>
          <w:szCs w:val="24"/>
        </w:rPr>
        <w:t>系</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（投标人名称）的法定代表人。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特此证明。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附：法定代表人身份证复印件。</w:t>
      </w:r>
    </w:p>
    <w:p>
      <w:pPr>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注：本身份证明需由投标人加盖单位公章。</w:t>
      </w: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Theme="minorEastAsia" w:hAnsiTheme="minorEastAsia" w:eastAsiaTheme="minorEastAsia"/>
          <w:color w:val="auto"/>
          <w:sz w:val="24"/>
          <w:szCs w:val="24"/>
        </w:rPr>
      </w:pPr>
    </w:p>
    <w:p>
      <w:pPr>
        <w:spacing w:line="360" w:lineRule="auto"/>
        <w:ind w:firstLine="4920" w:firstLineChars="2050"/>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（盖单位章）</w:t>
      </w:r>
    </w:p>
    <w:p>
      <w:pPr>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_______</w:t>
      </w:r>
      <w:r>
        <w:rPr>
          <w:rFonts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rPr>
        <w:t>______</w:t>
      </w:r>
      <w:r>
        <w:rPr>
          <w:rFonts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rPr>
        <w:t>_______</w:t>
      </w:r>
      <w:r>
        <w:rPr>
          <w:rFonts w:asciiTheme="minorEastAsia" w:hAnsiTheme="minorEastAsia" w:eastAsiaTheme="minorEastAsia"/>
          <w:color w:val="auto"/>
          <w:sz w:val="24"/>
          <w:szCs w:val="24"/>
        </w:rPr>
        <w:t xml:space="preserve">日 </w:t>
      </w:r>
    </w:p>
    <w:p>
      <w:pPr>
        <w:spacing w:line="360" w:lineRule="auto"/>
        <w:jc w:val="center"/>
        <w:rPr>
          <w:rFonts w:asciiTheme="minorEastAsia" w:hAnsiTheme="minorEastAsia" w:eastAsiaTheme="minorEastAsia"/>
          <w:b/>
          <w:color w:val="auto"/>
          <w:sz w:val="24"/>
          <w:szCs w:val="24"/>
        </w:rPr>
      </w:pPr>
    </w:p>
    <w:p>
      <w:pPr>
        <w:widowControl/>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pPr>
        <w:spacing w:line="360" w:lineRule="auto"/>
        <w:ind w:firstLine="420"/>
        <w:jc w:val="center"/>
        <w:rPr>
          <w:rFonts w:asciiTheme="minorEastAsia" w:hAnsiTheme="minorEastAsia" w:eastAsiaTheme="minorEastAsia"/>
          <w:color w:val="auto"/>
          <w:sz w:val="24"/>
          <w:szCs w:val="24"/>
        </w:rPr>
      </w:pPr>
      <w:bookmarkStart w:id="65" w:name="_Toc12829_WPSOffice_Level1"/>
      <w:r>
        <w:rPr>
          <w:rFonts w:hint="eastAsia" w:asciiTheme="minorEastAsia" w:hAnsiTheme="minorEastAsia" w:eastAsiaTheme="minorEastAsia"/>
          <w:color w:val="auto"/>
          <w:sz w:val="24"/>
          <w:szCs w:val="24"/>
        </w:rPr>
        <w:t>四．</w:t>
      </w:r>
      <w:r>
        <w:rPr>
          <w:rFonts w:asciiTheme="minorEastAsia" w:hAnsiTheme="minorEastAsia" w:eastAsiaTheme="minorEastAsia"/>
          <w:color w:val="auto"/>
          <w:sz w:val="24"/>
          <w:szCs w:val="24"/>
        </w:rPr>
        <w:t>授权委托人身份证明</w:t>
      </w:r>
      <w:bookmarkEnd w:id="65"/>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投标人名称：</w:t>
      </w:r>
      <w:r>
        <w:rPr>
          <w:rFonts w:hint="eastAsia" w:asciiTheme="minorEastAsia" w:hAnsiTheme="minorEastAsia" w:eastAsiaTheme="minorEastAsia"/>
          <w:color w:val="auto"/>
          <w:sz w:val="24"/>
          <w:szCs w:val="24"/>
        </w:rPr>
        <w:t>__________________________</w:t>
      </w:r>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姓名：</w:t>
      </w:r>
      <w:r>
        <w:rPr>
          <w:rFonts w:hint="eastAsia" w:asciiTheme="minorEastAsia" w:hAnsiTheme="minorEastAsia" w:eastAsiaTheme="minorEastAsia"/>
          <w:color w:val="auto"/>
          <w:sz w:val="24"/>
          <w:szCs w:val="24"/>
        </w:rPr>
        <w:t>_______________</w:t>
      </w:r>
      <w:r>
        <w:rPr>
          <w:rFonts w:asciiTheme="minorEastAsia" w:hAnsiTheme="minorEastAsia" w:eastAsiaTheme="minorEastAsia"/>
          <w:color w:val="auto"/>
          <w:sz w:val="24"/>
          <w:szCs w:val="24"/>
        </w:rPr>
        <w:t>性别：</w:t>
      </w:r>
      <w:r>
        <w:rPr>
          <w:rFonts w:hint="eastAsia" w:asciiTheme="minorEastAsia" w:hAnsiTheme="minorEastAsia" w:eastAsiaTheme="minorEastAsia"/>
          <w:color w:val="auto"/>
          <w:sz w:val="24"/>
          <w:szCs w:val="24"/>
        </w:rPr>
        <w:t>______________</w:t>
      </w:r>
      <w:r>
        <w:rPr>
          <w:rFonts w:asciiTheme="minorEastAsia" w:hAnsiTheme="minorEastAsia" w:eastAsiaTheme="minorEastAsia"/>
          <w:color w:val="auto"/>
          <w:sz w:val="24"/>
          <w:szCs w:val="24"/>
        </w:rPr>
        <w:t>年龄：</w:t>
      </w:r>
      <w:r>
        <w:rPr>
          <w:rFonts w:hint="eastAsia" w:asciiTheme="minorEastAsia" w:hAnsiTheme="minorEastAsia" w:eastAsiaTheme="minorEastAsia"/>
          <w:color w:val="auto"/>
          <w:sz w:val="24"/>
          <w:szCs w:val="24"/>
        </w:rPr>
        <w:t>_____________</w:t>
      </w:r>
      <w:r>
        <w:rPr>
          <w:rFonts w:asciiTheme="minorEastAsia" w:hAnsiTheme="minorEastAsia" w:eastAsiaTheme="minorEastAsia"/>
          <w:color w:val="auto"/>
          <w:sz w:val="24"/>
          <w:szCs w:val="24"/>
        </w:rPr>
        <w:t>职务：</w:t>
      </w:r>
      <w:r>
        <w:rPr>
          <w:rFonts w:hint="eastAsia" w:asciiTheme="minorEastAsia" w:hAnsiTheme="minorEastAsia" w:eastAsiaTheme="minorEastAsia"/>
          <w:color w:val="auto"/>
          <w:sz w:val="24"/>
          <w:szCs w:val="24"/>
        </w:rPr>
        <w:t>______________</w:t>
      </w:r>
      <w:r>
        <w:rPr>
          <w:rFonts w:asciiTheme="minorEastAsia" w:hAnsiTheme="minorEastAsia" w:eastAsiaTheme="minorEastAsia"/>
          <w:color w:val="auto"/>
          <w:sz w:val="24"/>
          <w:szCs w:val="24"/>
        </w:rPr>
        <w:t>系</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（投标人名称）的</w:t>
      </w:r>
      <w:r>
        <w:rPr>
          <w:rFonts w:hint="eastAsia" w:asciiTheme="minorEastAsia" w:hAnsiTheme="minorEastAsia" w:eastAsiaTheme="minorEastAsia"/>
          <w:color w:val="auto"/>
          <w:sz w:val="24"/>
          <w:szCs w:val="24"/>
        </w:rPr>
        <w:t>授权委托</w:t>
      </w:r>
      <w:r>
        <w:rPr>
          <w:rFonts w:asciiTheme="minorEastAsia" w:hAnsiTheme="minorEastAsia" w:eastAsiaTheme="minorEastAsia"/>
          <w:color w:val="auto"/>
          <w:sz w:val="24"/>
          <w:szCs w:val="24"/>
        </w:rPr>
        <w:t xml:space="preserve">人。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特此证明。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附：</w:t>
      </w:r>
      <w:r>
        <w:rPr>
          <w:rFonts w:hint="eastAsia" w:asciiTheme="minorEastAsia" w:hAnsiTheme="minorEastAsia" w:eastAsiaTheme="minorEastAsia"/>
          <w:color w:val="auto"/>
          <w:sz w:val="24"/>
          <w:szCs w:val="24"/>
        </w:rPr>
        <w:t>授权委托</w:t>
      </w:r>
      <w:r>
        <w:rPr>
          <w:rFonts w:asciiTheme="minorEastAsia" w:hAnsiTheme="minorEastAsia" w:eastAsiaTheme="minorEastAsia"/>
          <w:color w:val="auto"/>
          <w:sz w:val="24"/>
          <w:szCs w:val="24"/>
        </w:rPr>
        <w:t>人身份证复印件。</w:t>
      </w:r>
    </w:p>
    <w:p>
      <w:pPr>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color w:val="auto"/>
          <w:sz w:val="24"/>
          <w:szCs w:val="24"/>
        </w:rPr>
      </w:pPr>
    </w:p>
    <w:p>
      <w:pPr>
        <w:spacing w:line="360" w:lineRule="auto"/>
        <w:ind w:firstLine="4920" w:firstLineChars="2050"/>
        <w:rPr>
          <w:rFonts w:asciiTheme="minorEastAsia" w:hAnsiTheme="minorEastAsia" w:eastAsiaTheme="minorEastAsia"/>
          <w:color w:val="auto"/>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Theme="minorEastAsia" w:hAnsiTheme="minorEastAsia" w:eastAsiaTheme="minorEastAsia"/>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Theme="minorEastAsia" w:hAnsiTheme="minorEastAsia" w:eastAsiaTheme="minorEastAsia"/>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（盖单位章）</w:t>
      </w:r>
    </w:p>
    <w:p>
      <w:pPr>
        <w:spacing w:line="360" w:lineRule="auto"/>
        <w:jc w:val="left"/>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_______</w:t>
      </w:r>
      <w:r>
        <w:rPr>
          <w:rFonts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rPr>
        <w:t>______</w:t>
      </w:r>
      <w:r>
        <w:rPr>
          <w:rFonts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rPr>
        <w:t>_______</w:t>
      </w:r>
      <w:r>
        <w:rPr>
          <w:rFonts w:asciiTheme="minorEastAsia" w:hAnsiTheme="minorEastAsia" w:eastAsiaTheme="minorEastAsia"/>
          <w:color w:val="auto"/>
          <w:sz w:val="24"/>
          <w:szCs w:val="24"/>
        </w:rPr>
        <w:t>日</w:t>
      </w:r>
      <w:r>
        <w:rPr>
          <w:rFonts w:asciiTheme="minorEastAsia" w:hAnsiTheme="minorEastAsia" w:eastAsiaTheme="minorEastAsia"/>
          <w:color w:val="auto"/>
          <w:sz w:val="24"/>
          <w:szCs w:val="24"/>
        </w:rPr>
        <w:br w:type="page"/>
      </w:r>
      <w:bookmarkEnd w:id="63"/>
    </w:p>
    <w:p>
      <w:pPr>
        <w:spacing w:line="360" w:lineRule="auto"/>
        <w:jc w:val="center"/>
        <w:rPr>
          <w:rFonts w:asciiTheme="minorEastAsia" w:hAnsiTheme="minorEastAsia" w:eastAsiaTheme="minorEastAsia"/>
          <w:color w:val="auto"/>
          <w:sz w:val="24"/>
          <w:szCs w:val="24"/>
        </w:rPr>
      </w:pPr>
      <w:bookmarkStart w:id="66" w:name="_Toc28748_WPSOffice_Level1"/>
      <w:r>
        <w:rPr>
          <w:rFonts w:hint="eastAsia" w:asciiTheme="minorEastAsia" w:hAnsiTheme="minorEastAsia" w:eastAsiaTheme="minorEastAsia"/>
          <w:color w:val="auto"/>
          <w:sz w:val="24"/>
          <w:szCs w:val="24"/>
        </w:rPr>
        <w:t>五．</w:t>
      </w:r>
      <w:r>
        <w:rPr>
          <w:rFonts w:asciiTheme="minorEastAsia" w:hAnsiTheme="minorEastAsia" w:eastAsiaTheme="minorEastAsia"/>
          <w:color w:val="auto"/>
          <w:sz w:val="24"/>
          <w:szCs w:val="24"/>
        </w:rPr>
        <w:t>授权委托书</w:t>
      </w:r>
      <w:bookmarkEnd w:id="66"/>
    </w:p>
    <w:p>
      <w:pPr>
        <w:spacing w:line="360" w:lineRule="auto"/>
        <w:ind w:firstLine="5160" w:firstLineChars="2150"/>
        <w:jc w:val="center"/>
        <w:rPr>
          <w:rFonts w:asciiTheme="minorEastAsia" w:hAnsiTheme="minorEastAsia" w:eastAsiaTheme="minorEastAsia"/>
          <w:color w:val="auto"/>
          <w:sz w:val="24"/>
          <w:szCs w:val="24"/>
        </w:rPr>
      </w:pPr>
    </w:p>
    <w:p>
      <w:pPr>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本人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（姓名）系</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（投标人名称）的法定代表人，现委托</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w:t>
      </w:r>
    </w:p>
    <w:p>
      <w:pPr>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代理人无转委托权。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 标 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（盖单位章）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法定代表人：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（签字）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身份证号码：</w:t>
      </w:r>
      <w:r>
        <w:rPr>
          <w:rFonts w:hint="eastAsia" w:asciiTheme="minorEastAsia" w:hAnsiTheme="minorEastAsia" w:eastAsiaTheme="minorEastAsia"/>
          <w:color w:val="auto"/>
          <w:sz w:val="24"/>
          <w:szCs w:val="24"/>
        </w:rPr>
        <w:t>_________________</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委托代理人：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（签字） </w:t>
      </w:r>
    </w:p>
    <w:p>
      <w:pPr>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身份证号码：</w:t>
      </w:r>
      <w:r>
        <w:rPr>
          <w:rFonts w:hint="eastAsia" w:asciiTheme="minorEastAsia" w:hAnsiTheme="minorEastAsia" w:eastAsiaTheme="minorEastAsia"/>
          <w:color w:val="auto"/>
          <w:sz w:val="24"/>
          <w:szCs w:val="24"/>
        </w:rPr>
        <w:t>_________________</w:t>
      </w:r>
    </w:p>
    <w:p>
      <w:pPr>
        <w:pStyle w:val="16"/>
        <w:spacing w:line="360" w:lineRule="auto"/>
        <w:ind w:right="5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_____</w:t>
      </w:r>
      <w:r>
        <w:rPr>
          <w:rFonts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______</w:t>
      </w:r>
      <w:r>
        <w:rPr>
          <w:rFonts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______</w:t>
      </w:r>
      <w:r>
        <w:rPr>
          <w:rFonts w:asciiTheme="minorEastAsia" w:hAnsiTheme="minorEastAsia" w:eastAsiaTheme="minorEastAsia"/>
          <w:color w:val="auto"/>
          <w:sz w:val="24"/>
          <w:szCs w:val="24"/>
        </w:rPr>
        <w:t>日</w:t>
      </w: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p>
      <w:pPr>
        <w:spacing w:line="360" w:lineRule="auto"/>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pPr>
        <w:spacing w:line="360" w:lineRule="auto"/>
        <w:jc w:val="center"/>
        <w:rPr>
          <w:rFonts w:asciiTheme="minorEastAsia" w:hAnsiTheme="minorEastAsia" w:eastAsiaTheme="minorEastAsia"/>
          <w:color w:val="auto"/>
          <w:sz w:val="24"/>
          <w:szCs w:val="24"/>
        </w:rPr>
      </w:pPr>
      <w:bookmarkStart w:id="67" w:name="_Toc29578_WPSOffice_Level1"/>
      <w:r>
        <w:rPr>
          <w:rFonts w:hint="eastAsia" w:asciiTheme="minorEastAsia" w:hAnsiTheme="minorEastAsia" w:eastAsiaTheme="minorEastAsia"/>
          <w:bCs/>
          <w:color w:val="auto"/>
          <w:sz w:val="24"/>
          <w:szCs w:val="24"/>
        </w:rPr>
        <w:t>六．</w:t>
      </w:r>
      <w:r>
        <w:rPr>
          <w:rFonts w:asciiTheme="minorEastAsia" w:hAnsiTheme="minorEastAsia" w:eastAsiaTheme="minorEastAsia"/>
          <w:bCs/>
          <w:color w:val="auto"/>
          <w:sz w:val="24"/>
          <w:szCs w:val="24"/>
        </w:rPr>
        <w:t>投标保证金</w:t>
      </w:r>
      <w:bookmarkEnd w:id="67"/>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投标人应在此提供</w:t>
      </w:r>
      <w:r>
        <w:rPr>
          <w:rFonts w:hint="eastAsia" w:asciiTheme="minorEastAsia" w:hAnsiTheme="minorEastAsia" w:eastAsiaTheme="minorEastAsia"/>
          <w:color w:val="auto"/>
          <w:sz w:val="24"/>
          <w:szCs w:val="24"/>
        </w:rPr>
        <w:t>保证金</w:t>
      </w:r>
      <w:r>
        <w:rPr>
          <w:rFonts w:asciiTheme="minorEastAsia" w:hAnsiTheme="minorEastAsia" w:eastAsiaTheme="minorEastAsia"/>
          <w:color w:val="auto"/>
          <w:sz w:val="24"/>
          <w:szCs w:val="24"/>
        </w:rPr>
        <w:t xml:space="preserve">汇款凭证的复印件。 </w:t>
      </w:r>
    </w:p>
    <w:p>
      <w:pPr>
        <w:widowControl/>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pPr>
        <w:spacing w:line="360" w:lineRule="auto"/>
        <w:jc w:val="center"/>
        <w:rPr>
          <w:rFonts w:asciiTheme="minorEastAsia" w:hAnsiTheme="minorEastAsia" w:eastAsiaTheme="minorEastAsia"/>
          <w:bCs/>
          <w:color w:val="auto"/>
          <w:sz w:val="24"/>
          <w:szCs w:val="24"/>
        </w:rPr>
      </w:pPr>
      <w:bookmarkStart w:id="68" w:name="_Toc30044_WPSOffice_Level1"/>
      <w:r>
        <w:rPr>
          <w:rFonts w:hint="eastAsia" w:asciiTheme="minorEastAsia" w:hAnsiTheme="minorEastAsia" w:eastAsiaTheme="minorEastAsia"/>
          <w:bCs/>
          <w:color w:val="auto"/>
          <w:sz w:val="24"/>
          <w:szCs w:val="24"/>
        </w:rPr>
        <w:t>七．</w:t>
      </w:r>
      <w:r>
        <w:rPr>
          <w:rFonts w:asciiTheme="minorEastAsia" w:hAnsiTheme="minorEastAsia" w:eastAsiaTheme="minorEastAsia"/>
          <w:bCs/>
          <w:color w:val="auto"/>
          <w:sz w:val="24"/>
          <w:szCs w:val="24"/>
        </w:rPr>
        <w:t>联合体协议书</w:t>
      </w:r>
      <w:bookmarkEnd w:id="68"/>
    </w:p>
    <w:p>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______________________________</w:t>
      </w:r>
      <w:r>
        <w:rPr>
          <w:rFonts w:asciiTheme="minorEastAsia" w:hAnsiTheme="minorEastAsia" w:eastAsiaTheme="minorEastAsia"/>
          <w:color w:val="auto"/>
          <w:sz w:val="24"/>
          <w:szCs w:val="24"/>
        </w:rPr>
        <w:t>（所有成员单位名称）自愿组成</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（联合体名称）联合体，共同参加</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（项目名称）招标项目投标。现就联合体投标事宜订立如下协议。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1. （某成员单位名称）为 （联合体名称）牵头人。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 联合体各成员单位内部的职责分工如下：</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6. 本协议书一式</w:t>
      </w:r>
      <w:r>
        <w:rPr>
          <w:rFonts w:hint="eastAsia" w:asciiTheme="minorEastAsia" w:hAnsiTheme="minorEastAsia" w:eastAsiaTheme="minorEastAsia"/>
          <w:color w:val="auto"/>
          <w:sz w:val="24"/>
          <w:szCs w:val="24"/>
        </w:rPr>
        <w:t>______</w:t>
      </w:r>
      <w:r>
        <w:rPr>
          <w:rFonts w:asciiTheme="minorEastAsia" w:hAnsiTheme="minorEastAsia" w:eastAsiaTheme="minorEastAsia"/>
          <w:color w:val="auto"/>
          <w:sz w:val="24"/>
          <w:szCs w:val="24"/>
        </w:rPr>
        <w:t xml:space="preserve">份，联合体成员和招标人各执一份。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联合体牵头人名称：</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（盖单位章）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法定代表人或其委托代理人：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（签字） </w:t>
      </w:r>
    </w:p>
    <w:p>
      <w:pPr>
        <w:spacing w:line="360" w:lineRule="auto"/>
        <w:jc w:val="left"/>
        <w:rPr>
          <w:rFonts w:asciiTheme="minorEastAsia" w:hAnsiTheme="minorEastAsia" w:eastAsiaTheme="minorEastAsia"/>
          <w:color w:val="auto"/>
          <w:sz w:val="24"/>
          <w:szCs w:val="24"/>
        </w:rPr>
      </w:pP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联合体成员名称：</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（盖单位章） </w:t>
      </w: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法定代表人或其委托代理人：</w:t>
      </w:r>
      <w:r>
        <w:rPr>
          <w:rFonts w:hint="eastAsia" w:asciiTheme="minorEastAsia" w:hAnsiTheme="minorEastAsia" w:eastAsiaTheme="minorEastAsia"/>
          <w:color w:val="auto"/>
          <w:sz w:val="24"/>
          <w:szCs w:val="24"/>
        </w:rPr>
        <w:t>_________________</w:t>
      </w:r>
      <w:r>
        <w:rPr>
          <w:rFonts w:asciiTheme="minorEastAsia" w:hAnsiTheme="minorEastAsia" w:eastAsiaTheme="minorEastAsia"/>
          <w:color w:val="auto"/>
          <w:sz w:val="24"/>
          <w:szCs w:val="24"/>
        </w:rPr>
        <w:t xml:space="preserve">（签字） </w:t>
      </w:r>
    </w:p>
    <w:p>
      <w:pPr>
        <w:spacing w:line="360" w:lineRule="auto"/>
        <w:jc w:val="left"/>
        <w:rPr>
          <w:rFonts w:asciiTheme="minorEastAsia" w:hAnsiTheme="minorEastAsia" w:eastAsiaTheme="minorEastAsia"/>
          <w:color w:val="auto"/>
          <w:sz w:val="24"/>
          <w:szCs w:val="24"/>
        </w:rPr>
      </w:pPr>
    </w:p>
    <w:p>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w:t>
      </w:r>
    </w:p>
    <w:p>
      <w:pPr>
        <w:spacing w:line="360" w:lineRule="auto"/>
        <w:jc w:val="left"/>
        <w:rPr>
          <w:rFonts w:asciiTheme="minorEastAsia" w:hAnsiTheme="minorEastAsia" w:eastAsiaTheme="minorEastAsia"/>
          <w:color w:val="auto"/>
          <w:sz w:val="24"/>
          <w:szCs w:val="24"/>
        </w:rPr>
      </w:pPr>
    </w:p>
    <w:p>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_______</w:t>
      </w:r>
      <w:r>
        <w:rPr>
          <w:rFonts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rPr>
        <w:t>________</w:t>
      </w:r>
      <w:r>
        <w:rPr>
          <w:rFonts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rPr>
        <w:t>________</w:t>
      </w:r>
      <w:r>
        <w:rPr>
          <w:rFonts w:asciiTheme="minorEastAsia" w:hAnsiTheme="minorEastAsia" w:eastAsiaTheme="minorEastAsia"/>
          <w:color w:val="auto"/>
          <w:sz w:val="24"/>
          <w:szCs w:val="24"/>
        </w:rPr>
        <w:t>日</w:t>
      </w:r>
    </w:p>
    <w:p>
      <w:pPr>
        <w:pStyle w:val="2"/>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1.如接受联合体投标项目，供应商需按要求填写联合体协议书。</w:t>
      </w:r>
    </w:p>
    <w:p>
      <w:pPr>
        <w:pStyle w:val="2"/>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2.不接受联合体投标项目，只需提供空表。</w:t>
      </w:r>
    </w:p>
    <w:p>
      <w:pPr>
        <w:widowControl/>
        <w:jc w:val="left"/>
        <w:rPr>
          <w:rFonts w:asciiTheme="minorEastAsia" w:hAnsiTheme="minorEastAsia" w:eastAsiaTheme="minorEastAsia"/>
          <w:color w:val="auto"/>
          <w:sz w:val="24"/>
          <w:szCs w:val="24"/>
        </w:rPr>
      </w:pPr>
    </w:p>
    <w:p>
      <w:pPr>
        <w:spacing w:line="360" w:lineRule="auto"/>
        <w:jc w:val="left"/>
        <w:rPr>
          <w:rFonts w:asciiTheme="minorEastAsia" w:hAnsiTheme="minorEastAsia" w:eastAsiaTheme="minorEastAsia"/>
          <w:color w:val="auto"/>
          <w:sz w:val="24"/>
          <w:szCs w:val="24"/>
        </w:rPr>
      </w:pPr>
    </w:p>
    <w:bookmarkEnd w:id="64"/>
    <w:p>
      <w:pPr>
        <w:adjustRightInd w:val="0"/>
        <w:snapToGrid w:val="0"/>
        <w:spacing w:line="360" w:lineRule="auto"/>
        <w:ind w:firstLine="3000" w:firstLineChars="1250"/>
        <w:jc w:val="left"/>
        <w:rPr>
          <w:rFonts w:ascii="宋体" w:hAnsi="宋体" w:cs="Courier New"/>
          <w:color w:val="auto"/>
          <w:kern w:val="0"/>
          <w:sz w:val="24"/>
          <w:szCs w:val="24"/>
        </w:rPr>
      </w:pPr>
      <w:r>
        <w:rPr>
          <w:rFonts w:hint="eastAsia" w:ascii="宋体" w:hAnsi="宋体" w:cs="Courier New"/>
          <w:color w:val="auto"/>
          <w:kern w:val="0"/>
          <w:sz w:val="24"/>
          <w:szCs w:val="24"/>
        </w:rPr>
        <w:t>八．投标货物分项报价明细表</w:t>
      </w:r>
    </w:p>
    <w:p>
      <w:pPr>
        <w:adjustRightInd w:val="0"/>
        <w:snapToGrid w:val="0"/>
        <w:spacing w:line="360" w:lineRule="auto"/>
        <w:ind w:firstLine="3000" w:firstLineChars="1250"/>
        <w:jc w:val="left"/>
        <w:rPr>
          <w:rFonts w:hAnsi="宋体"/>
          <w:bCs/>
          <w:color w:val="auto"/>
          <w:sz w:val="24"/>
          <w:szCs w:val="24"/>
        </w:rPr>
      </w:pP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928"/>
        <w:gridCol w:w="832"/>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序号</w:t>
            </w:r>
          </w:p>
        </w:tc>
        <w:tc>
          <w:tcPr>
            <w:tcW w:w="1411"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型号</w:t>
            </w: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数量</w:t>
            </w: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7"/>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auto"/>
                <w:kern w:val="0"/>
                <w:sz w:val="24"/>
                <w:szCs w:val="24"/>
              </w:rPr>
            </w:pPr>
          </w:p>
        </w:tc>
      </w:tr>
    </w:tbl>
    <w:p>
      <w:pPr>
        <w:adjustRightInd w:val="0"/>
        <w:snapToGrid w:val="0"/>
        <w:spacing w:line="360" w:lineRule="auto"/>
        <w:rPr>
          <w:rFonts w:ascii="宋体" w:hAnsi="宋体" w:cs="Courier New"/>
          <w:color w:val="auto"/>
          <w:kern w:val="0"/>
          <w:sz w:val="24"/>
          <w:szCs w:val="24"/>
        </w:rPr>
      </w:pPr>
      <w:r>
        <w:rPr>
          <w:rFonts w:hint="eastAsia" w:ascii="宋体" w:hAnsi="宋体" w:cs="Courier New"/>
          <w:color w:val="auto"/>
          <w:kern w:val="0"/>
          <w:sz w:val="24"/>
          <w:szCs w:val="24"/>
        </w:rPr>
        <w:t>说明：</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2．此表将随中标结果公告一并公示，请投标人认真填写。</w:t>
      </w:r>
    </w:p>
    <w:p>
      <w:pPr>
        <w:adjustRightInd w:val="0"/>
        <w:snapToGrid w:val="0"/>
        <w:spacing w:line="360" w:lineRule="auto"/>
        <w:ind w:firstLine="480" w:firstLineChars="200"/>
        <w:rPr>
          <w:rFonts w:ascii="宋体" w:hAnsi="宋体"/>
          <w:color w:val="auto"/>
          <w:sz w:val="24"/>
          <w:szCs w:val="24"/>
        </w:rPr>
      </w:pPr>
    </w:p>
    <w:p>
      <w:pPr>
        <w:rPr>
          <w:color w:val="auto"/>
          <w:sz w:val="24"/>
          <w:szCs w:val="24"/>
          <w:lang w:val="zh-CN"/>
        </w:rPr>
      </w:pPr>
      <w:r>
        <w:rPr>
          <w:color w:val="auto"/>
          <w:sz w:val="24"/>
          <w:szCs w:val="24"/>
          <w:lang w:val="zh-CN"/>
        </w:rPr>
        <w:br w:type="page"/>
      </w:r>
    </w:p>
    <w:p>
      <w:pPr>
        <w:rPr>
          <w:color w:val="auto"/>
          <w:sz w:val="24"/>
          <w:szCs w:val="24"/>
          <w:lang w:val="zh-CN"/>
        </w:rPr>
      </w:pPr>
    </w:p>
    <w:p>
      <w:pPr>
        <w:jc w:val="center"/>
        <w:rPr>
          <w:rFonts w:ascii="宋体" w:hAnsi="宋体"/>
          <w:color w:val="auto"/>
          <w:sz w:val="24"/>
          <w:szCs w:val="24"/>
        </w:rPr>
      </w:pPr>
      <w:bookmarkStart w:id="69" w:name="_Toc15990_WPSOffice_Level1"/>
      <w:r>
        <w:rPr>
          <w:rFonts w:hint="eastAsia" w:ascii="宋体" w:hAnsi="宋体"/>
          <w:color w:val="auto"/>
          <w:sz w:val="24"/>
          <w:szCs w:val="24"/>
        </w:rPr>
        <w:t>九．投标货物情况介绍表</w:t>
      </w:r>
      <w:bookmarkEnd w:id="69"/>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1651"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1</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2</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3</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4</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auto"/>
                <w:sz w:val="24"/>
                <w:szCs w:val="24"/>
              </w:rPr>
            </w:pPr>
          </w:p>
        </w:tc>
      </w:tr>
    </w:tbl>
    <w:p>
      <w:pPr>
        <w:spacing w:line="360" w:lineRule="auto"/>
        <w:rPr>
          <w:rFonts w:ascii="宋体" w:hAnsi="宋体"/>
          <w:color w:val="auto"/>
          <w:sz w:val="24"/>
          <w:szCs w:val="24"/>
        </w:rPr>
      </w:pPr>
      <w:r>
        <w:rPr>
          <w:rFonts w:hint="eastAsia" w:ascii="宋体" w:hAnsi="宋体"/>
          <w:color w:val="auto"/>
          <w:sz w:val="24"/>
          <w:szCs w:val="24"/>
        </w:rPr>
        <w:t>说明：</w:t>
      </w:r>
    </w:p>
    <w:p>
      <w:pPr>
        <w:spacing w:line="360" w:lineRule="auto"/>
        <w:rPr>
          <w:rFonts w:ascii="宋体" w:hAnsi="宋体"/>
          <w:color w:val="auto"/>
          <w:sz w:val="24"/>
          <w:szCs w:val="24"/>
        </w:rPr>
      </w:pPr>
      <w:r>
        <w:rPr>
          <w:rFonts w:hint="eastAsia" w:ascii="宋体" w:hAnsi="宋体"/>
          <w:color w:val="auto"/>
          <w:sz w:val="24"/>
          <w:szCs w:val="24"/>
        </w:rPr>
        <w:t xml:space="preserve">    1.供应商需按采购文件要求内容如实填写此表。</w:t>
      </w:r>
      <w:r>
        <w:rPr>
          <w:rFonts w:ascii="宋体" w:hAnsi="宋体"/>
          <w:color w:val="auto"/>
          <w:sz w:val="24"/>
          <w:szCs w:val="24"/>
        </w:rPr>
        <w:br w:type="page"/>
      </w:r>
    </w:p>
    <w:p>
      <w:pPr>
        <w:spacing w:line="360" w:lineRule="auto"/>
        <w:jc w:val="left"/>
        <w:rPr>
          <w:rFonts w:ascii="宋体" w:hAnsi="宋体"/>
          <w:b/>
          <w:color w:val="auto"/>
          <w:sz w:val="24"/>
          <w:szCs w:val="24"/>
        </w:rPr>
      </w:pPr>
    </w:p>
    <w:p>
      <w:pPr>
        <w:spacing w:line="360" w:lineRule="auto"/>
        <w:jc w:val="center"/>
        <w:rPr>
          <w:rFonts w:ascii="宋体" w:hAnsi="宋体"/>
          <w:color w:val="auto"/>
          <w:sz w:val="24"/>
          <w:szCs w:val="24"/>
        </w:rPr>
      </w:pPr>
      <w:bookmarkStart w:id="70" w:name="_Toc25576_WPSOffice_Level1"/>
      <w:r>
        <w:rPr>
          <w:rFonts w:hint="eastAsia" w:ascii="宋体" w:hAnsi="宋体"/>
          <w:color w:val="auto"/>
          <w:sz w:val="24"/>
          <w:szCs w:val="24"/>
        </w:rPr>
        <w:t>十．技术规格响应表</w:t>
      </w:r>
      <w:bookmarkEnd w:id="70"/>
    </w:p>
    <w:p>
      <w:pPr>
        <w:spacing w:line="360" w:lineRule="auto"/>
        <w:rPr>
          <w:rFonts w:ascii="宋体" w:hAnsi="宋体"/>
          <w:color w:val="auto"/>
          <w:sz w:val="24"/>
          <w:szCs w:val="24"/>
        </w:rPr>
      </w:pPr>
      <w:bookmarkStart w:id="71" w:name="_Toc27651_WPSOffice_Level1"/>
      <w:r>
        <w:rPr>
          <w:rFonts w:hint="eastAsia" w:ascii="宋体" w:hAnsi="宋体" w:cs="宋体"/>
          <w:color w:val="auto"/>
          <w:kern w:val="0"/>
          <w:sz w:val="24"/>
          <w:szCs w:val="24"/>
        </w:rPr>
        <w:t>1.货物名称：</w:t>
      </w:r>
      <w:bookmarkEnd w:id="71"/>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173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招标文件要求技术参数、性能指标</w:t>
            </w:r>
          </w:p>
        </w:tc>
        <w:tc>
          <w:tcPr>
            <w:tcW w:w="173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投标人提供技术参数、性能指标</w:t>
            </w:r>
          </w:p>
        </w:tc>
        <w:tc>
          <w:tcPr>
            <w:tcW w:w="173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229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佐证材料名称并标明页码</w:t>
            </w:r>
          </w:p>
        </w:tc>
        <w:tc>
          <w:tcPr>
            <w:tcW w:w="115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1732" w:type="dxa"/>
            <w:vAlign w:val="center"/>
          </w:tcPr>
          <w:p>
            <w:pPr>
              <w:spacing w:line="360" w:lineRule="auto"/>
              <w:rPr>
                <w:rFonts w:ascii="宋体" w:hAnsi="宋体"/>
                <w:color w:val="auto"/>
                <w:sz w:val="24"/>
                <w:szCs w:val="24"/>
              </w:rPr>
            </w:pPr>
          </w:p>
        </w:tc>
        <w:tc>
          <w:tcPr>
            <w:tcW w:w="1732" w:type="dxa"/>
            <w:vAlign w:val="center"/>
          </w:tcPr>
          <w:p>
            <w:pPr>
              <w:spacing w:line="360" w:lineRule="auto"/>
              <w:rPr>
                <w:rFonts w:ascii="宋体" w:hAnsi="宋体"/>
                <w:color w:val="auto"/>
                <w:sz w:val="24"/>
                <w:szCs w:val="24"/>
              </w:rPr>
            </w:pPr>
          </w:p>
        </w:tc>
        <w:tc>
          <w:tcPr>
            <w:tcW w:w="1732" w:type="dxa"/>
            <w:vAlign w:val="center"/>
          </w:tcPr>
          <w:p>
            <w:pPr>
              <w:spacing w:line="360" w:lineRule="auto"/>
              <w:rPr>
                <w:rFonts w:ascii="宋体" w:hAnsi="宋体"/>
                <w:color w:val="auto"/>
                <w:sz w:val="24"/>
                <w:szCs w:val="24"/>
              </w:rPr>
            </w:pPr>
          </w:p>
        </w:tc>
        <w:tc>
          <w:tcPr>
            <w:tcW w:w="2294" w:type="dxa"/>
            <w:vAlign w:val="center"/>
          </w:tcPr>
          <w:p>
            <w:pPr>
              <w:spacing w:line="360" w:lineRule="auto"/>
              <w:ind w:left="2201" w:leftChars="786"/>
              <w:rPr>
                <w:rFonts w:ascii="宋体" w:hAnsi="宋体"/>
                <w:color w:val="auto"/>
                <w:sz w:val="24"/>
                <w:szCs w:val="24"/>
              </w:rPr>
            </w:pPr>
          </w:p>
        </w:tc>
        <w:tc>
          <w:tcPr>
            <w:tcW w:w="1155" w:type="dxa"/>
          </w:tcPr>
          <w:p>
            <w:pPr>
              <w:spacing w:line="360" w:lineRule="auto"/>
              <w:ind w:left="2201" w:leftChars="786"/>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1732" w:type="dxa"/>
            <w:vAlign w:val="center"/>
          </w:tcPr>
          <w:p>
            <w:pPr>
              <w:spacing w:line="360" w:lineRule="auto"/>
              <w:rPr>
                <w:rFonts w:ascii="宋体" w:hAnsi="宋体"/>
                <w:color w:val="auto"/>
                <w:sz w:val="24"/>
                <w:szCs w:val="24"/>
              </w:rPr>
            </w:pPr>
          </w:p>
        </w:tc>
        <w:tc>
          <w:tcPr>
            <w:tcW w:w="1732" w:type="dxa"/>
            <w:vAlign w:val="center"/>
          </w:tcPr>
          <w:p>
            <w:pPr>
              <w:spacing w:line="360" w:lineRule="auto"/>
              <w:rPr>
                <w:rFonts w:ascii="宋体" w:hAnsi="宋体"/>
                <w:color w:val="auto"/>
                <w:sz w:val="24"/>
                <w:szCs w:val="24"/>
              </w:rPr>
            </w:pPr>
          </w:p>
        </w:tc>
        <w:tc>
          <w:tcPr>
            <w:tcW w:w="1732" w:type="dxa"/>
            <w:vAlign w:val="center"/>
          </w:tcPr>
          <w:p>
            <w:pPr>
              <w:spacing w:line="360" w:lineRule="auto"/>
              <w:rPr>
                <w:rFonts w:ascii="宋体" w:hAnsi="宋体"/>
                <w:color w:val="auto"/>
                <w:sz w:val="24"/>
                <w:szCs w:val="24"/>
              </w:rPr>
            </w:pPr>
          </w:p>
        </w:tc>
        <w:tc>
          <w:tcPr>
            <w:tcW w:w="2294" w:type="dxa"/>
            <w:vAlign w:val="center"/>
          </w:tcPr>
          <w:p>
            <w:pPr>
              <w:spacing w:line="360" w:lineRule="auto"/>
              <w:rPr>
                <w:rFonts w:ascii="宋体" w:hAnsi="宋体"/>
                <w:color w:val="auto"/>
                <w:sz w:val="24"/>
                <w:szCs w:val="24"/>
              </w:rPr>
            </w:pPr>
          </w:p>
        </w:tc>
        <w:tc>
          <w:tcPr>
            <w:tcW w:w="1155" w:type="dxa"/>
          </w:tcPr>
          <w:p>
            <w:pPr>
              <w:spacing w:line="360" w:lineRule="auto"/>
              <w:rPr>
                <w:rFonts w:ascii="宋体" w:hAnsi="宋体"/>
                <w:color w:val="auto"/>
                <w:sz w:val="24"/>
                <w:szCs w:val="24"/>
              </w:rPr>
            </w:pPr>
          </w:p>
        </w:tc>
      </w:tr>
    </w:tbl>
    <w:p>
      <w:pPr>
        <w:spacing w:line="360" w:lineRule="auto"/>
        <w:ind w:right="57"/>
        <w:rPr>
          <w:rFonts w:ascii="宋体" w:hAnsi="宋体"/>
          <w:bCs/>
          <w:color w:val="auto"/>
          <w:sz w:val="24"/>
          <w:szCs w:val="24"/>
        </w:rPr>
      </w:pPr>
    </w:p>
    <w:p>
      <w:pPr>
        <w:spacing w:line="360" w:lineRule="auto"/>
        <w:ind w:right="57"/>
        <w:rPr>
          <w:rFonts w:ascii="宋体" w:hAnsi="宋体"/>
          <w:color w:val="auto"/>
          <w:sz w:val="24"/>
          <w:szCs w:val="24"/>
        </w:rPr>
      </w:pPr>
      <w:r>
        <w:rPr>
          <w:rFonts w:hint="eastAsia" w:ascii="宋体" w:hAnsi="宋体"/>
          <w:b/>
          <w:bCs/>
          <w:color w:val="auto"/>
          <w:sz w:val="24"/>
          <w:szCs w:val="24"/>
        </w:rPr>
        <w:t>说明</w:t>
      </w:r>
      <w:r>
        <w:rPr>
          <w:rFonts w:hint="eastAsia" w:ascii="宋体" w:hAnsi="宋体"/>
          <w:b/>
          <w:color w:val="auto"/>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olor w:val="auto"/>
          <w:sz w:val="24"/>
          <w:szCs w:val="24"/>
        </w:rPr>
      </w:pPr>
      <w:r>
        <w:rPr>
          <w:rFonts w:hint="eastAsia" w:ascii="宋体" w:hAnsi="宋体" w:cs="宋体"/>
          <w:color w:val="auto"/>
          <w:sz w:val="24"/>
          <w:szCs w:val="24"/>
        </w:rPr>
        <w:t>4.“备注”处可填写偏离情况的具体说明。</w:t>
      </w:r>
    </w:p>
    <w:p>
      <w:pPr>
        <w:pStyle w:val="4"/>
        <w:keepNext w:val="0"/>
        <w:keepLines w:val="0"/>
        <w:spacing w:line="360" w:lineRule="auto"/>
        <w:rPr>
          <w:rFonts w:ascii="宋体" w:hAnsi="宋体" w:eastAsia="宋体"/>
          <w:b w:val="0"/>
          <w:color w:val="auto"/>
          <w:sz w:val="24"/>
          <w:szCs w:val="24"/>
        </w:rPr>
      </w:pPr>
      <w:r>
        <w:rPr>
          <w:rFonts w:ascii="宋体" w:hAnsi="宋体" w:eastAsia="宋体"/>
          <w:b w:val="0"/>
          <w:color w:val="auto"/>
          <w:sz w:val="24"/>
          <w:szCs w:val="24"/>
        </w:rPr>
        <w:br w:type="page"/>
      </w:r>
    </w:p>
    <w:p>
      <w:pPr>
        <w:ind w:firstLine="3240" w:firstLineChars="1350"/>
        <w:rPr>
          <w:rFonts w:ascii="宋体" w:hAnsi="宋体" w:cs="Courier New"/>
          <w:color w:val="auto"/>
          <w:kern w:val="0"/>
          <w:sz w:val="24"/>
          <w:szCs w:val="24"/>
        </w:rPr>
      </w:pPr>
      <w:r>
        <w:rPr>
          <w:rFonts w:hint="eastAsia" w:ascii="宋体" w:hAnsi="宋体" w:cs="Courier New"/>
          <w:color w:val="auto"/>
          <w:kern w:val="0"/>
          <w:sz w:val="24"/>
          <w:szCs w:val="24"/>
        </w:rPr>
        <w:t>十一．售后服务承诺及方案</w:t>
      </w:r>
    </w:p>
    <w:p>
      <w:pPr>
        <w:ind w:firstLine="3240" w:firstLineChars="1350"/>
        <w:rPr>
          <w:rFonts w:ascii="宋体" w:hAnsi="宋体"/>
          <w:color w:val="auto"/>
          <w:sz w:val="24"/>
          <w:szCs w:val="24"/>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一．售后服务承诺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1.在年的质保期内，供应商对所投产品在使用过程中出现的故障和零配件磨损问题，免费提供维修和更换服务。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2.质保期过后年内，供应商将继续为</w:t>
      </w:r>
      <w:r>
        <w:rPr>
          <w:rFonts w:hint="eastAsia" w:ascii="宋体" w:hAnsi="宋体"/>
          <w:color w:val="auto"/>
          <w:sz w:val="24"/>
          <w:szCs w:val="24"/>
          <w:u w:val="single"/>
        </w:rPr>
        <w:t xml:space="preserve"> （货物名称） </w:t>
      </w:r>
      <w:r>
        <w:rPr>
          <w:rFonts w:hint="eastAsia" w:ascii="宋体" w:hAnsi="宋体"/>
          <w:color w:val="auto"/>
          <w:sz w:val="24"/>
          <w:szCs w:val="24"/>
        </w:rPr>
        <w:t>提供免费维修服务，在此期间不收取维护费，如需更换零配件，只收取零配件的成本费。</w:t>
      </w:r>
    </w:p>
    <w:p>
      <w:pPr>
        <w:pStyle w:val="14"/>
        <w:spacing w:line="360" w:lineRule="auto"/>
        <w:ind w:left="560" w:firstLine="480" w:firstLineChars="200"/>
        <w:rPr>
          <w:rFonts w:ascii="宋体" w:hAnsi="宋体"/>
          <w:color w:val="auto"/>
          <w:sz w:val="24"/>
          <w:szCs w:val="24"/>
        </w:rPr>
      </w:pPr>
      <w:r>
        <w:rPr>
          <w:rFonts w:hint="eastAsia" w:ascii="宋体" w:hAnsi="宋体"/>
          <w:color w:val="auto"/>
          <w:sz w:val="24"/>
          <w:szCs w:val="24"/>
        </w:rPr>
        <w:t>3.质保期过后年内，供应商将继续为</w:t>
      </w:r>
      <w:r>
        <w:rPr>
          <w:rFonts w:hint="eastAsia" w:ascii="宋体" w:hAnsi="宋体"/>
          <w:color w:val="auto"/>
          <w:sz w:val="24"/>
          <w:szCs w:val="24"/>
          <w:u w:val="single"/>
        </w:rPr>
        <w:t xml:space="preserve"> （货物名称） </w:t>
      </w:r>
      <w:r>
        <w:rPr>
          <w:rFonts w:hint="eastAsia" w:ascii="宋体" w:hAnsi="宋体"/>
          <w:color w:val="auto"/>
          <w:sz w:val="24"/>
          <w:szCs w:val="24"/>
        </w:rPr>
        <w:t>提供维修服务，除收取交通费.住宿费和所更换部件的成本费外，不再收取任何维修费用。</w:t>
      </w:r>
    </w:p>
    <w:p>
      <w:pPr>
        <w:pStyle w:val="14"/>
        <w:spacing w:line="360" w:lineRule="auto"/>
        <w:ind w:left="560" w:firstLine="480" w:firstLineChars="200"/>
        <w:rPr>
          <w:rFonts w:ascii="宋体" w:hAnsi="宋体"/>
          <w:color w:val="auto"/>
          <w:sz w:val="24"/>
          <w:szCs w:val="24"/>
        </w:rPr>
      </w:pPr>
      <w:r>
        <w:rPr>
          <w:rFonts w:hint="eastAsia" w:ascii="宋体" w:hAnsi="宋体"/>
          <w:color w:val="auto"/>
          <w:sz w:val="24"/>
          <w:szCs w:val="24"/>
        </w:rPr>
        <w:t>4．供应商在接到用户维修通知后小时内响应，个工作日内排除故障（节假日照常服务）。</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6.免费安装调试、人员培训、技术支持。</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7.定期进行用户回访，及时处理用户意见。</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二．技术培训</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1.免费培训内容：</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2.培训日期及地点：</w:t>
      </w:r>
    </w:p>
    <w:p>
      <w:pPr>
        <w:adjustRightInd w:val="0"/>
        <w:spacing w:line="360" w:lineRule="auto"/>
        <w:ind w:firstLine="480" w:firstLineChars="200"/>
        <w:rPr>
          <w:rFonts w:ascii="宋体"/>
          <w:bCs/>
          <w:color w:val="auto"/>
          <w:sz w:val="24"/>
          <w:szCs w:val="24"/>
        </w:rPr>
      </w:pPr>
      <w:r>
        <w:rPr>
          <w:rFonts w:hint="eastAsia" w:ascii="宋体" w:hAnsi="宋体" w:cs="宋体"/>
          <w:bCs/>
          <w:color w:val="auto"/>
          <w:sz w:val="24"/>
          <w:szCs w:val="24"/>
        </w:rPr>
        <w:t>三．售后服务机构和服务体系</w:t>
      </w:r>
    </w:p>
    <w:p>
      <w:pPr>
        <w:spacing w:line="360" w:lineRule="auto"/>
        <w:ind w:firstLine="480" w:firstLineChars="200"/>
        <w:rPr>
          <w:rFonts w:ascii="宋体"/>
          <w:color w:val="auto"/>
          <w:sz w:val="24"/>
          <w:szCs w:val="24"/>
        </w:rPr>
      </w:pPr>
      <w:bookmarkStart w:id="72" w:name="_Toc266431151"/>
      <w:r>
        <w:rPr>
          <w:rFonts w:ascii="宋体" w:hAnsi="宋体" w:cs="宋体"/>
          <w:color w:val="auto"/>
          <w:sz w:val="24"/>
          <w:szCs w:val="24"/>
        </w:rPr>
        <w:t>1.</w:t>
      </w:r>
      <w:r>
        <w:rPr>
          <w:rFonts w:hint="eastAsia" w:ascii="宋体" w:hAnsi="宋体" w:cs="宋体"/>
          <w:color w:val="auto"/>
          <w:sz w:val="24"/>
          <w:szCs w:val="24"/>
        </w:rPr>
        <w:t>生产厂家售后服务机构、联系人、联系电话</w:t>
      </w:r>
      <w:bookmarkEnd w:id="72"/>
      <w:r>
        <w:rPr>
          <w:rFonts w:hint="eastAsia" w:ascii="宋体" w:hAnsi="宋体" w:cs="宋体"/>
          <w:color w:val="auto"/>
          <w:sz w:val="24"/>
          <w:szCs w:val="24"/>
        </w:rPr>
        <w:t>。</w:t>
      </w:r>
    </w:p>
    <w:p>
      <w:pPr>
        <w:pStyle w:val="16"/>
        <w:spacing w:line="360" w:lineRule="auto"/>
        <w:ind w:firstLine="480" w:firstLineChars="200"/>
        <w:rPr>
          <w:color w:val="auto"/>
          <w:sz w:val="24"/>
          <w:szCs w:val="24"/>
        </w:rPr>
      </w:pPr>
      <w:bookmarkStart w:id="73" w:name="_Toc266431152"/>
      <w:r>
        <w:rPr>
          <w:color w:val="auto"/>
          <w:sz w:val="24"/>
          <w:szCs w:val="24"/>
        </w:rPr>
        <w:t>2.</w:t>
      </w:r>
      <w:r>
        <w:rPr>
          <w:rFonts w:hint="eastAsia"/>
          <w:color w:val="auto"/>
          <w:sz w:val="24"/>
          <w:szCs w:val="24"/>
        </w:rPr>
        <w:t>本地化售后服务网点分布、机构名称、联系人、联系电话。</w:t>
      </w:r>
      <w:bookmarkEnd w:id="73"/>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四．售后方案（自拟）</w:t>
      </w:r>
    </w:p>
    <w:p>
      <w:pPr>
        <w:spacing w:line="360" w:lineRule="auto"/>
        <w:ind w:firstLine="482" w:firstLineChars="200"/>
        <w:rPr>
          <w:rFonts w:ascii="宋体" w:hAnsi="宋体"/>
          <w:color w:val="auto"/>
          <w:sz w:val="24"/>
          <w:szCs w:val="24"/>
          <w:lang w:val="zh-CN"/>
        </w:rPr>
      </w:pPr>
      <w:r>
        <w:rPr>
          <w:rFonts w:hint="eastAsia" w:ascii="宋体" w:hAnsi="宋体"/>
          <w:b/>
          <w:color w:val="auto"/>
          <w:sz w:val="24"/>
          <w:szCs w:val="24"/>
          <w:lang w:val="zh-CN"/>
        </w:rPr>
        <w:t>注</w:t>
      </w:r>
      <w:r>
        <w:rPr>
          <w:rFonts w:hint="eastAsia" w:ascii="宋体" w:hAnsi="宋体"/>
          <w:color w:val="auto"/>
          <w:sz w:val="24"/>
          <w:szCs w:val="24"/>
          <w:lang w:val="zh-CN"/>
        </w:rPr>
        <w:t>：供应商提供售后服务承诺及方案不少于以上内容。</w:t>
      </w:r>
    </w:p>
    <w:p>
      <w:pPr>
        <w:spacing w:line="360" w:lineRule="auto"/>
        <w:rPr>
          <w:rFonts w:ascii="宋体" w:hAnsi="宋体"/>
          <w:bCs/>
          <w:color w:val="auto"/>
          <w:kern w:val="0"/>
          <w:sz w:val="24"/>
          <w:szCs w:val="24"/>
          <w:lang w:val="zh-CN"/>
        </w:rPr>
      </w:pPr>
      <w:r>
        <w:rPr>
          <w:rFonts w:ascii="宋体" w:hAnsi="宋体"/>
          <w:bCs/>
          <w:color w:val="auto"/>
          <w:kern w:val="0"/>
          <w:sz w:val="24"/>
          <w:szCs w:val="24"/>
          <w:lang w:val="zh-CN"/>
        </w:rPr>
        <w:br w:type="page"/>
      </w:r>
    </w:p>
    <w:p>
      <w:pPr>
        <w:spacing w:line="360" w:lineRule="auto"/>
        <w:jc w:val="center"/>
        <w:rPr>
          <w:rFonts w:ascii="宋体" w:hAnsi="宋体"/>
          <w:bCs/>
          <w:color w:val="auto"/>
          <w:sz w:val="24"/>
          <w:szCs w:val="24"/>
        </w:rPr>
      </w:pPr>
      <w:bookmarkStart w:id="74" w:name="_Toc28975_WPSOffice_Level1"/>
      <w:r>
        <w:rPr>
          <w:rFonts w:hint="eastAsia" w:ascii="宋体" w:hAnsi="宋体"/>
          <w:color w:val="auto"/>
          <w:sz w:val="24"/>
          <w:szCs w:val="24"/>
          <w:lang w:val="zh-CN"/>
        </w:rPr>
        <w:t>十二．商务规格响应表</w:t>
      </w:r>
      <w:bookmarkEnd w:id="74"/>
    </w:p>
    <w:tbl>
      <w:tblPr>
        <w:tblStyle w:val="27"/>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9"/>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9"/>
              <w:ind w:firstLine="0" w:firstLineChars="0"/>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0" w:firstLineChars="150"/>
        <w:rPr>
          <w:rFonts w:ascii="宋体" w:hAnsi="宋体"/>
          <w:color w:val="auto"/>
          <w:sz w:val="24"/>
          <w:szCs w:val="24"/>
        </w:rPr>
      </w:pPr>
      <w:r>
        <w:rPr>
          <w:rFonts w:hint="eastAsia" w:ascii="宋体" w:hAnsi="宋体"/>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p>
    <w:p>
      <w:pPr>
        <w:spacing w:line="360" w:lineRule="auto"/>
        <w:jc w:val="center"/>
        <w:rPr>
          <w:rFonts w:ascii="宋体" w:hAnsi="宋体"/>
          <w:color w:val="auto"/>
          <w:sz w:val="24"/>
          <w:szCs w:val="24"/>
        </w:rPr>
      </w:pPr>
      <w:bookmarkStart w:id="75" w:name="_Toc29123_WPSOffice_Level1"/>
      <w:r>
        <w:rPr>
          <w:rFonts w:hint="eastAsia" w:ascii="宋体" w:hAnsi="宋体"/>
          <w:color w:val="auto"/>
          <w:sz w:val="24"/>
          <w:szCs w:val="24"/>
        </w:rPr>
        <w:t>十三．投标人业绩情况表</w:t>
      </w:r>
      <w:bookmarkEnd w:id="75"/>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使用单位</w:t>
            </w:r>
          </w:p>
        </w:tc>
        <w:tc>
          <w:tcPr>
            <w:tcW w:w="3539" w:type="dxa"/>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708" w:type="dxa"/>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706" w:type="dxa"/>
            <w:shd w:val="clear" w:color="auto" w:fill="auto"/>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auto"/>
                <w:kern w:val="0"/>
                <w:sz w:val="24"/>
                <w:szCs w:val="24"/>
                <w:lang w:val="zh-CN"/>
              </w:rPr>
            </w:pPr>
            <w:r>
              <w:rPr>
                <w:rFonts w:hint="eastAsia" w:ascii="宋体" w:hAnsi="宋体"/>
                <w:color w:val="auto"/>
                <w:kern w:val="0"/>
                <w:sz w:val="24"/>
                <w:szCs w:val="24"/>
                <w:lang w:val="zh-CN"/>
              </w:rPr>
              <w:t>1</w:t>
            </w:r>
          </w:p>
        </w:tc>
        <w:tc>
          <w:tcPr>
            <w:tcW w:w="2057" w:type="dxa"/>
            <w:shd w:val="clear" w:color="auto" w:fill="auto"/>
          </w:tcPr>
          <w:p>
            <w:pPr>
              <w:spacing w:line="360" w:lineRule="auto"/>
              <w:jc w:val="center"/>
              <w:rPr>
                <w:rFonts w:ascii="宋体" w:hAnsi="宋体"/>
                <w:color w:val="auto"/>
                <w:kern w:val="0"/>
                <w:sz w:val="24"/>
                <w:szCs w:val="24"/>
                <w:lang w:val="zh-CN"/>
              </w:rPr>
            </w:pPr>
          </w:p>
        </w:tc>
        <w:tc>
          <w:tcPr>
            <w:tcW w:w="3539" w:type="dxa"/>
            <w:shd w:val="clear" w:color="auto" w:fill="auto"/>
            <w:vAlign w:val="center"/>
          </w:tcPr>
          <w:p>
            <w:pPr>
              <w:spacing w:line="360" w:lineRule="auto"/>
              <w:jc w:val="center"/>
              <w:rPr>
                <w:rFonts w:ascii="宋体" w:hAnsi="宋体"/>
                <w:color w:val="auto"/>
                <w:kern w:val="0"/>
                <w:sz w:val="24"/>
                <w:szCs w:val="24"/>
                <w:lang w:val="zh-CN"/>
              </w:rPr>
            </w:pPr>
          </w:p>
        </w:tc>
        <w:tc>
          <w:tcPr>
            <w:tcW w:w="1708" w:type="dxa"/>
            <w:shd w:val="clear" w:color="auto" w:fill="auto"/>
            <w:vAlign w:val="center"/>
          </w:tcPr>
          <w:p>
            <w:pPr>
              <w:spacing w:line="360" w:lineRule="auto"/>
              <w:jc w:val="center"/>
              <w:rPr>
                <w:rFonts w:ascii="宋体" w:hAnsi="宋体"/>
                <w:color w:val="auto"/>
                <w:kern w:val="0"/>
                <w:sz w:val="24"/>
                <w:szCs w:val="24"/>
                <w:lang w:val="zh-CN"/>
              </w:rPr>
            </w:pPr>
          </w:p>
        </w:tc>
        <w:tc>
          <w:tcPr>
            <w:tcW w:w="1706" w:type="dxa"/>
            <w:shd w:val="clear" w:color="auto" w:fill="auto"/>
            <w:vAlign w:val="center"/>
          </w:tcPr>
          <w:p>
            <w:pPr>
              <w:spacing w:line="360" w:lineRule="auto"/>
              <w:jc w:val="center"/>
              <w:rPr>
                <w:rFonts w:ascii="宋体" w:hAnsi="宋体"/>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auto"/>
                <w:kern w:val="0"/>
                <w:sz w:val="24"/>
                <w:szCs w:val="24"/>
                <w:lang w:val="zh-CN"/>
              </w:rPr>
            </w:pPr>
            <w:r>
              <w:rPr>
                <w:rFonts w:hint="eastAsia" w:ascii="宋体" w:hAnsi="宋体"/>
                <w:color w:val="auto"/>
                <w:kern w:val="0"/>
                <w:sz w:val="24"/>
                <w:szCs w:val="24"/>
                <w:lang w:val="zh-CN"/>
              </w:rPr>
              <w:t>2</w:t>
            </w:r>
          </w:p>
        </w:tc>
        <w:tc>
          <w:tcPr>
            <w:tcW w:w="2057" w:type="dxa"/>
            <w:shd w:val="clear" w:color="auto" w:fill="auto"/>
          </w:tcPr>
          <w:p>
            <w:pPr>
              <w:spacing w:line="360" w:lineRule="auto"/>
              <w:jc w:val="center"/>
              <w:rPr>
                <w:rFonts w:ascii="宋体" w:hAnsi="宋体"/>
                <w:color w:val="auto"/>
                <w:kern w:val="0"/>
                <w:sz w:val="24"/>
                <w:szCs w:val="24"/>
                <w:lang w:val="zh-CN"/>
              </w:rPr>
            </w:pPr>
          </w:p>
        </w:tc>
        <w:tc>
          <w:tcPr>
            <w:tcW w:w="3539" w:type="dxa"/>
            <w:shd w:val="clear" w:color="auto" w:fill="auto"/>
            <w:vAlign w:val="center"/>
          </w:tcPr>
          <w:p>
            <w:pPr>
              <w:spacing w:line="360" w:lineRule="auto"/>
              <w:jc w:val="center"/>
              <w:rPr>
                <w:rFonts w:ascii="宋体" w:hAnsi="宋体"/>
                <w:color w:val="auto"/>
                <w:kern w:val="0"/>
                <w:sz w:val="24"/>
                <w:szCs w:val="24"/>
                <w:lang w:val="zh-CN"/>
              </w:rPr>
            </w:pPr>
          </w:p>
        </w:tc>
        <w:tc>
          <w:tcPr>
            <w:tcW w:w="1708" w:type="dxa"/>
            <w:shd w:val="clear" w:color="auto" w:fill="auto"/>
            <w:vAlign w:val="center"/>
          </w:tcPr>
          <w:p>
            <w:pPr>
              <w:spacing w:line="360" w:lineRule="auto"/>
              <w:jc w:val="center"/>
              <w:rPr>
                <w:rFonts w:ascii="宋体" w:hAnsi="宋体"/>
                <w:color w:val="auto"/>
                <w:kern w:val="0"/>
                <w:sz w:val="24"/>
                <w:szCs w:val="24"/>
                <w:lang w:val="zh-CN"/>
              </w:rPr>
            </w:pPr>
          </w:p>
        </w:tc>
        <w:tc>
          <w:tcPr>
            <w:tcW w:w="1706" w:type="dxa"/>
            <w:shd w:val="clear" w:color="auto" w:fill="auto"/>
            <w:vAlign w:val="center"/>
          </w:tcPr>
          <w:p>
            <w:pPr>
              <w:spacing w:line="360" w:lineRule="auto"/>
              <w:jc w:val="center"/>
              <w:rPr>
                <w:rFonts w:ascii="宋体" w:hAnsi="宋体"/>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auto"/>
                <w:kern w:val="0"/>
                <w:sz w:val="24"/>
                <w:szCs w:val="24"/>
                <w:lang w:val="zh-CN"/>
              </w:rPr>
            </w:pPr>
            <w:r>
              <w:rPr>
                <w:rFonts w:hint="eastAsia" w:ascii="宋体" w:hAnsi="宋体"/>
                <w:color w:val="auto"/>
                <w:kern w:val="0"/>
                <w:sz w:val="24"/>
                <w:szCs w:val="24"/>
                <w:lang w:val="zh-CN"/>
              </w:rPr>
              <w:t>3</w:t>
            </w:r>
          </w:p>
        </w:tc>
        <w:tc>
          <w:tcPr>
            <w:tcW w:w="2057" w:type="dxa"/>
            <w:shd w:val="clear" w:color="auto" w:fill="auto"/>
          </w:tcPr>
          <w:p>
            <w:pPr>
              <w:spacing w:line="360" w:lineRule="auto"/>
              <w:jc w:val="center"/>
              <w:rPr>
                <w:rFonts w:ascii="宋体" w:hAnsi="宋体"/>
                <w:color w:val="auto"/>
                <w:kern w:val="0"/>
                <w:sz w:val="24"/>
                <w:szCs w:val="24"/>
                <w:lang w:val="zh-CN"/>
              </w:rPr>
            </w:pPr>
          </w:p>
        </w:tc>
        <w:tc>
          <w:tcPr>
            <w:tcW w:w="3539" w:type="dxa"/>
            <w:shd w:val="clear" w:color="auto" w:fill="auto"/>
            <w:vAlign w:val="center"/>
          </w:tcPr>
          <w:p>
            <w:pPr>
              <w:spacing w:line="360" w:lineRule="auto"/>
              <w:jc w:val="center"/>
              <w:rPr>
                <w:rFonts w:ascii="宋体" w:hAnsi="宋体"/>
                <w:color w:val="auto"/>
                <w:kern w:val="0"/>
                <w:sz w:val="24"/>
                <w:szCs w:val="24"/>
                <w:lang w:val="zh-CN"/>
              </w:rPr>
            </w:pPr>
          </w:p>
        </w:tc>
        <w:tc>
          <w:tcPr>
            <w:tcW w:w="1708" w:type="dxa"/>
            <w:shd w:val="clear" w:color="auto" w:fill="auto"/>
            <w:vAlign w:val="center"/>
          </w:tcPr>
          <w:p>
            <w:pPr>
              <w:spacing w:line="360" w:lineRule="auto"/>
              <w:jc w:val="center"/>
              <w:rPr>
                <w:rFonts w:ascii="宋体" w:hAnsi="宋体"/>
                <w:color w:val="auto"/>
                <w:kern w:val="0"/>
                <w:sz w:val="24"/>
                <w:szCs w:val="24"/>
                <w:lang w:val="zh-CN"/>
              </w:rPr>
            </w:pPr>
          </w:p>
        </w:tc>
        <w:tc>
          <w:tcPr>
            <w:tcW w:w="1706" w:type="dxa"/>
            <w:shd w:val="clear" w:color="auto" w:fill="auto"/>
            <w:vAlign w:val="center"/>
          </w:tcPr>
          <w:p>
            <w:pPr>
              <w:spacing w:line="360" w:lineRule="auto"/>
              <w:jc w:val="center"/>
              <w:rPr>
                <w:rFonts w:ascii="宋体" w:hAnsi="宋体"/>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auto"/>
                <w:kern w:val="0"/>
                <w:sz w:val="24"/>
                <w:szCs w:val="24"/>
                <w:lang w:val="zh-CN"/>
              </w:rPr>
            </w:pPr>
            <w:r>
              <w:rPr>
                <w:rFonts w:hint="eastAsia" w:ascii="宋体" w:hAnsi="宋体"/>
                <w:color w:val="auto"/>
                <w:kern w:val="0"/>
                <w:sz w:val="24"/>
                <w:szCs w:val="24"/>
                <w:lang w:val="zh-CN"/>
              </w:rPr>
              <w:t>4</w:t>
            </w:r>
          </w:p>
        </w:tc>
        <w:tc>
          <w:tcPr>
            <w:tcW w:w="2057" w:type="dxa"/>
            <w:shd w:val="clear" w:color="auto" w:fill="auto"/>
          </w:tcPr>
          <w:p>
            <w:pPr>
              <w:spacing w:line="360" w:lineRule="auto"/>
              <w:jc w:val="center"/>
              <w:rPr>
                <w:rFonts w:ascii="宋体" w:hAnsi="宋体"/>
                <w:color w:val="auto"/>
                <w:kern w:val="0"/>
                <w:sz w:val="24"/>
                <w:szCs w:val="24"/>
                <w:lang w:val="zh-CN"/>
              </w:rPr>
            </w:pPr>
          </w:p>
        </w:tc>
        <w:tc>
          <w:tcPr>
            <w:tcW w:w="3539" w:type="dxa"/>
            <w:shd w:val="clear" w:color="auto" w:fill="auto"/>
            <w:vAlign w:val="center"/>
          </w:tcPr>
          <w:p>
            <w:pPr>
              <w:spacing w:line="360" w:lineRule="auto"/>
              <w:jc w:val="center"/>
              <w:rPr>
                <w:rFonts w:ascii="宋体" w:hAnsi="宋体"/>
                <w:color w:val="auto"/>
                <w:kern w:val="0"/>
                <w:sz w:val="24"/>
                <w:szCs w:val="24"/>
                <w:lang w:val="zh-CN"/>
              </w:rPr>
            </w:pPr>
          </w:p>
        </w:tc>
        <w:tc>
          <w:tcPr>
            <w:tcW w:w="1708" w:type="dxa"/>
            <w:shd w:val="clear" w:color="auto" w:fill="auto"/>
            <w:vAlign w:val="center"/>
          </w:tcPr>
          <w:p>
            <w:pPr>
              <w:spacing w:line="360" w:lineRule="auto"/>
              <w:jc w:val="center"/>
              <w:rPr>
                <w:rFonts w:ascii="宋体" w:hAnsi="宋体"/>
                <w:color w:val="auto"/>
                <w:kern w:val="0"/>
                <w:sz w:val="24"/>
                <w:szCs w:val="24"/>
                <w:lang w:val="zh-CN"/>
              </w:rPr>
            </w:pPr>
          </w:p>
        </w:tc>
        <w:tc>
          <w:tcPr>
            <w:tcW w:w="1706" w:type="dxa"/>
            <w:shd w:val="clear" w:color="auto" w:fill="auto"/>
            <w:vAlign w:val="center"/>
          </w:tcPr>
          <w:p>
            <w:pPr>
              <w:spacing w:line="360" w:lineRule="auto"/>
              <w:jc w:val="center"/>
              <w:rPr>
                <w:rFonts w:ascii="宋体" w:hAnsi="宋体"/>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auto"/>
                <w:kern w:val="0"/>
                <w:sz w:val="24"/>
                <w:szCs w:val="24"/>
                <w:lang w:val="zh-CN"/>
              </w:rPr>
            </w:pPr>
            <w:r>
              <w:rPr>
                <w:rFonts w:ascii="宋体" w:hAnsi="宋体"/>
                <w:color w:val="auto"/>
                <w:kern w:val="0"/>
                <w:sz w:val="24"/>
                <w:szCs w:val="24"/>
                <w:lang w:val="zh-CN"/>
              </w:rPr>
              <w:t>…</w:t>
            </w:r>
          </w:p>
        </w:tc>
        <w:tc>
          <w:tcPr>
            <w:tcW w:w="2057" w:type="dxa"/>
            <w:shd w:val="clear" w:color="auto" w:fill="auto"/>
          </w:tcPr>
          <w:p>
            <w:pPr>
              <w:spacing w:line="360" w:lineRule="auto"/>
              <w:jc w:val="center"/>
              <w:rPr>
                <w:rFonts w:ascii="宋体" w:hAnsi="宋体"/>
                <w:color w:val="auto"/>
                <w:kern w:val="0"/>
                <w:sz w:val="24"/>
                <w:szCs w:val="24"/>
                <w:lang w:val="zh-CN"/>
              </w:rPr>
            </w:pPr>
          </w:p>
        </w:tc>
        <w:tc>
          <w:tcPr>
            <w:tcW w:w="3539" w:type="dxa"/>
            <w:shd w:val="clear" w:color="auto" w:fill="auto"/>
            <w:vAlign w:val="center"/>
          </w:tcPr>
          <w:p>
            <w:pPr>
              <w:spacing w:line="360" w:lineRule="auto"/>
              <w:jc w:val="center"/>
              <w:rPr>
                <w:rFonts w:ascii="宋体" w:hAnsi="宋体"/>
                <w:color w:val="auto"/>
                <w:kern w:val="0"/>
                <w:sz w:val="24"/>
                <w:szCs w:val="24"/>
                <w:lang w:val="zh-CN"/>
              </w:rPr>
            </w:pPr>
          </w:p>
        </w:tc>
        <w:tc>
          <w:tcPr>
            <w:tcW w:w="1708" w:type="dxa"/>
            <w:shd w:val="clear" w:color="auto" w:fill="auto"/>
            <w:vAlign w:val="center"/>
          </w:tcPr>
          <w:p>
            <w:pPr>
              <w:spacing w:line="360" w:lineRule="auto"/>
              <w:jc w:val="center"/>
              <w:rPr>
                <w:rFonts w:ascii="宋体" w:hAnsi="宋体"/>
                <w:color w:val="auto"/>
                <w:kern w:val="0"/>
                <w:sz w:val="24"/>
                <w:szCs w:val="24"/>
                <w:lang w:val="zh-CN"/>
              </w:rPr>
            </w:pPr>
          </w:p>
        </w:tc>
        <w:tc>
          <w:tcPr>
            <w:tcW w:w="1706" w:type="dxa"/>
            <w:shd w:val="clear" w:color="auto" w:fill="auto"/>
            <w:vAlign w:val="center"/>
          </w:tcPr>
          <w:p>
            <w:pPr>
              <w:spacing w:line="360" w:lineRule="auto"/>
              <w:jc w:val="center"/>
              <w:rPr>
                <w:rFonts w:ascii="宋体" w:hAnsi="宋体"/>
                <w:color w:val="auto"/>
                <w:kern w:val="0"/>
                <w:sz w:val="24"/>
                <w:szCs w:val="24"/>
                <w:lang w:val="zh-CN"/>
              </w:rPr>
            </w:pPr>
          </w:p>
        </w:tc>
      </w:tr>
    </w:tbl>
    <w:p>
      <w:pPr>
        <w:rPr>
          <w:rFonts w:ascii="宋体" w:hAnsi="宋体"/>
          <w:color w:val="auto"/>
          <w:sz w:val="24"/>
          <w:szCs w:val="24"/>
          <w:lang w:val="zh-CN"/>
        </w:rPr>
      </w:pPr>
      <w:r>
        <w:rPr>
          <w:rFonts w:hint="eastAsia" w:ascii="宋体" w:hAnsi="宋体"/>
          <w:color w:val="auto"/>
          <w:sz w:val="24"/>
          <w:szCs w:val="24"/>
          <w:lang w:val="zh-CN"/>
        </w:rPr>
        <w:t>注：投标人根据上述业绩情况后附</w:t>
      </w:r>
      <w:r>
        <w:rPr>
          <w:rFonts w:hint="eastAsia" w:ascii="宋体" w:hAnsi="宋体"/>
          <w:bCs/>
          <w:color w:val="auto"/>
          <w:sz w:val="24"/>
        </w:rPr>
        <w:t>中标通知书复印件、合同协议书复印件。</w:t>
      </w:r>
    </w:p>
    <w:p>
      <w:pPr>
        <w:spacing w:line="360" w:lineRule="auto"/>
        <w:rPr>
          <w:rFonts w:ascii="宋体" w:hAnsi="宋体"/>
          <w:b/>
          <w:color w:val="auto"/>
          <w:sz w:val="24"/>
          <w:szCs w:val="24"/>
        </w:rPr>
      </w:pPr>
      <w:r>
        <w:rPr>
          <w:rFonts w:ascii="宋体" w:hAnsi="宋体"/>
          <w:color w:val="auto"/>
          <w:sz w:val="24"/>
          <w:szCs w:val="24"/>
        </w:rPr>
        <w:br w:type="page"/>
      </w:r>
    </w:p>
    <w:p>
      <w:pPr>
        <w:spacing w:line="360" w:lineRule="auto"/>
        <w:jc w:val="center"/>
        <w:rPr>
          <w:rFonts w:ascii="宋体" w:hAnsi="宋体"/>
          <w:color w:val="auto"/>
          <w:sz w:val="24"/>
          <w:szCs w:val="24"/>
        </w:rPr>
      </w:pPr>
      <w:bookmarkStart w:id="76" w:name="_Toc14044_WPSOffice_Level1"/>
      <w:r>
        <w:rPr>
          <w:rFonts w:hint="eastAsia" w:ascii="宋体" w:hAnsi="宋体"/>
          <w:color w:val="auto"/>
          <w:sz w:val="24"/>
          <w:szCs w:val="24"/>
          <w:lang w:val="zh-CN"/>
        </w:rPr>
        <w:t>十四．投标人基本情况表</w:t>
      </w:r>
      <w:bookmarkEnd w:id="76"/>
    </w:p>
    <w:tbl>
      <w:tblPr>
        <w:tblStyle w:val="27"/>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lang w:val="zh-CN"/>
              </w:rPr>
            </w:pPr>
            <w:r>
              <w:rPr>
                <w:rFonts w:hint="eastAsia" w:ascii="宋体" w:hAnsi="宋体"/>
                <w:color w:val="auto"/>
                <w:sz w:val="24"/>
                <w:szCs w:val="24"/>
              </w:rPr>
              <w:t>注：投标单位须在该表后附</w:t>
            </w:r>
            <w:r>
              <w:rPr>
                <w:rFonts w:hint="eastAsia" w:ascii="宋体" w:hAnsi="宋体" w:cs="宋体"/>
                <w:bCs/>
                <w:color w:val="auto"/>
                <w:sz w:val="24"/>
                <w:szCs w:val="24"/>
              </w:rPr>
              <w:t>法人或其他组织的营业执照副本、自然人的身份证明</w:t>
            </w:r>
            <w:r>
              <w:rPr>
                <w:rFonts w:hint="eastAsia" w:ascii="宋体" w:hAnsi="宋体"/>
                <w:color w:val="auto"/>
                <w:sz w:val="24"/>
                <w:szCs w:val="24"/>
              </w:rPr>
              <w:t>及招标公告中投标人资质要求的其他资质证明等</w:t>
            </w:r>
            <w:r>
              <w:rPr>
                <w:rFonts w:hint="eastAsia" w:ascii="宋体" w:hAnsi="宋体"/>
                <w:color w:val="auto"/>
                <w:sz w:val="24"/>
                <w:szCs w:val="24"/>
                <w:lang w:val="zh-CN"/>
              </w:rPr>
              <w:t>。</w:t>
            </w:r>
          </w:p>
        </w:tc>
      </w:tr>
    </w:tbl>
    <w:p>
      <w:pPr>
        <w:spacing w:line="360" w:lineRule="auto"/>
        <w:rPr>
          <w:rFonts w:ascii="宋体" w:hAnsi="宋体"/>
          <w:color w:val="auto"/>
          <w:sz w:val="24"/>
          <w:szCs w:val="24"/>
        </w:rPr>
      </w:pPr>
      <w:r>
        <w:rPr>
          <w:rFonts w:hint="eastAsia" w:ascii="宋体" w:hAnsi="宋体"/>
          <w:color w:val="auto"/>
          <w:sz w:val="24"/>
          <w:szCs w:val="24"/>
        </w:rPr>
        <w:t>说明：</w:t>
      </w:r>
    </w:p>
    <w:p>
      <w:pPr>
        <w:ind w:firstLine="480" w:firstLineChars="200"/>
        <w:rPr>
          <w:rFonts w:ascii="宋体" w:hAnsi="宋体"/>
          <w:color w:val="auto"/>
          <w:sz w:val="24"/>
          <w:szCs w:val="24"/>
        </w:rPr>
      </w:pPr>
      <w:r>
        <w:rPr>
          <w:rFonts w:hint="eastAsia" w:ascii="宋体" w:hAnsi="宋体"/>
          <w:color w:val="auto"/>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center"/>
        <w:rPr>
          <w:rFonts w:ascii="宋体" w:hAnsi="宋体"/>
          <w:color w:val="auto"/>
          <w:sz w:val="24"/>
          <w:szCs w:val="24"/>
        </w:rPr>
      </w:pPr>
      <w:bookmarkStart w:id="77" w:name="_Toc438714732"/>
      <w:bookmarkStart w:id="78" w:name="_Toc438655702"/>
      <w:bookmarkStart w:id="79" w:name="_Toc482026556"/>
      <w:r>
        <w:rPr>
          <w:rFonts w:hint="eastAsia" w:ascii="宋体" w:hAnsi="宋体"/>
          <w:color w:val="auto"/>
          <w:sz w:val="24"/>
          <w:szCs w:val="24"/>
        </w:rPr>
        <w:t>十五．商业信誉报告</w:t>
      </w: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按照本招标文件第六章资格性审查的要求，提供供应商的具有良好的商业信誉的佐证材料。</w:t>
      </w:r>
    </w:p>
    <w:p>
      <w:pPr>
        <w:spacing w:line="360" w:lineRule="auto"/>
        <w:rPr>
          <w:rFonts w:ascii="宋体" w:hAnsi="宋体"/>
          <w:b/>
          <w:color w:val="auto"/>
          <w:sz w:val="24"/>
          <w:szCs w:val="24"/>
        </w:rPr>
      </w:pPr>
      <w:r>
        <w:rPr>
          <w:rFonts w:hint="eastAsia" w:ascii="宋体" w:hAnsi="宋体"/>
          <w:b/>
          <w:color w:val="auto"/>
          <w:sz w:val="24"/>
          <w:szCs w:val="24"/>
        </w:rPr>
        <w:t>说明：</w:t>
      </w:r>
    </w:p>
    <w:p>
      <w:pPr>
        <w:rPr>
          <w:rFonts w:ascii="宋体" w:hAnsi="宋体"/>
          <w:color w:val="auto"/>
          <w:sz w:val="24"/>
          <w:szCs w:val="24"/>
        </w:rPr>
      </w:pPr>
      <w:r>
        <w:rPr>
          <w:rFonts w:hint="eastAsia" w:ascii="宋体" w:hAnsi="宋体"/>
          <w:color w:val="auto"/>
          <w:sz w:val="24"/>
          <w:szCs w:val="24"/>
        </w:rPr>
        <w:t>1.供应商需提供由“征信中心网”（https://ipcrs.pbccrc.org.cn/）查询的信用报告。</w:t>
      </w:r>
    </w:p>
    <w:p>
      <w:pPr>
        <w:autoSpaceDE w:val="0"/>
        <w:autoSpaceDN w:val="0"/>
        <w:spacing w:line="360" w:lineRule="auto"/>
        <w:rPr>
          <w:rFonts w:ascii="宋体" w:hAnsi="宋体"/>
          <w:b/>
          <w:color w:val="auto"/>
          <w:sz w:val="24"/>
          <w:szCs w:val="24"/>
        </w:rPr>
      </w:pPr>
      <w:r>
        <w:rPr>
          <w:rFonts w:hint="eastAsia" w:ascii="宋体" w:hAnsi="宋体"/>
          <w:color w:val="auto"/>
          <w:sz w:val="24"/>
          <w:szCs w:val="24"/>
        </w:rPr>
        <w:t>2.供应商是企业或个体经营户的需带公司法人身份证及公司营业执照和公章去项目所在地或当地中国人民银行出具信用报告。</w:t>
      </w:r>
      <w:r>
        <w:rPr>
          <w:rFonts w:ascii="宋体" w:hAnsi="宋体"/>
          <w:b/>
          <w:color w:val="auto"/>
          <w:sz w:val="24"/>
          <w:szCs w:val="24"/>
        </w:rPr>
        <w:br w:type="page"/>
      </w:r>
      <w:bookmarkEnd w:id="77"/>
      <w:bookmarkEnd w:id="78"/>
      <w:bookmarkEnd w:id="79"/>
    </w:p>
    <w:p>
      <w:pPr>
        <w:autoSpaceDE w:val="0"/>
        <w:autoSpaceDN w:val="0"/>
        <w:spacing w:line="360" w:lineRule="auto"/>
        <w:jc w:val="center"/>
        <w:rPr>
          <w:rFonts w:ascii="宋体" w:hAnsi="宋体"/>
          <w:color w:val="auto"/>
          <w:sz w:val="24"/>
          <w:szCs w:val="24"/>
        </w:rPr>
      </w:pPr>
      <w:bookmarkStart w:id="80" w:name="_Toc3179_WPSOffice_Level1"/>
      <w:bookmarkStart w:id="81" w:name="_Toc438655703"/>
      <w:bookmarkStart w:id="82" w:name="_Toc438714733"/>
      <w:bookmarkStart w:id="83" w:name="_Toc482026557"/>
      <w:r>
        <w:rPr>
          <w:rFonts w:hint="eastAsia" w:ascii="宋体" w:hAnsi="宋体"/>
          <w:color w:val="auto"/>
          <w:sz w:val="24"/>
          <w:szCs w:val="24"/>
        </w:rPr>
        <w:t>十六．缴纳增值税、营业税或企业所得税的凭据</w:t>
      </w:r>
      <w:bookmarkEnd w:id="80"/>
    </w:p>
    <w:p>
      <w:pPr>
        <w:autoSpaceDE w:val="0"/>
        <w:autoSpaceDN w:val="0"/>
        <w:spacing w:line="360" w:lineRule="auto"/>
        <w:jc w:val="center"/>
        <w:rPr>
          <w:rFonts w:ascii="宋体" w:hAnsi="宋体"/>
          <w:b/>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ind w:firstLine="570"/>
        <w:jc w:val="left"/>
        <w:rPr>
          <w:rFonts w:ascii="宋体" w:hAnsi="宋体"/>
          <w:color w:val="auto"/>
          <w:sz w:val="24"/>
          <w:szCs w:val="24"/>
        </w:rPr>
      </w:pPr>
      <w:r>
        <w:rPr>
          <w:rFonts w:hint="eastAsia" w:ascii="宋体" w:hAnsi="宋体"/>
          <w:b/>
          <w:color w:val="auto"/>
          <w:sz w:val="24"/>
          <w:szCs w:val="24"/>
        </w:rPr>
        <w:t>说明：</w:t>
      </w:r>
      <w:r>
        <w:rPr>
          <w:rFonts w:hint="eastAsia"/>
          <w:color w:val="auto"/>
          <w:sz w:val="24"/>
          <w:szCs w:val="24"/>
        </w:rPr>
        <w:t>依法免税的投标人，应提供相应文件证明其依法免税。</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bookmarkEnd w:id="81"/>
      <w:bookmarkEnd w:id="82"/>
      <w:bookmarkEnd w:id="83"/>
    </w:p>
    <w:p>
      <w:pPr>
        <w:autoSpaceDE w:val="0"/>
        <w:autoSpaceDN w:val="0"/>
        <w:spacing w:line="360" w:lineRule="auto"/>
        <w:jc w:val="center"/>
        <w:rPr>
          <w:rFonts w:ascii="宋体" w:hAnsi="宋体"/>
          <w:color w:val="auto"/>
          <w:sz w:val="24"/>
          <w:szCs w:val="24"/>
        </w:rPr>
      </w:pPr>
      <w:bookmarkStart w:id="84" w:name="_Toc14866_WPSOffice_Level1"/>
      <w:r>
        <w:rPr>
          <w:rFonts w:hint="eastAsia" w:ascii="宋体" w:hAnsi="宋体"/>
          <w:color w:val="auto"/>
          <w:sz w:val="24"/>
          <w:szCs w:val="24"/>
        </w:rPr>
        <w:t>十七．缴纳社会保险的凭据</w:t>
      </w:r>
      <w:bookmarkEnd w:id="84"/>
    </w:p>
    <w:p>
      <w:pPr>
        <w:autoSpaceDE w:val="0"/>
        <w:autoSpaceDN w:val="0"/>
        <w:spacing w:line="360" w:lineRule="auto"/>
        <w:rPr>
          <w:rFonts w:ascii="宋体" w:hAnsi="宋体"/>
          <w:b/>
          <w:color w:val="auto"/>
          <w:sz w:val="24"/>
          <w:szCs w:val="24"/>
        </w:rPr>
      </w:pPr>
    </w:p>
    <w:p>
      <w:pPr>
        <w:autoSpaceDE w:val="0"/>
        <w:autoSpaceDN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按照本招标文件第六章资格性审查的要求，提供投标人的缴纳社会保险的凭据（专用收据或社保缴纳清单）。</w:t>
      </w:r>
    </w:p>
    <w:p>
      <w:pPr>
        <w:spacing w:line="360" w:lineRule="auto"/>
        <w:ind w:firstLine="482" w:firstLineChars="200"/>
        <w:rPr>
          <w:color w:val="auto"/>
          <w:sz w:val="24"/>
          <w:szCs w:val="24"/>
        </w:rPr>
      </w:pPr>
      <w:r>
        <w:rPr>
          <w:rFonts w:hint="eastAsia" w:ascii="宋体" w:hAnsi="宋体"/>
          <w:b/>
          <w:color w:val="auto"/>
          <w:sz w:val="24"/>
          <w:szCs w:val="24"/>
        </w:rPr>
        <w:t>说明：</w:t>
      </w:r>
      <w:r>
        <w:rPr>
          <w:rFonts w:hint="eastAsia"/>
          <w:color w:val="auto"/>
          <w:sz w:val="24"/>
          <w:szCs w:val="24"/>
        </w:rPr>
        <w:t>提供</w:t>
      </w:r>
      <w:r>
        <w:rPr>
          <w:rFonts w:hint="eastAsia" w:ascii="宋体" w:hAnsi="宋体"/>
          <w:color w:val="auto"/>
          <w:sz w:val="24"/>
          <w:szCs w:val="24"/>
        </w:rPr>
        <w:t>社保缴纳清单的须加盖相关社保部门的公章；</w:t>
      </w:r>
      <w:r>
        <w:rPr>
          <w:rFonts w:hint="eastAsia"/>
          <w:color w:val="auto"/>
          <w:sz w:val="24"/>
          <w:szCs w:val="24"/>
        </w:rPr>
        <w:t>依法不需要缴纳社会保障资金的投标人，应提供相应文件证明其依法不需要缴纳社会保障资金。</w:t>
      </w:r>
    </w:p>
    <w:p>
      <w:pPr>
        <w:ind w:firstLine="480" w:firstLineChars="200"/>
        <w:rPr>
          <w:color w:val="auto"/>
          <w:sz w:val="24"/>
          <w:szCs w:val="24"/>
        </w:rPr>
      </w:pPr>
      <w:r>
        <w:rPr>
          <w:color w:val="auto"/>
          <w:sz w:val="24"/>
          <w:szCs w:val="24"/>
        </w:rPr>
        <w:br w:type="page"/>
      </w:r>
    </w:p>
    <w:p>
      <w:pPr>
        <w:rPr>
          <w:color w:val="auto"/>
          <w:sz w:val="24"/>
          <w:szCs w:val="24"/>
        </w:rPr>
      </w:pP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十八．参加政府采购近三年内在经营活动中无</w:t>
      </w:r>
    </w:p>
    <w:p>
      <w:pPr>
        <w:autoSpaceDE w:val="0"/>
        <w:autoSpaceDN w:val="0"/>
        <w:spacing w:line="360" w:lineRule="auto"/>
        <w:jc w:val="center"/>
        <w:rPr>
          <w:rFonts w:ascii="宋体" w:hAnsi="宋体"/>
          <w:color w:val="auto"/>
          <w:sz w:val="24"/>
          <w:szCs w:val="24"/>
        </w:rPr>
      </w:pPr>
      <w:r>
        <w:rPr>
          <w:rFonts w:hint="eastAsia" w:ascii="宋体" w:hAnsi="宋体"/>
          <w:color w:val="auto"/>
          <w:sz w:val="24"/>
          <w:szCs w:val="24"/>
        </w:rPr>
        <w:t>重大违法记录书面声明</w:t>
      </w:r>
    </w:p>
    <w:p>
      <w:pPr>
        <w:autoSpaceDE w:val="0"/>
        <w:autoSpaceDN w:val="0"/>
        <w:spacing w:line="360" w:lineRule="auto"/>
        <w:rPr>
          <w:rFonts w:ascii="宋体" w:hAnsi="宋体"/>
          <w:b/>
          <w:bCs/>
          <w:color w:val="auto"/>
          <w:sz w:val="24"/>
          <w:szCs w:val="24"/>
        </w:rPr>
      </w:pPr>
      <w:r>
        <w:rPr>
          <w:rFonts w:hint="eastAsia" w:ascii="宋体" w:hAnsi="宋体"/>
          <w:color w:val="auto"/>
          <w:sz w:val="24"/>
          <w:szCs w:val="24"/>
        </w:rPr>
        <w:t>（采购单位）：</w:t>
      </w:r>
    </w:p>
    <w:p>
      <w:pPr>
        <w:tabs>
          <w:tab w:val="left" w:pos="8820"/>
        </w:tabs>
        <w:autoSpaceDE w:val="0"/>
        <w:autoSpaceDN w:val="0"/>
        <w:spacing w:line="360" w:lineRule="auto"/>
        <w:ind w:firstLine="560"/>
        <w:rPr>
          <w:rFonts w:ascii="宋体" w:hAnsi="宋体" w:cs="宋体"/>
          <w:color w:val="auto"/>
          <w:kern w:val="0"/>
          <w:sz w:val="24"/>
          <w:szCs w:val="24"/>
        </w:rPr>
      </w:pPr>
      <w:r>
        <w:rPr>
          <w:rFonts w:hint="eastAsia" w:ascii="宋体" w:hAnsi="宋体" w:cs="宋体"/>
          <w:color w:val="auto"/>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auto"/>
          <w:sz w:val="24"/>
          <w:szCs w:val="24"/>
        </w:rPr>
      </w:pPr>
      <w:r>
        <w:rPr>
          <w:rFonts w:hint="eastAsia" w:ascii="宋体" w:hAnsi="宋体"/>
          <w:color w:val="auto"/>
          <w:sz w:val="24"/>
          <w:szCs w:val="24"/>
        </w:rPr>
        <w:t>在参加此次政府采购活动近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color w:val="auto"/>
          <w:sz w:val="24"/>
          <w:szCs w:val="24"/>
        </w:rPr>
      </w:pPr>
      <w:r>
        <w:rPr>
          <w:rFonts w:hint="eastAsia" w:ascii="宋体" w:hAnsi="宋体"/>
          <w:color w:val="auto"/>
          <w:sz w:val="24"/>
          <w:szCs w:val="24"/>
        </w:rPr>
        <w:t>特此声明。</w:t>
      </w:r>
    </w:p>
    <w:p>
      <w:pPr>
        <w:tabs>
          <w:tab w:val="left" w:pos="8820"/>
        </w:tabs>
        <w:autoSpaceDE w:val="0"/>
        <w:autoSpaceDN w:val="0"/>
        <w:spacing w:line="360" w:lineRule="auto"/>
        <w:ind w:firstLine="560"/>
        <w:rPr>
          <w:rFonts w:ascii="宋体" w:hAnsi="宋体"/>
          <w:color w:val="auto"/>
          <w:sz w:val="24"/>
          <w:szCs w:val="24"/>
        </w:rPr>
      </w:pPr>
    </w:p>
    <w:p>
      <w:pPr>
        <w:tabs>
          <w:tab w:val="left" w:pos="8820"/>
        </w:tabs>
        <w:autoSpaceDE w:val="0"/>
        <w:autoSpaceDN w:val="0"/>
        <w:spacing w:line="360" w:lineRule="auto"/>
        <w:ind w:firstLine="560"/>
        <w:rPr>
          <w:rFonts w:ascii="宋体" w:hAnsi="宋体"/>
          <w:color w:val="auto"/>
          <w:sz w:val="24"/>
          <w:szCs w:val="24"/>
        </w:rPr>
      </w:pPr>
    </w:p>
    <w:p>
      <w:pPr>
        <w:tabs>
          <w:tab w:val="left" w:pos="8820"/>
        </w:tabs>
        <w:autoSpaceDE w:val="0"/>
        <w:autoSpaceDN w:val="0"/>
        <w:spacing w:line="360" w:lineRule="auto"/>
        <w:ind w:firstLine="560"/>
        <w:rPr>
          <w:rFonts w:ascii="宋体" w:hAnsi="宋体"/>
          <w:color w:val="auto"/>
          <w:sz w:val="24"/>
          <w:szCs w:val="24"/>
        </w:rPr>
      </w:pPr>
      <w:r>
        <w:rPr>
          <w:rFonts w:hint="eastAsia" w:ascii="宋体" w:hAnsi="宋体"/>
          <w:color w:val="auto"/>
          <w:sz w:val="24"/>
          <w:szCs w:val="24"/>
        </w:rPr>
        <w:t xml:space="preserve">                                年  月  日</w:t>
      </w:r>
    </w:p>
    <w:p>
      <w:pPr>
        <w:spacing w:line="360" w:lineRule="auto"/>
        <w:rPr>
          <w:rFonts w:ascii="宋体" w:hAnsi="宋体"/>
          <w:color w:val="auto"/>
          <w:sz w:val="24"/>
          <w:szCs w:val="24"/>
        </w:rPr>
      </w:pP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 xml:space="preserve">            供应商名称（公章）：</w:t>
      </w: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 xml:space="preserve">            法定代表或其授权人（签字）：</w:t>
      </w:r>
    </w:p>
    <w:p>
      <w:pPr>
        <w:autoSpaceDE w:val="0"/>
        <w:autoSpaceDN w:val="0"/>
        <w:spacing w:line="360" w:lineRule="auto"/>
        <w:rPr>
          <w:rFonts w:ascii="宋体" w:hAnsi="宋体"/>
          <w:b/>
          <w:bCs/>
          <w:color w:val="auto"/>
          <w:kern w:val="0"/>
          <w:sz w:val="24"/>
          <w:szCs w:val="24"/>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r>
        <w:rPr>
          <w:rFonts w:hint="eastAsia" w:ascii="宋体" w:hAnsi="宋体"/>
          <w:color w:val="auto"/>
          <w:sz w:val="24"/>
          <w:szCs w:val="24"/>
        </w:rPr>
        <w:t>说明：供应商应提供《信用信息查询结果》和“中国政府采购网”查询截图。</w:t>
      </w: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360" w:lineRule="auto"/>
        <w:rPr>
          <w:rFonts w:ascii="宋体" w:hAnsi="宋体"/>
          <w:b/>
          <w:bCs/>
          <w:color w:val="auto"/>
          <w:kern w:val="0"/>
          <w:sz w:val="24"/>
          <w:szCs w:val="24"/>
          <w:lang w:val="zh-CN"/>
        </w:rPr>
      </w:pPr>
    </w:p>
    <w:p>
      <w:pPr>
        <w:autoSpaceDE w:val="0"/>
        <w:autoSpaceDN w:val="0"/>
        <w:spacing w:line="500" w:lineRule="exact"/>
        <w:ind w:firstLine="480" w:firstLineChars="200"/>
        <w:jc w:val="center"/>
        <w:rPr>
          <w:rFonts w:ascii="宋体" w:hAnsi="宋体"/>
          <w:color w:val="auto"/>
          <w:sz w:val="24"/>
          <w:szCs w:val="24"/>
        </w:rPr>
      </w:pPr>
      <w:r>
        <w:rPr>
          <w:rFonts w:hint="eastAsia" w:ascii="宋体" w:hAnsi="宋体"/>
          <w:bCs/>
          <w:color w:val="auto"/>
          <w:sz w:val="24"/>
          <w:szCs w:val="24"/>
        </w:rPr>
        <w:t>十九．《信用信息查询结果》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auto"/>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auto"/>
          <w:sz w:val="24"/>
          <w:szCs w:val="24"/>
        </w:rPr>
      </w:pPr>
      <w:r>
        <w:rPr>
          <w:rFonts w:hint="eastAsia" w:ascii="宋体" w:hAnsi="宋体"/>
          <w:b/>
          <w:bCs/>
          <w:color w:val="auto"/>
          <w:sz w:val="24"/>
          <w:szCs w:val="24"/>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color w:val="auto"/>
          <w:sz w:val="24"/>
          <w:szCs w:val="24"/>
        </w:rPr>
      </w:pPr>
      <w:r>
        <w:rPr>
          <w:rFonts w:hint="eastAsia" w:ascii="宋体" w:hAnsi="宋体" w:cs="Arial"/>
          <w:color w:val="auto"/>
          <w:sz w:val="24"/>
          <w:szCs w:val="24"/>
        </w:rPr>
        <w:t xml:space="preserve">编号：           </w:t>
      </w:r>
    </w:p>
    <w:tbl>
      <w:tblPr>
        <w:tblStyle w:val="27"/>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color w:val="auto"/>
                <w:sz w:val="24"/>
                <w:szCs w:val="24"/>
              </w:rPr>
            </w:pPr>
            <w:r>
              <w:rPr>
                <w:rFonts w:hint="eastAsia" w:ascii="宋体" w:hAnsi="宋体"/>
                <w:color w:val="auto"/>
                <w:sz w:val="24"/>
                <w:szCs w:val="24"/>
              </w:rPr>
              <w:t>所查询企业</w:t>
            </w:r>
          </w:p>
          <w:p>
            <w:pPr>
              <w:spacing w:line="400" w:lineRule="exact"/>
              <w:jc w:val="left"/>
              <w:rPr>
                <w:rFonts w:ascii="宋体" w:hAnsi="宋体"/>
                <w:color w:val="auto"/>
                <w:sz w:val="24"/>
                <w:szCs w:val="24"/>
              </w:rPr>
            </w:pPr>
            <w:r>
              <w:rPr>
                <w:rFonts w:hint="eastAsia" w:ascii="宋体" w:hAnsi="宋体"/>
                <w:color w:val="auto"/>
                <w:sz w:val="24"/>
                <w:szCs w:val="24"/>
              </w:rPr>
              <w:t>全称</w:t>
            </w:r>
          </w:p>
        </w:tc>
        <w:tc>
          <w:tcPr>
            <w:tcW w:w="8424" w:type="dxa"/>
            <w:gridSpan w:val="5"/>
            <w:tcBorders>
              <w:top w:val="single" w:color="auto" w:sz="8" w:space="0"/>
            </w:tcBorders>
            <w:vAlign w:val="center"/>
          </w:tcPr>
          <w:p>
            <w:pPr>
              <w:spacing w:line="360" w:lineRule="auto"/>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rPr>
                <w:color w:val="auto"/>
                <w:sz w:val="24"/>
                <w:szCs w:val="24"/>
              </w:rPr>
            </w:pPr>
          </w:p>
        </w:tc>
        <w:tc>
          <w:tcPr>
            <w:tcW w:w="1698" w:type="dxa"/>
            <w:tcBorders>
              <w:top w:val="single" w:color="auto" w:sz="8" w:space="0"/>
              <w:bottom w:val="single" w:color="auto" w:sz="4" w:space="0"/>
            </w:tcBorders>
            <w:vAlign w:val="center"/>
          </w:tcPr>
          <w:p>
            <w:pPr>
              <w:spacing w:line="400" w:lineRule="exact"/>
              <w:jc w:val="left"/>
              <w:rPr>
                <w:rFonts w:ascii="宋体" w:hAnsi="宋体"/>
                <w:color w:val="auto"/>
                <w:sz w:val="24"/>
                <w:szCs w:val="24"/>
              </w:rPr>
            </w:pPr>
            <w:r>
              <w:rPr>
                <w:rFonts w:hint="eastAsia" w:ascii="宋体" w:hAnsi="宋体"/>
                <w:color w:val="auto"/>
                <w:sz w:val="24"/>
                <w:szCs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color w:val="auto"/>
                <w:sz w:val="24"/>
                <w:szCs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法人姓名</w:t>
            </w:r>
          </w:p>
        </w:tc>
        <w:tc>
          <w:tcPr>
            <w:tcW w:w="8424" w:type="dxa"/>
            <w:gridSpan w:val="5"/>
            <w:tcBorders>
              <w:top w:val="single" w:color="auto" w:sz="8" w:space="0"/>
            </w:tcBorders>
            <w:vAlign w:val="center"/>
          </w:tcPr>
          <w:p>
            <w:pPr>
              <w:spacing w:line="360" w:lineRule="auto"/>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rPr>
                <w:color w:val="auto"/>
                <w:sz w:val="24"/>
                <w:szCs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身份证号码</w:t>
            </w:r>
          </w:p>
        </w:tc>
        <w:tc>
          <w:tcPr>
            <w:tcW w:w="8424" w:type="dxa"/>
            <w:gridSpan w:val="5"/>
            <w:tcBorders>
              <w:bottom w:val="single" w:color="auto" w:sz="4" w:space="0"/>
            </w:tcBorders>
            <w:vAlign w:val="center"/>
          </w:tcPr>
          <w:tbl>
            <w:tblPr>
              <w:tblStyle w:val="27"/>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c>
                <w:tcPr>
                  <w:tcW w:w="360" w:type="dxa"/>
                </w:tcPr>
                <w:p>
                  <w:pPr>
                    <w:spacing w:line="360" w:lineRule="auto"/>
                    <w:rPr>
                      <w:rFonts w:ascii="宋体" w:hAnsi="宋体"/>
                      <w:color w:val="auto"/>
                      <w:sz w:val="24"/>
                      <w:szCs w:val="24"/>
                    </w:rPr>
                  </w:pPr>
                </w:p>
              </w:tc>
            </w:tr>
          </w:tbl>
          <w:p>
            <w:pPr>
              <w:spacing w:line="360" w:lineRule="auto"/>
              <w:jc w:val="center"/>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color w:val="auto"/>
                <w:sz w:val="24"/>
                <w:szCs w:val="24"/>
              </w:rPr>
            </w:pPr>
            <w:r>
              <w:rPr>
                <w:rFonts w:hint="eastAsia" w:ascii="宋体" w:hAnsi="宋体"/>
                <w:color w:val="auto"/>
                <w:sz w:val="24"/>
                <w:szCs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auto"/>
                <w:sz w:val="24"/>
                <w:szCs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color w:val="auto"/>
                <w:sz w:val="24"/>
                <w:szCs w:val="24"/>
              </w:rPr>
            </w:pPr>
            <w:r>
              <w:rPr>
                <w:rFonts w:hint="eastAsia" w:ascii="宋体" w:hAnsi="宋体" w:cs="宋体"/>
                <w:color w:val="auto"/>
                <w:kern w:val="0"/>
                <w:sz w:val="24"/>
                <w:szCs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□办理相关业务。</w:t>
            </w:r>
          </w:p>
          <w:p>
            <w:pPr>
              <w:spacing w:line="360" w:lineRule="auto"/>
              <w:jc w:val="left"/>
              <w:rPr>
                <w:rFonts w:ascii="宋体" w:hAnsi="宋体"/>
                <w:bCs/>
                <w:color w:val="auto"/>
                <w:sz w:val="24"/>
                <w:szCs w:val="24"/>
              </w:rPr>
            </w:pPr>
            <w:r>
              <w:rPr>
                <w:rFonts w:hint="eastAsia" w:ascii="宋体" w:hAnsi="宋体" w:cs="宋体"/>
                <w:color w:val="auto"/>
                <w:kern w:val="0"/>
                <w:sz w:val="24"/>
                <w:szCs w:val="24"/>
              </w:rPr>
              <w:t>□</w:t>
            </w:r>
            <w:r>
              <w:rPr>
                <w:rFonts w:hint="eastAsia" w:ascii="宋体" w:hAnsi="宋体"/>
                <w:color w:val="auto"/>
                <w:sz w:val="24"/>
                <w:szCs w:val="24"/>
              </w:rPr>
              <w:t>其他</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color w:val="auto"/>
                <w:sz w:val="24"/>
                <w:szCs w:val="24"/>
              </w:rPr>
            </w:pPr>
          </w:p>
          <w:p>
            <w:pPr>
              <w:spacing w:line="360" w:lineRule="auto"/>
              <w:jc w:val="right"/>
              <w:rPr>
                <w:rFonts w:ascii="宋体" w:hAnsi="宋体"/>
                <w:bCs/>
                <w:color w:val="auto"/>
                <w:sz w:val="24"/>
                <w:szCs w:val="24"/>
              </w:rPr>
            </w:pPr>
            <w:r>
              <w:rPr>
                <w:rFonts w:hint="eastAsia" w:ascii="宋体" w:hAnsi="宋体"/>
                <w:color w:val="auto"/>
                <w:sz w:val="24"/>
                <w:szCs w:val="24"/>
              </w:rPr>
              <w:t>申请人签名：</w:t>
            </w:r>
            <w:r>
              <w:rPr>
                <w:rFonts w:hint="eastAsia" w:ascii="宋体" w:hAnsi="宋体"/>
                <w:bCs/>
                <w:color w:val="auto"/>
                <w:sz w:val="24"/>
                <w:szCs w:val="24"/>
              </w:rPr>
              <w:t xml:space="preserve">                       年      月    日</w:t>
            </w:r>
          </w:p>
          <w:p>
            <w:pPr>
              <w:spacing w:line="360" w:lineRule="auto"/>
              <w:jc w:val="right"/>
              <w:rPr>
                <w:rFonts w:ascii="宋体" w:hAnsi="宋体"/>
                <w:bCs/>
                <w:color w:val="auto"/>
                <w:sz w:val="24"/>
                <w:szCs w:val="24"/>
              </w:rPr>
            </w:pPr>
          </w:p>
          <w:p>
            <w:pPr>
              <w:spacing w:line="360" w:lineRule="auto"/>
              <w:ind w:firstLine="4560" w:firstLineChars="1900"/>
              <w:rPr>
                <w:rFonts w:ascii="宋体" w:hAnsi="宋体" w:cs="宋体"/>
                <w:color w:val="auto"/>
                <w:kern w:val="0"/>
                <w:sz w:val="24"/>
                <w:szCs w:val="24"/>
              </w:rPr>
            </w:pPr>
            <w:r>
              <w:rPr>
                <w:rFonts w:hint="eastAsia" w:ascii="宋体" w:hAnsi="宋体"/>
                <w:bCs/>
                <w:color w:val="auto"/>
                <w:sz w:val="24"/>
                <w:szCs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auto"/>
                <w:kern w:val="0"/>
                <w:sz w:val="24"/>
                <w:szCs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auto"/>
                <w:kern w:val="0"/>
                <w:sz w:val="24"/>
                <w:szCs w:val="24"/>
              </w:rPr>
            </w:pPr>
            <w:r>
              <w:rPr>
                <w:rFonts w:hint="eastAsia" w:ascii="宋体" w:hAnsi="宋体" w:cs="宋体"/>
                <w:color w:val="auto"/>
                <w:kern w:val="0"/>
                <w:sz w:val="24"/>
                <w:szCs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auto"/>
                <w:kern w:val="0"/>
                <w:sz w:val="24"/>
                <w:szCs w:val="24"/>
              </w:rPr>
            </w:pPr>
          </w:p>
          <w:p>
            <w:pPr>
              <w:spacing w:line="360" w:lineRule="auto"/>
              <w:rPr>
                <w:rFonts w:ascii="宋体" w:hAnsi="宋体" w:cs="宋体"/>
                <w:color w:val="auto"/>
                <w:kern w:val="0"/>
                <w:sz w:val="24"/>
                <w:szCs w:val="24"/>
              </w:rPr>
            </w:pPr>
            <w:r>
              <w:rPr>
                <w:rFonts w:hint="eastAsia" w:ascii="宋体" w:hAnsi="宋体" w:cs="宋体"/>
                <w:color w:val="auto"/>
                <w:kern w:val="0"/>
                <w:sz w:val="24"/>
                <w:szCs w:val="24"/>
              </w:rPr>
              <w:t>签名：</w:t>
            </w:r>
          </w:p>
        </w:tc>
      </w:tr>
    </w:tbl>
    <w:p>
      <w:pPr>
        <w:spacing w:line="0" w:lineRule="atLeast"/>
        <w:rPr>
          <w:rFonts w:ascii="宋体" w:hAnsi="宋体"/>
          <w:b/>
          <w:color w:val="auto"/>
          <w:szCs w:val="21"/>
        </w:rPr>
      </w:pPr>
      <w:r>
        <w:rPr>
          <w:rFonts w:hint="eastAsia" w:ascii="宋体" w:hAnsi="宋体"/>
          <w:b/>
          <w:color w:val="auto"/>
          <w:szCs w:val="21"/>
        </w:rPr>
        <w:t xml:space="preserve">　　　　　　　　　　　　　　　　　　　　 </w:t>
      </w:r>
    </w:p>
    <w:p>
      <w:pPr>
        <w:spacing w:line="0" w:lineRule="atLeast"/>
        <w:rPr>
          <w:rFonts w:ascii="宋体" w:hAnsi="宋体"/>
          <w:color w:val="auto"/>
          <w:sz w:val="24"/>
          <w:szCs w:val="24"/>
        </w:rPr>
      </w:pPr>
    </w:p>
    <w:p>
      <w:pPr>
        <w:spacing w:line="0" w:lineRule="atLeast"/>
        <w:rPr>
          <w:rFonts w:ascii="宋体" w:hAnsi="宋体"/>
          <w:color w:val="auto"/>
          <w:sz w:val="24"/>
          <w:szCs w:val="24"/>
          <w:lang w:val="zh-CN"/>
        </w:rPr>
      </w:pPr>
      <w:r>
        <w:rPr>
          <w:rFonts w:hint="eastAsia" w:ascii="宋体" w:hAnsi="宋体"/>
          <w:b/>
          <w:color w:val="auto"/>
          <w:sz w:val="24"/>
          <w:szCs w:val="24"/>
        </w:rPr>
        <w:t>注：</w:t>
      </w:r>
      <w:r>
        <w:rPr>
          <w:rFonts w:hint="eastAsia" w:ascii="宋体" w:hAnsi="宋体"/>
          <w:color w:val="auto"/>
          <w:sz w:val="24"/>
          <w:szCs w:val="24"/>
        </w:rPr>
        <w:t>1.请</w:t>
      </w:r>
      <w:r>
        <w:rPr>
          <w:rFonts w:hint="eastAsia" w:ascii="宋体" w:hAnsi="宋体"/>
          <w:color w:val="auto"/>
          <w:sz w:val="24"/>
          <w:szCs w:val="24"/>
          <w:lang w:val="zh-CN"/>
        </w:rPr>
        <w:t>如实、完整地填写有关内容。</w:t>
      </w:r>
    </w:p>
    <w:p>
      <w:pPr>
        <w:spacing w:line="0" w:lineRule="atLeast"/>
        <w:ind w:firstLine="420"/>
        <w:rPr>
          <w:rFonts w:ascii="宋体" w:hAnsi="宋体"/>
          <w:color w:val="auto"/>
          <w:sz w:val="24"/>
          <w:szCs w:val="24"/>
          <w:lang w:val="zh-CN"/>
        </w:rPr>
      </w:pPr>
      <w:r>
        <w:rPr>
          <w:rFonts w:hint="eastAsia" w:ascii="宋体" w:hAnsi="宋体"/>
          <w:color w:val="auto"/>
          <w:sz w:val="24"/>
          <w:szCs w:val="24"/>
        </w:rPr>
        <w:t>2.</w:t>
      </w:r>
      <w:r>
        <w:rPr>
          <w:rFonts w:hint="eastAsia" w:ascii="宋体" w:hAnsi="宋体"/>
          <w:color w:val="auto"/>
          <w:sz w:val="24"/>
          <w:szCs w:val="24"/>
          <w:lang w:val="zh-CN"/>
        </w:rPr>
        <w:t>请使用黑色钢笔、中性笔签字。</w:t>
      </w:r>
    </w:p>
    <w:p>
      <w:pPr>
        <w:spacing w:line="0" w:lineRule="atLeast"/>
        <w:ind w:firstLine="480" w:firstLineChars="200"/>
        <w:rPr>
          <w:rFonts w:ascii="宋体" w:hAnsi="宋体"/>
          <w:color w:val="auto"/>
          <w:sz w:val="24"/>
          <w:szCs w:val="24"/>
          <w:lang w:val="zh-CN"/>
        </w:rPr>
      </w:pPr>
      <w:r>
        <w:rPr>
          <w:rFonts w:hint="eastAsia" w:ascii="宋体" w:hAnsi="宋体"/>
          <w:color w:val="auto"/>
          <w:sz w:val="24"/>
          <w:szCs w:val="24"/>
        </w:rPr>
        <w:t>3.</w:t>
      </w:r>
      <w:r>
        <w:rPr>
          <w:rFonts w:hint="eastAsia" w:ascii="宋体" w:hAnsi="宋体"/>
          <w:color w:val="auto"/>
          <w:sz w:val="24"/>
          <w:szCs w:val="24"/>
          <w:lang w:val="zh-CN"/>
        </w:rPr>
        <w:t>受理查询后</w:t>
      </w:r>
      <w:r>
        <w:rPr>
          <w:rFonts w:hint="eastAsia" w:ascii="宋体" w:hAnsi="宋体"/>
          <w:color w:val="auto"/>
          <w:sz w:val="24"/>
          <w:szCs w:val="24"/>
        </w:rPr>
        <w:t>5个工作日</w:t>
      </w:r>
      <w:r>
        <w:rPr>
          <w:rFonts w:hint="eastAsia" w:ascii="宋体" w:hAnsi="宋体"/>
          <w:color w:val="auto"/>
          <w:sz w:val="24"/>
          <w:szCs w:val="24"/>
          <w:lang w:val="zh-CN"/>
        </w:rPr>
        <w:t>提供所申请的企业信用信息情况。</w:t>
      </w:r>
    </w:p>
    <w:p>
      <w:pPr>
        <w:spacing w:line="0" w:lineRule="atLeast"/>
        <w:rPr>
          <w:rFonts w:ascii="宋体" w:hAnsi="宋体"/>
          <w:color w:val="auto"/>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color w:val="auto"/>
          <w:sz w:val="32"/>
          <w:szCs w:val="32"/>
        </w:rPr>
      </w:pPr>
      <w:r>
        <w:rPr>
          <w:rFonts w:hint="eastAsia" w:ascii="黑体" w:hAnsi="华文中宋" w:eastAsia="黑体"/>
          <w:color w:val="auto"/>
          <w:sz w:val="32"/>
          <w:szCs w:val="32"/>
        </w:rPr>
        <w:t>鄂托克前旗社会信用管理中心制表</w:t>
      </w:r>
    </w:p>
    <w:p>
      <w:pPr>
        <w:autoSpaceDE w:val="0"/>
        <w:autoSpaceDN w:val="0"/>
        <w:spacing w:line="500" w:lineRule="exact"/>
        <w:ind w:firstLine="480" w:firstLineChars="200"/>
        <w:rPr>
          <w:rFonts w:ascii="宋体" w:hAnsi="宋体"/>
          <w:color w:val="auto"/>
          <w:sz w:val="24"/>
          <w:szCs w:val="24"/>
        </w:rPr>
      </w:pPr>
    </w:p>
    <w:p>
      <w:pPr>
        <w:autoSpaceDE w:val="0"/>
        <w:autoSpaceDN w:val="0"/>
        <w:spacing w:line="500" w:lineRule="exact"/>
        <w:ind w:firstLine="480" w:firstLineChars="200"/>
        <w:rPr>
          <w:rFonts w:ascii="宋体" w:hAnsi="宋体"/>
          <w:color w:val="auto"/>
          <w:sz w:val="24"/>
          <w:szCs w:val="24"/>
        </w:rPr>
      </w:pPr>
    </w:p>
    <w:p>
      <w:pPr>
        <w:autoSpaceDE w:val="0"/>
        <w:autoSpaceDN w:val="0"/>
        <w:spacing w:line="500" w:lineRule="exact"/>
        <w:ind w:firstLine="480" w:firstLineChars="200"/>
        <w:rPr>
          <w:rFonts w:ascii="宋体" w:hAnsi="宋体"/>
          <w:b/>
          <w:bCs/>
          <w:color w:val="auto"/>
          <w:kern w:val="0"/>
          <w:sz w:val="24"/>
          <w:szCs w:val="24"/>
        </w:rPr>
      </w:pPr>
      <w:r>
        <w:rPr>
          <w:rFonts w:hint="eastAsia" w:ascii="宋体" w:hAnsi="宋体"/>
          <w:color w:val="auto"/>
          <w:sz w:val="24"/>
          <w:szCs w:val="24"/>
        </w:rPr>
        <w:t>供应商须在</w:t>
      </w:r>
      <w:r>
        <w:rPr>
          <w:rFonts w:hint="eastAsia" w:ascii="宋体" w:hAnsi="宋体"/>
          <w:color w:val="auto"/>
          <w:sz w:val="24"/>
          <w:szCs w:val="24"/>
          <w:lang w:eastAsia="zh-CN"/>
        </w:rPr>
        <w:t>响应文件</w:t>
      </w:r>
      <w:r>
        <w:rPr>
          <w:rFonts w:hint="eastAsia" w:ascii="宋体" w:hAnsi="宋体"/>
          <w:color w:val="auto"/>
          <w:sz w:val="24"/>
          <w:szCs w:val="24"/>
        </w:rPr>
        <w:t>中提供企业工商注册所在地或项目所在地信用管理中心出具的《信用信息查询结果》且在有效期范围内（注：鄂托克前旗社会信用管理中心：地址．</w:t>
      </w:r>
      <w:r>
        <w:rPr>
          <w:rFonts w:hint="eastAsia" w:ascii="宋体" w:hAnsi="宋体"/>
          <w:color w:val="auto"/>
          <w:sz w:val="24"/>
          <w:szCs w:val="24"/>
          <w:lang w:eastAsia="zh-CN"/>
        </w:rPr>
        <w:t>鄂托克前旗敖勒召其镇</w:t>
      </w:r>
      <w:r>
        <w:rPr>
          <w:rFonts w:hint="eastAsia" w:ascii="宋体" w:hAnsi="宋体"/>
          <w:color w:val="auto"/>
          <w:sz w:val="24"/>
          <w:szCs w:val="24"/>
        </w:rPr>
        <w:t>综合办公楼700</w:t>
      </w:r>
      <w:r>
        <w:rPr>
          <w:rFonts w:hint="eastAsia" w:ascii="宋体" w:hAnsi="宋体"/>
          <w:color w:val="auto"/>
          <w:sz w:val="24"/>
          <w:szCs w:val="24"/>
          <w:lang w:val="en-US" w:eastAsia="zh-CN"/>
        </w:rPr>
        <w:t>6</w:t>
      </w:r>
      <w:r>
        <w:rPr>
          <w:rFonts w:hint="eastAsia" w:ascii="宋体" w:hAnsi="宋体"/>
          <w:color w:val="auto"/>
          <w:sz w:val="24"/>
          <w:szCs w:val="24"/>
        </w:rPr>
        <w:t>房间；　电话：0477-7625899）。</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办理步骤：</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3.鄂托克前旗企业信用信息查询申请表盖章彩色扫描件jpeg图片格式。</w:t>
      </w:r>
      <w:r>
        <w:rPr>
          <w:rFonts w:hint="eastAsia" w:ascii="宋体" w:hAnsi="宋体"/>
          <w:color w:val="auto"/>
          <w:sz w:val="24"/>
          <w:szCs w:val="24"/>
          <w:lang w:val="en-US" w:eastAsia="zh-CN"/>
        </w:rPr>
        <w:t>（高清jpeg图片格式。右上角编号请勿填写，最后“受理人签名”一行请勿填写，“申请查询企业信用信息事由及用途”请填写“所投项目名称”，必须盖公章）</w:t>
      </w:r>
    </w:p>
    <w:p>
      <w:pPr>
        <w:autoSpaceDE w:val="0"/>
        <w:autoSpaceDN w:val="0"/>
        <w:spacing w:line="500" w:lineRule="exact"/>
        <w:rPr>
          <w:rFonts w:hint="eastAsia"/>
          <w:lang w:eastAsia="zh-CN"/>
        </w:rPr>
      </w:pPr>
      <w:r>
        <w:rPr>
          <w:rFonts w:hint="eastAsia" w:ascii="宋体" w:hAnsi="宋体"/>
          <w:color w:val="auto"/>
          <w:sz w:val="24"/>
          <w:szCs w:val="24"/>
        </w:rPr>
        <w:t xml:space="preserve">申请材料发送到  </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"mailto:eqqfgjxyglzx@163.com" </w:instrText>
      </w:r>
      <w:r>
        <w:rPr>
          <w:rFonts w:hint="eastAsia" w:ascii="宋体" w:hAnsi="宋体"/>
          <w:color w:val="auto"/>
          <w:sz w:val="24"/>
          <w:szCs w:val="24"/>
        </w:rPr>
        <w:fldChar w:fldCharType="separate"/>
      </w:r>
      <w:r>
        <w:rPr>
          <w:rStyle w:val="35"/>
          <w:rFonts w:hint="eastAsia" w:ascii="宋体" w:hAnsi="宋体"/>
          <w:sz w:val="24"/>
          <w:szCs w:val="24"/>
        </w:rPr>
        <w:t>eqqfgjxyglzx@163.com</w:t>
      </w:r>
      <w:r>
        <w:rPr>
          <w:rFonts w:hint="eastAsia" w:ascii="宋体" w:hAnsi="宋体"/>
          <w:color w:val="auto"/>
          <w:sz w:val="24"/>
          <w:szCs w:val="24"/>
        </w:rPr>
        <w:fldChar w:fldCharType="end"/>
      </w:r>
    </w:p>
    <w:p>
      <w:pPr>
        <w:widowControl/>
        <w:spacing w:line="360" w:lineRule="auto"/>
        <w:jc w:val="left"/>
        <w:rPr>
          <w:rFonts w:asciiTheme="minorEastAsia" w:hAnsiTheme="minorEastAsia" w:eastAsiaTheme="minorEastAsia"/>
          <w:color w:val="auto"/>
          <w:sz w:val="24"/>
          <w:szCs w:val="24"/>
        </w:rPr>
      </w:pPr>
    </w:p>
    <w:p>
      <w:pPr>
        <w:pStyle w:val="2"/>
        <w:rPr>
          <w:color w:val="auto"/>
        </w:rPr>
      </w:pPr>
    </w:p>
    <w:p>
      <w:pPr>
        <w:pStyle w:val="2"/>
        <w:rPr>
          <w:color w:val="auto"/>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auto"/>
          <w:sz w:val="30"/>
          <w:szCs w:val="30"/>
        </w:rPr>
      </w:pPr>
      <w:r>
        <w:rPr>
          <w:rFonts w:hint="eastAsia" w:ascii="宋体" w:hAnsi="宋体"/>
          <w:b/>
          <w:bCs/>
          <w:color w:val="auto"/>
          <w:sz w:val="30"/>
          <w:szCs w:val="30"/>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auto"/>
          <w:sz w:val="30"/>
          <w:szCs w:val="30"/>
        </w:rPr>
      </w:pPr>
      <w:r>
        <w:rPr>
          <w:rFonts w:hint="eastAsia" w:ascii="宋体" w:hAnsi="宋体"/>
          <w:b/>
          <w:bCs/>
          <w:color w:val="auto"/>
          <w:sz w:val="30"/>
          <w:szCs w:val="30"/>
        </w:rPr>
        <w:t>供应商需登录“中国政府采购网”网站（www.ccgp.gov.cn）查询，并提供近一个月内的任意一天的查询截图。</w:t>
      </w:r>
    </w:p>
    <w:p>
      <w:pPr>
        <w:autoSpaceDE w:val="0"/>
        <w:autoSpaceDN w:val="0"/>
        <w:spacing w:line="360" w:lineRule="auto"/>
        <w:rPr>
          <w:rFonts w:ascii="宋体" w:hAnsi="宋体"/>
          <w:bCs/>
          <w:color w:val="auto"/>
          <w:kern w:val="0"/>
          <w:sz w:val="24"/>
          <w:szCs w:val="24"/>
          <w:lang w:val="zh-CN"/>
        </w:rPr>
      </w:pPr>
      <w:r>
        <w:rPr>
          <w:rFonts w:hint="eastAsia" w:ascii="宋体" w:hAnsi="宋体"/>
          <w:bCs/>
          <w:color w:val="auto"/>
          <w:kern w:val="0"/>
          <w:sz w:val="24"/>
          <w:szCs w:val="24"/>
          <w:lang w:val="zh-CN"/>
        </w:rPr>
        <w:t>说明：</w:t>
      </w:r>
      <w:r>
        <w:rPr>
          <w:rFonts w:hint="eastAsia" w:ascii="宋体" w:hAnsi="宋体" w:cs="宋体"/>
          <w:bCs/>
          <w:color w:val="auto"/>
          <w:kern w:val="36"/>
          <w:sz w:val="24"/>
          <w:szCs w:val="24"/>
        </w:rPr>
        <w:t>如有不提供、失效的、弄虚作假等行为的，评标委员会有权否决其投标资格。</w:t>
      </w: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pStyle w:val="2"/>
        <w:rPr>
          <w:rFonts w:ascii="宋体" w:hAnsi="宋体"/>
          <w:bCs/>
          <w:color w:val="auto"/>
          <w:kern w:val="0"/>
          <w:sz w:val="24"/>
          <w:szCs w:val="24"/>
          <w:lang w:val="zh-CN"/>
        </w:rPr>
      </w:pPr>
    </w:p>
    <w:p>
      <w:pPr>
        <w:autoSpaceDE w:val="0"/>
        <w:autoSpaceDN w:val="0"/>
        <w:spacing w:line="360" w:lineRule="auto"/>
        <w:jc w:val="center"/>
        <w:rPr>
          <w:rFonts w:ascii="宋体" w:hAnsi="宋体"/>
          <w:b/>
          <w:bCs/>
          <w:color w:val="auto"/>
          <w:kern w:val="0"/>
          <w:sz w:val="24"/>
          <w:szCs w:val="24"/>
          <w:lang w:val="zh-CN"/>
        </w:rPr>
      </w:pPr>
      <w:r>
        <w:rPr>
          <w:rFonts w:hint="eastAsia" w:ascii="宋体" w:hAnsi="宋体"/>
          <w:b/>
          <w:color w:val="auto"/>
          <w:sz w:val="21"/>
          <w:szCs w:val="21"/>
        </w:rPr>
        <w:t>二十.政府采购政策情况表</w:t>
      </w:r>
    </w:p>
    <w:tbl>
      <w:tblPr>
        <w:tblStyle w:val="2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67"/>
              <w:tabs>
                <w:tab w:val="left" w:pos="1260"/>
              </w:tabs>
              <w:spacing w:before="156" w:after="156"/>
              <w:rPr>
                <w:rFonts w:ascii="宋体" w:hAnsi="宋体" w:cs="宋体"/>
                <w:color w:val="auto"/>
                <w:kern w:val="0"/>
                <w:sz w:val="24"/>
              </w:rPr>
            </w:pPr>
            <w:r>
              <w:rPr>
                <w:rFonts w:hint="eastAsia" w:ascii="宋体" w:hAnsi="宋体" w:cs="宋体"/>
                <w:color w:val="auto"/>
                <w:kern w:val="0"/>
                <w:sz w:val="24"/>
              </w:rPr>
              <w:t>中小企业扶持政策</w:t>
            </w:r>
          </w:p>
          <w:p>
            <w:pPr>
              <w:pStyle w:val="67"/>
              <w:tabs>
                <w:tab w:val="left" w:pos="1260"/>
              </w:tabs>
              <w:spacing w:before="156" w:after="156"/>
              <w:ind w:firstLine="480"/>
              <w:jc w:val="center"/>
              <w:rPr>
                <w:rFonts w:ascii="宋体" w:hAnsi="宋体" w:cs="宋体"/>
                <w:color w:val="auto"/>
                <w:kern w:val="0"/>
                <w:sz w:val="24"/>
              </w:rPr>
            </w:pPr>
          </w:p>
        </w:tc>
        <w:tc>
          <w:tcPr>
            <w:tcW w:w="7899" w:type="dxa"/>
            <w:gridSpan w:val="5"/>
            <w:shd w:val="clear" w:color="auto" w:fill="auto"/>
            <w:vAlign w:val="center"/>
          </w:tcPr>
          <w:p>
            <w:pPr>
              <w:pStyle w:val="67"/>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如属所列情形的，请在括号内打“√”：</w:t>
            </w:r>
          </w:p>
          <w:p>
            <w:pPr>
              <w:pStyle w:val="67"/>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）小型、微型企业投标且提供本企业制造的产品。</w:t>
            </w:r>
          </w:p>
          <w:p>
            <w:pPr>
              <w:pStyle w:val="67"/>
              <w:tabs>
                <w:tab w:val="left" w:pos="1260"/>
              </w:tabs>
              <w:spacing w:before="40" w:after="40" w:line="360" w:lineRule="auto"/>
              <w:rPr>
                <w:rFonts w:ascii="宋体" w:hAnsi="宋体" w:cs="宋体"/>
                <w:color w:val="auto"/>
                <w:kern w:val="0"/>
                <w:sz w:val="24"/>
              </w:rPr>
            </w:pPr>
            <w:r>
              <w:rPr>
                <w:rFonts w:hint="eastAsia" w:ascii="宋体" w:hAnsi="宋体" w:cs="宋体"/>
                <w:color w:val="auto"/>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color w:val="auto"/>
                <w:kern w:val="0"/>
                <w:sz w:val="24"/>
              </w:rPr>
            </w:pPr>
          </w:p>
        </w:tc>
        <w:tc>
          <w:tcPr>
            <w:tcW w:w="1702" w:type="dxa"/>
            <w:shd w:val="clear" w:color="auto" w:fill="auto"/>
            <w:vAlign w:val="center"/>
          </w:tcPr>
          <w:p>
            <w:pPr>
              <w:pStyle w:val="67"/>
              <w:tabs>
                <w:tab w:val="left" w:pos="1260"/>
              </w:tabs>
              <w:spacing w:before="40" w:after="40"/>
              <w:rPr>
                <w:rFonts w:ascii="宋体" w:hAnsi="宋体" w:cs="宋体"/>
                <w:color w:val="auto"/>
                <w:kern w:val="0"/>
                <w:sz w:val="24"/>
              </w:rPr>
            </w:pPr>
            <w:r>
              <w:rPr>
                <w:rFonts w:hint="eastAsia" w:ascii="宋体" w:hAnsi="宋体" w:cs="宋体"/>
                <w:color w:val="auto"/>
                <w:kern w:val="0"/>
                <w:sz w:val="24"/>
              </w:rPr>
              <w:t>核心产品名称</w:t>
            </w:r>
          </w:p>
        </w:tc>
        <w:tc>
          <w:tcPr>
            <w:tcW w:w="1196" w:type="dxa"/>
            <w:shd w:val="clear" w:color="auto" w:fill="auto"/>
            <w:vAlign w:val="center"/>
          </w:tcPr>
          <w:p>
            <w:pPr>
              <w:pStyle w:val="67"/>
              <w:tabs>
                <w:tab w:val="left" w:pos="1260"/>
              </w:tabs>
              <w:spacing w:before="40" w:after="40"/>
              <w:rPr>
                <w:rFonts w:ascii="宋体" w:hAnsi="宋体" w:cs="宋体"/>
                <w:color w:val="auto"/>
                <w:kern w:val="0"/>
                <w:sz w:val="24"/>
              </w:rPr>
            </w:pPr>
            <w:r>
              <w:rPr>
                <w:rFonts w:hint="eastAsia" w:ascii="宋体" w:hAnsi="宋体" w:cs="宋体"/>
                <w:color w:val="auto"/>
                <w:kern w:val="0"/>
                <w:sz w:val="24"/>
              </w:rPr>
              <w:t>品牌型号</w:t>
            </w:r>
          </w:p>
        </w:tc>
        <w:tc>
          <w:tcPr>
            <w:tcW w:w="1356" w:type="dxa"/>
            <w:shd w:val="clear" w:color="auto" w:fill="auto"/>
            <w:vAlign w:val="center"/>
          </w:tcPr>
          <w:p>
            <w:pPr>
              <w:pStyle w:val="67"/>
              <w:tabs>
                <w:tab w:val="left" w:pos="1260"/>
              </w:tabs>
              <w:spacing w:before="40" w:after="40"/>
              <w:rPr>
                <w:rFonts w:ascii="宋体" w:hAnsi="宋体" w:cs="宋体"/>
                <w:color w:val="auto"/>
                <w:kern w:val="0"/>
                <w:sz w:val="24"/>
              </w:rPr>
            </w:pPr>
            <w:r>
              <w:rPr>
                <w:rFonts w:hint="eastAsia" w:ascii="宋体" w:hAnsi="宋体" w:cs="宋体"/>
                <w:color w:val="auto"/>
                <w:kern w:val="0"/>
                <w:sz w:val="24"/>
              </w:rPr>
              <w:t>制造商</w:t>
            </w:r>
          </w:p>
        </w:tc>
        <w:tc>
          <w:tcPr>
            <w:tcW w:w="1960" w:type="dxa"/>
            <w:shd w:val="clear" w:color="auto" w:fill="auto"/>
            <w:vAlign w:val="center"/>
          </w:tcPr>
          <w:p>
            <w:pPr>
              <w:pStyle w:val="67"/>
              <w:tabs>
                <w:tab w:val="left" w:pos="1260"/>
              </w:tabs>
              <w:spacing w:before="40" w:after="40"/>
              <w:rPr>
                <w:rFonts w:ascii="宋体" w:hAnsi="宋体" w:cs="宋体"/>
                <w:color w:val="auto"/>
                <w:kern w:val="0"/>
                <w:sz w:val="24"/>
              </w:rPr>
            </w:pPr>
            <w:r>
              <w:rPr>
                <w:rFonts w:hint="eastAsia" w:ascii="宋体" w:hAnsi="宋体" w:cs="宋体"/>
                <w:color w:val="auto"/>
                <w:kern w:val="0"/>
                <w:sz w:val="24"/>
              </w:rPr>
              <w:t>制造商企业类型</w:t>
            </w:r>
          </w:p>
        </w:tc>
        <w:tc>
          <w:tcPr>
            <w:tcW w:w="1685" w:type="dxa"/>
            <w:shd w:val="clear" w:color="auto" w:fill="auto"/>
            <w:vAlign w:val="center"/>
          </w:tcPr>
          <w:p>
            <w:pPr>
              <w:pStyle w:val="67"/>
              <w:tabs>
                <w:tab w:val="left" w:pos="1260"/>
              </w:tabs>
              <w:spacing w:before="40" w:after="40"/>
              <w:rPr>
                <w:rFonts w:ascii="宋体" w:hAnsi="宋体" w:cs="宋体"/>
                <w:color w:val="auto"/>
                <w:kern w:val="0"/>
                <w:sz w:val="24"/>
              </w:rPr>
            </w:pPr>
            <w:r>
              <w:rPr>
                <w:rFonts w:hint="eastAsia" w:ascii="宋体" w:hAnsi="宋体" w:cs="宋体"/>
                <w:color w:val="auto"/>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color w:val="auto"/>
                <w:kern w:val="0"/>
                <w:sz w:val="24"/>
              </w:rPr>
            </w:pPr>
          </w:p>
        </w:tc>
        <w:tc>
          <w:tcPr>
            <w:tcW w:w="1702"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196"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356"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960"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685"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color w:val="auto"/>
                <w:kern w:val="0"/>
                <w:sz w:val="24"/>
              </w:rPr>
            </w:pPr>
          </w:p>
        </w:tc>
        <w:tc>
          <w:tcPr>
            <w:tcW w:w="1702"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196"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356"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960"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c>
          <w:tcPr>
            <w:tcW w:w="1685"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color w:val="auto"/>
                <w:kern w:val="0"/>
                <w:sz w:val="24"/>
              </w:rPr>
            </w:pPr>
          </w:p>
        </w:tc>
        <w:tc>
          <w:tcPr>
            <w:tcW w:w="6214" w:type="dxa"/>
            <w:gridSpan w:val="4"/>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r>
              <w:rPr>
                <w:rFonts w:hint="eastAsia" w:ascii="宋体" w:hAnsi="宋体" w:cs="宋体"/>
                <w:color w:val="auto"/>
                <w:kern w:val="0"/>
                <w:sz w:val="24"/>
              </w:rPr>
              <w:t>小型、微型企业产品金额合计</w:t>
            </w:r>
          </w:p>
        </w:tc>
        <w:tc>
          <w:tcPr>
            <w:tcW w:w="1685" w:type="dxa"/>
            <w:shd w:val="clear" w:color="auto" w:fill="auto"/>
            <w:vAlign w:val="center"/>
          </w:tcPr>
          <w:p>
            <w:pPr>
              <w:pStyle w:val="67"/>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156" w:after="156"/>
              <w:rPr>
                <w:rFonts w:ascii="宋体" w:hAnsi="宋体" w:cs="宋体"/>
                <w:color w:val="auto"/>
                <w:kern w:val="0"/>
                <w:sz w:val="24"/>
              </w:rPr>
            </w:pPr>
            <w:r>
              <w:rPr>
                <w:rFonts w:ascii="宋体" w:hAnsi="宋体" w:cs="宋体"/>
                <w:color w:val="auto"/>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40" w:after="4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156" w:after="156"/>
              <w:rPr>
                <w:rFonts w:ascii="宋体" w:hAnsi="宋体" w:cs="宋体"/>
                <w:color w:val="auto"/>
                <w:kern w:val="0"/>
                <w:sz w:val="24"/>
              </w:rPr>
            </w:pPr>
            <w:r>
              <w:rPr>
                <w:rFonts w:hint="eastAsia" w:ascii="宋体" w:hAnsi="宋体" w:cs="宋体"/>
                <w:color w:val="auto"/>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40" w:after="4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color w:val="auto"/>
          <w:sz w:val="24"/>
        </w:rPr>
      </w:pPr>
    </w:p>
    <w:p>
      <w:pPr>
        <w:spacing w:line="360" w:lineRule="auto"/>
        <w:ind w:firstLine="480" w:firstLineChars="200"/>
        <w:rPr>
          <w:color w:val="auto"/>
          <w:sz w:val="24"/>
        </w:rPr>
      </w:pPr>
      <w:r>
        <w:rPr>
          <w:rFonts w:hint="eastAsia"/>
          <w:color w:val="auto"/>
          <w:sz w:val="24"/>
        </w:rPr>
        <w:t>填报要求：</w:t>
      </w:r>
    </w:p>
    <w:p>
      <w:pPr>
        <w:spacing w:line="360" w:lineRule="auto"/>
        <w:ind w:firstLine="480" w:firstLineChars="200"/>
        <w:rPr>
          <w:color w:val="auto"/>
          <w:sz w:val="24"/>
        </w:rPr>
      </w:pPr>
      <w:r>
        <w:rPr>
          <w:rFonts w:hint="eastAsia"/>
          <w:color w:val="auto"/>
          <w:sz w:val="24"/>
        </w:rPr>
        <w:t>1. 本表内容与本招标文件其他要求填写不一致或本表填写不完整的，不予价格扣除。</w:t>
      </w:r>
    </w:p>
    <w:p>
      <w:pPr>
        <w:autoSpaceDE w:val="0"/>
        <w:autoSpaceDN w:val="0"/>
        <w:spacing w:line="360" w:lineRule="auto"/>
        <w:ind w:firstLine="480" w:firstLineChars="200"/>
        <w:rPr>
          <w:color w:val="auto"/>
          <w:sz w:val="24"/>
        </w:rPr>
      </w:pPr>
      <w:r>
        <w:rPr>
          <w:rFonts w:hint="eastAsia"/>
          <w:color w:val="auto"/>
          <w:sz w:val="24"/>
        </w:rPr>
        <w:t>2. 制造商为小型或微型企业时才需要填“制造商企业类型”栏，填写内容为“小型”或“微型”。</w:t>
      </w:r>
    </w:p>
    <w:p>
      <w:pPr>
        <w:autoSpaceDE w:val="0"/>
        <w:autoSpaceDN w:val="0"/>
        <w:spacing w:line="360" w:lineRule="auto"/>
        <w:ind w:firstLine="480" w:firstLineChars="200"/>
        <w:rPr>
          <w:color w:val="auto"/>
          <w:sz w:val="24"/>
        </w:rPr>
      </w:pPr>
      <w:r>
        <w:rPr>
          <w:rFonts w:hint="eastAsia"/>
          <w:color w:val="auto"/>
          <w:sz w:val="24"/>
        </w:rPr>
        <w:t>3.</w:t>
      </w:r>
      <w:r>
        <w:rPr>
          <w:rFonts w:hint="eastAsia" w:ascii="宋体" w:hAnsi="宋体"/>
          <w:color w:val="auto"/>
          <w:sz w:val="24"/>
          <w:szCs w:val="24"/>
        </w:rPr>
        <w:t xml:space="preserve"> 联合体一方为小型、微型企业且小型、微型企业协议合同金额占联合体协议合同总金额30%以上的才需填写“</w:t>
      </w:r>
      <w:r>
        <w:rPr>
          <w:rFonts w:hint="eastAsia" w:ascii="宋体" w:hAnsi="宋体" w:cs="宋体"/>
          <w:color w:val="auto"/>
          <w:kern w:val="0"/>
          <w:sz w:val="24"/>
        </w:rPr>
        <w:t>金额（单价元）、小型、微型企业产品金额合计</w:t>
      </w:r>
      <w:r>
        <w:rPr>
          <w:rFonts w:hint="eastAsia" w:ascii="宋体" w:hAnsi="宋体"/>
          <w:color w:val="auto"/>
          <w:sz w:val="24"/>
          <w:szCs w:val="24"/>
        </w:rPr>
        <w:t>”内容。</w:t>
      </w:r>
    </w:p>
    <w:p>
      <w:pPr>
        <w:autoSpaceDE w:val="0"/>
        <w:autoSpaceDN w:val="0"/>
        <w:spacing w:line="360" w:lineRule="auto"/>
        <w:ind w:firstLine="2168" w:firstLineChars="900"/>
        <w:rPr>
          <w:rFonts w:ascii="宋体" w:hAnsi="宋体"/>
          <w:b/>
          <w:bCs/>
          <w:color w:val="auto"/>
          <w:kern w:val="0"/>
          <w:sz w:val="24"/>
          <w:szCs w:val="24"/>
        </w:rPr>
      </w:pPr>
      <w:r>
        <w:rPr>
          <w:rFonts w:ascii="宋体" w:hAnsi="宋体"/>
          <w:b/>
          <w:bCs/>
          <w:color w:val="auto"/>
          <w:kern w:val="0"/>
          <w:sz w:val="24"/>
          <w:szCs w:val="24"/>
        </w:rPr>
        <w:br w:type="page"/>
      </w:r>
    </w:p>
    <w:p>
      <w:pPr>
        <w:spacing w:line="588" w:lineRule="exact"/>
        <w:jc w:val="center"/>
        <w:rPr>
          <w:rFonts w:ascii="宋体" w:hAnsi="宋体" w:cs="宋体"/>
          <w:color w:val="auto"/>
          <w:kern w:val="0"/>
          <w:sz w:val="24"/>
          <w:szCs w:val="24"/>
        </w:rPr>
      </w:pPr>
      <w:bookmarkStart w:id="85" w:name="_Toc22827_WPSOffice_Level1"/>
      <w:r>
        <w:rPr>
          <w:rFonts w:hint="eastAsia" w:ascii="宋体" w:hAnsi="宋体" w:cs="宋体"/>
          <w:color w:val="auto"/>
          <w:kern w:val="0"/>
          <w:sz w:val="24"/>
          <w:szCs w:val="24"/>
        </w:rPr>
        <w:t>二十一.中小企业声明函</w:t>
      </w:r>
      <w:bookmarkEnd w:id="85"/>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86" w:name="OLE_LINK5"/>
      <w:bookmarkStart w:id="87" w:name="OLE_LINK2"/>
      <w:r>
        <w:rPr>
          <w:rFonts w:hint="eastAsia" w:ascii="宋体" w:hAnsi="宋体" w:cs="宋体"/>
          <w:color w:val="auto"/>
          <w:kern w:val="0"/>
          <w:sz w:val="24"/>
          <w:szCs w:val="24"/>
        </w:rPr>
        <w:t>______（请填写：中型、小型、微型）企业</w:t>
      </w:r>
      <w:bookmarkEnd w:id="86"/>
      <w:bookmarkEnd w:id="87"/>
      <w:r>
        <w:rPr>
          <w:rFonts w:hint="eastAsia" w:ascii="宋体" w:hAnsi="宋体" w:cs="宋体"/>
          <w:color w:val="auto"/>
          <w:kern w:val="0"/>
          <w:sz w:val="24"/>
          <w:szCs w:val="24"/>
        </w:rPr>
        <w:t>。即，本公司同时满足以下条件：</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bookmarkStart w:id="88" w:name="_Toc5281_WPSOffice_Level1"/>
      <w:r>
        <w:rPr>
          <w:rFonts w:hint="eastAsia" w:ascii="宋体" w:hAnsi="宋体" w:cs="宋体"/>
          <w:color w:val="auto"/>
          <w:kern w:val="0"/>
          <w:sz w:val="24"/>
          <w:szCs w:val="24"/>
        </w:rPr>
        <w:t>企业名称（盖章）：</w:t>
      </w:r>
      <w:bookmarkEnd w:id="88"/>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说明：1.供应商不按要求填写、盖章的将不享受中小微企业有关政策。</w:t>
      </w:r>
    </w:p>
    <w:p>
      <w:pPr>
        <w:autoSpaceDE w:val="0"/>
        <w:autoSpaceDN w:val="0"/>
        <w:spacing w:line="360" w:lineRule="auto"/>
        <w:ind w:firstLine="720" w:firstLineChars="300"/>
        <w:rPr>
          <w:color w:val="auto"/>
          <w:sz w:val="24"/>
          <w:szCs w:val="24"/>
        </w:rPr>
      </w:pPr>
      <w:r>
        <w:rPr>
          <w:rFonts w:hint="eastAsia"/>
          <w:color w:val="auto"/>
          <w:sz w:val="24"/>
          <w:szCs w:val="24"/>
        </w:rPr>
        <w:t>2.本表后附“小微企业名录”（http://xwqy.gsxt.gov.cn）截图。</w:t>
      </w:r>
    </w:p>
    <w:p>
      <w:pPr>
        <w:autoSpaceDE w:val="0"/>
        <w:autoSpaceDN w:val="0"/>
        <w:spacing w:line="360" w:lineRule="auto"/>
        <w:rPr>
          <w:color w:val="auto"/>
          <w:sz w:val="24"/>
          <w:szCs w:val="24"/>
        </w:rPr>
      </w:pPr>
      <w:r>
        <w:rPr>
          <w:rFonts w:ascii="宋体" w:hAnsi="宋体" w:cs="宋体"/>
          <w:color w:val="auto"/>
          <w:kern w:val="0"/>
          <w:sz w:val="24"/>
          <w:szCs w:val="24"/>
        </w:rPr>
        <w:t xml:space="preserve">注：如供应商未按要求填写、签署和提供政府采购政策情况表、中小企业声明函和小微企业名录网站截图（三项内容缺一不可），评审委员会将有权认定该供应商不享受中小微企业有关政策。 </w:t>
      </w:r>
    </w:p>
    <w:p>
      <w:pPr>
        <w:autoSpaceDE w:val="0"/>
        <w:autoSpaceDN w:val="0"/>
        <w:spacing w:line="360" w:lineRule="auto"/>
        <w:rPr>
          <w:rFonts w:ascii="宋体" w:hAnsi="宋体" w:cs="宋体"/>
          <w:color w:val="auto"/>
          <w:kern w:val="0"/>
          <w:sz w:val="24"/>
          <w:szCs w:val="24"/>
        </w:rPr>
      </w:pPr>
    </w:p>
    <w:p>
      <w:pPr>
        <w:pStyle w:val="2"/>
        <w:rPr>
          <w:rFonts w:ascii="宋体" w:hAnsi="宋体" w:cs="宋体"/>
          <w:color w:val="auto"/>
          <w:kern w:val="0"/>
          <w:sz w:val="24"/>
          <w:szCs w:val="24"/>
        </w:rPr>
      </w:pPr>
    </w:p>
    <w:p>
      <w:pPr>
        <w:pStyle w:val="2"/>
        <w:rPr>
          <w:rFonts w:ascii="宋体" w:hAnsi="宋体" w:cs="宋体"/>
          <w:color w:val="auto"/>
          <w:kern w:val="0"/>
          <w:sz w:val="24"/>
          <w:szCs w:val="24"/>
        </w:rPr>
      </w:pPr>
    </w:p>
    <w:p>
      <w:pPr>
        <w:pStyle w:val="2"/>
        <w:rPr>
          <w:rFonts w:ascii="宋体" w:hAnsi="宋体" w:cs="宋体"/>
          <w:color w:val="auto"/>
          <w:kern w:val="0"/>
          <w:sz w:val="24"/>
          <w:szCs w:val="24"/>
        </w:rPr>
      </w:pPr>
    </w:p>
    <w:p>
      <w:pPr>
        <w:pStyle w:val="2"/>
        <w:rPr>
          <w:rFonts w:ascii="宋体" w:hAnsi="宋体" w:cs="宋体"/>
          <w:color w:val="auto"/>
          <w:kern w:val="0"/>
          <w:sz w:val="24"/>
          <w:szCs w:val="24"/>
        </w:rPr>
      </w:pPr>
    </w:p>
    <w:p>
      <w:pPr>
        <w:spacing w:line="588" w:lineRule="exact"/>
        <w:ind w:firstLine="2760" w:firstLineChars="1150"/>
        <w:rPr>
          <w:rFonts w:ascii="宋体" w:hAnsi="宋体" w:cs="宋体"/>
          <w:color w:val="auto"/>
          <w:kern w:val="0"/>
          <w:sz w:val="24"/>
          <w:szCs w:val="24"/>
        </w:rPr>
      </w:pPr>
      <w:r>
        <w:rPr>
          <w:rFonts w:hint="eastAsia" w:ascii="宋体" w:hAnsi="宋体" w:cs="宋体"/>
          <w:color w:val="auto"/>
          <w:kern w:val="0"/>
          <w:sz w:val="24"/>
          <w:szCs w:val="24"/>
        </w:rPr>
        <w:t>二十二.残疾人福利性单位声明函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color w:val="auto"/>
          <w:sz w:val="24"/>
        </w:rPr>
        <w:t>说明：供应商不按要求填写、盖章的将不享受残疾人企业有关政策。</w:t>
      </w:r>
    </w:p>
    <w:p>
      <w:pPr>
        <w:tabs>
          <w:tab w:val="left" w:pos="4860"/>
        </w:tabs>
        <w:spacing w:line="588" w:lineRule="exact"/>
        <w:ind w:right="1560" w:firstLine="480" w:firstLineChars="200"/>
        <w:jc w:val="center"/>
        <w:rPr>
          <w:rFonts w:ascii="宋体" w:hAnsi="宋体" w:cs="宋体"/>
          <w:color w:val="auto"/>
          <w:kern w:val="0"/>
          <w:sz w:val="24"/>
          <w:szCs w:val="24"/>
        </w:rPr>
      </w:pPr>
      <w:bookmarkStart w:id="89" w:name="_Toc9515_WPSOffice_Level1"/>
      <w:r>
        <w:rPr>
          <w:rFonts w:hint="eastAsia" w:ascii="宋体" w:hAnsi="宋体" w:cs="宋体"/>
          <w:color w:val="auto"/>
          <w:kern w:val="0"/>
          <w:sz w:val="24"/>
          <w:szCs w:val="24"/>
        </w:rPr>
        <w:t>单位名称（盖章）：</w:t>
      </w:r>
      <w:bookmarkEnd w:id="89"/>
    </w:p>
    <w:p>
      <w:pPr>
        <w:tabs>
          <w:tab w:val="left" w:pos="4860"/>
        </w:tabs>
        <w:spacing w:line="588" w:lineRule="exact"/>
        <w:ind w:right="1560" w:firstLine="480" w:firstLineChars="200"/>
        <w:jc w:val="center"/>
        <w:rPr>
          <w:rFonts w:ascii="宋体" w:hAnsi="宋体" w:cs="宋体"/>
          <w:color w:val="auto"/>
          <w:kern w:val="0"/>
          <w:sz w:val="24"/>
          <w:szCs w:val="24"/>
        </w:rPr>
      </w:pPr>
      <w:bookmarkStart w:id="90" w:name="_Toc17210_WPSOffice_Level1"/>
      <w:r>
        <w:rPr>
          <w:rFonts w:hint="eastAsia" w:ascii="宋体" w:hAnsi="宋体" w:cs="宋体"/>
          <w:color w:val="auto"/>
          <w:kern w:val="0"/>
          <w:sz w:val="24"/>
          <w:szCs w:val="24"/>
        </w:rPr>
        <w:t>日  期：</w:t>
      </w:r>
      <w:bookmarkEnd w:id="90"/>
    </w:p>
    <w:p>
      <w:pPr>
        <w:autoSpaceDE w:val="0"/>
        <w:autoSpaceDN w:val="0"/>
        <w:spacing w:line="360" w:lineRule="auto"/>
        <w:ind w:firstLine="480" w:firstLineChars="200"/>
        <w:rPr>
          <w:rFonts w:ascii="宋体" w:hAnsi="宋体" w:cs="宋体"/>
          <w:b/>
          <w:color w:val="auto"/>
          <w:kern w:val="0"/>
          <w:sz w:val="24"/>
          <w:szCs w:val="24"/>
        </w:rPr>
      </w:pPr>
      <w:r>
        <w:rPr>
          <w:color w:val="auto"/>
          <w:sz w:val="24"/>
        </w:rPr>
        <w:br w:type="page"/>
      </w:r>
    </w:p>
    <w:p>
      <w:pPr>
        <w:autoSpaceDE w:val="0"/>
        <w:autoSpaceDN w:val="0"/>
        <w:spacing w:line="360" w:lineRule="auto"/>
        <w:ind w:left="3120" w:hanging="3120" w:hangingChars="1300"/>
        <w:rPr>
          <w:rFonts w:ascii="宋体" w:hAnsi="宋体"/>
          <w:b/>
          <w:color w:val="auto"/>
          <w:sz w:val="24"/>
          <w:szCs w:val="24"/>
          <w:lang w:val="zh-CN"/>
        </w:rPr>
      </w:pPr>
      <w:r>
        <w:rPr>
          <w:rFonts w:ascii="宋体" w:hAnsi="宋体"/>
          <w:bCs/>
          <w:color w:val="auto"/>
          <w:kern w:val="0"/>
          <w:sz w:val="24"/>
          <w:szCs w:val="24"/>
          <w:lang w:val="zh-CN"/>
        </w:rPr>
        <w:br w:type="textWrapping"/>
      </w:r>
      <w:r>
        <w:rPr>
          <w:rFonts w:hint="eastAsia" w:ascii="宋体" w:hAnsi="宋体"/>
          <w:bCs/>
          <w:color w:val="auto"/>
          <w:kern w:val="0"/>
          <w:sz w:val="24"/>
          <w:szCs w:val="24"/>
          <w:lang w:val="zh-CN"/>
        </w:rPr>
        <w:t>二十三</w:t>
      </w:r>
      <w:r>
        <w:rPr>
          <w:rFonts w:hint="eastAsia" w:ascii="宋体" w:hAnsi="宋体"/>
          <w:bCs/>
          <w:color w:val="auto"/>
          <w:kern w:val="0"/>
          <w:sz w:val="24"/>
          <w:szCs w:val="24"/>
        </w:rPr>
        <w:t>.</w:t>
      </w:r>
      <w:r>
        <w:rPr>
          <w:rFonts w:hint="eastAsia" w:ascii="宋体" w:hAnsi="宋体"/>
          <w:b/>
          <w:color w:val="auto"/>
          <w:sz w:val="24"/>
          <w:szCs w:val="24"/>
        </w:rPr>
        <w:t>各类</w:t>
      </w:r>
      <w:r>
        <w:rPr>
          <w:rFonts w:hint="eastAsia" w:ascii="宋体" w:hAnsi="宋体"/>
          <w:b/>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1.招标文件要求提供的其他资料。</w:t>
      </w:r>
    </w:p>
    <w:p>
      <w:pPr>
        <w:spacing w:line="360" w:lineRule="auto"/>
        <w:rPr>
          <w:rFonts w:ascii="宋体" w:hAnsi="宋体"/>
          <w:color w:val="auto"/>
          <w:sz w:val="24"/>
          <w:szCs w:val="24"/>
        </w:rPr>
      </w:pPr>
      <w:r>
        <w:rPr>
          <w:rFonts w:hint="eastAsia" w:ascii="宋体" w:hAnsi="宋体"/>
          <w:color w:val="auto"/>
          <w:sz w:val="24"/>
          <w:szCs w:val="24"/>
        </w:rPr>
        <w:t>2.投标人认为需提供的其他资料。</w:t>
      </w:r>
    </w:p>
    <w:p>
      <w:pPr>
        <w:pStyle w:val="4"/>
        <w:keepNext w:val="0"/>
        <w:keepLines w:val="0"/>
        <w:spacing w:line="360" w:lineRule="auto"/>
        <w:ind w:firstLine="2650" w:firstLineChars="1100"/>
        <w:rPr>
          <w:rFonts w:ascii="宋体" w:hAnsi="宋体" w:eastAsia="宋体"/>
          <w:bCs w:val="0"/>
          <w:color w:val="auto"/>
          <w:kern w:val="2"/>
          <w:sz w:val="24"/>
          <w:szCs w:val="24"/>
          <w:lang w:val="en-US"/>
        </w:rPr>
      </w:pPr>
      <w:r>
        <w:rPr>
          <w:rFonts w:ascii="宋体" w:hAnsi="宋体" w:eastAsia="宋体"/>
          <w:bCs w:val="0"/>
          <w:color w:val="auto"/>
          <w:kern w:val="2"/>
          <w:sz w:val="24"/>
          <w:szCs w:val="24"/>
          <w:lang w:val="en-US"/>
        </w:rPr>
        <w:br w:type="page"/>
      </w:r>
    </w:p>
    <w:p>
      <w:pPr>
        <w:spacing w:line="360" w:lineRule="auto"/>
        <w:ind w:firstLine="4216" w:firstLineChars="1750"/>
        <w:outlineLvl w:val="0"/>
        <w:rPr>
          <w:rFonts w:ascii="宋体" w:hAnsi="宋体"/>
          <w:b/>
          <w:color w:val="auto"/>
          <w:sz w:val="24"/>
          <w:szCs w:val="24"/>
          <w:lang w:val="zh-CN"/>
        </w:rPr>
      </w:pPr>
      <w:bookmarkStart w:id="91" w:name="_Toc497408664"/>
      <w:r>
        <w:rPr>
          <w:rFonts w:hint="eastAsia" w:ascii="宋体" w:hAnsi="宋体"/>
          <w:b/>
          <w:color w:val="auto"/>
          <w:sz w:val="24"/>
          <w:szCs w:val="24"/>
          <w:lang w:val="zh-CN"/>
        </w:rPr>
        <w:t>温馨提示</w:t>
      </w:r>
      <w:bookmarkEnd w:id="91"/>
    </w:p>
    <w:p>
      <w:pPr>
        <w:spacing w:line="360" w:lineRule="auto"/>
        <w:rPr>
          <w:rFonts w:ascii="宋体" w:hAnsi="宋体"/>
          <w:b/>
          <w:color w:val="auto"/>
          <w:sz w:val="24"/>
          <w:szCs w:val="24"/>
          <w:lang w:val="zh-CN"/>
        </w:rPr>
      </w:pPr>
      <w:r>
        <w:rPr>
          <w:rFonts w:hint="eastAsia" w:ascii="宋体" w:hAnsi="宋体"/>
          <w:b/>
          <w:color w:val="auto"/>
          <w:sz w:val="24"/>
          <w:szCs w:val="24"/>
          <w:lang w:val="zh-CN"/>
        </w:rPr>
        <w:t>各潜在投标人: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br w:type="textWrapping"/>
      </w:r>
      <w:r>
        <w:rPr>
          <w:rFonts w:hint="eastAsia" w:ascii="宋体" w:hAnsi="宋体"/>
          <w:color w:val="auto"/>
          <w:sz w:val="24"/>
          <w:szCs w:val="24"/>
        </w:rPr>
        <w:t>  请在编制投标文件前请认真阅读并理解招标文件。现就容易导致废标或无效投标的条款特别提示如下：</w:t>
      </w:r>
      <w:r>
        <w:rPr>
          <w:rFonts w:hint="eastAsia" w:ascii="宋体" w:hAnsi="宋体"/>
          <w:color w:val="auto"/>
          <w:sz w:val="24"/>
          <w:szCs w:val="24"/>
        </w:rPr>
        <w:br w:type="textWrapping"/>
      </w:r>
      <w:r>
        <w:rPr>
          <w:rFonts w:hint="eastAsia" w:ascii="宋体" w:hAnsi="宋体"/>
          <w:color w:val="auto"/>
          <w:sz w:val="24"/>
          <w:szCs w:val="24"/>
        </w:rPr>
        <w:t>1.及时查看投标项目的相关信息公告，如谈判公告、变更公告、废标公告等。</w:t>
      </w:r>
      <w:r>
        <w:rPr>
          <w:rFonts w:hint="eastAsia" w:ascii="宋体" w:hAnsi="宋体"/>
          <w:color w:val="auto"/>
          <w:sz w:val="24"/>
          <w:szCs w:val="24"/>
        </w:rPr>
        <w:br w:type="textWrapping"/>
      </w:r>
      <w:r>
        <w:rPr>
          <w:rFonts w:hint="eastAsia" w:ascii="宋体" w:hAnsi="宋体"/>
          <w:color w:val="auto"/>
          <w:sz w:val="24"/>
          <w:szCs w:val="24"/>
        </w:rPr>
        <w:t>2.认真填写报名信息，在递交响应文件截止时间前核对保证金缴纳情况，若报名成功、保证金缴纳之后，如保证金状态仍显示“未缴纳”，请及时与我单位联系。</w:t>
      </w:r>
      <w:r>
        <w:rPr>
          <w:rFonts w:hint="eastAsia" w:ascii="宋体" w:hAnsi="宋体"/>
          <w:color w:val="auto"/>
          <w:sz w:val="24"/>
          <w:szCs w:val="24"/>
        </w:rPr>
        <w:br w:type="textWrapping"/>
      </w:r>
      <w:r>
        <w:rPr>
          <w:rFonts w:hint="eastAsia" w:ascii="宋体" w:hAnsi="宋体"/>
          <w:color w:val="auto"/>
          <w:sz w:val="24"/>
          <w:szCs w:val="24"/>
        </w:rPr>
        <w:t>3. 注意响应文件的密封、装订及签署、盖章，如项目分包，响应文件务必分包、分别编制。</w:t>
      </w:r>
      <w:r>
        <w:rPr>
          <w:rFonts w:hint="eastAsia" w:ascii="宋体" w:hAnsi="宋体"/>
          <w:color w:val="auto"/>
          <w:sz w:val="24"/>
          <w:szCs w:val="24"/>
        </w:rPr>
        <w:br w:type="textWrapping"/>
      </w:r>
      <w:r>
        <w:rPr>
          <w:rFonts w:hint="eastAsia" w:ascii="宋体" w:hAnsi="宋体"/>
          <w:color w:val="auto"/>
          <w:sz w:val="24"/>
          <w:szCs w:val="24"/>
        </w:rPr>
        <w:t>4. 注意《开标一览表》应单独密封、单独递交一份，用于唱标之用。</w:t>
      </w:r>
      <w:r>
        <w:rPr>
          <w:rFonts w:hint="eastAsia" w:ascii="宋体" w:hAnsi="宋体"/>
          <w:color w:val="auto"/>
          <w:sz w:val="24"/>
          <w:szCs w:val="24"/>
        </w:rPr>
        <w:br w:type="textWrapping"/>
      </w:r>
      <w:r>
        <w:rPr>
          <w:rFonts w:hint="eastAsia" w:ascii="宋体" w:hAnsi="宋体"/>
          <w:color w:val="auto"/>
          <w:sz w:val="24"/>
          <w:szCs w:val="24"/>
        </w:rPr>
        <w:t>5. 注意招标文件中相关证明材料的完整性及有效期限。</w:t>
      </w:r>
      <w:r>
        <w:rPr>
          <w:rFonts w:hint="eastAsia" w:ascii="宋体" w:hAnsi="宋体"/>
          <w:color w:val="auto"/>
          <w:sz w:val="24"/>
          <w:szCs w:val="24"/>
        </w:rPr>
        <w:br w:type="textWrapping"/>
      </w:r>
    </w:p>
    <w:p>
      <w:pPr>
        <w:spacing w:line="360" w:lineRule="auto"/>
        <w:ind w:firstLine="480" w:firstLineChars="200"/>
        <w:rPr>
          <w:rFonts w:ascii="宋体" w:hAnsi="宋体"/>
          <w:color w:val="auto"/>
          <w:sz w:val="24"/>
          <w:szCs w:val="24"/>
        </w:rPr>
      </w:pPr>
    </w:p>
    <w:p>
      <w:pPr>
        <w:spacing w:line="360" w:lineRule="auto"/>
        <w:ind w:firstLine="480" w:firstLineChars="200"/>
        <w:rPr>
          <w:rFonts w:ascii="宋体" w:hAnsi="宋体"/>
          <w:color w:val="auto"/>
          <w:sz w:val="24"/>
          <w:szCs w:val="24"/>
        </w:rPr>
      </w:pPr>
      <w:r>
        <w:rPr>
          <w:rFonts w:hint="eastAsia" w:ascii="宋体" w:hAnsi="宋体"/>
          <w:color w:val="auto"/>
          <w:sz w:val="24"/>
          <w:szCs w:val="24"/>
        </w:rPr>
        <w:t>请各供应商严格遵守《中华人民共和国政府采购法》及其条例，如出现违法、违规行为，将承担响应法律责任。</w:t>
      </w:r>
    </w:p>
    <w:p>
      <w:pPr>
        <w:ind w:firstLine="480" w:firstLineChars="200"/>
        <w:rPr>
          <w:color w:val="auto"/>
          <w:sz w:val="24"/>
          <w:szCs w:val="24"/>
        </w:rPr>
      </w:pPr>
    </w:p>
    <w:sectPr>
      <w:headerReference r:id="rId3" w:type="default"/>
      <w:footerReference r:id="rId4" w:type="default"/>
      <w:pgSz w:w="11906" w:h="16838"/>
      <w:pgMar w:top="737" w:right="859" w:bottom="568" w:left="124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serif">
    <w:altName w:val="Courier New"/>
    <w:panose1 w:val="00000000000000000000"/>
    <w:charset w:val="00"/>
    <w:family w:val="auto"/>
    <w:pitch w:val="default"/>
    <w:sig w:usb0="00000000" w:usb1="00000000" w:usb2="00000000" w:usb3="00000000" w:csb0="00000000" w:csb1="00000000"/>
  </w:font>
  <w:font w:name=".......">
    <w:altName w:val="宋体"/>
    <w:panose1 w:val="00000000000000000000"/>
    <w:charset w:val="86"/>
    <w:family w:val="decorative"/>
    <w:pitch w:val="default"/>
    <w:sig w:usb0="00000000" w:usb1="00000000" w:usb2="00000010" w:usb3="00000000" w:csb0="00040000" w:csb1="00000000"/>
  </w:font>
  <w:font w:name="MS Mincho">
    <w:altName w:val="Yu Gothic UI"/>
    <w:panose1 w:val="02020609040205080304"/>
    <w:charset w:val="80"/>
    <w:family w:val="decorative"/>
    <w:pitch w:val="default"/>
    <w:sig w:usb0="00000000" w:usb1="00000000" w:usb2="00000012" w:usb3="00000000" w:csb0="4002009F" w:csb1="DFD7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1jjZ2rgBAABeAwAADgAAAAAAAAABACAAAAAeAQAAZHJzL2Uyb0RvYy54bWxQSwUGAAAAAAYABgBZ&#10;AQAASAU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673B4"/>
    <w:multiLevelType w:val="singleLevel"/>
    <w:tmpl w:val="B59673B4"/>
    <w:lvl w:ilvl="0" w:tentative="0">
      <w:start w:val="6"/>
      <w:numFmt w:val="chineseCounting"/>
      <w:lvlText w:val="%1."/>
      <w:lvlJc w:val="left"/>
      <w:pPr>
        <w:tabs>
          <w:tab w:val="left" w:pos="312"/>
        </w:tabs>
      </w:pPr>
      <w:rPr>
        <w:rFonts w:hint="eastAsia"/>
      </w:r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2">
    <w:nsid w:val="024B386A"/>
    <w:multiLevelType w:val="singleLevel"/>
    <w:tmpl w:val="024B386A"/>
    <w:lvl w:ilvl="0" w:tentative="0">
      <w:start w:val="2"/>
      <w:numFmt w:val="chineseCounting"/>
      <w:lvlText w:val="%1."/>
      <w:lvlJc w:val="left"/>
      <w:pPr>
        <w:tabs>
          <w:tab w:val="left" w:pos="312"/>
        </w:tabs>
      </w:pPr>
      <w:rPr>
        <w:rFonts w:hint="eastAsia"/>
      </w:rPr>
    </w:lvl>
  </w:abstractNum>
  <w:abstractNum w:abstractNumId="3">
    <w:nsid w:val="4BB00165"/>
    <w:multiLevelType w:val="singleLevel"/>
    <w:tmpl w:val="4BB00165"/>
    <w:lvl w:ilvl="0" w:tentative="0">
      <w:start w:val="1"/>
      <w:numFmt w:val="decimal"/>
      <w:lvlText w:val="%1."/>
      <w:lvlJc w:val="left"/>
      <w:pPr>
        <w:tabs>
          <w:tab w:val="left" w:pos="312"/>
        </w:tabs>
      </w:pPr>
    </w:lvl>
  </w:abstractNum>
  <w:abstractNum w:abstractNumId="4">
    <w:nsid w:val="68D50AB6"/>
    <w:multiLevelType w:val="singleLevel"/>
    <w:tmpl w:val="68D50AB6"/>
    <w:lvl w:ilvl="0" w:tentative="0">
      <w:start w:val="2"/>
      <w:numFmt w:val="decimal"/>
      <w:lvlText w:val="%1."/>
      <w:lvlJc w:val="left"/>
      <w:pPr>
        <w:tabs>
          <w:tab w:val="left" w:pos="312"/>
        </w:tabs>
      </w:pPr>
    </w:lvl>
  </w:abstractNum>
  <w:abstractNum w:abstractNumId="5">
    <w:nsid w:val="7980351E"/>
    <w:multiLevelType w:val="singleLevel"/>
    <w:tmpl w:val="7980351E"/>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3FF"/>
    <w:rsid w:val="000118CA"/>
    <w:rsid w:val="000124B7"/>
    <w:rsid w:val="00012B1A"/>
    <w:rsid w:val="00013700"/>
    <w:rsid w:val="00013EE9"/>
    <w:rsid w:val="00014551"/>
    <w:rsid w:val="000145E6"/>
    <w:rsid w:val="00015A02"/>
    <w:rsid w:val="00015B44"/>
    <w:rsid w:val="0002047A"/>
    <w:rsid w:val="00021C1D"/>
    <w:rsid w:val="00022CDF"/>
    <w:rsid w:val="00024348"/>
    <w:rsid w:val="00024DB1"/>
    <w:rsid w:val="00024ED8"/>
    <w:rsid w:val="000275BE"/>
    <w:rsid w:val="00030745"/>
    <w:rsid w:val="000314D8"/>
    <w:rsid w:val="0003153C"/>
    <w:rsid w:val="00031B28"/>
    <w:rsid w:val="00032217"/>
    <w:rsid w:val="00032340"/>
    <w:rsid w:val="00032A72"/>
    <w:rsid w:val="00032C24"/>
    <w:rsid w:val="00035706"/>
    <w:rsid w:val="00035A5E"/>
    <w:rsid w:val="00035AB0"/>
    <w:rsid w:val="00037F22"/>
    <w:rsid w:val="00040454"/>
    <w:rsid w:val="0004101F"/>
    <w:rsid w:val="0004149A"/>
    <w:rsid w:val="00042767"/>
    <w:rsid w:val="00043181"/>
    <w:rsid w:val="00044995"/>
    <w:rsid w:val="00044B0F"/>
    <w:rsid w:val="00045EED"/>
    <w:rsid w:val="00050CF2"/>
    <w:rsid w:val="000521B0"/>
    <w:rsid w:val="0005338C"/>
    <w:rsid w:val="00053EEA"/>
    <w:rsid w:val="000545A4"/>
    <w:rsid w:val="0005504F"/>
    <w:rsid w:val="000554EC"/>
    <w:rsid w:val="000558A5"/>
    <w:rsid w:val="00060357"/>
    <w:rsid w:val="00060549"/>
    <w:rsid w:val="000629DD"/>
    <w:rsid w:val="00063168"/>
    <w:rsid w:val="0006359A"/>
    <w:rsid w:val="0006450E"/>
    <w:rsid w:val="00066424"/>
    <w:rsid w:val="0006757D"/>
    <w:rsid w:val="0007009D"/>
    <w:rsid w:val="00071A78"/>
    <w:rsid w:val="000750A4"/>
    <w:rsid w:val="00076D91"/>
    <w:rsid w:val="00076FC5"/>
    <w:rsid w:val="00077EEC"/>
    <w:rsid w:val="000811D4"/>
    <w:rsid w:val="00082D2C"/>
    <w:rsid w:val="00083CDD"/>
    <w:rsid w:val="000849FA"/>
    <w:rsid w:val="00086144"/>
    <w:rsid w:val="00086FD7"/>
    <w:rsid w:val="00087037"/>
    <w:rsid w:val="00087150"/>
    <w:rsid w:val="000872B3"/>
    <w:rsid w:val="000876AB"/>
    <w:rsid w:val="0008773A"/>
    <w:rsid w:val="000900FC"/>
    <w:rsid w:val="00090186"/>
    <w:rsid w:val="00090F39"/>
    <w:rsid w:val="000912B9"/>
    <w:rsid w:val="00091899"/>
    <w:rsid w:val="00091D78"/>
    <w:rsid w:val="0009262E"/>
    <w:rsid w:val="000944D7"/>
    <w:rsid w:val="00096C31"/>
    <w:rsid w:val="000971DF"/>
    <w:rsid w:val="0009744B"/>
    <w:rsid w:val="000978CF"/>
    <w:rsid w:val="000A0964"/>
    <w:rsid w:val="000A0F1D"/>
    <w:rsid w:val="000A132A"/>
    <w:rsid w:val="000A1428"/>
    <w:rsid w:val="000A3313"/>
    <w:rsid w:val="000A5AB3"/>
    <w:rsid w:val="000A5D9D"/>
    <w:rsid w:val="000A5E27"/>
    <w:rsid w:val="000A6071"/>
    <w:rsid w:val="000A70E7"/>
    <w:rsid w:val="000B12C3"/>
    <w:rsid w:val="000B13C3"/>
    <w:rsid w:val="000B18EE"/>
    <w:rsid w:val="000B1DD4"/>
    <w:rsid w:val="000B2D92"/>
    <w:rsid w:val="000B4A48"/>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1A0"/>
    <w:rsid w:val="000E15BD"/>
    <w:rsid w:val="000E550B"/>
    <w:rsid w:val="000E6319"/>
    <w:rsid w:val="000F082D"/>
    <w:rsid w:val="000F2095"/>
    <w:rsid w:val="000F333E"/>
    <w:rsid w:val="000F422E"/>
    <w:rsid w:val="000F6D0F"/>
    <w:rsid w:val="001016F2"/>
    <w:rsid w:val="001034FE"/>
    <w:rsid w:val="00103E0C"/>
    <w:rsid w:val="00104530"/>
    <w:rsid w:val="00104FC7"/>
    <w:rsid w:val="001058CE"/>
    <w:rsid w:val="001066A5"/>
    <w:rsid w:val="00107117"/>
    <w:rsid w:val="0010792E"/>
    <w:rsid w:val="001117FE"/>
    <w:rsid w:val="00111FA5"/>
    <w:rsid w:val="00112216"/>
    <w:rsid w:val="00117038"/>
    <w:rsid w:val="00117F1A"/>
    <w:rsid w:val="001206D2"/>
    <w:rsid w:val="00120A63"/>
    <w:rsid w:val="001246B6"/>
    <w:rsid w:val="001247E2"/>
    <w:rsid w:val="00126BAB"/>
    <w:rsid w:val="00126F44"/>
    <w:rsid w:val="00127E2F"/>
    <w:rsid w:val="00130354"/>
    <w:rsid w:val="00131466"/>
    <w:rsid w:val="001317D3"/>
    <w:rsid w:val="00131C8E"/>
    <w:rsid w:val="00132AC3"/>
    <w:rsid w:val="00134349"/>
    <w:rsid w:val="00134C21"/>
    <w:rsid w:val="00141011"/>
    <w:rsid w:val="00141BDE"/>
    <w:rsid w:val="00141C9F"/>
    <w:rsid w:val="00142373"/>
    <w:rsid w:val="00143F98"/>
    <w:rsid w:val="0014459C"/>
    <w:rsid w:val="0014473E"/>
    <w:rsid w:val="00144890"/>
    <w:rsid w:val="00146DBB"/>
    <w:rsid w:val="00147FB1"/>
    <w:rsid w:val="00154774"/>
    <w:rsid w:val="00155388"/>
    <w:rsid w:val="001556DC"/>
    <w:rsid w:val="00156723"/>
    <w:rsid w:val="00156A89"/>
    <w:rsid w:val="00157C1F"/>
    <w:rsid w:val="00160171"/>
    <w:rsid w:val="001608B8"/>
    <w:rsid w:val="00160C4C"/>
    <w:rsid w:val="00161123"/>
    <w:rsid w:val="001611B8"/>
    <w:rsid w:val="00161331"/>
    <w:rsid w:val="00161CC8"/>
    <w:rsid w:val="00162517"/>
    <w:rsid w:val="00162B44"/>
    <w:rsid w:val="00163066"/>
    <w:rsid w:val="00164422"/>
    <w:rsid w:val="00165EB9"/>
    <w:rsid w:val="00166437"/>
    <w:rsid w:val="001669A9"/>
    <w:rsid w:val="00170333"/>
    <w:rsid w:val="00171AA8"/>
    <w:rsid w:val="00172324"/>
    <w:rsid w:val="0017407D"/>
    <w:rsid w:val="001740A1"/>
    <w:rsid w:val="00176355"/>
    <w:rsid w:val="00177528"/>
    <w:rsid w:val="00180D8E"/>
    <w:rsid w:val="0018304A"/>
    <w:rsid w:val="00183D05"/>
    <w:rsid w:val="00183F40"/>
    <w:rsid w:val="00184959"/>
    <w:rsid w:val="001864F6"/>
    <w:rsid w:val="00186AFA"/>
    <w:rsid w:val="00186F74"/>
    <w:rsid w:val="0019050E"/>
    <w:rsid w:val="00190BA3"/>
    <w:rsid w:val="00194A15"/>
    <w:rsid w:val="001955F0"/>
    <w:rsid w:val="00196723"/>
    <w:rsid w:val="001A0A5F"/>
    <w:rsid w:val="001A0B92"/>
    <w:rsid w:val="001A109A"/>
    <w:rsid w:val="001A22C1"/>
    <w:rsid w:val="001A2C58"/>
    <w:rsid w:val="001A3186"/>
    <w:rsid w:val="001A3257"/>
    <w:rsid w:val="001A45B1"/>
    <w:rsid w:val="001A4ADD"/>
    <w:rsid w:val="001A5910"/>
    <w:rsid w:val="001A6850"/>
    <w:rsid w:val="001A69EF"/>
    <w:rsid w:val="001B0AF0"/>
    <w:rsid w:val="001B2547"/>
    <w:rsid w:val="001B631D"/>
    <w:rsid w:val="001B6ADC"/>
    <w:rsid w:val="001C3B66"/>
    <w:rsid w:val="001C43C5"/>
    <w:rsid w:val="001C4C6E"/>
    <w:rsid w:val="001C620B"/>
    <w:rsid w:val="001C66C5"/>
    <w:rsid w:val="001C7085"/>
    <w:rsid w:val="001C780A"/>
    <w:rsid w:val="001C7988"/>
    <w:rsid w:val="001D1224"/>
    <w:rsid w:val="001D128E"/>
    <w:rsid w:val="001D2C5F"/>
    <w:rsid w:val="001D44B5"/>
    <w:rsid w:val="001D470F"/>
    <w:rsid w:val="001D5189"/>
    <w:rsid w:val="001D6E88"/>
    <w:rsid w:val="001D7C35"/>
    <w:rsid w:val="001E0168"/>
    <w:rsid w:val="001E146C"/>
    <w:rsid w:val="001E2F8C"/>
    <w:rsid w:val="001E31F1"/>
    <w:rsid w:val="001E3E6E"/>
    <w:rsid w:val="001E5E32"/>
    <w:rsid w:val="001E6B2B"/>
    <w:rsid w:val="001E6CD4"/>
    <w:rsid w:val="001F0A48"/>
    <w:rsid w:val="001F3324"/>
    <w:rsid w:val="001F3678"/>
    <w:rsid w:val="001F38E6"/>
    <w:rsid w:val="001F3A9C"/>
    <w:rsid w:val="001F3CF4"/>
    <w:rsid w:val="001F4180"/>
    <w:rsid w:val="001F46E4"/>
    <w:rsid w:val="001F50D5"/>
    <w:rsid w:val="001F679A"/>
    <w:rsid w:val="00200C69"/>
    <w:rsid w:val="002024F8"/>
    <w:rsid w:val="00203A97"/>
    <w:rsid w:val="00203C57"/>
    <w:rsid w:val="00204D35"/>
    <w:rsid w:val="00205A07"/>
    <w:rsid w:val="0020642F"/>
    <w:rsid w:val="002109C1"/>
    <w:rsid w:val="002134E7"/>
    <w:rsid w:val="00213704"/>
    <w:rsid w:val="002138E0"/>
    <w:rsid w:val="002141C4"/>
    <w:rsid w:val="0021704B"/>
    <w:rsid w:val="00217885"/>
    <w:rsid w:val="00217F36"/>
    <w:rsid w:val="00220C2D"/>
    <w:rsid w:val="002216D2"/>
    <w:rsid w:val="00226917"/>
    <w:rsid w:val="00230673"/>
    <w:rsid w:val="002309C7"/>
    <w:rsid w:val="002349C2"/>
    <w:rsid w:val="002359DD"/>
    <w:rsid w:val="00236BF6"/>
    <w:rsid w:val="00236FE0"/>
    <w:rsid w:val="00244B47"/>
    <w:rsid w:val="00246923"/>
    <w:rsid w:val="00247981"/>
    <w:rsid w:val="00247D3C"/>
    <w:rsid w:val="002520A9"/>
    <w:rsid w:val="002523A4"/>
    <w:rsid w:val="00252A85"/>
    <w:rsid w:val="00252E75"/>
    <w:rsid w:val="002531F7"/>
    <w:rsid w:val="00255689"/>
    <w:rsid w:val="002618B9"/>
    <w:rsid w:val="00262286"/>
    <w:rsid w:val="00263625"/>
    <w:rsid w:val="002641F1"/>
    <w:rsid w:val="00264652"/>
    <w:rsid w:val="00266743"/>
    <w:rsid w:val="00267255"/>
    <w:rsid w:val="00267398"/>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8C1"/>
    <w:rsid w:val="00291B09"/>
    <w:rsid w:val="0029262E"/>
    <w:rsid w:val="00292903"/>
    <w:rsid w:val="00293351"/>
    <w:rsid w:val="00294C80"/>
    <w:rsid w:val="002954F1"/>
    <w:rsid w:val="002964EF"/>
    <w:rsid w:val="00297645"/>
    <w:rsid w:val="002A033D"/>
    <w:rsid w:val="002A1A17"/>
    <w:rsid w:val="002A1E57"/>
    <w:rsid w:val="002A2AE6"/>
    <w:rsid w:val="002A3538"/>
    <w:rsid w:val="002A3C54"/>
    <w:rsid w:val="002A5FA3"/>
    <w:rsid w:val="002B07D2"/>
    <w:rsid w:val="002B086D"/>
    <w:rsid w:val="002B46C2"/>
    <w:rsid w:val="002B5D5C"/>
    <w:rsid w:val="002B6555"/>
    <w:rsid w:val="002B6ACB"/>
    <w:rsid w:val="002C0752"/>
    <w:rsid w:val="002C1118"/>
    <w:rsid w:val="002C179F"/>
    <w:rsid w:val="002C1AB6"/>
    <w:rsid w:val="002C2205"/>
    <w:rsid w:val="002C2541"/>
    <w:rsid w:val="002C435A"/>
    <w:rsid w:val="002C5CB7"/>
    <w:rsid w:val="002C5EBE"/>
    <w:rsid w:val="002C7284"/>
    <w:rsid w:val="002C72B3"/>
    <w:rsid w:val="002D0554"/>
    <w:rsid w:val="002D274A"/>
    <w:rsid w:val="002D2ABF"/>
    <w:rsid w:val="002D3A79"/>
    <w:rsid w:val="002D3B81"/>
    <w:rsid w:val="002D4130"/>
    <w:rsid w:val="002D5A33"/>
    <w:rsid w:val="002D5B54"/>
    <w:rsid w:val="002D6C15"/>
    <w:rsid w:val="002E38DF"/>
    <w:rsid w:val="002E3D50"/>
    <w:rsid w:val="002E3E11"/>
    <w:rsid w:val="002E5B7A"/>
    <w:rsid w:val="002E5EAB"/>
    <w:rsid w:val="002E5EDD"/>
    <w:rsid w:val="002E6E32"/>
    <w:rsid w:val="002E7061"/>
    <w:rsid w:val="002E7AC9"/>
    <w:rsid w:val="002F14A2"/>
    <w:rsid w:val="002F4D72"/>
    <w:rsid w:val="002F4ECE"/>
    <w:rsid w:val="002F5648"/>
    <w:rsid w:val="002F67CA"/>
    <w:rsid w:val="002F692A"/>
    <w:rsid w:val="002F6982"/>
    <w:rsid w:val="002F6F9E"/>
    <w:rsid w:val="002F7057"/>
    <w:rsid w:val="002F7ADE"/>
    <w:rsid w:val="002F7E87"/>
    <w:rsid w:val="003028A1"/>
    <w:rsid w:val="003036D1"/>
    <w:rsid w:val="00305086"/>
    <w:rsid w:val="0030511C"/>
    <w:rsid w:val="00305EF3"/>
    <w:rsid w:val="00307C6D"/>
    <w:rsid w:val="00310C5D"/>
    <w:rsid w:val="0031146F"/>
    <w:rsid w:val="00311AE7"/>
    <w:rsid w:val="00314A18"/>
    <w:rsid w:val="00316020"/>
    <w:rsid w:val="003166E1"/>
    <w:rsid w:val="003175DD"/>
    <w:rsid w:val="00317A60"/>
    <w:rsid w:val="00322C67"/>
    <w:rsid w:val="0032346F"/>
    <w:rsid w:val="00323558"/>
    <w:rsid w:val="00323C62"/>
    <w:rsid w:val="00323C96"/>
    <w:rsid w:val="003252DF"/>
    <w:rsid w:val="00325CB0"/>
    <w:rsid w:val="00330FBC"/>
    <w:rsid w:val="00331EF4"/>
    <w:rsid w:val="00333B25"/>
    <w:rsid w:val="0033413C"/>
    <w:rsid w:val="00336A04"/>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724C"/>
    <w:rsid w:val="003574C5"/>
    <w:rsid w:val="003579F6"/>
    <w:rsid w:val="00357BB1"/>
    <w:rsid w:val="003601BC"/>
    <w:rsid w:val="003605DA"/>
    <w:rsid w:val="00360873"/>
    <w:rsid w:val="00361AFB"/>
    <w:rsid w:val="00361E13"/>
    <w:rsid w:val="003620B6"/>
    <w:rsid w:val="00363A25"/>
    <w:rsid w:val="00363FBE"/>
    <w:rsid w:val="0036589D"/>
    <w:rsid w:val="00366FF7"/>
    <w:rsid w:val="00367583"/>
    <w:rsid w:val="00372CDD"/>
    <w:rsid w:val="003731A1"/>
    <w:rsid w:val="00374800"/>
    <w:rsid w:val="0037604A"/>
    <w:rsid w:val="00377304"/>
    <w:rsid w:val="0037796F"/>
    <w:rsid w:val="00380C3A"/>
    <w:rsid w:val="00381798"/>
    <w:rsid w:val="003850C1"/>
    <w:rsid w:val="0038661D"/>
    <w:rsid w:val="00386C41"/>
    <w:rsid w:val="00386F2E"/>
    <w:rsid w:val="00387C9F"/>
    <w:rsid w:val="00387FA9"/>
    <w:rsid w:val="00391691"/>
    <w:rsid w:val="003916E8"/>
    <w:rsid w:val="00393525"/>
    <w:rsid w:val="003936EB"/>
    <w:rsid w:val="00394709"/>
    <w:rsid w:val="0039586D"/>
    <w:rsid w:val="003962BB"/>
    <w:rsid w:val="00396A34"/>
    <w:rsid w:val="0039754F"/>
    <w:rsid w:val="003978E6"/>
    <w:rsid w:val="003A0038"/>
    <w:rsid w:val="003A0546"/>
    <w:rsid w:val="003A059F"/>
    <w:rsid w:val="003A1A29"/>
    <w:rsid w:val="003A231E"/>
    <w:rsid w:val="003A585F"/>
    <w:rsid w:val="003A60CE"/>
    <w:rsid w:val="003A7970"/>
    <w:rsid w:val="003A7FDC"/>
    <w:rsid w:val="003B10BB"/>
    <w:rsid w:val="003B5C3F"/>
    <w:rsid w:val="003C3793"/>
    <w:rsid w:val="003C3AA0"/>
    <w:rsid w:val="003C4C9F"/>
    <w:rsid w:val="003C57A9"/>
    <w:rsid w:val="003C62D0"/>
    <w:rsid w:val="003C719D"/>
    <w:rsid w:val="003C76CA"/>
    <w:rsid w:val="003C7FD5"/>
    <w:rsid w:val="003D0441"/>
    <w:rsid w:val="003D175D"/>
    <w:rsid w:val="003D1807"/>
    <w:rsid w:val="003D198A"/>
    <w:rsid w:val="003D2E54"/>
    <w:rsid w:val="003D305F"/>
    <w:rsid w:val="003D3113"/>
    <w:rsid w:val="003D3190"/>
    <w:rsid w:val="003D5B83"/>
    <w:rsid w:val="003D5DD9"/>
    <w:rsid w:val="003D7194"/>
    <w:rsid w:val="003D73A0"/>
    <w:rsid w:val="003D7A71"/>
    <w:rsid w:val="003E15C6"/>
    <w:rsid w:val="003E17C8"/>
    <w:rsid w:val="003E1EF4"/>
    <w:rsid w:val="003E303A"/>
    <w:rsid w:val="003E309A"/>
    <w:rsid w:val="003E3399"/>
    <w:rsid w:val="003E4611"/>
    <w:rsid w:val="003E4CA7"/>
    <w:rsid w:val="003E53CD"/>
    <w:rsid w:val="003E5AA2"/>
    <w:rsid w:val="003E61FE"/>
    <w:rsid w:val="003E64D8"/>
    <w:rsid w:val="003E6776"/>
    <w:rsid w:val="003E6B63"/>
    <w:rsid w:val="003E6B9C"/>
    <w:rsid w:val="003E7A65"/>
    <w:rsid w:val="003F14D6"/>
    <w:rsid w:val="003F1BED"/>
    <w:rsid w:val="003F1EF2"/>
    <w:rsid w:val="003F43DD"/>
    <w:rsid w:val="003F50D4"/>
    <w:rsid w:val="003F6293"/>
    <w:rsid w:val="0040058C"/>
    <w:rsid w:val="004010B1"/>
    <w:rsid w:val="0040126E"/>
    <w:rsid w:val="004023C0"/>
    <w:rsid w:val="004031B3"/>
    <w:rsid w:val="00404152"/>
    <w:rsid w:val="004057BE"/>
    <w:rsid w:val="0040583E"/>
    <w:rsid w:val="00406E46"/>
    <w:rsid w:val="0040743F"/>
    <w:rsid w:val="00410D25"/>
    <w:rsid w:val="004115E2"/>
    <w:rsid w:val="004117C1"/>
    <w:rsid w:val="00411877"/>
    <w:rsid w:val="004127CA"/>
    <w:rsid w:val="0041401F"/>
    <w:rsid w:val="00414241"/>
    <w:rsid w:val="00414662"/>
    <w:rsid w:val="00414951"/>
    <w:rsid w:val="00417D84"/>
    <w:rsid w:val="00420B58"/>
    <w:rsid w:val="004223BB"/>
    <w:rsid w:val="004230C7"/>
    <w:rsid w:val="00424EEE"/>
    <w:rsid w:val="00425C9D"/>
    <w:rsid w:val="00425DB7"/>
    <w:rsid w:val="004261E5"/>
    <w:rsid w:val="00426A2D"/>
    <w:rsid w:val="00430265"/>
    <w:rsid w:val="00431475"/>
    <w:rsid w:val="00431F27"/>
    <w:rsid w:val="00432AB7"/>
    <w:rsid w:val="00432F40"/>
    <w:rsid w:val="00433011"/>
    <w:rsid w:val="0043358B"/>
    <w:rsid w:val="00433F24"/>
    <w:rsid w:val="004352F5"/>
    <w:rsid w:val="00435D31"/>
    <w:rsid w:val="00435D5B"/>
    <w:rsid w:val="004374BE"/>
    <w:rsid w:val="00437EBB"/>
    <w:rsid w:val="00440E33"/>
    <w:rsid w:val="00441C6D"/>
    <w:rsid w:val="00441CA8"/>
    <w:rsid w:val="004431F8"/>
    <w:rsid w:val="00443247"/>
    <w:rsid w:val="00445BD5"/>
    <w:rsid w:val="00446442"/>
    <w:rsid w:val="00447B3B"/>
    <w:rsid w:val="004506C1"/>
    <w:rsid w:val="00452F0B"/>
    <w:rsid w:val="00456764"/>
    <w:rsid w:val="004575B1"/>
    <w:rsid w:val="00460597"/>
    <w:rsid w:val="00461B30"/>
    <w:rsid w:val="00461F1F"/>
    <w:rsid w:val="0046293D"/>
    <w:rsid w:val="00462F09"/>
    <w:rsid w:val="0046308F"/>
    <w:rsid w:val="0046660B"/>
    <w:rsid w:val="00473067"/>
    <w:rsid w:val="004755C8"/>
    <w:rsid w:val="004771B0"/>
    <w:rsid w:val="00477785"/>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1D01"/>
    <w:rsid w:val="004A2179"/>
    <w:rsid w:val="004A32E9"/>
    <w:rsid w:val="004A4FE5"/>
    <w:rsid w:val="004A6F4D"/>
    <w:rsid w:val="004A72C1"/>
    <w:rsid w:val="004A7401"/>
    <w:rsid w:val="004B1CE0"/>
    <w:rsid w:val="004B22B2"/>
    <w:rsid w:val="004B24B8"/>
    <w:rsid w:val="004B565B"/>
    <w:rsid w:val="004B6B8B"/>
    <w:rsid w:val="004B6BB2"/>
    <w:rsid w:val="004B778B"/>
    <w:rsid w:val="004C28F6"/>
    <w:rsid w:val="004C336B"/>
    <w:rsid w:val="004C362D"/>
    <w:rsid w:val="004C3BB3"/>
    <w:rsid w:val="004C4646"/>
    <w:rsid w:val="004C4D09"/>
    <w:rsid w:val="004C4F15"/>
    <w:rsid w:val="004C5491"/>
    <w:rsid w:val="004C6544"/>
    <w:rsid w:val="004C658C"/>
    <w:rsid w:val="004C6E43"/>
    <w:rsid w:val="004C759F"/>
    <w:rsid w:val="004C76F9"/>
    <w:rsid w:val="004D011C"/>
    <w:rsid w:val="004D01A9"/>
    <w:rsid w:val="004D1A36"/>
    <w:rsid w:val="004D2924"/>
    <w:rsid w:val="004D2C93"/>
    <w:rsid w:val="004D3DB3"/>
    <w:rsid w:val="004D4108"/>
    <w:rsid w:val="004D57AF"/>
    <w:rsid w:val="004D5A44"/>
    <w:rsid w:val="004D6359"/>
    <w:rsid w:val="004D6BA9"/>
    <w:rsid w:val="004E0D0E"/>
    <w:rsid w:val="004E19E1"/>
    <w:rsid w:val="004E2969"/>
    <w:rsid w:val="004E3286"/>
    <w:rsid w:val="004E37D1"/>
    <w:rsid w:val="004E3BE0"/>
    <w:rsid w:val="004E76EE"/>
    <w:rsid w:val="004F0876"/>
    <w:rsid w:val="004F1447"/>
    <w:rsid w:val="004F557A"/>
    <w:rsid w:val="004F6C17"/>
    <w:rsid w:val="00500436"/>
    <w:rsid w:val="00500D74"/>
    <w:rsid w:val="0050117C"/>
    <w:rsid w:val="005049B8"/>
    <w:rsid w:val="005055B0"/>
    <w:rsid w:val="00505F13"/>
    <w:rsid w:val="005064F0"/>
    <w:rsid w:val="005072E1"/>
    <w:rsid w:val="005109E3"/>
    <w:rsid w:val="00510CE7"/>
    <w:rsid w:val="00511267"/>
    <w:rsid w:val="00511393"/>
    <w:rsid w:val="00511FC6"/>
    <w:rsid w:val="00512AB4"/>
    <w:rsid w:val="005136B0"/>
    <w:rsid w:val="00517A47"/>
    <w:rsid w:val="00517F41"/>
    <w:rsid w:val="0052071C"/>
    <w:rsid w:val="00520A53"/>
    <w:rsid w:val="005214EC"/>
    <w:rsid w:val="00522ECD"/>
    <w:rsid w:val="0052378F"/>
    <w:rsid w:val="00523827"/>
    <w:rsid w:val="00523A19"/>
    <w:rsid w:val="00523AF4"/>
    <w:rsid w:val="00525B1D"/>
    <w:rsid w:val="0052688C"/>
    <w:rsid w:val="005269E2"/>
    <w:rsid w:val="005275B1"/>
    <w:rsid w:val="00531038"/>
    <w:rsid w:val="005323F9"/>
    <w:rsid w:val="00532CEC"/>
    <w:rsid w:val="00533B6B"/>
    <w:rsid w:val="005351EA"/>
    <w:rsid w:val="0053557A"/>
    <w:rsid w:val="00535BD1"/>
    <w:rsid w:val="00536ACA"/>
    <w:rsid w:val="00536CC2"/>
    <w:rsid w:val="0053771F"/>
    <w:rsid w:val="00540583"/>
    <w:rsid w:val="00541140"/>
    <w:rsid w:val="00542408"/>
    <w:rsid w:val="00542B4D"/>
    <w:rsid w:val="00543E8B"/>
    <w:rsid w:val="005441BD"/>
    <w:rsid w:val="00544F6C"/>
    <w:rsid w:val="00545552"/>
    <w:rsid w:val="005458F4"/>
    <w:rsid w:val="0054733A"/>
    <w:rsid w:val="005473E0"/>
    <w:rsid w:val="0054782C"/>
    <w:rsid w:val="00552AF4"/>
    <w:rsid w:val="00552C27"/>
    <w:rsid w:val="005543A6"/>
    <w:rsid w:val="00556CAB"/>
    <w:rsid w:val="00557212"/>
    <w:rsid w:val="005611C9"/>
    <w:rsid w:val="005655C3"/>
    <w:rsid w:val="0056676F"/>
    <w:rsid w:val="00566FEB"/>
    <w:rsid w:val="00570A65"/>
    <w:rsid w:val="00571223"/>
    <w:rsid w:val="00573272"/>
    <w:rsid w:val="00575115"/>
    <w:rsid w:val="0057590C"/>
    <w:rsid w:val="00575C09"/>
    <w:rsid w:val="005771EF"/>
    <w:rsid w:val="005777E0"/>
    <w:rsid w:val="00577D22"/>
    <w:rsid w:val="00582AEA"/>
    <w:rsid w:val="00584B37"/>
    <w:rsid w:val="00585EC9"/>
    <w:rsid w:val="00586746"/>
    <w:rsid w:val="00587438"/>
    <w:rsid w:val="00587E08"/>
    <w:rsid w:val="00587FA2"/>
    <w:rsid w:val="005937B4"/>
    <w:rsid w:val="00594ECC"/>
    <w:rsid w:val="00595358"/>
    <w:rsid w:val="00595AC9"/>
    <w:rsid w:val="0059662E"/>
    <w:rsid w:val="00596711"/>
    <w:rsid w:val="0059698F"/>
    <w:rsid w:val="00597732"/>
    <w:rsid w:val="005A2315"/>
    <w:rsid w:val="005A30D6"/>
    <w:rsid w:val="005A5BF4"/>
    <w:rsid w:val="005A63BF"/>
    <w:rsid w:val="005A75B9"/>
    <w:rsid w:val="005B1126"/>
    <w:rsid w:val="005B275E"/>
    <w:rsid w:val="005B37A7"/>
    <w:rsid w:val="005B37DC"/>
    <w:rsid w:val="005B51C7"/>
    <w:rsid w:val="005B72CA"/>
    <w:rsid w:val="005C02F2"/>
    <w:rsid w:val="005C0AAB"/>
    <w:rsid w:val="005C1201"/>
    <w:rsid w:val="005C24D1"/>
    <w:rsid w:val="005C46EF"/>
    <w:rsid w:val="005C70A7"/>
    <w:rsid w:val="005C7788"/>
    <w:rsid w:val="005D1575"/>
    <w:rsid w:val="005D18E5"/>
    <w:rsid w:val="005D1D8C"/>
    <w:rsid w:val="005D20F2"/>
    <w:rsid w:val="005D3ABE"/>
    <w:rsid w:val="005D450D"/>
    <w:rsid w:val="005D49D6"/>
    <w:rsid w:val="005D704D"/>
    <w:rsid w:val="005D7B0E"/>
    <w:rsid w:val="005E0C34"/>
    <w:rsid w:val="005E1997"/>
    <w:rsid w:val="005E1B00"/>
    <w:rsid w:val="005E1E22"/>
    <w:rsid w:val="005E28DB"/>
    <w:rsid w:val="005E31CC"/>
    <w:rsid w:val="005E3EC1"/>
    <w:rsid w:val="005E4F1E"/>
    <w:rsid w:val="005E78F1"/>
    <w:rsid w:val="005E7B84"/>
    <w:rsid w:val="005F01D8"/>
    <w:rsid w:val="005F04AE"/>
    <w:rsid w:val="005F0F7B"/>
    <w:rsid w:val="005F160F"/>
    <w:rsid w:val="005F1AFD"/>
    <w:rsid w:val="005F221E"/>
    <w:rsid w:val="005F26AF"/>
    <w:rsid w:val="005F461F"/>
    <w:rsid w:val="005F4751"/>
    <w:rsid w:val="005F5051"/>
    <w:rsid w:val="005F5965"/>
    <w:rsid w:val="005F62DF"/>
    <w:rsid w:val="005F639F"/>
    <w:rsid w:val="005F6C1D"/>
    <w:rsid w:val="005F6C97"/>
    <w:rsid w:val="005F72B5"/>
    <w:rsid w:val="005F78AD"/>
    <w:rsid w:val="006016BC"/>
    <w:rsid w:val="006017C6"/>
    <w:rsid w:val="00601AED"/>
    <w:rsid w:val="006033B9"/>
    <w:rsid w:val="00603405"/>
    <w:rsid w:val="006065B0"/>
    <w:rsid w:val="00612AF3"/>
    <w:rsid w:val="0061413C"/>
    <w:rsid w:val="0061529A"/>
    <w:rsid w:val="00615A8D"/>
    <w:rsid w:val="00616936"/>
    <w:rsid w:val="00616A52"/>
    <w:rsid w:val="00620B2E"/>
    <w:rsid w:val="006215ED"/>
    <w:rsid w:val="00622B32"/>
    <w:rsid w:val="00624825"/>
    <w:rsid w:val="00624BAD"/>
    <w:rsid w:val="00625939"/>
    <w:rsid w:val="00630ACF"/>
    <w:rsid w:val="00633632"/>
    <w:rsid w:val="00633B5A"/>
    <w:rsid w:val="00633E76"/>
    <w:rsid w:val="006365F7"/>
    <w:rsid w:val="00636AD9"/>
    <w:rsid w:val="006370B3"/>
    <w:rsid w:val="00637785"/>
    <w:rsid w:val="0063778D"/>
    <w:rsid w:val="00637903"/>
    <w:rsid w:val="00637E93"/>
    <w:rsid w:val="00637F2E"/>
    <w:rsid w:val="0064004E"/>
    <w:rsid w:val="00640153"/>
    <w:rsid w:val="00641217"/>
    <w:rsid w:val="00645BC8"/>
    <w:rsid w:val="0064782F"/>
    <w:rsid w:val="00650FB0"/>
    <w:rsid w:val="0065161B"/>
    <w:rsid w:val="006530CE"/>
    <w:rsid w:val="0065564E"/>
    <w:rsid w:val="006571E8"/>
    <w:rsid w:val="0065733B"/>
    <w:rsid w:val="0065785E"/>
    <w:rsid w:val="00657D10"/>
    <w:rsid w:val="00657D1A"/>
    <w:rsid w:val="00660E62"/>
    <w:rsid w:val="00661376"/>
    <w:rsid w:val="006615E5"/>
    <w:rsid w:val="006633B2"/>
    <w:rsid w:val="00663483"/>
    <w:rsid w:val="00663B6F"/>
    <w:rsid w:val="00663DD3"/>
    <w:rsid w:val="0066477C"/>
    <w:rsid w:val="006660BC"/>
    <w:rsid w:val="00666A3E"/>
    <w:rsid w:val="0066731C"/>
    <w:rsid w:val="00667A34"/>
    <w:rsid w:val="00670FAA"/>
    <w:rsid w:val="006715BC"/>
    <w:rsid w:val="006718B0"/>
    <w:rsid w:val="006719FE"/>
    <w:rsid w:val="00672AAE"/>
    <w:rsid w:val="00673B57"/>
    <w:rsid w:val="00673EB8"/>
    <w:rsid w:val="0067518D"/>
    <w:rsid w:val="0067569A"/>
    <w:rsid w:val="00677D97"/>
    <w:rsid w:val="006800F3"/>
    <w:rsid w:val="006820F4"/>
    <w:rsid w:val="00682733"/>
    <w:rsid w:val="00682E13"/>
    <w:rsid w:val="00683D35"/>
    <w:rsid w:val="00685872"/>
    <w:rsid w:val="006869C4"/>
    <w:rsid w:val="0068719C"/>
    <w:rsid w:val="00687D18"/>
    <w:rsid w:val="0069019B"/>
    <w:rsid w:val="00693055"/>
    <w:rsid w:val="00694C2F"/>
    <w:rsid w:val="00695A7B"/>
    <w:rsid w:val="006974C8"/>
    <w:rsid w:val="00697B24"/>
    <w:rsid w:val="00697EA9"/>
    <w:rsid w:val="006A06EE"/>
    <w:rsid w:val="006A25CE"/>
    <w:rsid w:val="006A3281"/>
    <w:rsid w:val="006A4BA2"/>
    <w:rsid w:val="006A4C44"/>
    <w:rsid w:val="006A5E8F"/>
    <w:rsid w:val="006A7FBB"/>
    <w:rsid w:val="006B0E96"/>
    <w:rsid w:val="006B1ADB"/>
    <w:rsid w:val="006B3C71"/>
    <w:rsid w:val="006B4252"/>
    <w:rsid w:val="006B4351"/>
    <w:rsid w:val="006B4E7F"/>
    <w:rsid w:val="006C0054"/>
    <w:rsid w:val="006C0F1D"/>
    <w:rsid w:val="006C227A"/>
    <w:rsid w:val="006C344B"/>
    <w:rsid w:val="006C3D88"/>
    <w:rsid w:val="006C480E"/>
    <w:rsid w:val="006C4BAC"/>
    <w:rsid w:val="006C5F7E"/>
    <w:rsid w:val="006D2414"/>
    <w:rsid w:val="006D30BE"/>
    <w:rsid w:val="006D3B95"/>
    <w:rsid w:val="006D567A"/>
    <w:rsid w:val="006D58D2"/>
    <w:rsid w:val="006D5943"/>
    <w:rsid w:val="006E010B"/>
    <w:rsid w:val="006E0731"/>
    <w:rsid w:val="006E16A8"/>
    <w:rsid w:val="006E382F"/>
    <w:rsid w:val="006E4C81"/>
    <w:rsid w:val="006E5568"/>
    <w:rsid w:val="006E6765"/>
    <w:rsid w:val="006E6953"/>
    <w:rsid w:val="006E6A9A"/>
    <w:rsid w:val="006F1AAC"/>
    <w:rsid w:val="006F2097"/>
    <w:rsid w:val="006F344D"/>
    <w:rsid w:val="006F5052"/>
    <w:rsid w:val="006F562A"/>
    <w:rsid w:val="006F5776"/>
    <w:rsid w:val="006F63B1"/>
    <w:rsid w:val="006F7539"/>
    <w:rsid w:val="00700CD9"/>
    <w:rsid w:val="00701BA9"/>
    <w:rsid w:val="00701EF4"/>
    <w:rsid w:val="007020B5"/>
    <w:rsid w:val="007029E6"/>
    <w:rsid w:val="00702AB7"/>
    <w:rsid w:val="007055F3"/>
    <w:rsid w:val="0070594F"/>
    <w:rsid w:val="007062DD"/>
    <w:rsid w:val="00706DA6"/>
    <w:rsid w:val="007071EB"/>
    <w:rsid w:val="00710463"/>
    <w:rsid w:val="00710837"/>
    <w:rsid w:val="00710B71"/>
    <w:rsid w:val="00710CD0"/>
    <w:rsid w:val="00712542"/>
    <w:rsid w:val="00713350"/>
    <w:rsid w:val="00714859"/>
    <w:rsid w:val="00714F92"/>
    <w:rsid w:val="00715342"/>
    <w:rsid w:val="00717031"/>
    <w:rsid w:val="00717427"/>
    <w:rsid w:val="00717FD3"/>
    <w:rsid w:val="00720C41"/>
    <w:rsid w:val="007216A2"/>
    <w:rsid w:val="00722D1E"/>
    <w:rsid w:val="00722FBA"/>
    <w:rsid w:val="0072313F"/>
    <w:rsid w:val="00724F07"/>
    <w:rsid w:val="0072792D"/>
    <w:rsid w:val="00727F36"/>
    <w:rsid w:val="0073012D"/>
    <w:rsid w:val="0073141B"/>
    <w:rsid w:val="00732742"/>
    <w:rsid w:val="007334EA"/>
    <w:rsid w:val="0073370C"/>
    <w:rsid w:val="00733A3B"/>
    <w:rsid w:val="0073646B"/>
    <w:rsid w:val="00744479"/>
    <w:rsid w:val="007444F9"/>
    <w:rsid w:val="00744FCC"/>
    <w:rsid w:val="00745F2B"/>
    <w:rsid w:val="0075190A"/>
    <w:rsid w:val="00752753"/>
    <w:rsid w:val="00752854"/>
    <w:rsid w:val="00753180"/>
    <w:rsid w:val="00754E54"/>
    <w:rsid w:val="00755E9B"/>
    <w:rsid w:val="00756C4C"/>
    <w:rsid w:val="00757B26"/>
    <w:rsid w:val="00757E08"/>
    <w:rsid w:val="0076499A"/>
    <w:rsid w:val="00765CFE"/>
    <w:rsid w:val="007667D9"/>
    <w:rsid w:val="00766ADF"/>
    <w:rsid w:val="007676EF"/>
    <w:rsid w:val="00772676"/>
    <w:rsid w:val="007726C3"/>
    <w:rsid w:val="00773D9F"/>
    <w:rsid w:val="00774571"/>
    <w:rsid w:val="00775AFA"/>
    <w:rsid w:val="00780E8E"/>
    <w:rsid w:val="007812FA"/>
    <w:rsid w:val="0078207C"/>
    <w:rsid w:val="00782676"/>
    <w:rsid w:val="007830D7"/>
    <w:rsid w:val="0078343D"/>
    <w:rsid w:val="0078499E"/>
    <w:rsid w:val="0078591F"/>
    <w:rsid w:val="0078611D"/>
    <w:rsid w:val="0078682A"/>
    <w:rsid w:val="00786E67"/>
    <w:rsid w:val="00786E7B"/>
    <w:rsid w:val="00787879"/>
    <w:rsid w:val="007916AE"/>
    <w:rsid w:val="00791867"/>
    <w:rsid w:val="007919E4"/>
    <w:rsid w:val="0079216A"/>
    <w:rsid w:val="00792D96"/>
    <w:rsid w:val="00793656"/>
    <w:rsid w:val="00794032"/>
    <w:rsid w:val="00795189"/>
    <w:rsid w:val="007969EF"/>
    <w:rsid w:val="007A0737"/>
    <w:rsid w:val="007A1182"/>
    <w:rsid w:val="007A2D7B"/>
    <w:rsid w:val="007A341B"/>
    <w:rsid w:val="007A5951"/>
    <w:rsid w:val="007A5D58"/>
    <w:rsid w:val="007A6419"/>
    <w:rsid w:val="007A7335"/>
    <w:rsid w:val="007B06C6"/>
    <w:rsid w:val="007B16B5"/>
    <w:rsid w:val="007B4372"/>
    <w:rsid w:val="007B50EE"/>
    <w:rsid w:val="007B79A8"/>
    <w:rsid w:val="007B7CCC"/>
    <w:rsid w:val="007C0FB3"/>
    <w:rsid w:val="007C17CD"/>
    <w:rsid w:val="007C17F7"/>
    <w:rsid w:val="007C1873"/>
    <w:rsid w:val="007C1EAB"/>
    <w:rsid w:val="007C2177"/>
    <w:rsid w:val="007C32E8"/>
    <w:rsid w:val="007C3E96"/>
    <w:rsid w:val="007C4738"/>
    <w:rsid w:val="007C4F12"/>
    <w:rsid w:val="007C6D29"/>
    <w:rsid w:val="007C6DE3"/>
    <w:rsid w:val="007C7D9A"/>
    <w:rsid w:val="007D01E2"/>
    <w:rsid w:val="007D0240"/>
    <w:rsid w:val="007D064F"/>
    <w:rsid w:val="007D06D2"/>
    <w:rsid w:val="007D06EA"/>
    <w:rsid w:val="007D16B3"/>
    <w:rsid w:val="007D1ACE"/>
    <w:rsid w:val="007D2830"/>
    <w:rsid w:val="007D2F8A"/>
    <w:rsid w:val="007D4AB8"/>
    <w:rsid w:val="007D4FF0"/>
    <w:rsid w:val="007D6050"/>
    <w:rsid w:val="007E07E3"/>
    <w:rsid w:val="007E1654"/>
    <w:rsid w:val="007E1922"/>
    <w:rsid w:val="007E4109"/>
    <w:rsid w:val="007E6083"/>
    <w:rsid w:val="007E6348"/>
    <w:rsid w:val="007E7A4B"/>
    <w:rsid w:val="007E7BC7"/>
    <w:rsid w:val="007E7F1E"/>
    <w:rsid w:val="007F0373"/>
    <w:rsid w:val="007F1C5F"/>
    <w:rsid w:val="007F1E2C"/>
    <w:rsid w:val="007F425A"/>
    <w:rsid w:val="007F4DDB"/>
    <w:rsid w:val="007F5F08"/>
    <w:rsid w:val="007F5FD5"/>
    <w:rsid w:val="007F6127"/>
    <w:rsid w:val="007F6812"/>
    <w:rsid w:val="007F7180"/>
    <w:rsid w:val="007F7A75"/>
    <w:rsid w:val="008004A1"/>
    <w:rsid w:val="00803208"/>
    <w:rsid w:val="00803E1F"/>
    <w:rsid w:val="00807358"/>
    <w:rsid w:val="00810769"/>
    <w:rsid w:val="00811AA4"/>
    <w:rsid w:val="0081336F"/>
    <w:rsid w:val="00814B5A"/>
    <w:rsid w:val="008151FE"/>
    <w:rsid w:val="008160B8"/>
    <w:rsid w:val="008175B3"/>
    <w:rsid w:val="008209C0"/>
    <w:rsid w:val="00821C3D"/>
    <w:rsid w:val="0082268F"/>
    <w:rsid w:val="00823108"/>
    <w:rsid w:val="008237E0"/>
    <w:rsid w:val="00823D48"/>
    <w:rsid w:val="008244AF"/>
    <w:rsid w:val="008257FB"/>
    <w:rsid w:val="00825BD6"/>
    <w:rsid w:val="00825E02"/>
    <w:rsid w:val="00825F3D"/>
    <w:rsid w:val="008261CD"/>
    <w:rsid w:val="00827211"/>
    <w:rsid w:val="00827C96"/>
    <w:rsid w:val="008314C9"/>
    <w:rsid w:val="00831F79"/>
    <w:rsid w:val="00833280"/>
    <w:rsid w:val="00833423"/>
    <w:rsid w:val="008342B6"/>
    <w:rsid w:val="0083503B"/>
    <w:rsid w:val="0083719D"/>
    <w:rsid w:val="008372F3"/>
    <w:rsid w:val="00837C3F"/>
    <w:rsid w:val="0084010F"/>
    <w:rsid w:val="00840E26"/>
    <w:rsid w:val="00841438"/>
    <w:rsid w:val="00841F9C"/>
    <w:rsid w:val="00842A8E"/>
    <w:rsid w:val="00844F0C"/>
    <w:rsid w:val="00845391"/>
    <w:rsid w:val="00846755"/>
    <w:rsid w:val="00847B72"/>
    <w:rsid w:val="00852B2F"/>
    <w:rsid w:val="00853159"/>
    <w:rsid w:val="00855499"/>
    <w:rsid w:val="0085576F"/>
    <w:rsid w:val="00855B61"/>
    <w:rsid w:val="00855CB5"/>
    <w:rsid w:val="00857D31"/>
    <w:rsid w:val="00860870"/>
    <w:rsid w:val="00861286"/>
    <w:rsid w:val="0086264D"/>
    <w:rsid w:val="00862957"/>
    <w:rsid w:val="00862DFA"/>
    <w:rsid w:val="00863D3F"/>
    <w:rsid w:val="008640A9"/>
    <w:rsid w:val="00864A68"/>
    <w:rsid w:val="0086561A"/>
    <w:rsid w:val="008658E4"/>
    <w:rsid w:val="00867A66"/>
    <w:rsid w:val="00867D40"/>
    <w:rsid w:val="00871360"/>
    <w:rsid w:val="008714CE"/>
    <w:rsid w:val="00872E1B"/>
    <w:rsid w:val="00872F54"/>
    <w:rsid w:val="00874F1E"/>
    <w:rsid w:val="00874F94"/>
    <w:rsid w:val="008759F2"/>
    <w:rsid w:val="00876D6E"/>
    <w:rsid w:val="0088080F"/>
    <w:rsid w:val="00881C7A"/>
    <w:rsid w:val="00881CC4"/>
    <w:rsid w:val="008820EB"/>
    <w:rsid w:val="0088241D"/>
    <w:rsid w:val="0088395D"/>
    <w:rsid w:val="0088652E"/>
    <w:rsid w:val="00887695"/>
    <w:rsid w:val="00887B1A"/>
    <w:rsid w:val="00890105"/>
    <w:rsid w:val="008903D2"/>
    <w:rsid w:val="008920CE"/>
    <w:rsid w:val="00894A26"/>
    <w:rsid w:val="00895BC9"/>
    <w:rsid w:val="008A090F"/>
    <w:rsid w:val="008A3F3D"/>
    <w:rsid w:val="008A4B18"/>
    <w:rsid w:val="008A5A50"/>
    <w:rsid w:val="008A6E0D"/>
    <w:rsid w:val="008B0C3A"/>
    <w:rsid w:val="008B1FDE"/>
    <w:rsid w:val="008B2560"/>
    <w:rsid w:val="008B4F77"/>
    <w:rsid w:val="008B58CB"/>
    <w:rsid w:val="008B6131"/>
    <w:rsid w:val="008B773A"/>
    <w:rsid w:val="008B7839"/>
    <w:rsid w:val="008B7C2B"/>
    <w:rsid w:val="008C069A"/>
    <w:rsid w:val="008C0BB8"/>
    <w:rsid w:val="008C141C"/>
    <w:rsid w:val="008C2460"/>
    <w:rsid w:val="008C45BE"/>
    <w:rsid w:val="008C61E1"/>
    <w:rsid w:val="008C7CCE"/>
    <w:rsid w:val="008C7EF5"/>
    <w:rsid w:val="008D03BD"/>
    <w:rsid w:val="008D0CE7"/>
    <w:rsid w:val="008D1CB0"/>
    <w:rsid w:val="008D4577"/>
    <w:rsid w:val="008D4B46"/>
    <w:rsid w:val="008D51C7"/>
    <w:rsid w:val="008D5898"/>
    <w:rsid w:val="008D6598"/>
    <w:rsid w:val="008D6D39"/>
    <w:rsid w:val="008D6E21"/>
    <w:rsid w:val="008D7A4A"/>
    <w:rsid w:val="008D7F22"/>
    <w:rsid w:val="008E1103"/>
    <w:rsid w:val="008E241D"/>
    <w:rsid w:val="008E3AA7"/>
    <w:rsid w:val="008E5FD0"/>
    <w:rsid w:val="008E61CA"/>
    <w:rsid w:val="008E64B5"/>
    <w:rsid w:val="008F0F1E"/>
    <w:rsid w:val="008F1E56"/>
    <w:rsid w:val="008F23DD"/>
    <w:rsid w:val="008F6418"/>
    <w:rsid w:val="008F66DE"/>
    <w:rsid w:val="008F7C65"/>
    <w:rsid w:val="00900237"/>
    <w:rsid w:val="00900CFB"/>
    <w:rsid w:val="00901376"/>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6B94"/>
    <w:rsid w:val="00917545"/>
    <w:rsid w:val="0091754C"/>
    <w:rsid w:val="009175DE"/>
    <w:rsid w:val="00920046"/>
    <w:rsid w:val="00920A46"/>
    <w:rsid w:val="009230AA"/>
    <w:rsid w:val="00923416"/>
    <w:rsid w:val="00924D6A"/>
    <w:rsid w:val="00925DCD"/>
    <w:rsid w:val="00925EC5"/>
    <w:rsid w:val="00927B96"/>
    <w:rsid w:val="009303B7"/>
    <w:rsid w:val="0093237F"/>
    <w:rsid w:val="00934288"/>
    <w:rsid w:val="009350BC"/>
    <w:rsid w:val="0093717B"/>
    <w:rsid w:val="0094004E"/>
    <w:rsid w:val="009403F5"/>
    <w:rsid w:val="00941223"/>
    <w:rsid w:val="00942C3B"/>
    <w:rsid w:val="00943FF4"/>
    <w:rsid w:val="00945EC2"/>
    <w:rsid w:val="009464E6"/>
    <w:rsid w:val="0095029C"/>
    <w:rsid w:val="00950A42"/>
    <w:rsid w:val="009510CA"/>
    <w:rsid w:val="00951292"/>
    <w:rsid w:val="00953BAA"/>
    <w:rsid w:val="00954B1F"/>
    <w:rsid w:val="00954CD1"/>
    <w:rsid w:val="00957224"/>
    <w:rsid w:val="00957FDA"/>
    <w:rsid w:val="00961077"/>
    <w:rsid w:val="00961FAA"/>
    <w:rsid w:val="00964157"/>
    <w:rsid w:val="00964614"/>
    <w:rsid w:val="009654D6"/>
    <w:rsid w:val="0097254D"/>
    <w:rsid w:val="00972E53"/>
    <w:rsid w:val="00974756"/>
    <w:rsid w:val="00974D6B"/>
    <w:rsid w:val="00975CFC"/>
    <w:rsid w:val="00977590"/>
    <w:rsid w:val="00977707"/>
    <w:rsid w:val="00977DF3"/>
    <w:rsid w:val="0098116C"/>
    <w:rsid w:val="009836C4"/>
    <w:rsid w:val="00983F9A"/>
    <w:rsid w:val="0098497D"/>
    <w:rsid w:val="009854E2"/>
    <w:rsid w:val="009865F5"/>
    <w:rsid w:val="00986A6C"/>
    <w:rsid w:val="00987282"/>
    <w:rsid w:val="00987331"/>
    <w:rsid w:val="009901DF"/>
    <w:rsid w:val="00991D87"/>
    <w:rsid w:val="009939F1"/>
    <w:rsid w:val="009943FA"/>
    <w:rsid w:val="00994493"/>
    <w:rsid w:val="00994A54"/>
    <w:rsid w:val="00996755"/>
    <w:rsid w:val="00997359"/>
    <w:rsid w:val="009978E5"/>
    <w:rsid w:val="009A0550"/>
    <w:rsid w:val="009A0BCB"/>
    <w:rsid w:val="009A33C6"/>
    <w:rsid w:val="009A53E3"/>
    <w:rsid w:val="009B1EBA"/>
    <w:rsid w:val="009C0BB1"/>
    <w:rsid w:val="009C1302"/>
    <w:rsid w:val="009C2842"/>
    <w:rsid w:val="009C2E57"/>
    <w:rsid w:val="009C401C"/>
    <w:rsid w:val="009C4254"/>
    <w:rsid w:val="009C7536"/>
    <w:rsid w:val="009D1A5A"/>
    <w:rsid w:val="009D2091"/>
    <w:rsid w:val="009D3425"/>
    <w:rsid w:val="009D37AC"/>
    <w:rsid w:val="009D3EA9"/>
    <w:rsid w:val="009D54CB"/>
    <w:rsid w:val="009D5926"/>
    <w:rsid w:val="009D64F7"/>
    <w:rsid w:val="009D799E"/>
    <w:rsid w:val="009E0628"/>
    <w:rsid w:val="009E1506"/>
    <w:rsid w:val="009E2B30"/>
    <w:rsid w:val="009E391F"/>
    <w:rsid w:val="009E47E8"/>
    <w:rsid w:val="009E4F61"/>
    <w:rsid w:val="009E55D8"/>
    <w:rsid w:val="009E563D"/>
    <w:rsid w:val="009E68E2"/>
    <w:rsid w:val="009E6BCD"/>
    <w:rsid w:val="009F074C"/>
    <w:rsid w:val="009F1323"/>
    <w:rsid w:val="009F204C"/>
    <w:rsid w:val="009F31F8"/>
    <w:rsid w:val="009F354C"/>
    <w:rsid w:val="009F3C9D"/>
    <w:rsid w:val="009F4F17"/>
    <w:rsid w:val="009F63E3"/>
    <w:rsid w:val="00A00403"/>
    <w:rsid w:val="00A00C65"/>
    <w:rsid w:val="00A031CD"/>
    <w:rsid w:val="00A03B8F"/>
    <w:rsid w:val="00A04AB7"/>
    <w:rsid w:val="00A04F9A"/>
    <w:rsid w:val="00A0595F"/>
    <w:rsid w:val="00A05DF3"/>
    <w:rsid w:val="00A07D1A"/>
    <w:rsid w:val="00A1009F"/>
    <w:rsid w:val="00A10757"/>
    <w:rsid w:val="00A10B3D"/>
    <w:rsid w:val="00A1212D"/>
    <w:rsid w:val="00A13C8B"/>
    <w:rsid w:val="00A153E9"/>
    <w:rsid w:val="00A177BC"/>
    <w:rsid w:val="00A17933"/>
    <w:rsid w:val="00A2176D"/>
    <w:rsid w:val="00A21819"/>
    <w:rsid w:val="00A22C5E"/>
    <w:rsid w:val="00A23968"/>
    <w:rsid w:val="00A2397A"/>
    <w:rsid w:val="00A25230"/>
    <w:rsid w:val="00A25967"/>
    <w:rsid w:val="00A277B8"/>
    <w:rsid w:val="00A27998"/>
    <w:rsid w:val="00A316FC"/>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524BA"/>
    <w:rsid w:val="00A52C14"/>
    <w:rsid w:val="00A52FB0"/>
    <w:rsid w:val="00A53A3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36C7"/>
    <w:rsid w:val="00A744A6"/>
    <w:rsid w:val="00A745FF"/>
    <w:rsid w:val="00A75A4D"/>
    <w:rsid w:val="00A770AD"/>
    <w:rsid w:val="00A847DE"/>
    <w:rsid w:val="00A84B75"/>
    <w:rsid w:val="00A8522A"/>
    <w:rsid w:val="00A85806"/>
    <w:rsid w:val="00A860A3"/>
    <w:rsid w:val="00A86DBE"/>
    <w:rsid w:val="00A8727C"/>
    <w:rsid w:val="00A8750F"/>
    <w:rsid w:val="00A90680"/>
    <w:rsid w:val="00A90976"/>
    <w:rsid w:val="00A90D02"/>
    <w:rsid w:val="00A93EE5"/>
    <w:rsid w:val="00A959D2"/>
    <w:rsid w:val="00A95C37"/>
    <w:rsid w:val="00A97F0E"/>
    <w:rsid w:val="00AA02D4"/>
    <w:rsid w:val="00AA1B71"/>
    <w:rsid w:val="00AA2404"/>
    <w:rsid w:val="00AA31B0"/>
    <w:rsid w:val="00AA4062"/>
    <w:rsid w:val="00AA56A4"/>
    <w:rsid w:val="00AB019D"/>
    <w:rsid w:val="00AB637F"/>
    <w:rsid w:val="00AB6FD5"/>
    <w:rsid w:val="00AC08EC"/>
    <w:rsid w:val="00AC1C33"/>
    <w:rsid w:val="00AC2B0A"/>
    <w:rsid w:val="00AC445C"/>
    <w:rsid w:val="00AC5CD4"/>
    <w:rsid w:val="00AC7611"/>
    <w:rsid w:val="00AD0D4D"/>
    <w:rsid w:val="00AD2B93"/>
    <w:rsid w:val="00AD3D67"/>
    <w:rsid w:val="00AD497A"/>
    <w:rsid w:val="00AD5BBB"/>
    <w:rsid w:val="00AD6104"/>
    <w:rsid w:val="00AD63F6"/>
    <w:rsid w:val="00AD7033"/>
    <w:rsid w:val="00AD7399"/>
    <w:rsid w:val="00AE4C28"/>
    <w:rsid w:val="00AE4E5E"/>
    <w:rsid w:val="00AE70D0"/>
    <w:rsid w:val="00AE731A"/>
    <w:rsid w:val="00AE7E10"/>
    <w:rsid w:val="00AE7FD2"/>
    <w:rsid w:val="00AF0EC5"/>
    <w:rsid w:val="00AF15E2"/>
    <w:rsid w:val="00AF1E0E"/>
    <w:rsid w:val="00AF23DE"/>
    <w:rsid w:val="00AF3A3E"/>
    <w:rsid w:val="00AF443A"/>
    <w:rsid w:val="00AF45AC"/>
    <w:rsid w:val="00AF594A"/>
    <w:rsid w:val="00AF5E5E"/>
    <w:rsid w:val="00AF6ADB"/>
    <w:rsid w:val="00AF6F5F"/>
    <w:rsid w:val="00B035D1"/>
    <w:rsid w:val="00B03A28"/>
    <w:rsid w:val="00B05232"/>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713A"/>
    <w:rsid w:val="00B27C5F"/>
    <w:rsid w:val="00B3111F"/>
    <w:rsid w:val="00B31F5D"/>
    <w:rsid w:val="00B32CDD"/>
    <w:rsid w:val="00B33034"/>
    <w:rsid w:val="00B33BD3"/>
    <w:rsid w:val="00B34FEA"/>
    <w:rsid w:val="00B36F82"/>
    <w:rsid w:val="00B401C4"/>
    <w:rsid w:val="00B402A9"/>
    <w:rsid w:val="00B41184"/>
    <w:rsid w:val="00B4234F"/>
    <w:rsid w:val="00B423FA"/>
    <w:rsid w:val="00B4279A"/>
    <w:rsid w:val="00B4289E"/>
    <w:rsid w:val="00B434A7"/>
    <w:rsid w:val="00B44434"/>
    <w:rsid w:val="00B44E7A"/>
    <w:rsid w:val="00B452D0"/>
    <w:rsid w:val="00B46FB3"/>
    <w:rsid w:val="00B51B8B"/>
    <w:rsid w:val="00B51D74"/>
    <w:rsid w:val="00B5229B"/>
    <w:rsid w:val="00B54ADE"/>
    <w:rsid w:val="00B55C34"/>
    <w:rsid w:val="00B56F75"/>
    <w:rsid w:val="00B57F03"/>
    <w:rsid w:val="00B60EE3"/>
    <w:rsid w:val="00B619EA"/>
    <w:rsid w:val="00B61A7F"/>
    <w:rsid w:val="00B63244"/>
    <w:rsid w:val="00B636AC"/>
    <w:rsid w:val="00B64C82"/>
    <w:rsid w:val="00B65A95"/>
    <w:rsid w:val="00B66062"/>
    <w:rsid w:val="00B66D42"/>
    <w:rsid w:val="00B66E41"/>
    <w:rsid w:val="00B712A6"/>
    <w:rsid w:val="00B71D12"/>
    <w:rsid w:val="00B721FD"/>
    <w:rsid w:val="00B7294E"/>
    <w:rsid w:val="00B72BAF"/>
    <w:rsid w:val="00B73AB7"/>
    <w:rsid w:val="00B74AEE"/>
    <w:rsid w:val="00B75348"/>
    <w:rsid w:val="00B7555F"/>
    <w:rsid w:val="00B762DB"/>
    <w:rsid w:val="00B76FD5"/>
    <w:rsid w:val="00B815FD"/>
    <w:rsid w:val="00B81725"/>
    <w:rsid w:val="00B82DAE"/>
    <w:rsid w:val="00B83520"/>
    <w:rsid w:val="00B8697F"/>
    <w:rsid w:val="00B86BC8"/>
    <w:rsid w:val="00B90546"/>
    <w:rsid w:val="00B932E3"/>
    <w:rsid w:val="00B941A6"/>
    <w:rsid w:val="00B95A1E"/>
    <w:rsid w:val="00B95AE2"/>
    <w:rsid w:val="00B97AC6"/>
    <w:rsid w:val="00BA09A4"/>
    <w:rsid w:val="00BA4166"/>
    <w:rsid w:val="00BA55A8"/>
    <w:rsid w:val="00BA5AC8"/>
    <w:rsid w:val="00BA6AF0"/>
    <w:rsid w:val="00BA74C6"/>
    <w:rsid w:val="00BB0EB2"/>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404C"/>
    <w:rsid w:val="00BD40F7"/>
    <w:rsid w:val="00BD4981"/>
    <w:rsid w:val="00BD5066"/>
    <w:rsid w:val="00BD51DF"/>
    <w:rsid w:val="00BD545C"/>
    <w:rsid w:val="00BD7D7A"/>
    <w:rsid w:val="00BE0004"/>
    <w:rsid w:val="00BE0D1F"/>
    <w:rsid w:val="00BE2A8C"/>
    <w:rsid w:val="00BE328A"/>
    <w:rsid w:val="00BE371B"/>
    <w:rsid w:val="00BE3FD8"/>
    <w:rsid w:val="00BE64FC"/>
    <w:rsid w:val="00BE682F"/>
    <w:rsid w:val="00BE7999"/>
    <w:rsid w:val="00BF1917"/>
    <w:rsid w:val="00BF2111"/>
    <w:rsid w:val="00BF2325"/>
    <w:rsid w:val="00BF2A58"/>
    <w:rsid w:val="00BF31CC"/>
    <w:rsid w:val="00BF379A"/>
    <w:rsid w:val="00BF5677"/>
    <w:rsid w:val="00BF6A75"/>
    <w:rsid w:val="00BF7B2E"/>
    <w:rsid w:val="00C025F2"/>
    <w:rsid w:val="00C04324"/>
    <w:rsid w:val="00C04C2E"/>
    <w:rsid w:val="00C06133"/>
    <w:rsid w:val="00C06595"/>
    <w:rsid w:val="00C10324"/>
    <w:rsid w:val="00C1035C"/>
    <w:rsid w:val="00C105D7"/>
    <w:rsid w:val="00C107EE"/>
    <w:rsid w:val="00C11493"/>
    <w:rsid w:val="00C14B78"/>
    <w:rsid w:val="00C16510"/>
    <w:rsid w:val="00C20838"/>
    <w:rsid w:val="00C2217B"/>
    <w:rsid w:val="00C223CD"/>
    <w:rsid w:val="00C227FB"/>
    <w:rsid w:val="00C23E02"/>
    <w:rsid w:val="00C24386"/>
    <w:rsid w:val="00C253B7"/>
    <w:rsid w:val="00C25776"/>
    <w:rsid w:val="00C27AE9"/>
    <w:rsid w:val="00C27E3E"/>
    <w:rsid w:val="00C3007B"/>
    <w:rsid w:val="00C3213B"/>
    <w:rsid w:val="00C325DA"/>
    <w:rsid w:val="00C327F3"/>
    <w:rsid w:val="00C352F0"/>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7BDD"/>
    <w:rsid w:val="00C60605"/>
    <w:rsid w:val="00C60D33"/>
    <w:rsid w:val="00C60F75"/>
    <w:rsid w:val="00C61528"/>
    <w:rsid w:val="00C61E6E"/>
    <w:rsid w:val="00C64D87"/>
    <w:rsid w:val="00C64F93"/>
    <w:rsid w:val="00C66124"/>
    <w:rsid w:val="00C667AE"/>
    <w:rsid w:val="00C70C7A"/>
    <w:rsid w:val="00C72B5F"/>
    <w:rsid w:val="00C73054"/>
    <w:rsid w:val="00C733D3"/>
    <w:rsid w:val="00C73BF4"/>
    <w:rsid w:val="00C73E23"/>
    <w:rsid w:val="00C74354"/>
    <w:rsid w:val="00C7527E"/>
    <w:rsid w:val="00C7685A"/>
    <w:rsid w:val="00C76C70"/>
    <w:rsid w:val="00C7707E"/>
    <w:rsid w:val="00C80526"/>
    <w:rsid w:val="00C80D9D"/>
    <w:rsid w:val="00C82D76"/>
    <w:rsid w:val="00C854C5"/>
    <w:rsid w:val="00C90015"/>
    <w:rsid w:val="00C90333"/>
    <w:rsid w:val="00C90685"/>
    <w:rsid w:val="00C90A41"/>
    <w:rsid w:val="00C93010"/>
    <w:rsid w:val="00C93B88"/>
    <w:rsid w:val="00C94EE5"/>
    <w:rsid w:val="00C95166"/>
    <w:rsid w:val="00CA08FD"/>
    <w:rsid w:val="00CA0EE9"/>
    <w:rsid w:val="00CA11E5"/>
    <w:rsid w:val="00CA172D"/>
    <w:rsid w:val="00CA242C"/>
    <w:rsid w:val="00CA335D"/>
    <w:rsid w:val="00CA58E1"/>
    <w:rsid w:val="00CA5ADB"/>
    <w:rsid w:val="00CA68E7"/>
    <w:rsid w:val="00CA78E1"/>
    <w:rsid w:val="00CB513A"/>
    <w:rsid w:val="00CB53F8"/>
    <w:rsid w:val="00CB6153"/>
    <w:rsid w:val="00CB66E8"/>
    <w:rsid w:val="00CB6C02"/>
    <w:rsid w:val="00CC1280"/>
    <w:rsid w:val="00CC2B0A"/>
    <w:rsid w:val="00CC3835"/>
    <w:rsid w:val="00CC3A13"/>
    <w:rsid w:val="00CC3A49"/>
    <w:rsid w:val="00CC4D5E"/>
    <w:rsid w:val="00CC5132"/>
    <w:rsid w:val="00CC6071"/>
    <w:rsid w:val="00CC7248"/>
    <w:rsid w:val="00CD0605"/>
    <w:rsid w:val="00CD1AA0"/>
    <w:rsid w:val="00CD22F9"/>
    <w:rsid w:val="00CD2825"/>
    <w:rsid w:val="00CD343A"/>
    <w:rsid w:val="00CD3648"/>
    <w:rsid w:val="00CD462C"/>
    <w:rsid w:val="00CD48EE"/>
    <w:rsid w:val="00CD5667"/>
    <w:rsid w:val="00CD5687"/>
    <w:rsid w:val="00CD5B49"/>
    <w:rsid w:val="00CD6EC2"/>
    <w:rsid w:val="00CD75C7"/>
    <w:rsid w:val="00CD7DE1"/>
    <w:rsid w:val="00CE19FA"/>
    <w:rsid w:val="00CE1B16"/>
    <w:rsid w:val="00CE1E0A"/>
    <w:rsid w:val="00CE24FB"/>
    <w:rsid w:val="00CE566F"/>
    <w:rsid w:val="00CE75AC"/>
    <w:rsid w:val="00CE77A5"/>
    <w:rsid w:val="00CF02BE"/>
    <w:rsid w:val="00CF0668"/>
    <w:rsid w:val="00CF1ABC"/>
    <w:rsid w:val="00CF21D8"/>
    <w:rsid w:val="00CF32FA"/>
    <w:rsid w:val="00CF3AA6"/>
    <w:rsid w:val="00CF3B7F"/>
    <w:rsid w:val="00CF43F3"/>
    <w:rsid w:val="00CF4FC4"/>
    <w:rsid w:val="00CF5117"/>
    <w:rsid w:val="00CF5E1C"/>
    <w:rsid w:val="00CF5ECB"/>
    <w:rsid w:val="00CF6383"/>
    <w:rsid w:val="00CF653E"/>
    <w:rsid w:val="00CF6F9E"/>
    <w:rsid w:val="00CF7BE0"/>
    <w:rsid w:val="00D013FD"/>
    <w:rsid w:val="00D02798"/>
    <w:rsid w:val="00D02BE8"/>
    <w:rsid w:val="00D02C7F"/>
    <w:rsid w:val="00D04195"/>
    <w:rsid w:val="00D046D6"/>
    <w:rsid w:val="00D04E9F"/>
    <w:rsid w:val="00D05CEF"/>
    <w:rsid w:val="00D07403"/>
    <w:rsid w:val="00D10303"/>
    <w:rsid w:val="00D12282"/>
    <w:rsid w:val="00D1297B"/>
    <w:rsid w:val="00D13446"/>
    <w:rsid w:val="00D13817"/>
    <w:rsid w:val="00D13A24"/>
    <w:rsid w:val="00D159FE"/>
    <w:rsid w:val="00D15A4A"/>
    <w:rsid w:val="00D201DA"/>
    <w:rsid w:val="00D206E1"/>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53E5"/>
    <w:rsid w:val="00D5774E"/>
    <w:rsid w:val="00D60913"/>
    <w:rsid w:val="00D62D47"/>
    <w:rsid w:val="00D62E02"/>
    <w:rsid w:val="00D64DCA"/>
    <w:rsid w:val="00D64FD0"/>
    <w:rsid w:val="00D66013"/>
    <w:rsid w:val="00D67284"/>
    <w:rsid w:val="00D67679"/>
    <w:rsid w:val="00D67C8B"/>
    <w:rsid w:val="00D7085D"/>
    <w:rsid w:val="00D70AA6"/>
    <w:rsid w:val="00D717F0"/>
    <w:rsid w:val="00D7189B"/>
    <w:rsid w:val="00D72E41"/>
    <w:rsid w:val="00D73960"/>
    <w:rsid w:val="00D740A7"/>
    <w:rsid w:val="00D74E38"/>
    <w:rsid w:val="00D7522F"/>
    <w:rsid w:val="00D758EC"/>
    <w:rsid w:val="00D76104"/>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2EE8"/>
    <w:rsid w:val="00D95D5D"/>
    <w:rsid w:val="00DA07BE"/>
    <w:rsid w:val="00DA1AA8"/>
    <w:rsid w:val="00DA1FCB"/>
    <w:rsid w:val="00DA397E"/>
    <w:rsid w:val="00DA4E92"/>
    <w:rsid w:val="00DA5D95"/>
    <w:rsid w:val="00DB1815"/>
    <w:rsid w:val="00DB1BF7"/>
    <w:rsid w:val="00DB5509"/>
    <w:rsid w:val="00DB5848"/>
    <w:rsid w:val="00DB7C29"/>
    <w:rsid w:val="00DC1103"/>
    <w:rsid w:val="00DC2EBF"/>
    <w:rsid w:val="00DC46B8"/>
    <w:rsid w:val="00DC53EC"/>
    <w:rsid w:val="00DC5610"/>
    <w:rsid w:val="00DC68B5"/>
    <w:rsid w:val="00DC6D9D"/>
    <w:rsid w:val="00DC7CF8"/>
    <w:rsid w:val="00DD0764"/>
    <w:rsid w:val="00DD3477"/>
    <w:rsid w:val="00DD3D93"/>
    <w:rsid w:val="00DD5AAA"/>
    <w:rsid w:val="00DD6928"/>
    <w:rsid w:val="00DE042B"/>
    <w:rsid w:val="00DE0BE2"/>
    <w:rsid w:val="00DE1CF8"/>
    <w:rsid w:val="00DE2DEA"/>
    <w:rsid w:val="00DE450C"/>
    <w:rsid w:val="00DE4AD2"/>
    <w:rsid w:val="00DE5B7E"/>
    <w:rsid w:val="00DE5F1C"/>
    <w:rsid w:val="00DE61A4"/>
    <w:rsid w:val="00DE6E2C"/>
    <w:rsid w:val="00DE74E0"/>
    <w:rsid w:val="00DE7511"/>
    <w:rsid w:val="00DE75C5"/>
    <w:rsid w:val="00DF002B"/>
    <w:rsid w:val="00DF28F6"/>
    <w:rsid w:val="00DF2AE4"/>
    <w:rsid w:val="00DF42DE"/>
    <w:rsid w:val="00DF47E7"/>
    <w:rsid w:val="00DF49C8"/>
    <w:rsid w:val="00DF53E5"/>
    <w:rsid w:val="00DF767C"/>
    <w:rsid w:val="00E00781"/>
    <w:rsid w:val="00E01BC1"/>
    <w:rsid w:val="00E01BEC"/>
    <w:rsid w:val="00E02603"/>
    <w:rsid w:val="00E026DC"/>
    <w:rsid w:val="00E02E0C"/>
    <w:rsid w:val="00E02E7A"/>
    <w:rsid w:val="00E036B1"/>
    <w:rsid w:val="00E04FDA"/>
    <w:rsid w:val="00E06326"/>
    <w:rsid w:val="00E06C1A"/>
    <w:rsid w:val="00E06F24"/>
    <w:rsid w:val="00E114D5"/>
    <w:rsid w:val="00E13B0E"/>
    <w:rsid w:val="00E15C59"/>
    <w:rsid w:val="00E15D7F"/>
    <w:rsid w:val="00E15E9D"/>
    <w:rsid w:val="00E16261"/>
    <w:rsid w:val="00E16D06"/>
    <w:rsid w:val="00E17EC9"/>
    <w:rsid w:val="00E20312"/>
    <w:rsid w:val="00E20403"/>
    <w:rsid w:val="00E209B5"/>
    <w:rsid w:val="00E20DB7"/>
    <w:rsid w:val="00E2232F"/>
    <w:rsid w:val="00E2425E"/>
    <w:rsid w:val="00E254D8"/>
    <w:rsid w:val="00E26544"/>
    <w:rsid w:val="00E302BE"/>
    <w:rsid w:val="00E3075F"/>
    <w:rsid w:val="00E31F3F"/>
    <w:rsid w:val="00E321C8"/>
    <w:rsid w:val="00E32815"/>
    <w:rsid w:val="00E40203"/>
    <w:rsid w:val="00E40D51"/>
    <w:rsid w:val="00E41A31"/>
    <w:rsid w:val="00E41AAA"/>
    <w:rsid w:val="00E41CD6"/>
    <w:rsid w:val="00E443DE"/>
    <w:rsid w:val="00E46A38"/>
    <w:rsid w:val="00E46BD5"/>
    <w:rsid w:val="00E4722B"/>
    <w:rsid w:val="00E50A30"/>
    <w:rsid w:val="00E50C23"/>
    <w:rsid w:val="00E52314"/>
    <w:rsid w:val="00E52942"/>
    <w:rsid w:val="00E52AE4"/>
    <w:rsid w:val="00E60EDE"/>
    <w:rsid w:val="00E611A0"/>
    <w:rsid w:val="00E6168D"/>
    <w:rsid w:val="00E61AC7"/>
    <w:rsid w:val="00E62EF8"/>
    <w:rsid w:val="00E62FCE"/>
    <w:rsid w:val="00E631C1"/>
    <w:rsid w:val="00E638CF"/>
    <w:rsid w:val="00E63C4B"/>
    <w:rsid w:val="00E64DBF"/>
    <w:rsid w:val="00E66D37"/>
    <w:rsid w:val="00E66F1A"/>
    <w:rsid w:val="00E67310"/>
    <w:rsid w:val="00E71571"/>
    <w:rsid w:val="00E71663"/>
    <w:rsid w:val="00E72050"/>
    <w:rsid w:val="00E7366F"/>
    <w:rsid w:val="00E74A9C"/>
    <w:rsid w:val="00E74CD6"/>
    <w:rsid w:val="00E751D0"/>
    <w:rsid w:val="00E76FC6"/>
    <w:rsid w:val="00E8218C"/>
    <w:rsid w:val="00E8244F"/>
    <w:rsid w:val="00E8295B"/>
    <w:rsid w:val="00E83A0B"/>
    <w:rsid w:val="00E83B6C"/>
    <w:rsid w:val="00E83B87"/>
    <w:rsid w:val="00E83C20"/>
    <w:rsid w:val="00E84047"/>
    <w:rsid w:val="00E877D7"/>
    <w:rsid w:val="00E87BF0"/>
    <w:rsid w:val="00E91FB2"/>
    <w:rsid w:val="00E9217E"/>
    <w:rsid w:val="00E93B3E"/>
    <w:rsid w:val="00E93C4D"/>
    <w:rsid w:val="00E93F42"/>
    <w:rsid w:val="00E9604D"/>
    <w:rsid w:val="00E966AC"/>
    <w:rsid w:val="00E96B0E"/>
    <w:rsid w:val="00E96F9A"/>
    <w:rsid w:val="00E97A8B"/>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1EE"/>
    <w:rsid w:val="00EB36C9"/>
    <w:rsid w:val="00EB6A35"/>
    <w:rsid w:val="00EB6FF5"/>
    <w:rsid w:val="00EC0EFF"/>
    <w:rsid w:val="00EC30C5"/>
    <w:rsid w:val="00EC47C9"/>
    <w:rsid w:val="00EC61C4"/>
    <w:rsid w:val="00EC6461"/>
    <w:rsid w:val="00EC6A69"/>
    <w:rsid w:val="00EC76E8"/>
    <w:rsid w:val="00ED0367"/>
    <w:rsid w:val="00ED194B"/>
    <w:rsid w:val="00ED1E24"/>
    <w:rsid w:val="00ED2A12"/>
    <w:rsid w:val="00ED3ACC"/>
    <w:rsid w:val="00ED4CDC"/>
    <w:rsid w:val="00ED67BD"/>
    <w:rsid w:val="00EE10D5"/>
    <w:rsid w:val="00EE1CC5"/>
    <w:rsid w:val="00EE22EE"/>
    <w:rsid w:val="00EE2FF5"/>
    <w:rsid w:val="00EE337A"/>
    <w:rsid w:val="00EE3F9A"/>
    <w:rsid w:val="00EE6B97"/>
    <w:rsid w:val="00EE6E59"/>
    <w:rsid w:val="00EE6FBC"/>
    <w:rsid w:val="00EE7EB4"/>
    <w:rsid w:val="00EF149F"/>
    <w:rsid w:val="00EF1D9D"/>
    <w:rsid w:val="00EF52FD"/>
    <w:rsid w:val="00EF731B"/>
    <w:rsid w:val="00EF7E88"/>
    <w:rsid w:val="00F009C1"/>
    <w:rsid w:val="00F023B2"/>
    <w:rsid w:val="00F025D4"/>
    <w:rsid w:val="00F02E92"/>
    <w:rsid w:val="00F037F8"/>
    <w:rsid w:val="00F03E93"/>
    <w:rsid w:val="00F0437A"/>
    <w:rsid w:val="00F049BB"/>
    <w:rsid w:val="00F05B2F"/>
    <w:rsid w:val="00F05F49"/>
    <w:rsid w:val="00F07FE5"/>
    <w:rsid w:val="00F104AB"/>
    <w:rsid w:val="00F11341"/>
    <w:rsid w:val="00F11819"/>
    <w:rsid w:val="00F11B46"/>
    <w:rsid w:val="00F12D43"/>
    <w:rsid w:val="00F13062"/>
    <w:rsid w:val="00F1328B"/>
    <w:rsid w:val="00F13448"/>
    <w:rsid w:val="00F13607"/>
    <w:rsid w:val="00F13811"/>
    <w:rsid w:val="00F146D7"/>
    <w:rsid w:val="00F14EC6"/>
    <w:rsid w:val="00F14EF2"/>
    <w:rsid w:val="00F1665D"/>
    <w:rsid w:val="00F16CB1"/>
    <w:rsid w:val="00F17582"/>
    <w:rsid w:val="00F20CD4"/>
    <w:rsid w:val="00F2137E"/>
    <w:rsid w:val="00F236A0"/>
    <w:rsid w:val="00F24C7C"/>
    <w:rsid w:val="00F25A01"/>
    <w:rsid w:val="00F26503"/>
    <w:rsid w:val="00F26B75"/>
    <w:rsid w:val="00F277E6"/>
    <w:rsid w:val="00F278D2"/>
    <w:rsid w:val="00F31131"/>
    <w:rsid w:val="00F313D5"/>
    <w:rsid w:val="00F31E1E"/>
    <w:rsid w:val="00F348AE"/>
    <w:rsid w:val="00F3543A"/>
    <w:rsid w:val="00F35761"/>
    <w:rsid w:val="00F35C6B"/>
    <w:rsid w:val="00F35CFF"/>
    <w:rsid w:val="00F416FF"/>
    <w:rsid w:val="00F43B30"/>
    <w:rsid w:val="00F44352"/>
    <w:rsid w:val="00F44AF7"/>
    <w:rsid w:val="00F44E60"/>
    <w:rsid w:val="00F4579D"/>
    <w:rsid w:val="00F46A1D"/>
    <w:rsid w:val="00F46DA2"/>
    <w:rsid w:val="00F5021A"/>
    <w:rsid w:val="00F511C1"/>
    <w:rsid w:val="00F52D81"/>
    <w:rsid w:val="00F54D93"/>
    <w:rsid w:val="00F56BC9"/>
    <w:rsid w:val="00F56C79"/>
    <w:rsid w:val="00F57598"/>
    <w:rsid w:val="00F57C43"/>
    <w:rsid w:val="00F61401"/>
    <w:rsid w:val="00F61839"/>
    <w:rsid w:val="00F618D9"/>
    <w:rsid w:val="00F62099"/>
    <w:rsid w:val="00F6248E"/>
    <w:rsid w:val="00F6367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39A"/>
    <w:rsid w:val="00F724A8"/>
    <w:rsid w:val="00F72E47"/>
    <w:rsid w:val="00F73151"/>
    <w:rsid w:val="00F737D0"/>
    <w:rsid w:val="00F74504"/>
    <w:rsid w:val="00F765FE"/>
    <w:rsid w:val="00F76F26"/>
    <w:rsid w:val="00F77442"/>
    <w:rsid w:val="00F77737"/>
    <w:rsid w:val="00F82BC4"/>
    <w:rsid w:val="00F8489B"/>
    <w:rsid w:val="00F85BC6"/>
    <w:rsid w:val="00F8666A"/>
    <w:rsid w:val="00F86E63"/>
    <w:rsid w:val="00F90A2B"/>
    <w:rsid w:val="00F93CC9"/>
    <w:rsid w:val="00F964B8"/>
    <w:rsid w:val="00F9750D"/>
    <w:rsid w:val="00FA0B1C"/>
    <w:rsid w:val="00FA1287"/>
    <w:rsid w:val="00FA2730"/>
    <w:rsid w:val="00FA477A"/>
    <w:rsid w:val="00FA4E3B"/>
    <w:rsid w:val="00FA6128"/>
    <w:rsid w:val="00FA691C"/>
    <w:rsid w:val="00FA6FF9"/>
    <w:rsid w:val="00FA7683"/>
    <w:rsid w:val="00FB0E65"/>
    <w:rsid w:val="00FB380D"/>
    <w:rsid w:val="00FB4A30"/>
    <w:rsid w:val="00FB5AAE"/>
    <w:rsid w:val="00FC08BE"/>
    <w:rsid w:val="00FC375D"/>
    <w:rsid w:val="00FC3F91"/>
    <w:rsid w:val="00FC5551"/>
    <w:rsid w:val="00FC5C1A"/>
    <w:rsid w:val="00FC5D48"/>
    <w:rsid w:val="00FC62AB"/>
    <w:rsid w:val="00FC751A"/>
    <w:rsid w:val="00FD0A07"/>
    <w:rsid w:val="00FD0F69"/>
    <w:rsid w:val="00FD1490"/>
    <w:rsid w:val="00FD57B8"/>
    <w:rsid w:val="00FD6052"/>
    <w:rsid w:val="00FD71B1"/>
    <w:rsid w:val="00FE04C4"/>
    <w:rsid w:val="00FE0938"/>
    <w:rsid w:val="00FE0C24"/>
    <w:rsid w:val="00FE22B0"/>
    <w:rsid w:val="00FE2B9B"/>
    <w:rsid w:val="00FE6E59"/>
    <w:rsid w:val="00FE6E67"/>
    <w:rsid w:val="00FF118E"/>
    <w:rsid w:val="00FF192A"/>
    <w:rsid w:val="00FF1A7D"/>
    <w:rsid w:val="00FF1D02"/>
    <w:rsid w:val="00FF23AB"/>
    <w:rsid w:val="00FF2A96"/>
    <w:rsid w:val="00FF306B"/>
    <w:rsid w:val="00FF364D"/>
    <w:rsid w:val="00FF4262"/>
    <w:rsid w:val="00FF64D3"/>
    <w:rsid w:val="00FF6919"/>
    <w:rsid w:val="00FF71FD"/>
    <w:rsid w:val="00FF77D3"/>
    <w:rsid w:val="015A36D7"/>
    <w:rsid w:val="01F221B0"/>
    <w:rsid w:val="0223644B"/>
    <w:rsid w:val="023B7D1A"/>
    <w:rsid w:val="027877D2"/>
    <w:rsid w:val="027F7A6C"/>
    <w:rsid w:val="02C24CD4"/>
    <w:rsid w:val="02EC18FA"/>
    <w:rsid w:val="03120517"/>
    <w:rsid w:val="034611E0"/>
    <w:rsid w:val="035A3700"/>
    <w:rsid w:val="037F1F11"/>
    <w:rsid w:val="039E678D"/>
    <w:rsid w:val="039F2DD5"/>
    <w:rsid w:val="04703094"/>
    <w:rsid w:val="049C4F4B"/>
    <w:rsid w:val="04CD6528"/>
    <w:rsid w:val="051C7ED2"/>
    <w:rsid w:val="057A3AF5"/>
    <w:rsid w:val="0585365B"/>
    <w:rsid w:val="058A2A0E"/>
    <w:rsid w:val="061D2C1C"/>
    <w:rsid w:val="065D2D87"/>
    <w:rsid w:val="07416EF9"/>
    <w:rsid w:val="076021D7"/>
    <w:rsid w:val="07F559F3"/>
    <w:rsid w:val="086B2D24"/>
    <w:rsid w:val="08BF01EB"/>
    <w:rsid w:val="08C76587"/>
    <w:rsid w:val="09F36B6C"/>
    <w:rsid w:val="0A285A96"/>
    <w:rsid w:val="0A4A797B"/>
    <w:rsid w:val="0A4B0930"/>
    <w:rsid w:val="0A5D36B3"/>
    <w:rsid w:val="0AA06290"/>
    <w:rsid w:val="0ADB7B90"/>
    <w:rsid w:val="0C2B248A"/>
    <w:rsid w:val="0C856D4A"/>
    <w:rsid w:val="0CAB2210"/>
    <w:rsid w:val="0CB02553"/>
    <w:rsid w:val="0CB44483"/>
    <w:rsid w:val="0D2042F9"/>
    <w:rsid w:val="0D356DB0"/>
    <w:rsid w:val="0D533804"/>
    <w:rsid w:val="0DBB2B76"/>
    <w:rsid w:val="0DD42BEA"/>
    <w:rsid w:val="0E3F7604"/>
    <w:rsid w:val="0E9768A0"/>
    <w:rsid w:val="0EB20CF4"/>
    <w:rsid w:val="0EBA22B3"/>
    <w:rsid w:val="0EFB411B"/>
    <w:rsid w:val="0F044F05"/>
    <w:rsid w:val="0F2F5602"/>
    <w:rsid w:val="0F350058"/>
    <w:rsid w:val="0F46154E"/>
    <w:rsid w:val="0FE00DF7"/>
    <w:rsid w:val="102E6066"/>
    <w:rsid w:val="10495FC1"/>
    <w:rsid w:val="10D37200"/>
    <w:rsid w:val="10F82F74"/>
    <w:rsid w:val="114F4207"/>
    <w:rsid w:val="114F428B"/>
    <w:rsid w:val="124C6946"/>
    <w:rsid w:val="125840D6"/>
    <w:rsid w:val="12AC025B"/>
    <w:rsid w:val="1314218E"/>
    <w:rsid w:val="13EB556C"/>
    <w:rsid w:val="14420981"/>
    <w:rsid w:val="14851348"/>
    <w:rsid w:val="148A021E"/>
    <w:rsid w:val="14B66A81"/>
    <w:rsid w:val="14D55C68"/>
    <w:rsid w:val="14DB44FC"/>
    <w:rsid w:val="14EA5CCD"/>
    <w:rsid w:val="1505065F"/>
    <w:rsid w:val="153A5D57"/>
    <w:rsid w:val="153F77AF"/>
    <w:rsid w:val="15AA10B9"/>
    <w:rsid w:val="15E94D9E"/>
    <w:rsid w:val="15EA5C57"/>
    <w:rsid w:val="16752A28"/>
    <w:rsid w:val="16A71BC5"/>
    <w:rsid w:val="16DB669F"/>
    <w:rsid w:val="16F63E90"/>
    <w:rsid w:val="17076F22"/>
    <w:rsid w:val="17462C31"/>
    <w:rsid w:val="174D1CF2"/>
    <w:rsid w:val="17760F30"/>
    <w:rsid w:val="17A43C31"/>
    <w:rsid w:val="18594E92"/>
    <w:rsid w:val="18610196"/>
    <w:rsid w:val="18FB1FE9"/>
    <w:rsid w:val="18FB419A"/>
    <w:rsid w:val="19224341"/>
    <w:rsid w:val="19457E82"/>
    <w:rsid w:val="194E4CF5"/>
    <w:rsid w:val="19E3177B"/>
    <w:rsid w:val="19FB0B0C"/>
    <w:rsid w:val="1A9A2413"/>
    <w:rsid w:val="1AC034D4"/>
    <w:rsid w:val="1B4C6F9D"/>
    <w:rsid w:val="1B946A88"/>
    <w:rsid w:val="1BAA0DAF"/>
    <w:rsid w:val="1C46106A"/>
    <w:rsid w:val="1C756269"/>
    <w:rsid w:val="1C813F68"/>
    <w:rsid w:val="1CBF718B"/>
    <w:rsid w:val="1CD426DF"/>
    <w:rsid w:val="1D272ECC"/>
    <w:rsid w:val="1D2F21B8"/>
    <w:rsid w:val="1D5C6CAB"/>
    <w:rsid w:val="1D8D5326"/>
    <w:rsid w:val="1E046DE5"/>
    <w:rsid w:val="1E167AA9"/>
    <w:rsid w:val="1E4A01F4"/>
    <w:rsid w:val="1EDD0C28"/>
    <w:rsid w:val="1F7D79B3"/>
    <w:rsid w:val="1F815806"/>
    <w:rsid w:val="1FB44714"/>
    <w:rsid w:val="1FB71AD5"/>
    <w:rsid w:val="1FEA39E3"/>
    <w:rsid w:val="1FF03592"/>
    <w:rsid w:val="20594112"/>
    <w:rsid w:val="20690B0C"/>
    <w:rsid w:val="207E2032"/>
    <w:rsid w:val="20AE6AF4"/>
    <w:rsid w:val="211B60C4"/>
    <w:rsid w:val="2139204A"/>
    <w:rsid w:val="21411A9E"/>
    <w:rsid w:val="22490F2B"/>
    <w:rsid w:val="22725799"/>
    <w:rsid w:val="22F74D6E"/>
    <w:rsid w:val="22FF42C3"/>
    <w:rsid w:val="23C14A40"/>
    <w:rsid w:val="244F03B3"/>
    <w:rsid w:val="25264163"/>
    <w:rsid w:val="255C0820"/>
    <w:rsid w:val="25A7768B"/>
    <w:rsid w:val="25CD04ED"/>
    <w:rsid w:val="260822DA"/>
    <w:rsid w:val="260F05F6"/>
    <w:rsid w:val="262B0D8C"/>
    <w:rsid w:val="26815E01"/>
    <w:rsid w:val="271008F4"/>
    <w:rsid w:val="272926C6"/>
    <w:rsid w:val="27316B69"/>
    <w:rsid w:val="27771227"/>
    <w:rsid w:val="27C96727"/>
    <w:rsid w:val="27ED5742"/>
    <w:rsid w:val="28312DEC"/>
    <w:rsid w:val="287D463C"/>
    <w:rsid w:val="289C2139"/>
    <w:rsid w:val="28AE3ED0"/>
    <w:rsid w:val="28F53772"/>
    <w:rsid w:val="292F5CF9"/>
    <w:rsid w:val="294C2EC2"/>
    <w:rsid w:val="294F73AA"/>
    <w:rsid w:val="2985673D"/>
    <w:rsid w:val="2A2C6D34"/>
    <w:rsid w:val="2A46138B"/>
    <w:rsid w:val="2A712949"/>
    <w:rsid w:val="2B155FE2"/>
    <w:rsid w:val="2B3D7128"/>
    <w:rsid w:val="2B613133"/>
    <w:rsid w:val="2C131858"/>
    <w:rsid w:val="2C1C3A3A"/>
    <w:rsid w:val="2C1F67CE"/>
    <w:rsid w:val="2C80464D"/>
    <w:rsid w:val="2D953F05"/>
    <w:rsid w:val="2DBD52A1"/>
    <w:rsid w:val="2E2A3AC9"/>
    <w:rsid w:val="2E3D7196"/>
    <w:rsid w:val="2E8B0C85"/>
    <w:rsid w:val="2EE51AA5"/>
    <w:rsid w:val="2F197265"/>
    <w:rsid w:val="2F4D074E"/>
    <w:rsid w:val="2FF6014A"/>
    <w:rsid w:val="30593972"/>
    <w:rsid w:val="30A07E06"/>
    <w:rsid w:val="30DD327D"/>
    <w:rsid w:val="30EE0CFC"/>
    <w:rsid w:val="30F87B26"/>
    <w:rsid w:val="312D4543"/>
    <w:rsid w:val="31423ECC"/>
    <w:rsid w:val="3158151F"/>
    <w:rsid w:val="316D7123"/>
    <w:rsid w:val="31A21416"/>
    <w:rsid w:val="32C30760"/>
    <w:rsid w:val="32DA4D1C"/>
    <w:rsid w:val="337A64F8"/>
    <w:rsid w:val="33A07BAA"/>
    <w:rsid w:val="33B432F9"/>
    <w:rsid w:val="33DB73AA"/>
    <w:rsid w:val="345026D3"/>
    <w:rsid w:val="34CA7DD8"/>
    <w:rsid w:val="35046067"/>
    <w:rsid w:val="35207C37"/>
    <w:rsid w:val="35270E8A"/>
    <w:rsid w:val="36052FBD"/>
    <w:rsid w:val="3619434D"/>
    <w:rsid w:val="362C33FB"/>
    <w:rsid w:val="363770FC"/>
    <w:rsid w:val="363F2AA0"/>
    <w:rsid w:val="36F9293E"/>
    <w:rsid w:val="37120162"/>
    <w:rsid w:val="37204D62"/>
    <w:rsid w:val="376A0A5D"/>
    <w:rsid w:val="37C74C5D"/>
    <w:rsid w:val="3823381E"/>
    <w:rsid w:val="38AC756D"/>
    <w:rsid w:val="38FA6FB1"/>
    <w:rsid w:val="3BB0223E"/>
    <w:rsid w:val="3BC87435"/>
    <w:rsid w:val="3C29202D"/>
    <w:rsid w:val="3C2C5BDB"/>
    <w:rsid w:val="3C437F63"/>
    <w:rsid w:val="3CCF3194"/>
    <w:rsid w:val="3CD167D9"/>
    <w:rsid w:val="3D0B3851"/>
    <w:rsid w:val="3D0E6DC9"/>
    <w:rsid w:val="3D1C1C7D"/>
    <w:rsid w:val="3D4D6DF5"/>
    <w:rsid w:val="3DC12633"/>
    <w:rsid w:val="3DEE13BC"/>
    <w:rsid w:val="3E093536"/>
    <w:rsid w:val="3E2D148D"/>
    <w:rsid w:val="3E345A47"/>
    <w:rsid w:val="3EC83773"/>
    <w:rsid w:val="3ED55EF6"/>
    <w:rsid w:val="3EED6921"/>
    <w:rsid w:val="3EF216F2"/>
    <w:rsid w:val="3F8631BB"/>
    <w:rsid w:val="405A7271"/>
    <w:rsid w:val="40602F3B"/>
    <w:rsid w:val="406A760B"/>
    <w:rsid w:val="40A6280F"/>
    <w:rsid w:val="411C53E7"/>
    <w:rsid w:val="41637C9C"/>
    <w:rsid w:val="42954A4F"/>
    <w:rsid w:val="433F461C"/>
    <w:rsid w:val="43C922A5"/>
    <w:rsid w:val="43EC050F"/>
    <w:rsid w:val="447831B2"/>
    <w:rsid w:val="44981465"/>
    <w:rsid w:val="44F274E6"/>
    <w:rsid w:val="455E43BD"/>
    <w:rsid w:val="466E645A"/>
    <w:rsid w:val="48490D34"/>
    <w:rsid w:val="485A6A92"/>
    <w:rsid w:val="48966CFB"/>
    <w:rsid w:val="48AE19C1"/>
    <w:rsid w:val="4900340D"/>
    <w:rsid w:val="49370C95"/>
    <w:rsid w:val="496C628B"/>
    <w:rsid w:val="4A0908B2"/>
    <w:rsid w:val="4A292D6C"/>
    <w:rsid w:val="4A356645"/>
    <w:rsid w:val="4A9577EB"/>
    <w:rsid w:val="4AB2539E"/>
    <w:rsid w:val="4B250204"/>
    <w:rsid w:val="4B261B2D"/>
    <w:rsid w:val="4B2676B2"/>
    <w:rsid w:val="4B490BB6"/>
    <w:rsid w:val="4B6D7D0B"/>
    <w:rsid w:val="4BEC4B84"/>
    <w:rsid w:val="4BFB14DE"/>
    <w:rsid w:val="4C521155"/>
    <w:rsid w:val="4CC51B60"/>
    <w:rsid w:val="4D233170"/>
    <w:rsid w:val="4D2918C1"/>
    <w:rsid w:val="4D3F2870"/>
    <w:rsid w:val="4D5C7162"/>
    <w:rsid w:val="4DA247BA"/>
    <w:rsid w:val="4E3A5BF5"/>
    <w:rsid w:val="4E4B02DF"/>
    <w:rsid w:val="4EA556DD"/>
    <w:rsid w:val="4ED56E6D"/>
    <w:rsid w:val="4EF94D59"/>
    <w:rsid w:val="4F645804"/>
    <w:rsid w:val="50154974"/>
    <w:rsid w:val="505700B0"/>
    <w:rsid w:val="505A0100"/>
    <w:rsid w:val="509B4BA5"/>
    <w:rsid w:val="512644B0"/>
    <w:rsid w:val="517C3AEA"/>
    <w:rsid w:val="51811FD2"/>
    <w:rsid w:val="51BF5FD3"/>
    <w:rsid w:val="522478FE"/>
    <w:rsid w:val="529F405B"/>
    <w:rsid w:val="52D62DD0"/>
    <w:rsid w:val="52EA74FF"/>
    <w:rsid w:val="52EE37AE"/>
    <w:rsid w:val="537077FB"/>
    <w:rsid w:val="537A4A4A"/>
    <w:rsid w:val="53A130A5"/>
    <w:rsid w:val="53B80DF4"/>
    <w:rsid w:val="53CE44CD"/>
    <w:rsid w:val="541F2B33"/>
    <w:rsid w:val="543159A9"/>
    <w:rsid w:val="544C4469"/>
    <w:rsid w:val="55161CB0"/>
    <w:rsid w:val="55290ABE"/>
    <w:rsid w:val="55701056"/>
    <w:rsid w:val="563475E2"/>
    <w:rsid w:val="56516A85"/>
    <w:rsid w:val="56626AC1"/>
    <w:rsid w:val="566D4306"/>
    <w:rsid w:val="572D7CBB"/>
    <w:rsid w:val="572F34E8"/>
    <w:rsid w:val="57651888"/>
    <w:rsid w:val="579821ED"/>
    <w:rsid w:val="57C51741"/>
    <w:rsid w:val="57ED0267"/>
    <w:rsid w:val="583F0E20"/>
    <w:rsid w:val="58E47D09"/>
    <w:rsid w:val="59592898"/>
    <w:rsid w:val="5AB96E1E"/>
    <w:rsid w:val="5AD73282"/>
    <w:rsid w:val="5B2C1D25"/>
    <w:rsid w:val="5B59220C"/>
    <w:rsid w:val="5B6A4A5C"/>
    <w:rsid w:val="5B9165ED"/>
    <w:rsid w:val="5B991903"/>
    <w:rsid w:val="5BDD252C"/>
    <w:rsid w:val="5C324A9D"/>
    <w:rsid w:val="5C3E7060"/>
    <w:rsid w:val="5C984E2C"/>
    <w:rsid w:val="5CA07992"/>
    <w:rsid w:val="5CB07599"/>
    <w:rsid w:val="5CDA67FD"/>
    <w:rsid w:val="5CF341D1"/>
    <w:rsid w:val="5D281045"/>
    <w:rsid w:val="5D402E72"/>
    <w:rsid w:val="5D7A0A43"/>
    <w:rsid w:val="5DD05D96"/>
    <w:rsid w:val="5E9E703E"/>
    <w:rsid w:val="5F5A5A86"/>
    <w:rsid w:val="5F9D618A"/>
    <w:rsid w:val="6038313A"/>
    <w:rsid w:val="60994E9C"/>
    <w:rsid w:val="60E14570"/>
    <w:rsid w:val="612A11C5"/>
    <w:rsid w:val="615919E9"/>
    <w:rsid w:val="629308BC"/>
    <w:rsid w:val="63274F35"/>
    <w:rsid w:val="63513761"/>
    <w:rsid w:val="639730D7"/>
    <w:rsid w:val="645360BB"/>
    <w:rsid w:val="64865F24"/>
    <w:rsid w:val="64CD3EE9"/>
    <w:rsid w:val="654A43BF"/>
    <w:rsid w:val="65873D07"/>
    <w:rsid w:val="65C5472F"/>
    <w:rsid w:val="65ED064C"/>
    <w:rsid w:val="66042E18"/>
    <w:rsid w:val="66241600"/>
    <w:rsid w:val="66BE42BB"/>
    <w:rsid w:val="670027FA"/>
    <w:rsid w:val="67760F12"/>
    <w:rsid w:val="67BB4B04"/>
    <w:rsid w:val="6834327A"/>
    <w:rsid w:val="68450F90"/>
    <w:rsid w:val="684707E0"/>
    <w:rsid w:val="68B07CCB"/>
    <w:rsid w:val="68DE7273"/>
    <w:rsid w:val="690E6FE3"/>
    <w:rsid w:val="693643CC"/>
    <w:rsid w:val="69BF453E"/>
    <w:rsid w:val="69E75178"/>
    <w:rsid w:val="6A2E12D4"/>
    <w:rsid w:val="6A6F14C9"/>
    <w:rsid w:val="6A9017BA"/>
    <w:rsid w:val="6B023487"/>
    <w:rsid w:val="6B221387"/>
    <w:rsid w:val="6B3F1A75"/>
    <w:rsid w:val="6C30439D"/>
    <w:rsid w:val="6C31790A"/>
    <w:rsid w:val="6D7921F6"/>
    <w:rsid w:val="6DE24B4B"/>
    <w:rsid w:val="6E131544"/>
    <w:rsid w:val="6E2F6FAF"/>
    <w:rsid w:val="6EFB4CE0"/>
    <w:rsid w:val="6F773C33"/>
    <w:rsid w:val="6FB213DF"/>
    <w:rsid w:val="6FC04FA9"/>
    <w:rsid w:val="6FE651B7"/>
    <w:rsid w:val="6FF11998"/>
    <w:rsid w:val="70380425"/>
    <w:rsid w:val="70866E54"/>
    <w:rsid w:val="71DA0C6E"/>
    <w:rsid w:val="71EA22E3"/>
    <w:rsid w:val="72324813"/>
    <w:rsid w:val="72845671"/>
    <w:rsid w:val="73164021"/>
    <w:rsid w:val="74331E85"/>
    <w:rsid w:val="74651A43"/>
    <w:rsid w:val="746A06F0"/>
    <w:rsid w:val="75345DCA"/>
    <w:rsid w:val="75444222"/>
    <w:rsid w:val="756F211D"/>
    <w:rsid w:val="75E0275B"/>
    <w:rsid w:val="77450955"/>
    <w:rsid w:val="77735990"/>
    <w:rsid w:val="779908AD"/>
    <w:rsid w:val="779B4A66"/>
    <w:rsid w:val="77A760FD"/>
    <w:rsid w:val="77B82E57"/>
    <w:rsid w:val="77F72B69"/>
    <w:rsid w:val="786E4704"/>
    <w:rsid w:val="78994594"/>
    <w:rsid w:val="78B823DF"/>
    <w:rsid w:val="79363D8F"/>
    <w:rsid w:val="796911B3"/>
    <w:rsid w:val="79B8312B"/>
    <w:rsid w:val="79C909CA"/>
    <w:rsid w:val="79DA563D"/>
    <w:rsid w:val="79F02ACA"/>
    <w:rsid w:val="7A7356A2"/>
    <w:rsid w:val="7A8025BA"/>
    <w:rsid w:val="7ABB4DBE"/>
    <w:rsid w:val="7ADB16F7"/>
    <w:rsid w:val="7AE23E68"/>
    <w:rsid w:val="7B6F6D7E"/>
    <w:rsid w:val="7B76718A"/>
    <w:rsid w:val="7BB27356"/>
    <w:rsid w:val="7BC90018"/>
    <w:rsid w:val="7C7B6A79"/>
    <w:rsid w:val="7C8E1331"/>
    <w:rsid w:val="7D0F11CF"/>
    <w:rsid w:val="7D1764B2"/>
    <w:rsid w:val="7D81022A"/>
    <w:rsid w:val="7DC71D5C"/>
    <w:rsid w:val="7DF65808"/>
    <w:rsid w:val="7E057139"/>
    <w:rsid w:val="7E3E5679"/>
    <w:rsid w:val="7EDB7BE9"/>
    <w:rsid w:val="7F681BE7"/>
    <w:rsid w:val="7FDF69A0"/>
    <w:rsid w:val="7FF65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47"/>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48"/>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4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5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5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5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53"/>
    <w:qFormat/>
    <w:uiPriority w:val="0"/>
    <w:pPr>
      <w:keepNext/>
      <w:keepLines/>
      <w:numPr>
        <w:ilvl w:val="8"/>
        <w:numId w:val="1"/>
      </w:numPr>
      <w:tabs>
        <w:tab w:val="left" w:pos="1584"/>
      </w:tabs>
      <w:suppressAutoHyphens/>
      <w:spacing w:before="240" w:after="64" w:line="317" w:lineRule="auto"/>
      <w:outlineLvl w:val="8"/>
    </w:pPr>
    <w:rPr>
      <w:rFonts w:ascii="Arial" w:hAnsi="Arial" w:eastAsia="黑体"/>
      <w:kern w:val="21"/>
      <w:sz w:val="21"/>
      <w:lang w:eastAsia="ar-SA"/>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Body Text 3"/>
    <w:basedOn w:val="1"/>
    <w:link w:val="61"/>
    <w:qFormat/>
    <w:uiPriority w:val="0"/>
    <w:rPr>
      <w:rFonts w:ascii="黑体" w:hAnsi="Arial" w:eastAsia="黑体"/>
      <w:b/>
      <w:kern w:val="0"/>
    </w:rPr>
  </w:style>
  <w:style w:type="paragraph" w:styleId="13">
    <w:name w:val="Body Text"/>
    <w:basedOn w:val="1"/>
    <w:next w:val="1"/>
    <w:link w:val="84"/>
    <w:unhideWhenUsed/>
    <w:qFormat/>
    <w:uiPriority w:val="99"/>
    <w:pPr>
      <w:spacing w:after="120"/>
    </w:pPr>
    <w:rPr>
      <w:rFonts w:asciiTheme="minorHAnsi" w:hAnsiTheme="minorHAnsi" w:eastAsiaTheme="minorEastAsia" w:cstheme="minorBidi"/>
      <w:sz w:val="21"/>
      <w:szCs w:val="22"/>
    </w:rPr>
  </w:style>
  <w:style w:type="paragraph" w:styleId="14">
    <w:name w:val="Body Text Indent"/>
    <w:basedOn w:val="1"/>
    <w:link w:val="64"/>
    <w:unhideWhenUsed/>
    <w:qFormat/>
    <w:uiPriority w:val="99"/>
    <w:pPr>
      <w:spacing w:after="120"/>
      <w:ind w:left="420" w:leftChars="200"/>
    </w:pPr>
  </w:style>
  <w:style w:type="paragraph" w:styleId="1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6"/>
    <w:qFormat/>
    <w:uiPriority w:val="99"/>
    <w:rPr>
      <w:rFonts w:ascii="宋体" w:hAnsi="Courier New" w:cs="Courier New"/>
      <w:kern w:val="0"/>
      <w:sz w:val="20"/>
      <w:szCs w:val="21"/>
    </w:rPr>
  </w:style>
  <w:style w:type="paragraph" w:styleId="17">
    <w:name w:val="Date"/>
    <w:basedOn w:val="1"/>
    <w:next w:val="1"/>
    <w:link w:val="75"/>
    <w:unhideWhenUsed/>
    <w:qFormat/>
    <w:uiPriority w:val="99"/>
    <w:pPr>
      <w:ind w:left="100" w:leftChars="2500"/>
    </w:pPr>
  </w:style>
  <w:style w:type="paragraph" w:styleId="18">
    <w:name w:val="Balloon Text"/>
    <w:basedOn w:val="1"/>
    <w:link w:val="63"/>
    <w:unhideWhenUsed/>
    <w:qFormat/>
    <w:uiPriority w:val="99"/>
    <w:rPr>
      <w:sz w:val="18"/>
      <w:szCs w:val="18"/>
    </w:rPr>
  </w:style>
  <w:style w:type="paragraph" w:styleId="19">
    <w:name w:val="footer"/>
    <w:basedOn w:val="1"/>
    <w:link w:val="66"/>
    <w:unhideWhenUsed/>
    <w:qFormat/>
    <w:uiPriority w:val="99"/>
    <w:pPr>
      <w:tabs>
        <w:tab w:val="center" w:pos="4153"/>
        <w:tab w:val="right" w:pos="8306"/>
      </w:tabs>
      <w:snapToGrid w:val="0"/>
      <w:jc w:val="left"/>
    </w:pPr>
    <w:rPr>
      <w:sz w:val="18"/>
      <w:szCs w:val="18"/>
    </w:rPr>
  </w:style>
  <w:style w:type="paragraph" w:styleId="20">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55"/>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Normal (Web)"/>
    <w:basedOn w:val="1"/>
    <w:unhideWhenUsed/>
    <w:qFormat/>
    <w:uiPriority w:val="99"/>
    <w:rPr>
      <w:sz w:val="24"/>
    </w:rPr>
  </w:style>
  <w:style w:type="paragraph" w:styleId="25">
    <w:name w:val="Title"/>
    <w:basedOn w:val="1"/>
    <w:next w:val="1"/>
    <w:link w:val="54"/>
    <w:qFormat/>
    <w:uiPriority w:val="99"/>
    <w:pPr>
      <w:spacing w:before="240" w:after="60"/>
      <w:jc w:val="center"/>
      <w:outlineLvl w:val="0"/>
    </w:pPr>
    <w:rPr>
      <w:rFonts w:ascii="Cambria" w:hAnsi="Cambria" w:eastAsia="方正小标宋简体"/>
      <w:b/>
      <w:bCs/>
      <w:kern w:val="0"/>
      <w:sz w:val="44"/>
      <w:szCs w:val="32"/>
    </w:rPr>
  </w:style>
  <w:style w:type="paragraph" w:styleId="26">
    <w:name w:val="Body Text First Indent"/>
    <w:basedOn w:val="13"/>
    <w:link w:val="85"/>
    <w:qFormat/>
    <w:uiPriority w:val="0"/>
    <w:pPr>
      <w:ind w:firstLine="420" w:firstLineChars="100"/>
    </w:pPr>
    <w:rPr>
      <w:rFonts w:ascii="Times New Roman" w:hAnsi="Times New Roman" w:eastAsia="宋体" w:cs="Times New Roman"/>
      <w:szCs w:val="20"/>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FollowedHyperlink"/>
    <w:basedOn w:val="29"/>
    <w:unhideWhenUsed/>
    <w:qFormat/>
    <w:uiPriority w:val="99"/>
    <w:rPr>
      <w:color w:val="338DE6"/>
      <w:u w:val="none"/>
    </w:rPr>
  </w:style>
  <w:style w:type="character" w:styleId="32">
    <w:name w:val="Emphasis"/>
    <w:qFormat/>
    <w:uiPriority w:val="0"/>
    <w:rPr>
      <w:rFonts w:hint="default" w:ascii="Times New Roman" w:hAnsi="Times New Roman" w:cs="Times New Roman"/>
    </w:rPr>
  </w:style>
  <w:style w:type="character" w:styleId="33">
    <w:name w:val="HTML Definition"/>
    <w:basedOn w:val="29"/>
    <w:unhideWhenUsed/>
    <w:qFormat/>
    <w:uiPriority w:val="99"/>
  </w:style>
  <w:style w:type="character" w:styleId="34">
    <w:name w:val="HTML Variable"/>
    <w:basedOn w:val="29"/>
    <w:unhideWhenUsed/>
    <w:qFormat/>
    <w:uiPriority w:val="99"/>
  </w:style>
  <w:style w:type="character" w:styleId="35">
    <w:name w:val="Hyperlink"/>
    <w:basedOn w:val="29"/>
    <w:qFormat/>
    <w:uiPriority w:val="99"/>
    <w:rPr>
      <w:color w:val="333333"/>
      <w:u w:val="none"/>
    </w:rPr>
  </w:style>
  <w:style w:type="character" w:styleId="36">
    <w:name w:val="HTML Code"/>
    <w:basedOn w:val="29"/>
    <w:unhideWhenUsed/>
    <w:qFormat/>
    <w:uiPriority w:val="99"/>
    <w:rPr>
      <w:rFonts w:hint="default" w:ascii="serif" w:hAnsi="serif" w:eastAsia="serif" w:cs="serif"/>
      <w:sz w:val="21"/>
      <w:szCs w:val="21"/>
    </w:rPr>
  </w:style>
  <w:style w:type="character" w:styleId="37">
    <w:name w:val="HTML Cite"/>
    <w:basedOn w:val="29"/>
    <w:unhideWhenUsed/>
    <w:qFormat/>
    <w:uiPriority w:val="99"/>
  </w:style>
  <w:style w:type="character" w:styleId="38">
    <w:name w:val="HTML Keyboard"/>
    <w:basedOn w:val="29"/>
    <w:unhideWhenUsed/>
    <w:qFormat/>
    <w:uiPriority w:val="99"/>
    <w:rPr>
      <w:rFonts w:hint="default" w:ascii="serif" w:hAnsi="serif" w:eastAsia="serif" w:cs="serif"/>
      <w:sz w:val="21"/>
      <w:szCs w:val="21"/>
    </w:rPr>
  </w:style>
  <w:style w:type="character" w:styleId="39">
    <w:name w:val="HTML Sample"/>
    <w:basedOn w:val="29"/>
    <w:unhideWhenUsed/>
    <w:qFormat/>
    <w:uiPriority w:val="99"/>
    <w:rPr>
      <w:rFonts w:ascii="serif" w:hAnsi="serif" w:eastAsia="serif" w:cs="serif"/>
      <w:sz w:val="21"/>
      <w:szCs w:val="21"/>
    </w:rPr>
  </w:style>
  <w:style w:type="paragraph" w:customStyle="1" w:styleId="4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1">
    <w:name w:val="Body Text 21"/>
    <w:basedOn w:val="1"/>
    <w:qFormat/>
    <w:uiPriority w:val="0"/>
    <w:pPr>
      <w:spacing w:after="120" w:afterLines="0" w:afterAutospacing="0" w:line="480" w:lineRule="auto"/>
    </w:pPr>
    <w:rPr>
      <w:rFonts w:ascii="Calibri" w:hAnsi="Calibri" w:eastAsia="宋体" w:cs="Times New Roman"/>
    </w:rPr>
  </w:style>
  <w:style w:type="paragraph" w:customStyle="1" w:styleId="42">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43">
    <w:name w:val="BodyText"/>
    <w:basedOn w:val="1"/>
    <w:qFormat/>
    <w:uiPriority w:val="0"/>
    <w:pPr>
      <w:tabs>
        <w:tab w:val="left" w:pos="180"/>
      </w:tabs>
      <w:spacing w:line="500" w:lineRule="exact"/>
    </w:pPr>
    <w:rPr>
      <w:sz w:val="32"/>
    </w:rPr>
  </w:style>
  <w:style w:type="paragraph" w:customStyle="1" w:styleId="44">
    <w:name w:val="列出段落1"/>
    <w:basedOn w:val="1"/>
    <w:qFormat/>
    <w:uiPriority w:val="34"/>
    <w:pPr>
      <w:ind w:firstLine="420" w:firstLineChars="200"/>
    </w:pPr>
    <w:rPr>
      <w:rFonts w:ascii="Calibri" w:hAnsi="Calibri"/>
      <w:szCs w:val="22"/>
    </w:rPr>
  </w:style>
  <w:style w:type="character" w:customStyle="1" w:styleId="45">
    <w:name w:val="标题 1 Char"/>
    <w:link w:val="3"/>
    <w:qFormat/>
    <w:uiPriority w:val="0"/>
    <w:rPr>
      <w:rFonts w:ascii="Times New Roman" w:hAnsi="Times New Roman"/>
      <w:b/>
      <w:bCs/>
      <w:kern w:val="44"/>
      <w:sz w:val="36"/>
      <w:szCs w:val="44"/>
      <w:lang w:val="zh-CN" w:eastAsia="zh-CN"/>
    </w:rPr>
  </w:style>
  <w:style w:type="character" w:customStyle="1" w:styleId="46">
    <w:name w:val="标题 2 Char"/>
    <w:link w:val="4"/>
    <w:qFormat/>
    <w:uiPriority w:val="0"/>
    <w:rPr>
      <w:rFonts w:ascii="Arial" w:hAnsi="Arial" w:eastAsia="黑体"/>
      <w:b/>
      <w:bCs/>
      <w:sz w:val="32"/>
      <w:szCs w:val="32"/>
      <w:lang w:val="zh-CN" w:eastAsia="zh-CN"/>
    </w:rPr>
  </w:style>
  <w:style w:type="character" w:customStyle="1" w:styleId="47">
    <w:name w:val="标题 3 Char"/>
    <w:link w:val="5"/>
    <w:qFormat/>
    <w:uiPriority w:val="0"/>
    <w:rPr>
      <w:rFonts w:ascii="Times New Roman" w:hAnsi="Times New Roman"/>
      <w:b/>
      <w:bCs/>
      <w:sz w:val="32"/>
      <w:szCs w:val="32"/>
    </w:rPr>
  </w:style>
  <w:style w:type="character" w:customStyle="1" w:styleId="48">
    <w:name w:val="标题 4 Char"/>
    <w:link w:val="6"/>
    <w:qFormat/>
    <w:uiPriority w:val="0"/>
    <w:rPr>
      <w:rFonts w:ascii="仿宋_GB2312" w:hAnsi="Times New Roman" w:eastAsia="仿宋_GB2312"/>
      <w:sz w:val="28"/>
      <w:szCs w:val="24"/>
    </w:rPr>
  </w:style>
  <w:style w:type="character" w:customStyle="1" w:styleId="49">
    <w:name w:val="标题 5 Char"/>
    <w:link w:val="7"/>
    <w:qFormat/>
    <w:uiPriority w:val="0"/>
    <w:rPr>
      <w:rFonts w:ascii="宋体" w:hAnsi="宋体"/>
      <w:b/>
      <w:kern w:val="21"/>
      <w:sz w:val="28"/>
      <w:lang w:eastAsia="ar-SA"/>
    </w:rPr>
  </w:style>
  <w:style w:type="character" w:customStyle="1" w:styleId="50">
    <w:name w:val="标题 6 Char"/>
    <w:link w:val="8"/>
    <w:qFormat/>
    <w:uiPriority w:val="0"/>
    <w:rPr>
      <w:rFonts w:ascii="Arial" w:hAnsi="Arial" w:eastAsia="黑体"/>
      <w:b/>
      <w:kern w:val="21"/>
      <w:sz w:val="24"/>
      <w:lang w:eastAsia="ar-SA"/>
    </w:rPr>
  </w:style>
  <w:style w:type="character" w:customStyle="1" w:styleId="51">
    <w:name w:val="标题 7 Char"/>
    <w:link w:val="9"/>
    <w:qFormat/>
    <w:uiPriority w:val="0"/>
    <w:rPr>
      <w:rFonts w:ascii="宋体" w:hAnsi="宋体"/>
      <w:b/>
      <w:kern w:val="21"/>
      <w:sz w:val="24"/>
      <w:lang w:eastAsia="ar-SA"/>
    </w:rPr>
  </w:style>
  <w:style w:type="character" w:customStyle="1" w:styleId="52">
    <w:name w:val="标题 8 Char"/>
    <w:link w:val="10"/>
    <w:qFormat/>
    <w:uiPriority w:val="0"/>
    <w:rPr>
      <w:rFonts w:ascii="Arial" w:hAnsi="Arial" w:eastAsia="黑体"/>
      <w:kern w:val="21"/>
      <w:sz w:val="24"/>
      <w:lang w:eastAsia="ar-SA"/>
    </w:rPr>
  </w:style>
  <w:style w:type="character" w:customStyle="1" w:styleId="53">
    <w:name w:val="标题 9 Char"/>
    <w:link w:val="11"/>
    <w:qFormat/>
    <w:uiPriority w:val="0"/>
    <w:rPr>
      <w:rFonts w:ascii="Arial" w:hAnsi="Arial" w:eastAsia="黑体"/>
      <w:kern w:val="21"/>
      <w:sz w:val="21"/>
      <w:lang w:eastAsia="ar-SA"/>
    </w:rPr>
  </w:style>
  <w:style w:type="character" w:customStyle="1" w:styleId="54">
    <w:name w:val="标题 Char"/>
    <w:link w:val="25"/>
    <w:qFormat/>
    <w:uiPriority w:val="99"/>
    <w:rPr>
      <w:rFonts w:ascii="Cambria" w:hAnsi="Cambria" w:eastAsia="方正小标宋简体"/>
      <w:b/>
      <w:bCs/>
      <w:sz w:val="44"/>
      <w:szCs w:val="32"/>
    </w:rPr>
  </w:style>
  <w:style w:type="character" w:customStyle="1" w:styleId="55">
    <w:name w:val="副标题 Char"/>
    <w:link w:val="22"/>
    <w:qFormat/>
    <w:uiPriority w:val="0"/>
    <w:rPr>
      <w:rFonts w:ascii="Cambria" w:hAnsi="Cambria" w:eastAsia="方正楷体简体"/>
      <w:bCs/>
      <w:kern w:val="28"/>
      <w:szCs w:val="32"/>
    </w:rPr>
  </w:style>
  <w:style w:type="character" w:customStyle="1" w:styleId="56">
    <w:name w:val="纯文本 Char"/>
    <w:link w:val="16"/>
    <w:qFormat/>
    <w:uiPriority w:val="99"/>
    <w:rPr>
      <w:rFonts w:ascii="宋体" w:hAnsi="Courier New" w:cs="Courier New"/>
      <w:szCs w:val="21"/>
    </w:rPr>
  </w:style>
  <w:style w:type="paragraph" w:customStyle="1" w:styleId="57">
    <w:name w:val="无间隔1"/>
    <w:link w:val="58"/>
    <w:qFormat/>
    <w:uiPriority w:val="0"/>
    <w:rPr>
      <w:rFonts w:ascii="Calibri" w:hAnsi="Calibri" w:eastAsia="宋体" w:cs="Times New Roman"/>
      <w:sz w:val="22"/>
      <w:lang w:val="en-US" w:eastAsia="zh-CN" w:bidi="ar-SA"/>
    </w:rPr>
  </w:style>
  <w:style w:type="character" w:customStyle="1" w:styleId="58">
    <w:name w:val="无间隔 Char"/>
    <w:link w:val="57"/>
    <w:qFormat/>
    <w:uiPriority w:val="0"/>
    <w:rPr>
      <w:sz w:val="22"/>
    </w:rPr>
  </w:style>
  <w:style w:type="paragraph" w:customStyle="1" w:styleId="59">
    <w:name w:val="列出段落2"/>
    <w:basedOn w:val="1"/>
    <w:qFormat/>
    <w:uiPriority w:val="34"/>
    <w:pPr>
      <w:ind w:firstLine="420" w:firstLineChars="200"/>
    </w:pPr>
    <w:rPr>
      <w:szCs w:val="21"/>
    </w:rPr>
  </w:style>
  <w:style w:type="paragraph" w:customStyle="1" w:styleId="6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1">
    <w:name w:val="正文文本 3 Char"/>
    <w:link w:val="12"/>
    <w:qFormat/>
    <w:uiPriority w:val="0"/>
    <w:rPr>
      <w:rFonts w:ascii="黑体" w:hAnsi="Arial" w:eastAsia="黑体"/>
      <w:b/>
      <w:sz w:val="28"/>
    </w:rPr>
  </w:style>
  <w:style w:type="character" w:customStyle="1" w:styleId="62">
    <w:name w:val="正文文本 3 Char1"/>
    <w:basedOn w:val="29"/>
    <w:semiHidden/>
    <w:qFormat/>
    <w:uiPriority w:val="99"/>
    <w:rPr>
      <w:rFonts w:ascii="Times New Roman" w:hAnsi="Times New Roman"/>
      <w:kern w:val="2"/>
      <w:sz w:val="16"/>
      <w:szCs w:val="16"/>
    </w:rPr>
  </w:style>
  <w:style w:type="character" w:customStyle="1" w:styleId="63">
    <w:name w:val="批注框文本 Char"/>
    <w:basedOn w:val="29"/>
    <w:link w:val="18"/>
    <w:semiHidden/>
    <w:qFormat/>
    <w:uiPriority w:val="99"/>
    <w:rPr>
      <w:rFonts w:ascii="Times New Roman" w:hAnsi="Times New Roman"/>
      <w:kern w:val="2"/>
      <w:sz w:val="18"/>
      <w:szCs w:val="18"/>
    </w:rPr>
  </w:style>
  <w:style w:type="character" w:customStyle="1" w:styleId="64">
    <w:name w:val="正文文本缩进 Char"/>
    <w:basedOn w:val="29"/>
    <w:link w:val="14"/>
    <w:semiHidden/>
    <w:qFormat/>
    <w:uiPriority w:val="99"/>
    <w:rPr>
      <w:rFonts w:ascii="Times New Roman" w:hAnsi="Times New Roman"/>
      <w:kern w:val="2"/>
      <w:sz w:val="28"/>
    </w:rPr>
  </w:style>
  <w:style w:type="character" w:customStyle="1" w:styleId="65">
    <w:name w:val="页眉 Char"/>
    <w:basedOn w:val="29"/>
    <w:link w:val="20"/>
    <w:qFormat/>
    <w:uiPriority w:val="99"/>
    <w:rPr>
      <w:rFonts w:ascii="Times New Roman" w:hAnsi="Times New Roman"/>
      <w:kern w:val="2"/>
      <w:sz w:val="18"/>
      <w:szCs w:val="18"/>
    </w:rPr>
  </w:style>
  <w:style w:type="character" w:customStyle="1" w:styleId="66">
    <w:name w:val="页脚 Char"/>
    <w:basedOn w:val="29"/>
    <w:link w:val="19"/>
    <w:qFormat/>
    <w:uiPriority w:val="99"/>
    <w:rPr>
      <w:rFonts w:ascii="Times New Roman" w:hAnsi="Times New Roman"/>
      <w:kern w:val="2"/>
      <w:sz w:val="18"/>
      <w:szCs w:val="18"/>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strikethrough"/>
    <w:basedOn w:val="29"/>
    <w:qFormat/>
    <w:uiPriority w:val="0"/>
    <w:rPr>
      <w:strike/>
    </w:rPr>
  </w:style>
  <w:style w:type="character" w:customStyle="1" w:styleId="69">
    <w:name w:val="fontborder"/>
    <w:basedOn w:val="29"/>
    <w:qFormat/>
    <w:uiPriority w:val="0"/>
    <w:rPr>
      <w:bdr w:val="single" w:color="000000" w:sz="6" w:space="0"/>
    </w:rPr>
  </w:style>
  <w:style w:type="character" w:customStyle="1" w:styleId="70">
    <w:name w:val="font31"/>
    <w:basedOn w:val="29"/>
    <w:qFormat/>
    <w:uiPriority w:val="0"/>
    <w:rPr>
      <w:rFonts w:hint="eastAsia" w:ascii="宋体" w:hAnsi="宋体" w:eastAsia="宋体" w:cs="宋体"/>
      <w:color w:val="000000"/>
      <w:sz w:val="20"/>
      <w:szCs w:val="20"/>
      <w:u w:val="none"/>
    </w:rPr>
  </w:style>
  <w:style w:type="character" w:customStyle="1" w:styleId="71">
    <w:name w:val="font101"/>
    <w:basedOn w:val="29"/>
    <w:qFormat/>
    <w:uiPriority w:val="0"/>
    <w:rPr>
      <w:rFonts w:hint="eastAsia" w:ascii="宋体" w:hAnsi="宋体" w:eastAsia="宋体" w:cs="宋体"/>
      <w:color w:val="000000"/>
      <w:sz w:val="20"/>
      <w:szCs w:val="20"/>
      <w:u w:val="none"/>
    </w:rPr>
  </w:style>
  <w:style w:type="character" w:customStyle="1" w:styleId="72">
    <w:name w:val="font131"/>
    <w:basedOn w:val="29"/>
    <w:qFormat/>
    <w:uiPriority w:val="0"/>
    <w:rPr>
      <w:rFonts w:hint="eastAsia" w:ascii="宋体" w:hAnsi="宋体" w:eastAsia="宋体" w:cs="宋体"/>
      <w:color w:val="000000"/>
      <w:sz w:val="20"/>
      <w:szCs w:val="20"/>
      <w:u w:val="none"/>
    </w:rPr>
  </w:style>
  <w:style w:type="character" w:customStyle="1" w:styleId="73">
    <w:name w:val="font41"/>
    <w:basedOn w:val="29"/>
    <w:qFormat/>
    <w:uiPriority w:val="0"/>
    <w:rPr>
      <w:rFonts w:ascii="Arial" w:hAnsi="Arial" w:cs="Arial"/>
      <w:color w:val="000000"/>
      <w:sz w:val="20"/>
      <w:szCs w:val="20"/>
      <w:u w:val="none"/>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日期 Char"/>
    <w:basedOn w:val="29"/>
    <w:link w:val="17"/>
    <w:semiHidden/>
    <w:qFormat/>
    <w:uiPriority w:val="99"/>
    <w:rPr>
      <w:rFonts w:ascii="Times New Roman" w:hAnsi="Times New Roman" w:eastAsia="宋体" w:cs="Times New Roman"/>
      <w:kern w:val="2"/>
      <w:sz w:val="28"/>
    </w:rPr>
  </w:style>
  <w:style w:type="paragraph" w:customStyle="1" w:styleId="7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lang w:val="en-US"/>
    </w:rPr>
  </w:style>
  <w:style w:type="character" w:customStyle="1" w:styleId="77">
    <w:name w:val="font11"/>
    <w:basedOn w:val="29"/>
    <w:qFormat/>
    <w:uiPriority w:val="0"/>
    <w:rPr>
      <w:rFonts w:hint="eastAsia" w:ascii="宋体" w:hAnsi="宋体" w:eastAsia="宋体" w:cs="宋体"/>
      <w:color w:val="000000"/>
      <w:sz w:val="22"/>
      <w:szCs w:val="22"/>
      <w:u w:val="none"/>
    </w:rPr>
  </w:style>
  <w:style w:type="paragraph" w:customStyle="1" w:styleId="78">
    <w:name w:val="正文文本 21"/>
    <w:basedOn w:val="1"/>
    <w:qFormat/>
    <w:uiPriority w:val="0"/>
    <w:pPr>
      <w:spacing w:after="120" w:line="480" w:lineRule="auto"/>
    </w:pPr>
    <w:rPr>
      <w:kern w:val="0"/>
      <w:sz w:val="20"/>
    </w:rPr>
  </w:style>
  <w:style w:type="paragraph" w:customStyle="1" w:styleId="79">
    <w:name w:val="Table Paragraph"/>
    <w:basedOn w:val="1"/>
    <w:qFormat/>
    <w:uiPriority w:val="1"/>
    <w:pPr>
      <w:autoSpaceDE w:val="0"/>
      <w:autoSpaceDN w:val="0"/>
      <w:adjustRightInd w:val="0"/>
      <w:jc w:val="left"/>
    </w:pPr>
    <w:rPr>
      <w:rFonts w:eastAsiaTheme="minorEastAsia"/>
      <w:kern w:val="0"/>
      <w:sz w:val="24"/>
      <w:szCs w:val="24"/>
    </w:rPr>
  </w:style>
  <w:style w:type="paragraph" w:customStyle="1" w:styleId="80">
    <w:name w:val="无间隔11"/>
    <w:link w:val="81"/>
    <w:qFormat/>
    <w:uiPriority w:val="99"/>
    <w:rPr>
      <w:rFonts w:ascii="Times New Roman" w:hAnsi="Times New Roman" w:eastAsia="宋体" w:cs="Times New Roman"/>
      <w:sz w:val="22"/>
      <w:lang w:val="en-US" w:eastAsia="zh-CN" w:bidi="ar-SA"/>
    </w:rPr>
  </w:style>
  <w:style w:type="character" w:customStyle="1" w:styleId="81">
    <w:name w:val="No Spacing Char"/>
    <w:link w:val="80"/>
    <w:qFormat/>
    <w:locked/>
    <w:uiPriority w:val="99"/>
    <w:rPr>
      <w:sz w:val="22"/>
    </w:rPr>
  </w:style>
  <w:style w:type="paragraph" w:customStyle="1" w:styleId="82">
    <w:name w:val="formwork_titleleft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3">
    <w:name w:val="apple-converted-space"/>
    <w:basedOn w:val="29"/>
    <w:qFormat/>
    <w:uiPriority w:val="0"/>
  </w:style>
  <w:style w:type="character" w:customStyle="1" w:styleId="84">
    <w:name w:val="正文文本 Char"/>
    <w:basedOn w:val="29"/>
    <w:link w:val="13"/>
    <w:semiHidden/>
    <w:qFormat/>
    <w:uiPriority w:val="99"/>
    <w:rPr>
      <w:rFonts w:asciiTheme="minorHAnsi" w:hAnsiTheme="minorHAnsi" w:eastAsiaTheme="minorEastAsia" w:cstheme="minorBidi"/>
      <w:kern w:val="2"/>
      <w:sz w:val="21"/>
      <w:szCs w:val="22"/>
    </w:rPr>
  </w:style>
  <w:style w:type="character" w:customStyle="1" w:styleId="85">
    <w:name w:val="正文首行缩进 Char"/>
    <w:basedOn w:val="84"/>
    <w:link w:val="26"/>
    <w:qFormat/>
    <w:uiPriority w:val="0"/>
  </w:style>
  <w:style w:type="paragraph" w:customStyle="1" w:styleId="86">
    <w:name w:val="List Paragraph"/>
    <w:basedOn w:val="1"/>
    <w:unhideWhenUsed/>
    <w:qFormat/>
    <w:uiPriority w:val="99"/>
    <w:pPr>
      <w:ind w:firstLine="420" w:firstLineChars="200"/>
    </w:pPr>
  </w:style>
  <w:style w:type="character" w:customStyle="1" w:styleId="87">
    <w:name w:val="NormalCharacter"/>
    <w:link w:val="1"/>
    <w:qFormat/>
    <w:uiPriority w:val="0"/>
    <w:rPr>
      <w:rFonts w:ascii="Times New Roman" w:hAnsi="Times New Roman" w:eastAsia="宋体" w:cs="Times New Roman"/>
      <w:kern w:val="2"/>
      <w:sz w:val="28"/>
      <w:lang w:val="en-US" w:eastAsia="zh-CN" w:bidi="ar-SA"/>
    </w:rPr>
  </w:style>
  <w:style w:type="character" w:customStyle="1" w:styleId="88">
    <w:name w:val="UserStyle_1"/>
    <w:link w:val="89"/>
    <w:qFormat/>
    <w:uiPriority w:val="0"/>
    <w:rPr>
      <w:rFonts w:ascii="Arial" w:hAnsi="Arial" w:eastAsia="黑体"/>
      <w:b/>
      <w:sz w:val="32"/>
    </w:rPr>
  </w:style>
  <w:style w:type="paragraph" w:customStyle="1" w:styleId="89">
    <w:name w:val="Heading2"/>
    <w:basedOn w:val="1"/>
    <w:next w:val="1"/>
    <w:link w:val="88"/>
    <w:qFormat/>
    <w:uiPriority w:val="0"/>
    <w:pPr>
      <w:keepNext/>
      <w:keepLines/>
      <w:spacing w:before="260" w:after="260"/>
      <w:jc w:val="center"/>
    </w:pPr>
    <w:rPr>
      <w:rFonts w:ascii="Arial" w:hAnsi="Arial" w:eastAsia="黑体"/>
      <w:b/>
      <w:sz w:val="32"/>
    </w:rPr>
  </w:style>
  <w:style w:type="paragraph" w:customStyle="1" w:styleId="90">
    <w:name w:val="PlainText"/>
    <w:basedOn w:val="1"/>
    <w:qFormat/>
    <w:uiPriority w:val="0"/>
    <w:rPr>
      <w:rFonts w:ascii="宋体" w:hAnsi="Courier New"/>
      <w:szCs w:val="21"/>
    </w:rPr>
  </w:style>
  <w:style w:type="paragraph" w:customStyle="1" w:styleId="91">
    <w:name w:val="UserStyle_6"/>
    <w:basedOn w:val="1"/>
    <w:qFormat/>
    <w:uiPriority w:val="0"/>
    <w:pPr>
      <w:spacing w:after="120" w:line="480" w:lineRule="auto"/>
      <w:ind w:left="420" w:leftChars="200"/>
    </w:pPr>
  </w:style>
  <w:style w:type="paragraph" w:customStyle="1" w:styleId="92">
    <w:name w:val="Normal_1"/>
    <w:qFormat/>
    <w:uiPriority w:val="0"/>
    <w:rPr>
      <w:rFonts w:asciiTheme="minorHAnsi" w:hAnsiTheme="minorHAnsi" w:eastAsiaTheme="minorEastAsia" w:cstheme="minorBidi"/>
      <w:sz w:val="24"/>
      <w:szCs w:val="24"/>
      <w:lang w:val="en-US" w:eastAsia="zh-CN" w:bidi="ar-SA"/>
    </w:rPr>
  </w:style>
  <w:style w:type="paragraph" w:customStyle="1" w:styleId="93">
    <w:name w:val="正文文本缩进 22"/>
    <w:basedOn w:val="1"/>
    <w:qFormat/>
    <w:uiPriority w:val="0"/>
    <w:pPr>
      <w:spacing w:line="480" w:lineRule="auto"/>
      <w:ind w:left="420" w:left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CD98D-EEAE-44B8-91F0-B823AC7DB31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70</Pages>
  <Words>5814</Words>
  <Characters>33145</Characters>
  <Lines>276</Lines>
  <Paragraphs>77</Paragraphs>
  <TotalTime>1</TotalTime>
  <ScaleCrop>false</ScaleCrop>
  <LinksUpToDate>false</LinksUpToDate>
  <CharactersWithSpaces>38882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2018-11-07T09:22:00Z</dcterms:created>
  <dc:creator>Administrator</dc:creator>
  <cp:lastModifiedBy>♔ ゛S</cp:lastModifiedBy>
  <cp:lastPrinted>2020-04-03T08:52:00Z</cp:lastPrinted>
  <dcterms:modified xsi:type="dcterms:W3CDTF">2020-04-03T09:14:20Z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