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spacing w:val="36"/>
          <w:w w:val="66"/>
          <w:szCs w:val="28"/>
        </w:rPr>
      </w:pPr>
    </w:p>
    <w:p>
      <w:pPr>
        <w:tabs>
          <w:tab w:val="left" w:pos="420"/>
        </w:tabs>
        <w:spacing w:line="360" w:lineRule="auto"/>
        <w:jc w:val="center"/>
        <w:rPr>
          <w:rFonts w:ascii="宋体" w:hAnsi="宋体"/>
          <w:b/>
          <w:bCs/>
          <w:spacing w:val="36"/>
          <w:w w:val="66"/>
          <w:sz w:val="72"/>
          <w:szCs w:val="72"/>
        </w:rPr>
      </w:pPr>
      <w:r>
        <w:rPr>
          <w:rFonts w:hint="eastAsia" w:ascii="宋体" w:hAnsi="宋体"/>
          <w:b/>
          <w:bCs/>
          <w:spacing w:val="36"/>
          <w:w w:val="66"/>
          <w:sz w:val="72"/>
          <w:szCs w:val="72"/>
        </w:rPr>
        <w:t>鄂尔多斯市杭锦旗公共资源交易中心</w:t>
      </w:r>
    </w:p>
    <w:p>
      <w:pPr>
        <w:tabs>
          <w:tab w:val="left" w:pos="315"/>
          <w:tab w:val="left" w:pos="8820"/>
        </w:tabs>
        <w:spacing w:line="360" w:lineRule="auto"/>
        <w:ind w:right="356" w:rightChars="127"/>
        <w:rPr>
          <w:rFonts w:ascii="宋体" w:hAnsi="宋体"/>
          <w:b/>
          <w:bCs/>
          <w:sz w:val="72"/>
          <w:szCs w:val="72"/>
        </w:rPr>
      </w:pPr>
    </w:p>
    <w:p>
      <w:pPr>
        <w:tabs>
          <w:tab w:val="left" w:pos="315"/>
          <w:tab w:val="left" w:pos="8820"/>
        </w:tabs>
        <w:spacing w:line="360" w:lineRule="auto"/>
        <w:ind w:right="356" w:rightChars="127"/>
        <w:jc w:val="center"/>
        <w:rPr>
          <w:rFonts w:ascii="宋体" w:hAnsi="宋体"/>
          <w:b/>
          <w:bCs/>
          <w:sz w:val="72"/>
          <w:szCs w:val="72"/>
        </w:rPr>
      </w:pPr>
      <w:r>
        <w:rPr>
          <w:rFonts w:hint="eastAsia" w:ascii="宋体" w:hAnsi="宋体"/>
          <w:b/>
          <w:bCs/>
          <w:sz w:val="72"/>
          <w:szCs w:val="72"/>
        </w:rPr>
        <w:t>竞争性谈判文件</w:t>
      </w:r>
    </w:p>
    <w:p>
      <w:pPr>
        <w:tabs>
          <w:tab w:val="left" w:pos="315"/>
          <w:tab w:val="left" w:pos="8820"/>
        </w:tabs>
        <w:spacing w:line="360" w:lineRule="auto"/>
        <w:ind w:right="356" w:rightChars="127"/>
        <w:rPr>
          <w:rFonts w:ascii="宋体" w:hAnsi="宋体"/>
          <w:b/>
          <w:bCs/>
          <w:szCs w:val="28"/>
        </w:rPr>
      </w:pPr>
    </w:p>
    <w:p>
      <w:pPr>
        <w:tabs>
          <w:tab w:val="left" w:pos="315"/>
          <w:tab w:val="left" w:pos="8820"/>
        </w:tabs>
        <w:spacing w:line="360" w:lineRule="auto"/>
        <w:ind w:right="356" w:rightChars="127"/>
        <w:jc w:val="center"/>
        <w:rPr>
          <w:rFonts w:ascii="宋体" w:hAnsi="宋体"/>
          <w:szCs w:val="28"/>
        </w:rPr>
      </w:pPr>
      <w:r>
        <w:rPr>
          <w:rFonts w:ascii="宋体" w:hAnsi="宋体"/>
          <w:szCs w:val="28"/>
        </w:rPr>
        <w:drawing>
          <wp:inline distT="0" distB="0" distL="0" distR="0">
            <wp:extent cx="2237105" cy="1677670"/>
            <wp:effectExtent l="0" t="0" r="0" b="0"/>
            <wp:docPr id="2" name="图片 2" descr="终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终稿"/>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37105" cy="1677670"/>
                    </a:xfrm>
                    <a:prstGeom prst="rect">
                      <a:avLst/>
                    </a:prstGeom>
                    <a:noFill/>
                    <a:ln>
                      <a:noFill/>
                    </a:ln>
                  </pic:spPr>
                </pic:pic>
              </a:graphicData>
            </a:graphic>
          </wp:inline>
        </w:drawing>
      </w:r>
    </w:p>
    <w:p>
      <w:pPr>
        <w:tabs>
          <w:tab w:val="left" w:pos="315"/>
          <w:tab w:val="left" w:pos="8820"/>
        </w:tabs>
        <w:spacing w:beforeLines="100" w:afterLines="50" w:line="360" w:lineRule="auto"/>
        <w:ind w:right="356" w:rightChars="127"/>
        <w:jc w:val="center"/>
        <w:rPr>
          <w:rFonts w:ascii="宋体" w:hAnsi="宋体"/>
          <w:b/>
          <w:szCs w:val="28"/>
        </w:rPr>
      </w:pPr>
      <w:r>
        <w:rPr>
          <w:rFonts w:hint="eastAsia" w:ascii="宋体" w:hAnsi="宋体"/>
          <w:b/>
          <w:szCs w:val="28"/>
        </w:rPr>
        <w:t>服务类</w:t>
      </w:r>
    </w:p>
    <w:p>
      <w:pPr>
        <w:tabs>
          <w:tab w:val="left" w:pos="315"/>
          <w:tab w:val="left" w:pos="8820"/>
        </w:tabs>
        <w:spacing w:line="360" w:lineRule="auto"/>
        <w:ind w:right="356" w:rightChars="127"/>
        <w:rPr>
          <w:rFonts w:ascii="宋体" w:hAnsi="宋体"/>
          <w:szCs w:val="28"/>
        </w:rPr>
      </w:pPr>
    </w:p>
    <w:p>
      <w:pPr>
        <w:tabs>
          <w:tab w:val="left" w:pos="315"/>
          <w:tab w:val="left" w:pos="8820"/>
        </w:tabs>
        <w:spacing w:line="360" w:lineRule="auto"/>
        <w:ind w:right="356" w:rightChars="127"/>
        <w:rPr>
          <w:rFonts w:ascii="宋体" w:hAnsi="宋体"/>
          <w:szCs w:val="28"/>
        </w:rPr>
      </w:pPr>
      <w:r>
        <w:rPr>
          <w:rFonts w:hint="eastAsia" w:ascii="宋体" w:hAnsi="宋体"/>
          <w:szCs w:val="28"/>
        </w:rPr>
        <w:t xml:space="preserve">    </w:t>
      </w:r>
    </w:p>
    <w:p>
      <w:pPr>
        <w:pStyle w:val="16"/>
        <w:spacing w:line="360" w:lineRule="auto"/>
        <w:ind w:left="2476" w:leftChars="337" w:hanging="1532" w:hangingChars="545"/>
        <w:rPr>
          <w:rFonts w:hint="eastAsia" w:ascii="宋体" w:hAnsi="宋体" w:eastAsia="宋体"/>
          <w:szCs w:val="28"/>
        </w:rPr>
      </w:pPr>
    </w:p>
    <w:p>
      <w:pPr>
        <w:pStyle w:val="16"/>
        <w:spacing w:line="360" w:lineRule="auto"/>
        <w:ind w:left="2476" w:leftChars="337" w:hanging="1532" w:hangingChars="545"/>
        <w:rPr>
          <w:rFonts w:hint="eastAsia" w:ascii="宋体" w:hAnsi="宋体" w:eastAsia="宋体"/>
          <w:szCs w:val="28"/>
        </w:rPr>
      </w:pPr>
    </w:p>
    <w:p>
      <w:pPr>
        <w:pStyle w:val="16"/>
        <w:spacing w:line="360" w:lineRule="auto"/>
        <w:ind w:left="2476" w:leftChars="337" w:hanging="1532" w:hangingChars="545"/>
        <w:rPr>
          <w:rFonts w:ascii="宋体" w:hAnsi="宋体" w:eastAsia="宋体"/>
          <w:szCs w:val="28"/>
        </w:rPr>
      </w:pPr>
      <w:r>
        <w:rPr>
          <w:rFonts w:hint="eastAsia" w:ascii="宋体" w:hAnsi="宋体" w:eastAsia="宋体"/>
          <w:szCs w:val="28"/>
        </w:rPr>
        <w:t>项目名称：杭锦旗人民检察院采购物业管理服务项目</w:t>
      </w:r>
    </w:p>
    <w:p>
      <w:pPr>
        <w:pStyle w:val="16"/>
        <w:spacing w:line="360" w:lineRule="auto"/>
        <w:ind w:left="2335" w:leftChars="337" w:hanging="1391" w:hangingChars="495"/>
        <w:rPr>
          <w:rFonts w:ascii="宋体" w:hAnsi="宋体" w:eastAsia="宋体"/>
          <w:szCs w:val="28"/>
        </w:rPr>
      </w:pPr>
      <w:r>
        <w:rPr>
          <w:rFonts w:hint="eastAsia" w:ascii="宋体" w:hAnsi="宋体" w:eastAsia="宋体"/>
          <w:szCs w:val="28"/>
        </w:rPr>
        <w:t>项目编号：CG2020FTP074</w:t>
      </w:r>
    </w:p>
    <w:p>
      <w:pPr>
        <w:pStyle w:val="16"/>
        <w:spacing w:line="360" w:lineRule="auto"/>
        <w:ind w:left="2335" w:leftChars="337" w:hanging="1391" w:hangingChars="495"/>
        <w:rPr>
          <w:rFonts w:ascii="宋体" w:hAnsi="宋体" w:eastAsia="宋体"/>
          <w:szCs w:val="28"/>
        </w:rPr>
      </w:pPr>
    </w:p>
    <w:p>
      <w:pPr>
        <w:pStyle w:val="16"/>
        <w:spacing w:line="360" w:lineRule="auto"/>
        <w:ind w:firstLine="2389" w:firstLineChars="850"/>
        <w:rPr>
          <w:rFonts w:hint="eastAsia" w:ascii="宋体" w:hAnsi="宋体" w:eastAsia="宋体"/>
          <w:szCs w:val="28"/>
          <w:lang w:eastAsia="zh-CN"/>
        </w:rPr>
      </w:pPr>
      <w:r>
        <w:rPr>
          <w:rFonts w:hint="eastAsia" w:ascii="宋体" w:hAnsi="宋体" w:eastAsia="宋体"/>
          <w:szCs w:val="28"/>
        </w:rPr>
        <w:t xml:space="preserve">    </w:t>
      </w:r>
      <w:bookmarkStart w:id="0" w:name="_Toc266431005"/>
      <w:bookmarkStart w:id="1" w:name="_Toc266431113"/>
      <w:r>
        <w:rPr>
          <w:rFonts w:hint="eastAsia" w:ascii="宋体" w:hAnsi="宋体" w:eastAsia="宋体"/>
          <w:szCs w:val="28"/>
        </w:rPr>
        <w:t>2020年</w:t>
      </w:r>
      <w:r>
        <w:rPr>
          <w:rFonts w:hint="eastAsia" w:ascii="宋体" w:hAnsi="宋体" w:eastAsia="宋体"/>
          <w:szCs w:val="28"/>
          <w:lang w:eastAsia="zh-CN"/>
        </w:rPr>
        <w:t>3月25日</w:t>
      </w:r>
    </w:p>
    <w:p>
      <w:pPr>
        <w:pStyle w:val="16"/>
        <w:spacing w:line="360" w:lineRule="auto"/>
        <w:rPr>
          <w:rFonts w:ascii="宋体" w:hAnsi="宋体" w:eastAsia="宋体"/>
          <w:szCs w:val="28"/>
        </w:rPr>
      </w:pPr>
    </w:p>
    <w:p>
      <w:pPr>
        <w:pStyle w:val="67"/>
        <w:keepNext w:val="0"/>
        <w:keepLines w:val="0"/>
        <w:spacing w:before="0" w:line="360" w:lineRule="auto"/>
        <w:jc w:val="center"/>
        <w:rPr>
          <w:rFonts w:ascii="宋体" w:hAnsi="宋体"/>
          <w:color w:val="auto"/>
        </w:rPr>
      </w:pPr>
    </w:p>
    <w:p>
      <w:pPr>
        <w:pStyle w:val="67"/>
        <w:keepNext w:val="0"/>
        <w:keepLines w:val="0"/>
        <w:spacing w:before="0" w:line="360" w:lineRule="auto"/>
        <w:jc w:val="center"/>
        <w:rPr>
          <w:rFonts w:ascii="宋体" w:hAnsi="宋体"/>
          <w:color w:val="auto"/>
        </w:rPr>
      </w:pPr>
    </w:p>
    <w:p>
      <w:pPr>
        <w:pStyle w:val="67"/>
        <w:keepNext w:val="0"/>
        <w:keepLines w:val="0"/>
        <w:spacing w:before="0" w:line="360" w:lineRule="auto"/>
        <w:jc w:val="center"/>
        <w:rPr>
          <w:rFonts w:ascii="宋体" w:hAnsi="宋体"/>
          <w:color w:val="auto"/>
        </w:rPr>
      </w:pPr>
    </w:p>
    <w:p>
      <w:pPr>
        <w:pStyle w:val="67"/>
        <w:keepNext w:val="0"/>
        <w:keepLines w:val="0"/>
        <w:spacing w:before="0" w:line="360" w:lineRule="auto"/>
        <w:jc w:val="center"/>
        <w:rPr>
          <w:rFonts w:ascii="宋体" w:hAnsi="宋体"/>
          <w:color w:val="auto"/>
        </w:rPr>
      </w:pPr>
      <w:r>
        <w:rPr>
          <w:rFonts w:hint="eastAsia" w:ascii="宋体" w:hAnsi="宋体"/>
          <w:color w:val="auto"/>
        </w:rPr>
        <w:t>目   录</w:t>
      </w:r>
    </w:p>
    <w:p>
      <w:pPr>
        <w:pStyle w:val="29"/>
        <w:tabs>
          <w:tab w:val="right" w:leader="dot" w:pos="9402"/>
        </w:tabs>
        <w:rPr>
          <w:rFonts w:asciiTheme="minorHAnsi" w:hAnsiTheme="minorHAnsi" w:eastAsiaTheme="minorEastAsia" w:cstheme="minorBidi"/>
          <w:b w:val="0"/>
          <w:bCs w:val="0"/>
          <w:caps w:val="0"/>
          <w:sz w:val="21"/>
          <w:szCs w:val="22"/>
        </w:rPr>
      </w:pPr>
      <w:r>
        <w:rPr>
          <w:rFonts w:ascii="宋体" w:hAnsi="宋体"/>
          <w:b w:val="0"/>
          <w:szCs w:val="28"/>
        </w:rPr>
        <w:fldChar w:fldCharType="begin"/>
      </w:r>
      <w:r>
        <w:rPr>
          <w:rFonts w:ascii="宋体" w:hAnsi="宋体"/>
          <w:b w:val="0"/>
          <w:szCs w:val="28"/>
        </w:rPr>
        <w:instrText xml:space="preserve"> TOC \o "1-3" \h \z \u </w:instrText>
      </w:r>
      <w:r>
        <w:rPr>
          <w:rFonts w:ascii="宋体" w:hAnsi="宋体"/>
          <w:b w:val="0"/>
          <w:szCs w:val="28"/>
        </w:rPr>
        <w:fldChar w:fldCharType="separate"/>
      </w:r>
      <w:r>
        <w:fldChar w:fldCharType="begin"/>
      </w:r>
      <w:r>
        <w:instrText xml:space="preserve"> HYPERLINK \l "_Toc497726578" </w:instrText>
      </w:r>
      <w:r>
        <w:fldChar w:fldCharType="separate"/>
      </w:r>
      <w:r>
        <w:rPr>
          <w:rStyle w:val="49"/>
          <w:rFonts w:hint="eastAsia" w:ascii="宋体" w:hAnsi="宋体"/>
          <w:color w:val="auto"/>
        </w:rPr>
        <w:t>第一章</w:t>
      </w:r>
      <w:r>
        <w:rPr>
          <w:rStyle w:val="49"/>
          <w:rFonts w:ascii="宋体" w:hAnsi="宋体"/>
          <w:color w:val="auto"/>
        </w:rPr>
        <w:t xml:space="preserve"> </w:t>
      </w:r>
      <w:r>
        <w:rPr>
          <w:rStyle w:val="49"/>
          <w:rFonts w:hint="eastAsia" w:ascii="宋体" w:hAnsi="宋体"/>
          <w:color w:val="auto"/>
        </w:rPr>
        <w:t>采购公告</w:t>
      </w:r>
      <w:r>
        <w:tab/>
      </w:r>
      <w:r>
        <w:fldChar w:fldCharType="begin"/>
      </w:r>
      <w:r>
        <w:instrText xml:space="preserve"> PAGEREF _Toc497726578 \h </w:instrText>
      </w:r>
      <w:r>
        <w:fldChar w:fldCharType="separate"/>
      </w:r>
      <w:r>
        <w:t>3</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"_Toc497726579" </w:instrText>
      </w:r>
      <w:r>
        <w:fldChar w:fldCharType="separate"/>
      </w:r>
      <w:r>
        <w:rPr>
          <w:rStyle w:val="49"/>
          <w:rFonts w:hint="eastAsia" w:ascii="宋体" w:hAnsi="宋体"/>
          <w:color w:val="auto"/>
        </w:rPr>
        <w:t>第二章</w:t>
      </w:r>
      <w:r>
        <w:rPr>
          <w:rStyle w:val="49"/>
          <w:rFonts w:ascii="宋体" w:hAnsi="宋体"/>
          <w:color w:val="auto"/>
        </w:rPr>
        <w:t xml:space="preserve"> </w:t>
      </w:r>
      <w:r>
        <w:rPr>
          <w:rStyle w:val="49"/>
          <w:rFonts w:hint="eastAsia" w:ascii="宋体" w:hAnsi="宋体"/>
          <w:color w:val="auto"/>
        </w:rPr>
        <w:t>供应商须知</w:t>
      </w:r>
      <w:r>
        <w:tab/>
      </w:r>
      <w:r>
        <w:fldChar w:fldCharType="begin"/>
      </w:r>
      <w:r>
        <w:instrText xml:space="preserve"> PAGEREF _Toc497726579 \h </w:instrText>
      </w:r>
      <w:r>
        <w:fldChar w:fldCharType="separate"/>
      </w:r>
      <w:r>
        <w:t>5</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"_Toc497726580" </w:instrText>
      </w:r>
      <w:r>
        <w:fldChar w:fldCharType="separate"/>
      </w:r>
      <w:r>
        <w:rPr>
          <w:rStyle w:val="49"/>
          <w:rFonts w:hint="eastAsia" w:ascii="宋体" w:hAnsi="宋体" w:cs="宋体"/>
          <w:color w:val="auto"/>
        </w:rPr>
        <w:t>第三章</w:t>
      </w:r>
      <w:r>
        <w:rPr>
          <w:rStyle w:val="49"/>
          <w:rFonts w:ascii="宋体" w:hAnsi="宋体" w:cs="宋体"/>
          <w:color w:val="auto"/>
        </w:rPr>
        <w:t xml:space="preserve"> </w:t>
      </w:r>
      <w:r>
        <w:rPr>
          <w:rStyle w:val="49"/>
          <w:rFonts w:hint="eastAsia" w:ascii="宋体" w:hAnsi="宋体" w:cs="宋体"/>
          <w:color w:val="auto"/>
        </w:rPr>
        <w:t>合同与验收</w:t>
      </w:r>
      <w:r>
        <w:tab/>
      </w:r>
      <w:r>
        <w:fldChar w:fldCharType="begin"/>
      </w:r>
      <w:r>
        <w:instrText xml:space="preserve"> PAGEREF _Toc497726580 \h </w:instrText>
      </w:r>
      <w:r>
        <w:fldChar w:fldCharType="separate"/>
      </w:r>
      <w:r>
        <w:t>17</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"_Toc497726581" </w:instrText>
      </w:r>
      <w:r>
        <w:fldChar w:fldCharType="separate"/>
      </w:r>
      <w:r>
        <w:rPr>
          <w:rStyle w:val="49"/>
          <w:rFonts w:hint="eastAsia" w:ascii="宋体" w:hAnsi="宋体"/>
          <w:color w:val="auto"/>
        </w:rPr>
        <w:t>第四章</w:t>
      </w:r>
      <w:r>
        <w:rPr>
          <w:rStyle w:val="49"/>
          <w:rFonts w:ascii="宋体" w:hAnsi="宋体"/>
          <w:color w:val="auto"/>
        </w:rPr>
        <w:t xml:space="preserve"> </w:t>
      </w:r>
      <w:r>
        <w:rPr>
          <w:rStyle w:val="49"/>
          <w:rFonts w:hint="eastAsia" w:ascii="宋体" w:hAnsi="宋体"/>
          <w:color w:val="auto"/>
        </w:rPr>
        <w:t>谈判内容与服务需求</w:t>
      </w:r>
      <w:r>
        <w:tab/>
      </w:r>
      <w:r>
        <w:fldChar w:fldCharType="begin"/>
      </w:r>
      <w:r>
        <w:instrText xml:space="preserve"> PAGEREF _Toc497726581 \h </w:instrText>
      </w:r>
      <w:r>
        <w:fldChar w:fldCharType="separate"/>
      </w:r>
      <w:r>
        <w:t>20</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"_Toc497726582" </w:instrText>
      </w:r>
      <w:r>
        <w:fldChar w:fldCharType="separate"/>
      </w:r>
      <w:r>
        <w:rPr>
          <w:rStyle w:val="49"/>
          <w:rFonts w:hint="eastAsia" w:ascii="宋体" w:hAnsi="宋体"/>
          <w:color w:val="auto"/>
        </w:rPr>
        <w:t>第五章</w:t>
      </w:r>
      <w:r>
        <w:rPr>
          <w:rStyle w:val="49"/>
          <w:rFonts w:ascii="宋体" w:hAnsi="宋体"/>
          <w:color w:val="auto"/>
        </w:rPr>
        <w:t xml:space="preserve"> </w:t>
      </w:r>
      <w:r>
        <w:rPr>
          <w:rStyle w:val="49"/>
          <w:rFonts w:hint="eastAsia" w:ascii="宋体" w:hAnsi="宋体"/>
          <w:color w:val="auto"/>
        </w:rPr>
        <w:t>供应商资格证明及相关文件要求</w:t>
      </w:r>
      <w:r>
        <w:tab/>
      </w:r>
      <w:r>
        <w:fldChar w:fldCharType="begin"/>
      </w:r>
      <w:r>
        <w:instrText xml:space="preserve"> PAGEREF _Toc497726582 \h </w:instrText>
      </w:r>
      <w:r>
        <w:fldChar w:fldCharType="separate"/>
      </w:r>
      <w:r>
        <w:t>21</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"_Toc497726583" </w:instrText>
      </w:r>
      <w:r>
        <w:fldChar w:fldCharType="separate"/>
      </w:r>
      <w:r>
        <w:rPr>
          <w:rStyle w:val="49"/>
          <w:rFonts w:hint="eastAsia" w:ascii="宋体" w:hAnsi="宋体"/>
          <w:color w:val="auto"/>
        </w:rPr>
        <w:t>第六章</w:t>
      </w:r>
      <w:r>
        <w:rPr>
          <w:rStyle w:val="49"/>
          <w:rFonts w:ascii="宋体" w:hAnsi="宋体"/>
          <w:color w:val="auto"/>
        </w:rPr>
        <w:t xml:space="preserve"> </w:t>
      </w:r>
      <w:r>
        <w:rPr>
          <w:rStyle w:val="49"/>
          <w:rFonts w:hint="eastAsia" w:ascii="宋体" w:hAnsi="宋体"/>
          <w:color w:val="auto"/>
        </w:rPr>
        <w:t>谈判程序及方法</w:t>
      </w:r>
      <w:r>
        <w:tab/>
      </w:r>
      <w:r>
        <w:fldChar w:fldCharType="begin"/>
      </w:r>
      <w:r>
        <w:instrText xml:space="preserve"> PAGEREF _Toc497726583 \h </w:instrText>
      </w:r>
      <w:r>
        <w:fldChar w:fldCharType="separate"/>
      </w:r>
      <w:r>
        <w:t>22</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"_Toc497726584" </w:instrText>
      </w:r>
      <w:r>
        <w:fldChar w:fldCharType="separate"/>
      </w:r>
      <w:r>
        <w:rPr>
          <w:rStyle w:val="49"/>
          <w:rFonts w:hint="eastAsia" w:ascii="宋体" w:hAnsi="宋体"/>
          <w:color w:val="auto"/>
        </w:rPr>
        <w:t>第七章</w:t>
      </w:r>
      <w:r>
        <w:rPr>
          <w:rStyle w:val="49"/>
          <w:rFonts w:ascii="宋体" w:hAnsi="宋体"/>
          <w:color w:val="auto"/>
        </w:rPr>
        <w:t xml:space="preserve"> </w:t>
      </w:r>
      <w:r>
        <w:rPr>
          <w:rStyle w:val="49"/>
          <w:rFonts w:hint="eastAsia" w:ascii="宋体" w:hAnsi="宋体"/>
          <w:color w:val="auto"/>
        </w:rPr>
        <w:t>响应文件格式与要求</w:t>
      </w:r>
      <w:r>
        <w:tab/>
      </w:r>
      <w:r>
        <w:fldChar w:fldCharType="begin"/>
      </w:r>
      <w:r>
        <w:instrText xml:space="preserve"> PAGEREF _Toc497726584 \h </w:instrText>
      </w:r>
      <w:r>
        <w:fldChar w:fldCharType="separate"/>
      </w:r>
      <w:r>
        <w:t>26</w:t>
      </w:r>
      <w:r>
        <w:fldChar w:fldCharType="end"/>
      </w:r>
      <w:r>
        <w:fldChar w:fldCharType="end"/>
      </w:r>
    </w:p>
    <w:p>
      <w:pPr>
        <w:pStyle w:val="29"/>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"_Toc497726585" </w:instrText>
      </w:r>
      <w:r>
        <w:fldChar w:fldCharType="separate"/>
      </w:r>
      <w:r>
        <w:rPr>
          <w:rStyle w:val="49"/>
          <w:rFonts w:hint="eastAsia" w:ascii="宋体" w:hAnsi="宋体"/>
          <w:color w:val="auto"/>
        </w:rPr>
        <w:t>温馨提示</w:t>
      </w:r>
      <w:r>
        <w:tab/>
      </w:r>
      <w:r>
        <w:fldChar w:fldCharType="begin"/>
      </w:r>
      <w:r>
        <w:instrText xml:space="preserve"> PAGEREF _Toc497726585 \h </w:instrText>
      </w:r>
      <w:r>
        <w:fldChar w:fldCharType="separate"/>
      </w:r>
      <w:r>
        <w:t>52</w:t>
      </w:r>
      <w:r>
        <w:fldChar w:fldCharType="end"/>
      </w:r>
      <w:r>
        <w:fldChar w:fldCharType="end"/>
      </w:r>
    </w:p>
    <w:p>
      <w:pPr>
        <w:pStyle w:val="2"/>
        <w:keepNext w:val="0"/>
        <w:keepLines w:val="0"/>
        <w:spacing w:line="360" w:lineRule="auto"/>
        <w:jc w:val="both"/>
        <w:rPr>
          <w:rFonts w:ascii="宋体" w:hAnsi="宋体"/>
          <w:b w:val="0"/>
          <w:sz w:val="28"/>
          <w:szCs w:val="28"/>
        </w:rPr>
      </w:pPr>
      <w:r>
        <w:rPr>
          <w:rFonts w:ascii="宋体" w:hAnsi="宋体"/>
          <w:b w:val="0"/>
          <w:sz w:val="28"/>
          <w:szCs w:val="28"/>
        </w:rPr>
        <w:fldChar w:fldCharType="end"/>
      </w:r>
      <w:bookmarkEnd w:id="0"/>
      <w:bookmarkEnd w:id="1"/>
      <w:bookmarkStart w:id="2" w:name="_Toc266431116"/>
      <w:bookmarkStart w:id="3" w:name="_Toc253045125"/>
    </w:p>
    <w:p>
      <w:pPr>
        <w:widowControl/>
        <w:jc w:val="left"/>
        <w:rPr>
          <w:rFonts w:ascii="宋体" w:hAnsi="宋体"/>
          <w:b/>
          <w:szCs w:val="28"/>
        </w:rPr>
      </w:pPr>
      <w:r>
        <w:rPr>
          <w:rFonts w:ascii="宋体" w:hAnsi="宋体"/>
          <w:b/>
          <w:szCs w:val="28"/>
        </w:rPr>
        <w:br w:type="page"/>
      </w:r>
    </w:p>
    <w:p>
      <w:pPr>
        <w:widowControl/>
        <w:ind w:firstLine="3373" w:firstLineChars="1200"/>
        <w:jc w:val="left"/>
        <w:outlineLvl w:val="0"/>
        <w:rPr>
          <w:rFonts w:ascii="宋体" w:hAnsi="宋体"/>
          <w:b/>
          <w:szCs w:val="28"/>
        </w:rPr>
      </w:pPr>
      <w:bookmarkStart w:id="4" w:name="_Toc497726578"/>
      <w:r>
        <w:rPr>
          <w:rFonts w:hint="eastAsia" w:ascii="宋体" w:hAnsi="宋体"/>
          <w:b/>
          <w:szCs w:val="28"/>
        </w:rPr>
        <w:t>第一章 采购公告</w:t>
      </w:r>
      <w:bookmarkEnd w:id="4"/>
    </w:p>
    <w:p>
      <w:pPr>
        <w:widowControl/>
        <w:ind w:firstLine="1928" w:firstLineChars="800"/>
        <w:jc w:val="left"/>
        <w:rPr>
          <w:rFonts w:ascii="宋体"/>
          <w:b/>
          <w:sz w:val="24"/>
          <w:szCs w:val="24"/>
        </w:rPr>
      </w:pPr>
      <w:bookmarkStart w:id="5" w:name="_Toc497726579"/>
      <w:r>
        <w:rPr>
          <w:rFonts w:hint="eastAsia" w:ascii="宋体"/>
          <w:b/>
          <w:sz w:val="24"/>
          <w:szCs w:val="24"/>
        </w:rPr>
        <w:t>杭锦旗人民检察院采购物业管理服务项目竞争性谈判公告</w:t>
      </w:r>
    </w:p>
    <w:p>
      <w:pPr>
        <w:widowControl/>
        <w:ind w:firstLine="1960" w:firstLineChars="700"/>
        <w:jc w:val="left"/>
        <w:rPr>
          <w:rFonts w:ascii="宋体"/>
          <w:bCs/>
          <w:kern w:val="44"/>
          <w:szCs w:val="28"/>
          <w:lang w:val="zh-CN"/>
        </w:rPr>
      </w:pPr>
    </w:p>
    <w:p>
      <w:pPr>
        <w:spacing w:line="360" w:lineRule="auto"/>
        <w:ind w:firstLine="480" w:firstLineChars="200"/>
        <w:rPr>
          <w:rFonts w:ascii="宋体"/>
          <w:sz w:val="24"/>
          <w:szCs w:val="24"/>
        </w:rPr>
      </w:pPr>
      <w:bookmarkStart w:id="6" w:name="OLE_LINK3"/>
      <w:bookmarkStart w:id="7" w:name="OLE_LINK4"/>
      <w:bookmarkStart w:id="8" w:name="OLE_LINK25"/>
      <w:r>
        <w:rPr>
          <w:rFonts w:hint="eastAsia" w:ascii="宋体"/>
          <w:sz w:val="24"/>
          <w:szCs w:val="24"/>
        </w:rPr>
        <w:t>鄂尔多斯市杭锦旗公共资源交易中心受杭锦旗人民检察院委托，采用竞争性谈判方式采购物业管理服务项目。欢迎符合资格条件的供应商前来报名参加。</w:t>
      </w:r>
    </w:p>
    <w:p>
      <w:pPr>
        <w:pStyle w:val="209"/>
        <w:spacing w:line="360" w:lineRule="auto"/>
        <w:ind w:firstLine="482"/>
        <w:rPr>
          <w:rFonts w:ascii="宋体"/>
          <w:b/>
          <w:sz w:val="24"/>
          <w:szCs w:val="24"/>
        </w:rPr>
      </w:pPr>
      <w:r>
        <w:rPr>
          <w:rFonts w:hint="eastAsia" w:ascii="宋体"/>
          <w:b/>
          <w:sz w:val="24"/>
          <w:szCs w:val="24"/>
        </w:rPr>
        <w:t>一.项目概述</w:t>
      </w:r>
    </w:p>
    <w:p>
      <w:pPr>
        <w:pStyle w:val="209"/>
        <w:spacing w:line="360" w:lineRule="auto"/>
        <w:ind w:firstLine="480"/>
        <w:rPr>
          <w:rFonts w:ascii="宋体"/>
          <w:b/>
          <w:sz w:val="24"/>
          <w:szCs w:val="24"/>
        </w:rPr>
      </w:pPr>
      <w:r>
        <w:rPr>
          <w:rFonts w:hint="eastAsia" w:ascii="宋体"/>
          <w:sz w:val="24"/>
          <w:szCs w:val="24"/>
        </w:rPr>
        <w:t>1.名称与编号</w:t>
      </w:r>
    </w:p>
    <w:p>
      <w:pPr>
        <w:spacing w:line="360" w:lineRule="auto"/>
        <w:ind w:firstLine="480" w:firstLineChars="200"/>
        <w:rPr>
          <w:rFonts w:ascii="宋体"/>
          <w:sz w:val="24"/>
          <w:szCs w:val="24"/>
        </w:rPr>
      </w:pPr>
      <w:r>
        <w:rPr>
          <w:rFonts w:hint="eastAsia" w:ascii="宋体"/>
          <w:sz w:val="24"/>
          <w:szCs w:val="24"/>
        </w:rPr>
        <w:t>项目名称：物业管理服务项目</w:t>
      </w:r>
    </w:p>
    <w:p>
      <w:pPr>
        <w:spacing w:line="360" w:lineRule="auto"/>
        <w:ind w:firstLine="480" w:firstLineChars="200"/>
        <w:jc w:val="left"/>
        <w:rPr>
          <w:rFonts w:ascii="宋体"/>
          <w:sz w:val="24"/>
          <w:szCs w:val="24"/>
        </w:rPr>
      </w:pPr>
      <w:r>
        <w:rPr>
          <w:rFonts w:hint="eastAsia" w:ascii="宋体"/>
          <w:sz w:val="24"/>
          <w:szCs w:val="24"/>
        </w:rPr>
        <w:t>批准文件编号：鄂财购备字（电子）[2020]</w:t>
      </w:r>
      <w:r>
        <w:rPr>
          <w:rFonts w:hint="eastAsia" w:ascii="宋体" w:hAnsi="宋体"/>
          <w:color w:val="000000"/>
          <w:szCs w:val="28"/>
        </w:rPr>
        <w:t>HJ</w:t>
      </w:r>
      <w:r>
        <w:rPr>
          <w:rFonts w:hint="eastAsia" w:ascii="宋体"/>
          <w:color w:val="000000"/>
          <w:sz w:val="24"/>
          <w:szCs w:val="24"/>
        </w:rPr>
        <w:t>00006</w:t>
      </w:r>
      <w:r>
        <w:rPr>
          <w:rFonts w:hint="eastAsia" w:ascii="宋体"/>
          <w:sz w:val="24"/>
          <w:szCs w:val="24"/>
        </w:rPr>
        <w:t>号</w:t>
      </w:r>
    </w:p>
    <w:p>
      <w:pPr>
        <w:spacing w:line="360" w:lineRule="auto"/>
        <w:ind w:firstLine="480" w:firstLineChars="200"/>
        <w:jc w:val="left"/>
        <w:rPr>
          <w:rFonts w:ascii="宋体"/>
          <w:sz w:val="24"/>
          <w:szCs w:val="24"/>
        </w:rPr>
      </w:pPr>
      <w:r>
        <w:rPr>
          <w:rFonts w:hint="eastAsia" w:ascii="宋体"/>
          <w:sz w:val="24"/>
          <w:szCs w:val="24"/>
        </w:rPr>
        <w:t>谈判文件编号：CG2020FTP074</w:t>
      </w:r>
    </w:p>
    <w:p>
      <w:pPr>
        <w:spacing w:line="360" w:lineRule="auto"/>
        <w:ind w:firstLine="480" w:firstLineChars="2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2.内容及分包情况（技术规格、参数及要求）</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4447"/>
        <w:gridCol w:w="993"/>
        <w:gridCol w:w="1701"/>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包号</w:t>
            </w:r>
          </w:p>
        </w:tc>
        <w:tc>
          <w:tcPr>
            <w:tcW w:w="444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货物名称</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数量</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采购需求</w:t>
            </w:r>
          </w:p>
        </w:tc>
        <w:tc>
          <w:tcPr>
            <w:tcW w:w="172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Theme="minorEastAsia" w:hAnsiTheme="minorEastAsia" w:eastAsiaTheme="minorEastAsia"/>
                <w:sz w:val="24"/>
                <w:szCs w:val="24"/>
              </w:rPr>
            </w:pPr>
            <w:r>
              <w:rPr>
                <w:rFonts w:hint="eastAsia" w:asciiTheme="minorEastAsia" w:hAnsiTheme="minorEastAsia" w:eastAsiaTheme="minorEastAsia"/>
                <w:sz w:val="24"/>
                <w:szCs w:val="24"/>
              </w:rPr>
              <w:t>1</w:t>
            </w:r>
          </w:p>
        </w:tc>
        <w:tc>
          <w:tcPr>
            <w:tcW w:w="444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rPr>
                <w:rFonts w:asciiTheme="minorEastAsia" w:hAnsiTheme="minorEastAsia" w:eastAsiaTheme="minorEastAsia"/>
              </w:rPr>
            </w:pPr>
            <w:r>
              <w:rPr>
                <w:rFonts w:hint="eastAsia" w:asciiTheme="minorEastAsia" w:hAnsiTheme="minorEastAsia" w:eastAsiaTheme="minorEastAsia"/>
              </w:rPr>
              <w:t>物业管理服务项目</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rPr>
                <w:rFonts w:asciiTheme="minorEastAsia" w:hAnsiTheme="minorEastAsia" w:eastAsiaTheme="minorEastAsia"/>
              </w:rPr>
            </w:pPr>
            <w:r>
              <w:rPr>
                <w:rFonts w:hint="eastAsia" w:asciiTheme="minorEastAsia" w:hAnsiTheme="minorEastAsia" w:eastAsiaTheme="minorEastAsia"/>
              </w:rPr>
              <w:t>详见采购文件</w:t>
            </w:r>
          </w:p>
        </w:tc>
        <w:tc>
          <w:tcPr>
            <w:tcW w:w="1723" w:type="dxa"/>
            <w:tcBorders>
              <w:top w:val="single" w:color="auto" w:sz="4" w:space="0"/>
              <w:left w:val="single" w:color="auto" w:sz="4" w:space="0"/>
              <w:bottom w:val="single" w:color="auto" w:sz="4" w:space="0"/>
              <w:right w:val="single" w:color="auto" w:sz="4" w:space="0"/>
            </w:tcBorders>
            <w:shd w:val="clear" w:color="auto" w:fill="auto"/>
            <w:vAlign w:val="center"/>
          </w:tcPr>
          <w:p>
            <w:pPr>
              <w:pStyle w:val="38"/>
              <w:spacing w:before="0" w:beforeAutospacing="0" w:after="0" w:afterAutospacing="0" w:line="360" w:lineRule="auto"/>
              <w:ind w:firstLine="480"/>
              <w:jc w:val="center"/>
              <w:rPr>
                <w:rFonts w:asciiTheme="minorEastAsia" w:hAnsiTheme="minorEastAsia" w:eastAsiaTheme="minorEastAsia"/>
              </w:rPr>
            </w:pPr>
            <w:r>
              <w:rPr>
                <w:rFonts w:hint="eastAsia" w:asciiTheme="minorEastAsia" w:hAnsiTheme="minorEastAsia" w:eastAsiaTheme="minorEastAsia"/>
              </w:rPr>
              <w:t>1100000</w:t>
            </w:r>
          </w:p>
        </w:tc>
      </w:tr>
    </w:tbl>
    <w:p>
      <w:pPr>
        <w:pStyle w:val="209"/>
        <w:spacing w:line="360" w:lineRule="auto"/>
        <w:ind w:firstLine="482"/>
        <w:rPr>
          <w:rFonts w:asciiTheme="minorEastAsia" w:hAnsiTheme="minorEastAsia" w:eastAsiaTheme="minorEastAsia"/>
          <w:b/>
          <w:sz w:val="24"/>
          <w:szCs w:val="24"/>
        </w:rPr>
      </w:pPr>
      <w:r>
        <w:rPr>
          <w:rFonts w:hint="eastAsia" w:asciiTheme="minorEastAsia" w:hAnsiTheme="minorEastAsia" w:eastAsiaTheme="minorEastAsia"/>
          <w:b/>
          <w:sz w:val="24"/>
          <w:szCs w:val="24"/>
        </w:rPr>
        <w:t>二.供应商的资格要求</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1.供应商应符合《中华人民共和国政府采购法》第二十二条规定的条件。</w:t>
      </w:r>
    </w:p>
    <w:p>
      <w:pPr>
        <w:spacing w:line="360" w:lineRule="auto"/>
        <w:ind w:left="560" w:leftChars="200"/>
        <w:rPr>
          <w:rFonts w:ascii="宋体"/>
          <w:b/>
          <w:sz w:val="24"/>
          <w:szCs w:val="24"/>
        </w:rPr>
      </w:pPr>
      <w:r>
        <w:rPr>
          <w:rFonts w:hint="eastAsia" w:ascii="宋体"/>
          <w:b/>
          <w:sz w:val="24"/>
          <w:szCs w:val="24"/>
        </w:rPr>
        <w:t>三.获取谈判文件的时间、地点、方式</w:t>
      </w:r>
    </w:p>
    <w:p>
      <w:pPr>
        <w:spacing w:line="360" w:lineRule="auto"/>
        <w:ind w:firstLine="480" w:firstLineChars="200"/>
        <w:textAlignment w:val="baseline"/>
        <w:rPr>
          <w:rFonts w:ascii="宋体"/>
          <w:sz w:val="24"/>
          <w:szCs w:val="24"/>
        </w:rPr>
      </w:pPr>
      <w:r>
        <w:rPr>
          <w:rFonts w:hint="eastAsia" w:ascii="宋体"/>
          <w:sz w:val="24"/>
          <w:szCs w:val="24"/>
        </w:rPr>
        <w:t>符合上述条件的供应商可于2020年</w:t>
      </w:r>
      <w:r>
        <w:rPr>
          <w:rFonts w:hint="eastAsia" w:ascii="宋体"/>
          <w:sz w:val="24"/>
          <w:szCs w:val="24"/>
          <w:lang w:eastAsia="zh-CN"/>
        </w:rPr>
        <w:t>3月25日</w:t>
      </w:r>
      <w:r>
        <w:rPr>
          <w:rFonts w:hint="eastAsia" w:ascii="宋体"/>
          <w:sz w:val="24"/>
          <w:szCs w:val="24"/>
        </w:rPr>
        <w:t>起登录内蒙古自治区政府采购网、内蒙古自治区公共资源交易网、鄂尔多斯市政府采购网或鄂尔多斯市公共资源交易网站获取谈判文件。</w:t>
      </w:r>
    </w:p>
    <w:p>
      <w:pPr>
        <w:spacing w:line="360" w:lineRule="auto"/>
        <w:ind w:firstLine="480" w:firstLineChars="200"/>
        <w:textAlignment w:val="baseline"/>
        <w:rPr>
          <w:rFonts w:ascii="宋体"/>
          <w:sz w:val="24"/>
          <w:szCs w:val="24"/>
        </w:rPr>
      </w:pPr>
      <w:r>
        <w:rPr>
          <w:rFonts w:hint="eastAsia" w:ascii="宋体"/>
          <w:sz w:val="24"/>
          <w:szCs w:val="24"/>
        </w:rPr>
        <w:t>1.内蒙古自治区政府采购网（http://www.nmgp.gov.cn）。登录网站页面，在“盟市旗县采购公告”中查询采购信息，点击信息公告页面下方的“相关附件”即可浏览、下载谈判文件。</w:t>
      </w:r>
    </w:p>
    <w:p>
      <w:pPr>
        <w:spacing w:line="360" w:lineRule="auto"/>
        <w:ind w:firstLine="480" w:firstLineChars="200"/>
        <w:textAlignment w:val="baseline"/>
        <w:rPr>
          <w:rFonts w:ascii="宋体"/>
          <w:sz w:val="24"/>
          <w:szCs w:val="24"/>
        </w:rPr>
      </w:pPr>
      <w:r>
        <w:rPr>
          <w:rFonts w:hint="eastAsia" w:asci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sz w:val="24"/>
          <w:szCs w:val="24"/>
        </w:rPr>
      </w:pPr>
      <w:r>
        <w:rPr>
          <w:rFonts w:hint="eastAsia" w:ascii="宋体"/>
          <w:sz w:val="24"/>
          <w:szCs w:val="24"/>
        </w:rPr>
        <w:t>3.鄂尔多斯市政府采购网（</w:t>
      </w:r>
      <w:r>
        <w:rPr>
          <w:rFonts w:ascii="宋体"/>
          <w:sz w:val="24"/>
          <w:szCs w:val="24"/>
        </w:rPr>
        <w:t>http://zfcg.ordos.gov.cn</w:t>
      </w:r>
      <w:r>
        <w:rPr>
          <w:rFonts w:hint="eastAsia" w:ascii="宋体"/>
          <w:sz w:val="24"/>
          <w:szCs w:val="24"/>
        </w:rPr>
        <w:t>）。登陆网站页面，点击“政府采购公告”，查询采购信息，点击信息公告页面中“下载谈判文件”可浏览、下载谈判文件。</w:t>
      </w:r>
    </w:p>
    <w:p>
      <w:pPr>
        <w:spacing w:line="360" w:lineRule="auto"/>
        <w:ind w:firstLine="480" w:firstLineChars="200"/>
        <w:textAlignment w:val="baseline"/>
        <w:rPr>
          <w:rFonts w:ascii="宋体"/>
          <w:sz w:val="24"/>
          <w:szCs w:val="24"/>
        </w:rPr>
      </w:pPr>
      <w:r>
        <w:rPr>
          <w:rFonts w:hint="eastAsia" w:ascii="宋体"/>
          <w:sz w:val="24"/>
          <w:szCs w:val="24"/>
        </w:rPr>
        <w:t>4.鄂尔多斯市公共资源交易网（http://www.ordosggzyjy.org.cn）。登陆网站页面，点击“政府采购”中的“信息公告”栏，查询采购信息，点击信息公告页面左下角“附件”即可浏览、下载谈判文件。</w:t>
      </w:r>
    </w:p>
    <w:p>
      <w:pPr>
        <w:spacing w:line="360" w:lineRule="auto"/>
        <w:ind w:firstLine="480" w:firstLineChars="200"/>
        <w:jc w:val="left"/>
        <w:rPr>
          <w:rFonts w:ascii="宋体"/>
          <w:sz w:val="24"/>
          <w:szCs w:val="24"/>
        </w:rPr>
      </w:pPr>
      <w:r>
        <w:rPr>
          <w:rFonts w:hint="eastAsia" w:ascii="宋体"/>
          <w:sz w:val="24"/>
          <w:szCs w:val="24"/>
        </w:rPr>
        <w:t>5.</w:t>
      </w:r>
      <w:r>
        <w:rPr>
          <w:rFonts w:hint="eastAsia" w:ascii="宋体" w:cs="宋体"/>
          <w:sz w:val="24"/>
          <w:szCs w:val="24"/>
        </w:rPr>
        <w:t>杭锦旗公共资源交易网（http://www.ordosggzyjy.org.cn/TPFront_hjq/）。登陆网站页面，点击“政府采购”中的“信息公告”栏，查询采购信息，点击信息公告页面左下角“附件”即可浏览、下载招标文件。</w:t>
      </w:r>
    </w:p>
    <w:p>
      <w:pPr>
        <w:spacing w:line="360" w:lineRule="auto"/>
        <w:ind w:firstLine="480" w:firstLineChars="200"/>
        <w:textAlignment w:val="baseline"/>
        <w:rPr>
          <w:rFonts w:ascii="宋体"/>
          <w:sz w:val="24"/>
          <w:szCs w:val="24"/>
        </w:rPr>
      </w:pPr>
      <w:r>
        <w:rPr>
          <w:rFonts w:hint="eastAsia" w:ascii="宋体"/>
          <w:sz w:val="24"/>
          <w:szCs w:val="24"/>
        </w:rPr>
        <w:t>6.报名方式及报名时间详见谈判文件第二章“报名须知”。</w:t>
      </w:r>
    </w:p>
    <w:p>
      <w:pPr>
        <w:spacing w:line="360" w:lineRule="auto"/>
        <w:ind w:firstLine="482" w:firstLineChars="200"/>
        <w:textAlignment w:val="baseline"/>
        <w:rPr>
          <w:rFonts w:ascii="宋体"/>
          <w:b/>
          <w:sz w:val="24"/>
          <w:szCs w:val="24"/>
        </w:rPr>
      </w:pPr>
      <w:r>
        <w:rPr>
          <w:rFonts w:hint="eastAsia" w:ascii="宋体"/>
          <w:b/>
          <w:sz w:val="24"/>
          <w:szCs w:val="24"/>
        </w:rPr>
        <w:t>四.谈判文件售价</w:t>
      </w:r>
    </w:p>
    <w:p>
      <w:pPr>
        <w:spacing w:line="360" w:lineRule="auto"/>
        <w:ind w:firstLine="480" w:firstLineChars="200"/>
        <w:rPr>
          <w:rFonts w:ascii="宋体"/>
          <w:sz w:val="24"/>
          <w:szCs w:val="24"/>
        </w:rPr>
      </w:pPr>
      <w:r>
        <w:rPr>
          <w:rFonts w:hint="eastAsia" w:ascii="宋体"/>
          <w:sz w:val="24"/>
          <w:szCs w:val="24"/>
        </w:rPr>
        <w:t>本次谈判文件的售价为0元人民币。</w:t>
      </w:r>
    </w:p>
    <w:p>
      <w:pPr>
        <w:spacing w:line="360" w:lineRule="auto"/>
        <w:ind w:firstLine="482" w:firstLineChars="200"/>
        <w:rPr>
          <w:rFonts w:ascii="宋体"/>
          <w:b/>
          <w:sz w:val="24"/>
          <w:szCs w:val="24"/>
        </w:rPr>
      </w:pPr>
      <w:r>
        <w:rPr>
          <w:rFonts w:hint="eastAsia" w:ascii="宋体"/>
          <w:b/>
          <w:sz w:val="24"/>
          <w:szCs w:val="24"/>
        </w:rPr>
        <w:t>五.递交投标（响应）文件截止时间、开标时间及地点</w:t>
      </w:r>
    </w:p>
    <w:p>
      <w:pPr>
        <w:spacing w:line="360" w:lineRule="auto"/>
        <w:ind w:firstLine="480" w:firstLineChars="200"/>
        <w:rPr>
          <w:rFonts w:ascii="宋体"/>
          <w:sz w:val="24"/>
          <w:szCs w:val="24"/>
        </w:rPr>
      </w:pPr>
      <w:r>
        <w:rPr>
          <w:rFonts w:hint="eastAsia" w:ascii="宋体"/>
          <w:sz w:val="24"/>
          <w:szCs w:val="24"/>
        </w:rPr>
        <w:t>递交投标（响应）文件截止时间：2020年4月15日15时00分</w:t>
      </w:r>
    </w:p>
    <w:p>
      <w:pPr>
        <w:spacing w:line="360" w:lineRule="auto"/>
        <w:ind w:firstLine="480" w:firstLineChars="200"/>
        <w:rPr>
          <w:rFonts w:ascii="宋体"/>
          <w:sz w:val="24"/>
          <w:szCs w:val="24"/>
        </w:rPr>
      </w:pPr>
      <w:r>
        <w:rPr>
          <w:rFonts w:hint="eastAsia" w:ascii="宋体"/>
          <w:sz w:val="24"/>
          <w:szCs w:val="24"/>
        </w:rPr>
        <w:t>投标地点：杭锦旗公共资源交易中心六楼开标二室（杭锦旗锡尼镇杭锦大街武装部西荣泰丰地产六楼）</w:t>
      </w:r>
    </w:p>
    <w:p>
      <w:pPr>
        <w:spacing w:line="360" w:lineRule="auto"/>
        <w:ind w:firstLine="480" w:firstLineChars="200"/>
        <w:rPr>
          <w:rFonts w:ascii="宋体"/>
          <w:sz w:val="24"/>
          <w:szCs w:val="24"/>
        </w:rPr>
      </w:pPr>
      <w:r>
        <w:rPr>
          <w:rFonts w:hint="eastAsia" w:ascii="宋体"/>
          <w:sz w:val="24"/>
          <w:szCs w:val="24"/>
        </w:rPr>
        <w:t>开标时间：2020年4月15日15时00分</w:t>
      </w:r>
    </w:p>
    <w:p>
      <w:pPr>
        <w:spacing w:line="360" w:lineRule="auto"/>
        <w:ind w:firstLine="480" w:firstLineChars="200"/>
        <w:rPr>
          <w:rFonts w:ascii="宋体"/>
          <w:sz w:val="24"/>
          <w:szCs w:val="24"/>
        </w:rPr>
      </w:pPr>
      <w:r>
        <w:rPr>
          <w:rFonts w:hint="eastAsia" w:ascii="宋体"/>
          <w:sz w:val="24"/>
          <w:szCs w:val="24"/>
        </w:rPr>
        <w:t>开标地点：杭锦旗公共资源交易中心六楼开标二室（杭锦旗锡尼镇杭锦大街武装部西荣泰丰地产六楼）</w:t>
      </w:r>
    </w:p>
    <w:p>
      <w:pPr>
        <w:spacing w:line="360" w:lineRule="auto"/>
        <w:ind w:firstLine="482" w:firstLineChars="200"/>
        <w:rPr>
          <w:rFonts w:ascii="宋体"/>
          <w:b/>
          <w:sz w:val="24"/>
          <w:szCs w:val="24"/>
        </w:rPr>
      </w:pPr>
      <w:r>
        <w:rPr>
          <w:rFonts w:hint="eastAsia" w:ascii="宋体"/>
          <w:b/>
          <w:sz w:val="24"/>
          <w:szCs w:val="24"/>
        </w:rPr>
        <w:t>六.联系方式</w:t>
      </w:r>
    </w:p>
    <w:p>
      <w:pPr>
        <w:spacing w:line="360" w:lineRule="auto"/>
        <w:ind w:firstLine="480" w:firstLineChars="200"/>
        <w:rPr>
          <w:rFonts w:ascii="宋体"/>
          <w:sz w:val="24"/>
          <w:szCs w:val="24"/>
        </w:rPr>
      </w:pPr>
      <w:r>
        <w:rPr>
          <w:rFonts w:hint="eastAsia" w:ascii="宋体"/>
          <w:sz w:val="24"/>
          <w:szCs w:val="24"/>
        </w:rPr>
        <w:t>采购代理机构名称：鄂尔多斯市杭锦旗公共资源交易中心</w:t>
      </w:r>
    </w:p>
    <w:p>
      <w:pPr>
        <w:spacing w:line="360" w:lineRule="auto"/>
        <w:ind w:right="-140" w:rightChars="-50" w:firstLine="480" w:firstLineChars="200"/>
        <w:rPr>
          <w:rFonts w:ascii="宋体"/>
          <w:sz w:val="24"/>
          <w:szCs w:val="24"/>
        </w:rPr>
      </w:pPr>
      <w:r>
        <w:rPr>
          <w:rFonts w:hint="eastAsia" w:ascii="宋体"/>
          <w:sz w:val="24"/>
          <w:szCs w:val="24"/>
        </w:rPr>
        <w:t>地址：</w:t>
      </w:r>
      <w:r>
        <w:rPr>
          <w:rFonts w:hint="eastAsia" w:ascii="宋体"/>
          <w:color w:val="000000"/>
          <w:sz w:val="24"/>
          <w:szCs w:val="24"/>
        </w:rPr>
        <w:t>杭锦旗公共资源交易中心七楼政府采购部（杭锦旗锡尼镇杭锦大街武装部西荣泰丰地产七楼）</w:t>
      </w:r>
    </w:p>
    <w:p>
      <w:pPr>
        <w:spacing w:line="360" w:lineRule="auto"/>
        <w:ind w:firstLine="480" w:firstLineChars="200"/>
        <w:rPr>
          <w:rFonts w:ascii="宋体"/>
          <w:sz w:val="24"/>
          <w:szCs w:val="24"/>
        </w:rPr>
      </w:pPr>
      <w:r>
        <w:rPr>
          <w:rFonts w:hint="eastAsia" w:ascii="宋体"/>
          <w:sz w:val="24"/>
          <w:szCs w:val="24"/>
        </w:rPr>
        <w:t>邮政编码：017400</w:t>
      </w:r>
    </w:p>
    <w:p>
      <w:pPr>
        <w:spacing w:line="360" w:lineRule="auto"/>
        <w:ind w:firstLine="480" w:firstLineChars="200"/>
        <w:rPr>
          <w:rFonts w:ascii="宋体"/>
          <w:sz w:val="24"/>
          <w:szCs w:val="24"/>
        </w:rPr>
      </w:pPr>
      <w:r>
        <w:rPr>
          <w:rFonts w:hint="eastAsia" w:ascii="宋体"/>
          <w:sz w:val="24"/>
          <w:szCs w:val="24"/>
        </w:rPr>
        <w:t xml:space="preserve">联系人：马俊玲 </w:t>
      </w:r>
    </w:p>
    <w:p>
      <w:pPr>
        <w:spacing w:line="360" w:lineRule="auto"/>
        <w:ind w:firstLine="480" w:firstLineChars="200"/>
        <w:rPr>
          <w:rFonts w:ascii="宋体"/>
          <w:color w:val="000000"/>
          <w:sz w:val="24"/>
          <w:szCs w:val="24"/>
        </w:rPr>
      </w:pPr>
      <w:r>
        <w:rPr>
          <w:rFonts w:hint="eastAsia" w:ascii="宋体"/>
          <w:sz w:val="24"/>
          <w:szCs w:val="24"/>
        </w:rPr>
        <w:t>联系电话：0477-6860805</w:t>
      </w:r>
    </w:p>
    <w:p>
      <w:pPr>
        <w:spacing w:line="360" w:lineRule="auto"/>
        <w:ind w:right="750" w:firstLine="480" w:firstLineChars="200"/>
        <w:rPr>
          <w:rFonts w:ascii="宋体"/>
          <w:color w:val="000000"/>
          <w:sz w:val="24"/>
          <w:szCs w:val="24"/>
        </w:rPr>
      </w:pPr>
      <w:r>
        <w:rPr>
          <w:rFonts w:hint="eastAsia" w:ascii="宋体"/>
          <w:color w:val="000000"/>
          <w:sz w:val="24"/>
          <w:szCs w:val="24"/>
        </w:rPr>
        <w:t>账户名称：鄂尔多斯市杭锦旗公共资源交易中心</w:t>
      </w:r>
    </w:p>
    <w:p>
      <w:pPr>
        <w:spacing w:line="360" w:lineRule="auto"/>
        <w:ind w:right="750" w:firstLine="480" w:firstLineChars="200"/>
        <w:rPr>
          <w:rFonts w:ascii="宋体"/>
          <w:color w:val="000000"/>
          <w:sz w:val="24"/>
          <w:szCs w:val="24"/>
        </w:rPr>
      </w:pPr>
      <w:r>
        <w:rPr>
          <w:rFonts w:hint="eastAsia" w:ascii="宋体"/>
          <w:color w:val="000000"/>
          <w:sz w:val="24"/>
          <w:szCs w:val="24"/>
        </w:rPr>
        <w:t>开户行：杭锦大众村镇银行有限责任公司</w:t>
      </w:r>
    </w:p>
    <w:p>
      <w:pPr>
        <w:spacing w:line="360" w:lineRule="auto"/>
        <w:ind w:right="750" w:firstLine="480" w:firstLineChars="200"/>
        <w:rPr>
          <w:rFonts w:ascii="宋体"/>
          <w:color w:val="000000"/>
          <w:spacing w:val="-20"/>
          <w:sz w:val="24"/>
          <w:szCs w:val="24"/>
        </w:rPr>
      </w:pPr>
      <w:r>
        <w:rPr>
          <w:rFonts w:hint="eastAsia" w:ascii="宋体"/>
          <w:sz w:val="24"/>
          <w:szCs w:val="24"/>
        </w:rPr>
        <w:t>账号：</w:t>
      </w:r>
      <w:r>
        <w:rPr>
          <w:rFonts w:hint="eastAsia" w:ascii="宋体" w:cs="宋体"/>
          <w:color w:val="000000"/>
          <w:spacing w:val="-20"/>
          <w:sz w:val="24"/>
          <w:szCs w:val="24"/>
        </w:rPr>
        <w:t>详见</w:t>
      </w:r>
      <w:r>
        <w:rPr>
          <w:rFonts w:hint="eastAsia" w:ascii="宋体"/>
          <w:color w:val="000000"/>
          <w:spacing w:val="-20"/>
          <w:sz w:val="24"/>
          <w:szCs w:val="24"/>
        </w:rPr>
        <w:t>“政府采购投标信息回执函”下方所附“保证金缴纳信息”中载明的账号</w:t>
      </w:r>
    </w:p>
    <w:p>
      <w:pPr>
        <w:spacing w:line="360" w:lineRule="auto"/>
        <w:ind w:firstLine="480" w:firstLineChars="200"/>
        <w:rPr>
          <w:rFonts w:ascii="宋体"/>
          <w:sz w:val="24"/>
          <w:szCs w:val="24"/>
        </w:rPr>
      </w:pPr>
      <w:r>
        <w:rPr>
          <w:rFonts w:hint="eastAsia" w:ascii="宋体"/>
          <w:sz w:val="24"/>
          <w:szCs w:val="24"/>
        </w:rPr>
        <w:t>采购单位名称：杭锦旗人民检察院</w:t>
      </w:r>
    </w:p>
    <w:p>
      <w:pPr>
        <w:spacing w:line="360" w:lineRule="auto"/>
        <w:ind w:firstLine="480" w:firstLineChars="200"/>
        <w:rPr>
          <w:rFonts w:ascii="宋体"/>
          <w:sz w:val="24"/>
          <w:szCs w:val="24"/>
        </w:rPr>
      </w:pPr>
      <w:r>
        <w:rPr>
          <w:rFonts w:hint="eastAsia" w:ascii="宋体"/>
          <w:sz w:val="24"/>
          <w:szCs w:val="24"/>
        </w:rPr>
        <w:t>地址：杭锦旗锡尼镇</w:t>
      </w:r>
    </w:p>
    <w:p>
      <w:pPr>
        <w:spacing w:line="360" w:lineRule="auto"/>
        <w:ind w:firstLine="480" w:firstLineChars="200"/>
        <w:rPr>
          <w:rFonts w:ascii="宋体"/>
          <w:sz w:val="24"/>
          <w:szCs w:val="24"/>
        </w:rPr>
      </w:pPr>
      <w:r>
        <w:rPr>
          <w:rFonts w:hint="eastAsia" w:ascii="宋体"/>
          <w:sz w:val="24"/>
          <w:szCs w:val="24"/>
        </w:rPr>
        <w:t>邮政编码：017400</w:t>
      </w:r>
    </w:p>
    <w:p>
      <w:pPr>
        <w:spacing w:line="360" w:lineRule="auto"/>
        <w:ind w:firstLine="480" w:firstLineChars="200"/>
        <w:rPr>
          <w:rFonts w:ascii="宋体"/>
          <w:sz w:val="24"/>
          <w:szCs w:val="24"/>
        </w:rPr>
      </w:pPr>
      <w:r>
        <w:rPr>
          <w:rFonts w:hint="eastAsia" w:ascii="宋体"/>
          <w:sz w:val="24"/>
          <w:szCs w:val="24"/>
        </w:rPr>
        <w:t>联系人：武帅杰</w:t>
      </w:r>
    </w:p>
    <w:p>
      <w:pPr>
        <w:spacing w:line="360" w:lineRule="auto"/>
        <w:ind w:firstLine="480" w:firstLineChars="200"/>
        <w:rPr>
          <w:rFonts w:ascii="宋体"/>
          <w:sz w:val="24"/>
          <w:szCs w:val="24"/>
        </w:rPr>
      </w:pPr>
      <w:r>
        <w:rPr>
          <w:rFonts w:hint="eastAsia" w:ascii="宋体"/>
          <w:sz w:val="24"/>
          <w:szCs w:val="24"/>
        </w:rPr>
        <w:t>联系电话：17604773049</w:t>
      </w:r>
    </w:p>
    <w:p>
      <w:pPr>
        <w:spacing w:line="360" w:lineRule="auto"/>
        <w:ind w:firstLine="600" w:firstLineChars="250"/>
        <w:rPr>
          <w:rFonts w:ascii="宋体"/>
          <w:sz w:val="24"/>
          <w:szCs w:val="24"/>
        </w:rPr>
      </w:pPr>
      <w:r>
        <w:rPr>
          <w:rFonts w:hint="eastAsia" w:ascii="宋体"/>
          <w:sz w:val="24"/>
          <w:szCs w:val="24"/>
        </w:rPr>
        <w:t xml:space="preserve">                              鄂尔多斯市杭锦旗公共资源交易中心</w:t>
      </w:r>
    </w:p>
    <w:p>
      <w:pPr>
        <w:spacing w:line="360" w:lineRule="auto"/>
        <w:ind w:firstLine="4680" w:firstLineChars="1950"/>
        <w:rPr>
          <w:rFonts w:hint="eastAsia" w:ascii="宋体" w:eastAsia="宋体"/>
          <w:sz w:val="24"/>
          <w:szCs w:val="24"/>
          <w:lang w:eastAsia="zh-CN"/>
        </w:rPr>
      </w:pPr>
      <w:r>
        <w:rPr>
          <w:rFonts w:hint="eastAsia" w:ascii="宋体"/>
          <w:sz w:val="24"/>
          <w:szCs w:val="24"/>
        </w:rPr>
        <w:t>2020年</w:t>
      </w:r>
      <w:bookmarkEnd w:id="6"/>
      <w:r>
        <w:rPr>
          <w:rFonts w:hint="eastAsia" w:ascii="宋体"/>
          <w:sz w:val="24"/>
          <w:szCs w:val="24"/>
          <w:lang w:eastAsia="zh-CN"/>
        </w:rPr>
        <w:t>3月25日</w:t>
      </w:r>
    </w:p>
    <w:bookmarkEnd w:id="7"/>
    <w:p>
      <w:pPr>
        <w:spacing w:line="360" w:lineRule="auto"/>
        <w:ind w:firstLine="3000" w:firstLineChars="1250"/>
        <w:rPr>
          <w:rFonts w:ascii="宋体" w:hAnsi="宋体"/>
          <w:sz w:val="24"/>
          <w:szCs w:val="24"/>
        </w:rPr>
      </w:pPr>
    </w:p>
    <w:bookmarkEnd w:id="8"/>
    <w:p>
      <w:pPr>
        <w:spacing w:line="360" w:lineRule="auto"/>
        <w:ind w:firstLine="3000" w:firstLineChars="1250"/>
        <w:rPr>
          <w:rFonts w:ascii="宋体" w:hAnsi="宋体"/>
          <w:sz w:val="24"/>
          <w:szCs w:val="24"/>
        </w:rPr>
      </w:pPr>
    </w:p>
    <w:p>
      <w:pPr>
        <w:spacing w:line="360" w:lineRule="auto"/>
        <w:ind w:firstLine="3000" w:firstLineChars="1250"/>
        <w:rPr>
          <w:rFonts w:ascii="宋体" w:hAnsi="宋体"/>
          <w:sz w:val="24"/>
          <w:szCs w:val="24"/>
        </w:rPr>
      </w:pPr>
    </w:p>
    <w:p>
      <w:pPr>
        <w:spacing w:line="360" w:lineRule="auto"/>
        <w:ind w:firstLine="3000" w:firstLineChars="1250"/>
        <w:rPr>
          <w:rFonts w:hint="eastAsia" w:ascii="宋体" w:hAnsi="宋体"/>
          <w:sz w:val="24"/>
          <w:szCs w:val="24"/>
        </w:rPr>
      </w:pPr>
    </w:p>
    <w:p>
      <w:pPr>
        <w:spacing w:line="360" w:lineRule="auto"/>
        <w:ind w:firstLine="3000" w:firstLineChars="1250"/>
        <w:rPr>
          <w:rFonts w:hint="eastAsia" w:ascii="宋体" w:hAnsi="宋体"/>
          <w:sz w:val="24"/>
          <w:szCs w:val="24"/>
        </w:rPr>
      </w:pPr>
    </w:p>
    <w:p>
      <w:pPr>
        <w:spacing w:line="360" w:lineRule="auto"/>
        <w:ind w:firstLine="3000" w:firstLineChars="1250"/>
        <w:rPr>
          <w:rFonts w:ascii="宋体"/>
          <w:sz w:val="24"/>
          <w:szCs w:val="24"/>
        </w:rPr>
      </w:pPr>
      <w:r>
        <w:rPr>
          <w:rFonts w:hint="eastAsia" w:ascii="宋体" w:hAnsi="宋体"/>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2"/>
        <w:tblpPr w:leftFromText="180" w:rightFromText="180" w:vertAnchor="text" w:tblpXSpec="center" w:tblpY="1"/>
        <w:tblOverlap w:val="never"/>
        <w:tblW w:w="990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409"/>
        <w:gridCol w:w="67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条款名称</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杭锦旗人民检察院</w:t>
            </w:r>
          </w:p>
          <w:p>
            <w:pPr>
              <w:spacing w:line="360" w:lineRule="auto"/>
              <w:ind w:right="-140" w:rightChars="-50"/>
              <w:rPr>
                <w:rFonts w:ascii="宋体"/>
                <w:sz w:val="24"/>
                <w:szCs w:val="24"/>
              </w:rPr>
            </w:pPr>
            <w:r>
              <w:rPr>
                <w:rFonts w:hint="eastAsia" w:ascii="宋体"/>
                <w:sz w:val="24"/>
                <w:szCs w:val="24"/>
              </w:rPr>
              <w:t>联系人：武帅杰             联系电话：17604773049</w:t>
            </w:r>
          </w:p>
          <w:p>
            <w:pPr>
              <w:spacing w:line="360" w:lineRule="auto"/>
              <w:ind w:right="-140" w:rightChars="-50"/>
              <w:rPr>
                <w:rFonts w:ascii="宋体"/>
                <w:sz w:val="24"/>
                <w:szCs w:val="24"/>
              </w:rPr>
            </w:pPr>
            <w:r>
              <w:rPr>
                <w:rFonts w:hint="eastAsia" w:ascii="宋体"/>
                <w:sz w:val="24"/>
                <w:szCs w:val="24"/>
              </w:rPr>
              <w:t>地址：杭锦旗锡尼镇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6"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采购代理机构</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 xml:space="preserve">鄂尔多斯市杭锦旗公共资源交易中心 </w:t>
            </w:r>
          </w:p>
          <w:p>
            <w:pPr>
              <w:spacing w:line="360" w:lineRule="auto"/>
              <w:ind w:right="-140" w:rightChars="-50"/>
              <w:rPr>
                <w:rFonts w:ascii="宋体"/>
                <w:sz w:val="24"/>
                <w:szCs w:val="24"/>
              </w:rPr>
            </w:pPr>
            <w:r>
              <w:rPr>
                <w:rFonts w:hint="eastAsia" w:ascii="宋体"/>
                <w:sz w:val="24"/>
                <w:szCs w:val="24"/>
              </w:rPr>
              <w:t>联系人：马俊玲             联系电话：0477-6860805</w:t>
            </w:r>
          </w:p>
          <w:p>
            <w:pPr>
              <w:spacing w:line="360" w:lineRule="auto"/>
              <w:ind w:right="-140" w:rightChars="-50"/>
              <w:rPr>
                <w:rFonts w:ascii="宋体"/>
                <w:sz w:val="24"/>
                <w:szCs w:val="24"/>
              </w:rPr>
            </w:pPr>
            <w:r>
              <w:rPr>
                <w:rFonts w:hint="eastAsia" w:ascii="宋体"/>
                <w:sz w:val="24"/>
                <w:szCs w:val="24"/>
              </w:rPr>
              <w:t>地址： 杭锦旗锡尼镇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项目内容及要求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beforeLines="50" w:line="360" w:lineRule="auto"/>
              <w:textAlignment w:val="baseline"/>
              <w:rPr>
                <w:rFonts w:ascii="宋体"/>
                <w:sz w:val="24"/>
                <w:szCs w:val="24"/>
              </w:rPr>
            </w:pPr>
            <w:r>
              <w:rPr>
                <w:rFonts w:hint="eastAsia" w:ascii="宋体"/>
                <w:sz w:val="24"/>
                <w:szCs w:val="24"/>
              </w:rPr>
              <w:t>详见谈判文件第四章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采购预算</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eastAsiaTheme="minorEastAsia"/>
                <w:sz w:val="24"/>
                <w:szCs w:val="24"/>
              </w:rPr>
            </w:pPr>
            <w:r>
              <w:rPr>
                <w:rFonts w:hint="eastAsia" w:asciiTheme="minorEastAsia" w:hAnsiTheme="minorEastAsia" w:eastAsiaTheme="minorEastAsia" w:cstheme="minorEastAsia"/>
                <w:sz w:val="24"/>
                <w:szCs w:val="24"/>
              </w:rPr>
              <w:t>总预算1100000元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分包情况</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付款方式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国库集中支付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采购方式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竞争性谈判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评标办法</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谈判小组数量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谈判小组由采购人代表和评审专家组成，成员人数应当为3人及3人以上单数。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成交供应商确定</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sz w:val="24"/>
                <w:szCs w:val="24"/>
              </w:rPr>
            </w:pPr>
            <w:r>
              <w:rPr>
                <w:rFonts w:hint="eastAsia" w:ascii="宋体"/>
                <w:sz w:val="24"/>
                <w:szCs w:val="24"/>
              </w:rPr>
              <w:t>采购人授权谈判小组直接确定成交供应商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供应商资格要求</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详见谈判公告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sz w:val="24"/>
                <w:szCs w:val="24"/>
              </w:rPr>
            </w:pPr>
            <w:r>
              <w:rPr>
                <w:rFonts w:hint="eastAsia" w:ascii="宋体"/>
                <w:sz w:val="24"/>
                <w:szCs w:val="24"/>
              </w:rPr>
              <w:t>12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投标有效期</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开标之日起90日历天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响应文件递交时间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 xml:space="preserve">2020年4月15日14时30分--15时00分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14</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开标时间</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sz w:val="24"/>
                <w:szCs w:val="24"/>
              </w:rPr>
            </w:pPr>
            <w:r>
              <w:rPr>
                <w:rFonts w:hint="eastAsia" w:ascii="宋体"/>
                <w:sz w:val="24"/>
                <w:szCs w:val="24"/>
              </w:rPr>
              <w:t>2020年4月15日15时00分整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15</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开标地点（响应文件提交地点）</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杭锦旗公共资源交易中心六楼开标室（杭锦旗锡尼镇杭锦大街武装部西荣泰丰地产六楼）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16</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响应文件数量</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rPr>
                <w:rFonts w:ascii="宋体"/>
                <w:sz w:val="24"/>
                <w:szCs w:val="24"/>
              </w:rPr>
            </w:pPr>
            <w:r>
              <w:rPr>
                <w:rFonts w:hint="eastAsia" w:ascii="宋体"/>
                <w:sz w:val="24"/>
                <w:szCs w:val="24"/>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17</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cs="宋体"/>
                <w:sz w:val="24"/>
                <w:szCs w:val="24"/>
              </w:rPr>
            </w:pPr>
            <w:r>
              <w:rPr>
                <w:rFonts w:hint="eastAsia" w:ascii="宋体" w:cs="宋体"/>
                <w:sz w:val="24"/>
                <w:szCs w:val="24"/>
              </w:rPr>
              <w:t>实物样品（演示）</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18</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szCs w:val="24"/>
              </w:rPr>
            </w:pPr>
            <w:r>
              <w:rPr>
                <w:rFonts w:hint="eastAsia" w:ascii="宋体" w:cs="宋体"/>
                <w:sz w:val="24"/>
                <w:szCs w:val="24"/>
              </w:rPr>
              <w:t>现场踏勘</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cs="宋体"/>
                <w:sz w:val="24"/>
                <w:szCs w:val="24"/>
                <w:u w:val="single"/>
              </w:rPr>
            </w:pPr>
            <w:r>
              <w:rPr>
                <w:rFonts w:hint="eastAsia" w:ascii="宋体" w:cs="宋体"/>
                <w:sz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19</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备选方案</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20</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联合体投标</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21</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履约保证金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22</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采购机构代理费用</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sz w:val="24"/>
                <w:szCs w:val="24"/>
              </w:rPr>
            </w:pPr>
            <w:r>
              <w:rPr>
                <w:rFonts w:hint="eastAsia" w:ascii="宋体"/>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83" w:hRule="atLeast"/>
        </w:trPr>
        <w:tc>
          <w:tcPr>
            <w:tcW w:w="72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sz w:val="24"/>
                <w:szCs w:val="24"/>
              </w:rPr>
            </w:pPr>
            <w:r>
              <w:rPr>
                <w:rFonts w:hint="eastAsia" w:ascii="宋体"/>
                <w:sz w:val="24"/>
                <w:szCs w:val="24"/>
              </w:rPr>
              <w:t>23</w:t>
            </w:r>
          </w:p>
        </w:tc>
        <w:tc>
          <w:tcPr>
            <w:tcW w:w="24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sz w:val="24"/>
                <w:szCs w:val="24"/>
              </w:rPr>
            </w:pPr>
            <w:r>
              <w:rPr>
                <w:rFonts w:hint="eastAsia" w:ascii="宋体"/>
                <w:sz w:val="24"/>
                <w:szCs w:val="24"/>
              </w:rPr>
              <w:t>投标保证金</w:t>
            </w:r>
          </w:p>
        </w:tc>
        <w:tc>
          <w:tcPr>
            <w:tcW w:w="677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sz w:val="24"/>
                <w:szCs w:val="24"/>
              </w:rPr>
            </w:pPr>
            <w:r>
              <w:rPr>
                <w:rFonts w:hint="eastAsia" w:ascii="宋体"/>
                <w:sz w:val="24"/>
                <w:szCs w:val="24"/>
              </w:rPr>
              <w:t>本招标项目采用“虚拟子账户”形式及法律法规规定的其它缴纳方式收退投标保证金。请各供应商特别关注并严格遵照招标文件中有关投标保证金缴纳的规定。</w:t>
            </w:r>
          </w:p>
          <w:p>
            <w:pPr>
              <w:spacing w:line="360" w:lineRule="auto"/>
              <w:rPr>
                <w:rFonts w:ascii="宋体"/>
                <w:b/>
                <w:sz w:val="24"/>
                <w:szCs w:val="24"/>
              </w:rPr>
            </w:pPr>
            <w:r>
              <w:rPr>
                <w:rFonts w:hint="eastAsia" w:ascii="宋体"/>
                <w:b/>
                <w:sz w:val="24"/>
                <w:szCs w:val="24"/>
              </w:rPr>
              <w:t>请各供应商特别关注并严格遵照谈判文件中有关投标保证金缴纳的规定。</w:t>
            </w:r>
          </w:p>
          <w:p>
            <w:pPr>
              <w:spacing w:line="360" w:lineRule="auto"/>
              <w:rPr>
                <w:rFonts w:ascii="宋体"/>
                <w:b/>
                <w:sz w:val="24"/>
                <w:szCs w:val="24"/>
              </w:rPr>
            </w:pPr>
            <w:r>
              <w:rPr>
                <w:rFonts w:hint="eastAsia" w:ascii="宋体"/>
                <w:bCs/>
                <w:sz w:val="24"/>
                <w:szCs w:val="24"/>
              </w:rPr>
              <w:t>保证金人民币</w:t>
            </w:r>
            <w:r>
              <w:rPr>
                <w:rFonts w:hint="eastAsia" w:ascii="宋体"/>
                <w:b/>
                <w:sz w:val="24"/>
                <w:szCs w:val="24"/>
              </w:rPr>
              <w:t>:20000元。</w:t>
            </w:r>
          </w:p>
          <w:p>
            <w:pPr>
              <w:spacing w:line="360" w:lineRule="auto"/>
              <w:rPr>
                <w:rFonts w:ascii="宋体"/>
                <w:sz w:val="24"/>
                <w:szCs w:val="24"/>
              </w:rPr>
            </w:pPr>
            <w:r>
              <w:rPr>
                <w:rFonts w:hint="eastAsia" w:ascii="宋体"/>
                <w:sz w:val="24"/>
                <w:szCs w:val="24"/>
              </w:rPr>
              <w:t>开户银行：</w:t>
            </w:r>
            <w:r>
              <w:rPr>
                <w:rFonts w:hint="eastAsia" w:ascii="宋体"/>
                <w:b/>
                <w:sz w:val="24"/>
                <w:szCs w:val="24"/>
              </w:rPr>
              <w:t>杭锦大众村镇银行有限责任公司</w:t>
            </w:r>
            <w:r>
              <w:rPr>
                <w:rFonts w:hint="eastAsia" w:ascii="宋体"/>
                <w:sz w:val="24"/>
                <w:szCs w:val="24"/>
              </w:rPr>
              <w:t>。</w:t>
            </w:r>
          </w:p>
          <w:p>
            <w:pPr>
              <w:spacing w:line="360" w:lineRule="auto"/>
              <w:rPr>
                <w:rFonts w:ascii="宋体"/>
                <w:sz w:val="24"/>
                <w:szCs w:val="24"/>
              </w:rPr>
            </w:pPr>
            <w:r>
              <w:rPr>
                <w:rFonts w:hint="eastAsia" w:ascii="宋体"/>
                <w:sz w:val="24"/>
                <w:szCs w:val="24"/>
              </w:rPr>
              <w:t>行号：</w:t>
            </w:r>
            <w:r>
              <w:rPr>
                <w:rFonts w:hint="eastAsia" w:ascii="宋体"/>
                <w:b/>
                <w:sz w:val="24"/>
                <w:szCs w:val="24"/>
              </w:rPr>
              <w:t>320205600537</w:t>
            </w:r>
          </w:p>
          <w:p>
            <w:pPr>
              <w:spacing w:line="360" w:lineRule="auto"/>
              <w:rPr>
                <w:rFonts w:ascii="宋体"/>
                <w:sz w:val="24"/>
                <w:szCs w:val="24"/>
              </w:rPr>
            </w:pPr>
            <w:r>
              <w:rPr>
                <w:rFonts w:hint="eastAsia" w:ascii="宋体"/>
                <w:b/>
                <w:sz w:val="24"/>
                <w:szCs w:val="24"/>
              </w:rPr>
              <w:t>开户单位：鄂尔多斯市杭锦旗公共资源交易中心</w:t>
            </w:r>
            <w:r>
              <w:rPr>
                <w:rFonts w:hint="eastAsia" w:ascii="宋体"/>
                <w:sz w:val="24"/>
                <w:szCs w:val="24"/>
              </w:rPr>
              <w:t>。</w:t>
            </w:r>
          </w:p>
          <w:p>
            <w:pPr>
              <w:spacing w:line="360" w:lineRule="auto"/>
              <w:rPr>
                <w:rFonts w:ascii="宋体"/>
                <w:color w:val="000000"/>
                <w:sz w:val="24"/>
                <w:szCs w:val="24"/>
              </w:rPr>
            </w:pPr>
            <w:r>
              <w:rPr>
                <w:rFonts w:hint="eastAsia" w:ascii="宋体"/>
                <w:sz w:val="24"/>
                <w:szCs w:val="24"/>
              </w:rPr>
              <w:t>账号：</w:t>
            </w:r>
            <w:r>
              <w:rPr>
                <w:rFonts w:hint="eastAsia" w:ascii="宋体" w:cs="宋体"/>
                <w:b/>
                <w:bCs/>
                <w:color w:val="000000"/>
                <w:sz w:val="24"/>
                <w:szCs w:val="24"/>
              </w:rPr>
              <w:t>详见</w:t>
            </w:r>
            <w:r>
              <w:rPr>
                <w:rFonts w:hint="eastAsia" w:ascii="宋体"/>
                <w:b/>
                <w:bCs/>
                <w:color w:val="000000"/>
                <w:sz w:val="24"/>
                <w:szCs w:val="24"/>
              </w:rPr>
              <w:t>“政府采购投标信息回执函”下方所附“保证金缴纳信息”中载明的账号。</w:t>
            </w:r>
          </w:p>
          <w:p>
            <w:pPr>
              <w:spacing w:line="360" w:lineRule="auto"/>
              <w:rPr>
                <w:rFonts w:ascii="宋体"/>
                <w:sz w:val="24"/>
                <w:szCs w:val="24"/>
              </w:rPr>
            </w:pPr>
            <w:r>
              <w:rPr>
                <w:rFonts w:hint="eastAsia" w:ascii="宋体"/>
                <w:sz w:val="24"/>
                <w:szCs w:val="24"/>
              </w:rPr>
              <w:t>投标保证金缴纳.退还联系人：项美仙 0477-6860804</w:t>
            </w:r>
          </w:p>
        </w:tc>
      </w:tr>
    </w:tbl>
    <w:p>
      <w:pPr>
        <w:spacing w:line="360" w:lineRule="auto"/>
        <w:rPr>
          <w:rFonts w:ascii="宋体" w:hAnsi="宋体"/>
          <w:b/>
          <w:sz w:val="24"/>
          <w:szCs w:val="24"/>
        </w:rPr>
      </w:pPr>
    </w:p>
    <w:p>
      <w:pPr>
        <w:spacing w:line="360" w:lineRule="auto"/>
        <w:ind w:firstLine="482" w:firstLineChars="200"/>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1.报名方式</w:t>
      </w:r>
    </w:p>
    <w:p>
      <w:pPr>
        <w:spacing w:line="360" w:lineRule="auto"/>
        <w:ind w:firstLine="480" w:firstLineChars="200"/>
        <w:rPr>
          <w:rFonts w:ascii="宋体" w:hAnsi="宋体" w:cs="宋体"/>
          <w:kern w:val="0"/>
          <w:sz w:val="24"/>
          <w:szCs w:val="24"/>
        </w:rPr>
      </w:pPr>
      <w:r>
        <w:rPr>
          <w:rFonts w:hint="eastAsia" w:ascii="宋体" w:hAnsi="宋体"/>
          <w:sz w:val="24"/>
          <w:szCs w:val="24"/>
        </w:rPr>
        <w:t>1.1</w:t>
      </w:r>
      <w:r>
        <w:rPr>
          <w:rFonts w:hint="eastAsia" w:ascii="宋体" w:hAnsi="宋体" w:cs="宋体"/>
          <w:kern w:val="0"/>
          <w:sz w:val="24"/>
          <w:szCs w:val="24"/>
        </w:rPr>
        <w:t>报名方式采用网上报名，流程如下：</w:t>
      </w:r>
    </w:p>
    <w:p>
      <w:pPr>
        <w:spacing w:line="360" w:lineRule="auto"/>
        <w:ind w:firstLine="480" w:firstLineChars="200"/>
        <w:rPr>
          <w:rFonts w:ascii="宋体" w:hAnsi="宋体" w:cs="宋体"/>
          <w:kern w:val="0"/>
          <w:sz w:val="24"/>
          <w:szCs w:val="24"/>
        </w:rPr>
      </w:pPr>
      <w:r>
        <w:rPr>
          <w:rFonts w:hint="eastAsia" w:ascii="宋体" w:hAnsi="宋体"/>
          <w:sz w:val="24"/>
          <w:szCs w:val="24"/>
        </w:rPr>
        <w:t>登录鄂</w:t>
      </w:r>
      <w:r>
        <w:rPr>
          <w:rFonts w:hint="eastAsia" w:ascii="宋体" w:hAnsi="宋体" w:cs="宋体"/>
          <w:kern w:val="0"/>
          <w:sz w:val="24"/>
          <w:szCs w:val="24"/>
        </w:rPr>
        <w:t>尔多斯市公共资源交易网（</w:t>
      </w:r>
      <w:r>
        <w:fldChar w:fldCharType="begin"/>
      </w:r>
      <w:r>
        <w:instrText xml:space="preserve"> HYPERLINK "http://www.ordosggzyjy.com" </w:instrText>
      </w:r>
      <w:r>
        <w:fldChar w:fldCharType="separate"/>
      </w:r>
      <w:r>
        <w:rPr>
          <w:rFonts w:hint="eastAsia" w:ascii="宋体" w:hAnsi="宋体" w:cs="宋体"/>
          <w:kern w:val="0"/>
          <w:sz w:val="24"/>
          <w:szCs w:val="24"/>
        </w:rPr>
        <w:t>http://www.ordosggzyjy.org.cn</w:t>
      </w:r>
      <w:r>
        <w:rPr>
          <w:rFonts w:hint="eastAsia" w:ascii="宋体" w:hAnsi="宋体" w:cs="宋体"/>
          <w:kern w:val="0"/>
          <w:sz w:val="24"/>
          <w:szCs w:val="24"/>
        </w:rPr>
        <w:fldChar w:fldCharType="end"/>
      </w:r>
      <w:r>
        <w:rPr>
          <w:rFonts w:hint="eastAsia" w:ascii="宋体" w:hAnsi="宋体" w:cs="宋体"/>
          <w:kern w:val="0"/>
          <w:sz w:val="24"/>
          <w:szCs w:val="24"/>
        </w:rPr>
        <w:t>）、杭锦旗公共资源交易网站</w:t>
      </w:r>
      <w:r>
        <w:rPr>
          <w:rFonts w:hint="eastAsia" w:asciiTheme="minorEastAsia" w:hAnsiTheme="minorEastAsia" w:eastAsiaTheme="minorEastAsia" w:cstheme="minorEastAsia"/>
          <w:sz w:val="24"/>
          <w:szCs w:val="24"/>
        </w:rPr>
        <w:t>（http://www.ordosggzyjy.org.cn/TPFront_hjq/）</w:t>
      </w:r>
      <w:r>
        <w:rPr>
          <w:rFonts w:hint="eastAsia" w:ascii="宋体" w:hAnsi="宋体" w:cs="宋体"/>
          <w:kern w:val="0"/>
          <w:sz w:val="24"/>
          <w:szCs w:val="24"/>
        </w:rPr>
        <w:t>页面，点击“政府采购”中的“采购公告”栏，打开本项目的招标公告，点击公告页面下方的“企业报名”或“自然人报名”进入“投标项目信息”，填写“供应商信息”、“保证金缴纳开户行信息”、“分包信息”、“回执码找回信息填写”，按照页面提示点击“确认报名”，进入下一步“回执信息”页面并点击红色字体“点击此处”，在进入新页面中核对报名信息，并点击“保证金缴纳信息获取”处获取“</w:t>
      </w:r>
      <w:r>
        <w:rPr>
          <w:rFonts w:ascii="宋体" w:hAnsi="宋体" w:cs="宋体"/>
          <w:kern w:val="0"/>
          <w:sz w:val="24"/>
          <w:szCs w:val="24"/>
        </w:rPr>
        <w:t>保证金缴纳信息</w:t>
      </w:r>
      <w:r>
        <w:rPr>
          <w:rFonts w:hint="eastAsia" w:ascii="宋体" w:hAnsi="宋体" w:cs="宋体"/>
          <w:kern w:val="0"/>
          <w:sz w:val="24"/>
          <w:szCs w:val="24"/>
        </w:rPr>
        <w:t>”。</w:t>
      </w:r>
    </w:p>
    <w:p>
      <w:pPr>
        <w:spacing w:line="360" w:lineRule="auto"/>
        <w:ind w:firstLine="480" w:firstLineChars="200"/>
        <w:rPr>
          <w:rFonts w:ascii="宋体" w:hAnsi="宋体"/>
          <w:sz w:val="24"/>
          <w:szCs w:val="24"/>
        </w:rPr>
      </w:pPr>
      <w:r>
        <w:rPr>
          <w:rFonts w:hint="eastAsia" w:ascii="宋体" w:hAnsi="宋体" w:cs="宋体"/>
          <w:kern w:val="0"/>
          <w:sz w:val="24"/>
          <w:szCs w:val="24"/>
        </w:rPr>
        <w:t>1.2缴纳投标保证金。</w:t>
      </w:r>
      <w:r>
        <w:rPr>
          <w:rFonts w:hint="eastAsia" w:ascii="宋体" w:hAnsi="宋体"/>
          <w:sz w:val="24"/>
          <w:szCs w:val="24"/>
        </w:rPr>
        <w:t>本招标项目采用“虚拟子账号”形式收退投标保证金，每一个供应商在所投的每一项目或标包会对应每一家银行自动生成一个账号，</w:t>
      </w:r>
      <w:r>
        <w:rPr>
          <w:rFonts w:hint="eastAsia" w:ascii="宋体" w:hAnsi="宋体" w:cs="宋体"/>
          <w:kern w:val="0"/>
          <w:sz w:val="24"/>
          <w:szCs w:val="24"/>
        </w:rPr>
        <w:t>称为“虚拟子账号”。供应商</w:t>
      </w:r>
      <w:r>
        <w:rPr>
          <w:rFonts w:hint="eastAsia" w:ascii="宋体" w:hAnsi="宋体"/>
          <w:sz w:val="24"/>
          <w:szCs w:val="24"/>
        </w:rPr>
        <w:t>在进行投标信息确认后，应查看“</w:t>
      </w:r>
      <w:r>
        <w:rPr>
          <w:rFonts w:ascii="宋体" w:hAnsi="宋体" w:cs="宋体"/>
          <w:kern w:val="0"/>
          <w:sz w:val="24"/>
          <w:szCs w:val="24"/>
        </w:rPr>
        <w:t>保证金缴纳信息</w:t>
      </w:r>
      <w:r>
        <w:rPr>
          <w:rFonts w:hint="eastAsia" w:ascii="宋体" w:hAnsi="宋体"/>
          <w:sz w:val="24"/>
          <w:szCs w:val="24"/>
        </w:rPr>
        <w:t>”下方所载明的账号，并按照招标文件规定的金额、时间电汇</w:t>
      </w:r>
      <w:r>
        <w:rPr>
          <w:rFonts w:hint="eastAsia" w:ascii="宋体" w:hAnsi="宋体" w:cs="宋体"/>
          <w:kern w:val="0"/>
          <w:sz w:val="24"/>
          <w:szCs w:val="24"/>
        </w:rPr>
        <w:t>或转账</w:t>
      </w:r>
      <w:r>
        <w:rPr>
          <w:rFonts w:hint="eastAsia" w:ascii="宋体" w:hAnsi="宋体"/>
          <w:sz w:val="24"/>
          <w:szCs w:val="24"/>
        </w:rPr>
        <w:t xml:space="preserve">至上述账号中，付款人名称必须为投标单位全称且与报名信息一致，该账号可以自动识别单位名称、缴纳金额金额是否正确，缴纳时间是否符合招标文件的规定，如果不符合，一律不予收取。   </w:t>
      </w:r>
    </w:p>
    <w:p>
      <w:pPr>
        <w:spacing w:line="360" w:lineRule="auto"/>
        <w:ind w:firstLine="480" w:firstLineChars="200"/>
        <w:rPr>
          <w:rFonts w:ascii="宋体" w:hAnsi="宋体"/>
          <w:sz w:val="24"/>
          <w:szCs w:val="24"/>
        </w:rPr>
      </w:pPr>
      <w:r>
        <w:rPr>
          <w:rFonts w:hint="eastAsia" w:ascii="宋体" w:hAnsi="宋体" w:cs="宋体"/>
          <w:kern w:val="0"/>
          <w:sz w:val="24"/>
          <w:szCs w:val="24"/>
        </w:rPr>
        <w:t>1.3查看报名状况。用“回执码”登录可查看报名状况；只有“是否缴纳保证金”显示“已缴纳”，报名才能成功。</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2.1报名时间（招标文件提供期限）：2020年</w:t>
      </w:r>
      <w:r>
        <w:rPr>
          <w:rFonts w:hint="eastAsia" w:ascii="宋体" w:hAnsi="宋体" w:cs="宋体"/>
          <w:kern w:val="0"/>
          <w:sz w:val="24"/>
          <w:szCs w:val="24"/>
          <w:lang w:eastAsia="zh-CN"/>
        </w:rPr>
        <w:t>3月25日</w:t>
      </w:r>
      <w:r>
        <w:rPr>
          <w:rFonts w:hint="eastAsia" w:ascii="宋体" w:hAnsi="宋体" w:cs="宋体"/>
          <w:kern w:val="0"/>
          <w:sz w:val="24"/>
          <w:szCs w:val="24"/>
        </w:rPr>
        <w:t>至2020年</w:t>
      </w:r>
      <w:r>
        <w:rPr>
          <w:rFonts w:hint="eastAsia" w:ascii="宋体" w:hAnsi="宋体" w:cs="宋体"/>
          <w:kern w:val="0"/>
          <w:sz w:val="24"/>
          <w:szCs w:val="24"/>
          <w:lang w:val="en-US" w:eastAsia="zh-CN"/>
        </w:rPr>
        <w:t>4</w:t>
      </w:r>
      <w:r>
        <w:rPr>
          <w:rFonts w:hint="eastAsia" w:ascii="宋体" w:hAnsi="宋体" w:cs="宋体"/>
          <w:kern w:val="0"/>
          <w:sz w:val="24"/>
          <w:szCs w:val="24"/>
        </w:rPr>
        <w:t>月1日</w:t>
      </w:r>
      <w:r>
        <w:rPr>
          <w:rFonts w:hint="eastAsia" w:ascii="宋体" w:hAnsi="宋体"/>
          <w:sz w:val="24"/>
          <w:szCs w:val="24"/>
        </w:rPr>
        <w:t>17时30分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2.2保证金缴纳截止时间（同提交响应文件截止时间）：2020年4月15日</w:t>
      </w:r>
      <w:r>
        <w:rPr>
          <w:rFonts w:hint="eastAsia" w:ascii="宋体" w:hAnsi="宋体"/>
          <w:sz w:val="24"/>
          <w:szCs w:val="24"/>
        </w:rPr>
        <w:t>15时00分</w:t>
      </w:r>
    </w:p>
    <w:p>
      <w:pPr>
        <w:spacing w:line="360" w:lineRule="auto"/>
        <w:ind w:firstLine="482" w:firstLineChars="200"/>
        <w:rPr>
          <w:rFonts w:ascii="宋体" w:hAnsi="宋体"/>
          <w:sz w:val="24"/>
          <w:szCs w:val="24"/>
        </w:rPr>
      </w:pPr>
      <w:r>
        <w:rPr>
          <w:rFonts w:hint="eastAsia" w:ascii="宋体" w:hAnsi="宋体"/>
          <w:b/>
          <w:sz w:val="24"/>
          <w:szCs w:val="24"/>
        </w:rPr>
        <w:t>3.特别提示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3.1“回执码”是用来查询报名状况的登录码，供应商在完成保证金缴纳后，应及时用“回执码”登陆查询报名状况，关注所投项目或标包的保证金缴纳确认状态，如果在开标前仍显示“未缴纳”状态时，应及时查找原因，必要时可联系</w:t>
      </w:r>
      <w:r>
        <w:rPr>
          <w:rFonts w:hint="eastAsia" w:ascii="宋体" w:hAnsi="宋体"/>
          <w:b/>
          <w:sz w:val="24"/>
          <w:szCs w:val="24"/>
        </w:rPr>
        <w:t>杭锦大众村镇银行有限责任公司</w:t>
      </w:r>
      <w:r>
        <w:rPr>
          <w:rFonts w:hint="eastAsia" w:ascii="宋体" w:hAnsi="宋体"/>
          <w:sz w:val="24"/>
          <w:szCs w:val="24"/>
        </w:rPr>
        <w:t>进行咨询，以确保投标保证金缴纳情况符合谈判文件规定。供应商未按照谈判文件要求缴纳投标保证金导致的一切后果由供应商自行承担。</w:t>
      </w:r>
    </w:p>
    <w:p>
      <w:pPr>
        <w:spacing w:line="360" w:lineRule="auto"/>
        <w:ind w:firstLine="480" w:firstLineChars="200"/>
        <w:rPr>
          <w:rFonts w:ascii="宋体" w:hAnsi="宋体"/>
          <w:sz w:val="24"/>
          <w:szCs w:val="24"/>
        </w:rPr>
      </w:pPr>
      <w:r>
        <w:rPr>
          <w:rFonts w:hint="eastAsia" w:ascii="宋体" w:hAnsi="宋体"/>
          <w:sz w:val="24"/>
          <w:szCs w:val="24"/>
        </w:rPr>
        <w:t>3.2由于投标保证金到账需要一定时间，请供应商在投标截止前及早缴纳，以免导致报名无效。</w:t>
      </w:r>
    </w:p>
    <w:p>
      <w:pPr>
        <w:spacing w:line="360" w:lineRule="auto"/>
        <w:ind w:firstLine="480" w:firstLineChars="200"/>
        <w:rPr>
          <w:rFonts w:ascii="宋体" w:hAnsi="宋体"/>
          <w:sz w:val="24"/>
          <w:szCs w:val="24"/>
        </w:rPr>
      </w:pPr>
      <w:r>
        <w:rPr>
          <w:rFonts w:hint="eastAsia" w:ascii="宋体" w:hAnsi="宋体"/>
          <w:sz w:val="24"/>
          <w:szCs w:val="24"/>
        </w:rPr>
        <w:t>3.3若报名成功将以短信的方式进行提示，如已完成报名信息的填写并缴纳投标保证金后仍未收到报名成功短信，请及时用“回执码”登陆查询报名状况及保证金缴纳状态。</w:t>
      </w:r>
    </w:p>
    <w:p>
      <w:pPr>
        <w:spacing w:line="360" w:lineRule="auto"/>
        <w:ind w:firstLine="480" w:firstLineChars="200"/>
        <w:rPr>
          <w:rFonts w:ascii="宋体" w:hAnsi="宋体"/>
          <w:sz w:val="24"/>
          <w:szCs w:val="24"/>
        </w:rPr>
      </w:pPr>
      <w:r>
        <w:rPr>
          <w:rFonts w:hint="eastAsia" w:ascii="宋体" w:hAnsi="宋体"/>
          <w:sz w:val="24"/>
          <w:szCs w:val="24"/>
        </w:rPr>
        <w:t>3.4网上报名成功而放弃参加投标的供应商，请在递交响应文件前以书面形式并加盖单位公章（扫描件发送至</w:t>
      </w:r>
      <w:r>
        <w:fldChar w:fldCharType="begin"/>
      </w:r>
      <w:r>
        <w:instrText xml:space="preserve"> HYPERLINK "javascript:;" </w:instrText>
      </w:r>
      <w:r>
        <w:fldChar w:fldCharType="separate"/>
      </w:r>
      <w:r>
        <w:rPr>
          <w:rStyle w:val="49"/>
          <w:rFonts w:hint="eastAsia" w:ascii="宋体" w:hAnsi="宋体"/>
          <w:b/>
          <w:bCs/>
          <w:sz w:val="24"/>
          <w:szCs w:val="24"/>
          <w:shd w:val="clear" w:color="auto" w:fill="FFFFFF"/>
        </w:rPr>
        <w:t>hjqzfcg@163.com</w:t>
      </w:r>
      <w:r>
        <w:rPr>
          <w:rStyle w:val="49"/>
          <w:rFonts w:hint="eastAsia" w:ascii="宋体" w:hAnsi="宋体"/>
          <w:b/>
          <w:bCs/>
          <w:sz w:val="24"/>
          <w:szCs w:val="24"/>
          <w:shd w:val="clear" w:color="auto" w:fill="FFFFFF"/>
        </w:rPr>
        <w:fldChar w:fldCharType="end"/>
      </w:r>
      <w:r>
        <w:rPr>
          <w:rFonts w:hint="eastAsia" w:ascii="宋体" w:hAnsi="宋体"/>
          <w:sz w:val="24"/>
          <w:szCs w:val="24"/>
        </w:rPr>
        <w:t>或书面送达）通知鄂尔多斯市杭锦旗公共资源交易中心。放弃投标未予告知的，鄂尔多斯市杭锦旗公共资源交易中心将给予不诚信行为记录并在鄂尔多斯市公共资源交易网上公开通报。</w:t>
      </w:r>
    </w:p>
    <w:p>
      <w:pPr>
        <w:spacing w:line="360" w:lineRule="auto"/>
        <w:ind w:firstLine="482" w:firstLineChars="200"/>
        <w:rPr>
          <w:rFonts w:ascii="宋体" w:hAnsi="宋体"/>
          <w:b/>
          <w:sz w:val="24"/>
          <w:szCs w:val="24"/>
        </w:rPr>
      </w:pPr>
      <w:r>
        <w:rPr>
          <w:rFonts w:hint="eastAsia" w:ascii="宋体" w:hAnsi="宋体"/>
          <w:b/>
          <w:sz w:val="24"/>
          <w:szCs w:val="24"/>
        </w:rPr>
        <w:t>三.说明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本谈判文件依据《中华人民共和国政府采购法》、《中华人民共和国政府采购法实施条例》和《政府采购非招标采购方式管理办法》（财政部令第74号）及国家和自治区有关法律、法规、规章制度编制。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供应商应仔细阅读本谈判文件的所有内容（包括答疑、补充、澄清以及修改等），按照谈判文件要求以及格式编制响应文件，并保证其真实性，否则一切后果自负。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竞争性谈判，指采购人或者采购代理机构以谈判公告的方式邀请不特定的法人或其他组织参加投标，以能够最大限度地满足谈判文件中规定的各项综合评价标准、满足谈判文件的实质性要求，按照本谈判文件的谈判办法确定成交供应商或推荐成交候选人的采购方式。</w:t>
      </w:r>
    </w:p>
    <w:p>
      <w:pPr>
        <w:pStyle w:val="22"/>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本谈判文件仅适用于本次谈判公告中所涉及的项目和内容。</w:t>
      </w:r>
    </w:p>
    <w:p>
      <w:pPr>
        <w:pStyle w:val="22"/>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2"/>
        <w:adjustRightInd w:val="0"/>
        <w:snapToGrid w:val="0"/>
        <w:spacing w:line="360" w:lineRule="auto"/>
        <w:ind w:firstLine="480" w:firstLineChars="200"/>
        <w:rPr>
          <w:rFonts w:hAnsi="宋体" w:cs="Arial"/>
          <w:kern w:val="2"/>
          <w:sz w:val="24"/>
          <w:szCs w:val="24"/>
        </w:rPr>
      </w:pPr>
      <w:r>
        <w:rPr>
          <w:rFonts w:hint="eastAsia" w:hAnsi="宋体"/>
          <w:sz w:val="24"/>
          <w:szCs w:val="24"/>
        </w:rPr>
        <w:t>供应商应承担所有与准备和参加投标有关的费用。不论投标结果如何，杭锦旗公共资源交易中心</w:t>
      </w:r>
      <w:r>
        <w:rPr>
          <w:rFonts w:hint="eastAsia" w:hAnsi="宋体" w:cs="Arial"/>
          <w:kern w:val="2"/>
          <w:sz w:val="24"/>
          <w:szCs w:val="24"/>
        </w:rPr>
        <w:t>和采购人均无义务和责任承担相关费用。</w:t>
      </w:r>
    </w:p>
    <w:p>
      <w:pPr>
        <w:spacing w:line="360" w:lineRule="auto"/>
        <w:ind w:firstLine="482" w:firstLineChars="200"/>
        <w:rPr>
          <w:rFonts w:ascii="宋体" w:hAnsi="宋体" w:cs="Arial"/>
          <w:b/>
          <w:sz w:val="24"/>
          <w:szCs w:val="24"/>
        </w:rPr>
      </w:pPr>
      <w:r>
        <w:rPr>
          <w:rFonts w:hint="eastAsia" w:ascii="宋体" w:hAnsi="宋体" w:cs="Arial"/>
          <w:b/>
          <w:sz w:val="24"/>
          <w:szCs w:val="24"/>
        </w:rPr>
        <w:t>4.当事人</w:t>
      </w:r>
    </w:p>
    <w:p>
      <w:pPr>
        <w:spacing w:line="360" w:lineRule="auto"/>
        <w:ind w:firstLine="480" w:firstLineChars="200"/>
        <w:rPr>
          <w:rFonts w:ascii="宋体" w:hAnsi="宋体"/>
          <w:sz w:val="24"/>
          <w:szCs w:val="24"/>
        </w:rPr>
      </w:pPr>
      <w:r>
        <w:rPr>
          <w:rFonts w:hint="eastAsia" w:ascii="宋体" w:hAnsi="宋体"/>
          <w:sz w:val="24"/>
          <w:szCs w:val="24"/>
        </w:rPr>
        <w:t>4.1“采购人”是指</w:t>
      </w:r>
      <w:r>
        <w:rPr>
          <w:rFonts w:hint="eastAsia" w:ascii="宋体" w:hAnsi="宋体" w:cs="Arial"/>
          <w:sz w:val="24"/>
          <w:szCs w:val="24"/>
        </w:rPr>
        <w:t>依法进行政府采购的国家机关、事业单位、团体组织。本谈判文件的采购人特指杭锦旗人民检察院。</w:t>
      </w:r>
    </w:p>
    <w:p>
      <w:pPr>
        <w:spacing w:line="360" w:lineRule="auto"/>
        <w:ind w:firstLine="480" w:firstLineChars="200"/>
        <w:rPr>
          <w:rFonts w:ascii="宋体" w:hAnsi="宋体"/>
          <w:sz w:val="24"/>
          <w:szCs w:val="24"/>
        </w:rPr>
      </w:pPr>
      <w:r>
        <w:rPr>
          <w:rFonts w:hint="eastAsia" w:ascii="宋体" w:hAnsi="宋体"/>
          <w:sz w:val="24"/>
          <w:szCs w:val="24"/>
        </w:rPr>
        <w:t>4.2“集中采购机构”是指人民政府依法设立的代理集中采购项目的执行机构。本谈判文件的集中采购机构特指鄂尔多斯市杭锦旗公共资源交易中心（以下简称杭锦旗公共资源交易中心）。</w:t>
      </w:r>
    </w:p>
    <w:p>
      <w:pPr>
        <w:spacing w:line="360" w:lineRule="auto"/>
        <w:ind w:firstLine="480" w:firstLineChars="200"/>
        <w:rPr>
          <w:rFonts w:ascii="宋体" w:hAnsi="宋体"/>
          <w:sz w:val="24"/>
          <w:szCs w:val="24"/>
        </w:rPr>
      </w:pPr>
      <w:r>
        <w:rPr>
          <w:rFonts w:hint="eastAsia" w:ascii="宋体" w:hAnsi="宋体"/>
          <w:sz w:val="24"/>
          <w:szCs w:val="24"/>
        </w:rPr>
        <w:t>4.3“供应商”是指向采购人提供货物、工程或者服务的法人、其他组织或者自然人。</w:t>
      </w:r>
    </w:p>
    <w:p>
      <w:pPr>
        <w:spacing w:line="360" w:lineRule="auto"/>
        <w:ind w:firstLine="480" w:firstLineChars="200"/>
        <w:rPr>
          <w:rFonts w:ascii="宋体" w:hAnsi="宋体"/>
          <w:sz w:val="24"/>
          <w:szCs w:val="24"/>
        </w:rPr>
      </w:pPr>
      <w:r>
        <w:rPr>
          <w:rFonts w:hint="eastAsia" w:ascii="宋体" w:hAnsi="宋体"/>
          <w:sz w:val="24"/>
          <w:szCs w:val="24"/>
        </w:rPr>
        <w:t>4.4“谈判小组”是指根据《中华人民共和国政府采购法》等法律法规规定，由采购人代表和有关专家组成以确定成交供应商或者推荐成交候选人的临时组织。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sz w:val="24"/>
          <w:szCs w:val="24"/>
        </w:rPr>
      </w:pPr>
      <w:r>
        <w:rPr>
          <w:rFonts w:hint="eastAsia" w:ascii="宋体" w:hAnsi="宋体"/>
          <w:sz w:val="24"/>
          <w:szCs w:val="24"/>
        </w:rPr>
        <w:t>4.5“成交供应商”是指经谈判小组评审确定的对谈判文件做出实质性响应，取得与采购人签订合同资格的供应商。</w:t>
      </w:r>
    </w:p>
    <w:p>
      <w:pPr>
        <w:spacing w:line="360" w:lineRule="auto"/>
        <w:ind w:firstLine="482" w:firstLineChars="200"/>
        <w:rPr>
          <w:rFonts w:ascii="宋体" w:hAnsi="宋体"/>
          <w:b/>
          <w:sz w:val="24"/>
          <w:szCs w:val="24"/>
        </w:rPr>
      </w:pPr>
      <w:r>
        <w:rPr>
          <w:rFonts w:hint="eastAsia" w:ascii="宋体" w:hAnsi="宋体"/>
          <w:b/>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5.2到递交响应文件截止时间，通过“信用中国”网站（www.creditchina.gov.cn）、中国政府采购网（www.ccgp.gov.cn）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sz w:val="24"/>
          <w:szCs w:val="24"/>
        </w:rPr>
      </w:pPr>
      <w:r>
        <w:rPr>
          <w:rFonts w:hint="eastAsia" w:ascii="宋体" w:hAnsi="宋体"/>
          <w:bCs/>
          <w:sz w:val="24"/>
          <w:szCs w:val="24"/>
        </w:rPr>
        <w:t>5.3 符合本招标文件规定的资格要求，并按照要求提供相关证明材料。</w:t>
      </w:r>
    </w:p>
    <w:p>
      <w:pPr>
        <w:spacing w:line="360" w:lineRule="auto"/>
        <w:ind w:firstLine="480" w:firstLineChars="200"/>
        <w:rPr>
          <w:rFonts w:ascii="宋体" w:hAnsi="宋体"/>
          <w:bCs/>
          <w:sz w:val="24"/>
          <w:szCs w:val="24"/>
        </w:rPr>
      </w:pPr>
      <w:r>
        <w:rPr>
          <w:rFonts w:hint="eastAsia" w:ascii="宋体" w:hAnsi="宋体"/>
          <w:bCs/>
          <w:sz w:val="24"/>
          <w:szCs w:val="24"/>
        </w:rPr>
        <w:t>5.4单位负责人为同一人或者存在直接控股、管理关系的不同供应商，不得参加同一合同项下的政府采购活动。</w:t>
      </w:r>
    </w:p>
    <w:p>
      <w:pPr>
        <w:spacing w:line="360" w:lineRule="auto"/>
        <w:ind w:firstLine="480" w:firstLineChars="200"/>
        <w:rPr>
          <w:rFonts w:ascii="宋体" w:hAnsi="宋体"/>
          <w:bCs/>
          <w:sz w:val="24"/>
          <w:szCs w:val="24"/>
        </w:rPr>
      </w:pPr>
      <w:r>
        <w:rPr>
          <w:rFonts w:hint="eastAsia" w:ascii="宋体" w:hAnsi="宋体"/>
          <w:bCs/>
          <w:sz w:val="24"/>
          <w:szCs w:val="24"/>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sz w:val="24"/>
          <w:szCs w:val="24"/>
        </w:rPr>
      </w:pPr>
      <w:r>
        <w:rPr>
          <w:rFonts w:hint="eastAsia" w:ascii="宋体" w:hAnsi="宋体"/>
          <w:bCs/>
          <w:sz w:val="24"/>
          <w:szCs w:val="24"/>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6.以联合体形式投标的，应符合以下规定：</w:t>
      </w:r>
    </w:p>
    <w:p>
      <w:pPr>
        <w:spacing w:line="360" w:lineRule="auto"/>
        <w:ind w:firstLine="480" w:firstLineChars="200"/>
        <w:rPr>
          <w:rFonts w:ascii="宋体" w:hAnsi="宋体"/>
          <w:sz w:val="24"/>
          <w:szCs w:val="24"/>
        </w:rPr>
      </w:pPr>
      <w:r>
        <w:rPr>
          <w:rFonts w:hint="eastAsia" w:ascii="宋体" w:hAnsi="宋体"/>
          <w:sz w:val="24"/>
          <w:szCs w:val="24"/>
        </w:rPr>
        <w:t>6.1联合体各方应签订联合体协议书，明确联合体牵头人和各方权利义务，并装订至响应文件中。</w:t>
      </w:r>
    </w:p>
    <w:p>
      <w:pPr>
        <w:spacing w:line="360" w:lineRule="auto"/>
        <w:ind w:firstLine="480" w:firstLineChars="200"/>
        <w:rPr>
          <w:rFonts w:ascii="宋体" w:hAnsi="宋体"/>
          <w:sz w:val="24"/>
          <w:szCs w:val="24"/>
        </w:rPr>
      </w:pPr>
      <w:r>
        <w:rPr>
          <w:rFonts w:hint="eastAsia" w:ascii="宋体" w:hAnsi="宋体"/>
          <w:sz w:val="24"/>
          <w:szCs w:val="24"/>
        </w:rPr>
        <w:t>6.2联合体各方均应当具备政府采购法第二十二条规定的条件，并提供联合体各方的相关证明材料。</w:t>
      </w:r>
    </w:p>
    <w:p>
      <w:pPr>
        <w:spacing w:line="360" w:lineRule="auto"/>
        <w:ind w:firstLine="480" w:firstLineChars="200"/>
        <w:rPr>
          <w:rFonts w:ascii="宋体" w:hAnsi="宋体"/>
          <w:sz w:val="24"/>
          <w:szCs w:val="24"/>
        </w:rPr>
      </w:pPr>
      <w:r>
        <w:rPr>
          <w:rFonts w:hint="eastAsia" w:ascii="宋体" w:hAnsi="宋体"/>
          <w:sz w:val="24"/>
          <w:szCs w:val="24"/>
        </w:rPr>
        <w:t>6.3联合体成员存在不良信用记录的，视同联合体存在不良信用记录。</w:t>
      </w:r>
    </w:p>
    <w:p>
      <w:pPr>
        <w:spacing w:line="360" w:lineRule="auto"/>
        <w:ind w:firstLine="480" w:firstLineChars="200"/>
        <w:rPr>
          <w:rFonts w:ascii="宋体" w:hAnsi="宋体"/>
          <w:sz w:val="24"/>
          <w:szCs w:val="24"/>
        </w:rPr>
      </w:pPr>
      <w:r>
        <w:rPr>
          <w:rFonts w:hint="eastAsia" w:ascii="宋体" w:hAnsi="宋体"/>
          <w:sz w:val="24"/>
          <w:szCs w:val="24"/>
        </w:rPr>
        <w:t>6.4联合体各方中至少应当有一方符合采购人规定的资格要求。由同一资质条件的供应商组成的联合体，应当按照资质等级较低的供应商确定联合体资质等级。</w:t>
      </w:r>
    </w:p>
    <w:p>
      <w:pPr>
        <w:spacing w:line="360" w:lineRule="auto"/>
        <w:ind w:firstLine="480" w:firstLineChars="200"/>
        <w:rPr>
          <w:rFonts w:ascii="宋体" w:hAnsi="宋体"/>
          <w:sz w:val="24"/>
          <w:szCs w:val="24"/>
        </w:rPr>
      </w:pPr>
      <w:r>
        <w:rPr>
          <w:rFonts w:hint="eastAsia" w:ascii="宋体" w:hAnsi="宋体"/>
          <w:sz w:val="24"/>
          <w:szCs w:val="24"/>
        </w:rPr>
        <w:t>6.5联合体各方不得再以自己名义单独在同一项目中投标，也不得组成新的联合体参加同一项目投标。</w:t>
      </w:r>
    </w:p>
    <w:p>
      <w:pPr>
        <w:spacing w:line="360" w:lineRule="auto"/>
        <w:ind w:firstLine="480" w:firstLineChars="200"/>
        <w:rPr>
          <w:rFonts w:ascii="宋体" w:hAnsi="宋体"/>
          <w:sz w:val="24"/>
          <w:szCs w:val="24"/>
        </w:rPr>
      </w:pPr>
      <w:r>
        <w:rPr>
          <w:rFonts w:hint="eastAsia" w:ascii="宋体" w:hAnsi="宋体"/>
          <w:sz w:val="24"/>
          <w:szCs w:val="24"/>
        </w:rPr>
        <w:t>6.6联合体各方应当共同与采购人签订采购合同，就合同约定的事项对采购人承担连带责任。</w:t>
      </w:r>
    </w:p>
    <w:p>
      <w:pPr>
        <w:spacing w:line="360" w:lineRule="auto"/>
        <w:ind w:firstLine="480" w:firstLineChars="200"/>
        <w:rPr>
          <w:rFonts w:ascii="宋体" w:hAnsi="宋体"/>
          <w:sz w:val="24"/>
          <w:szCs w:val="24"/>
        </w:rPr>
      </w:pPr>
      <w:r>
        <w:rPr>
          <w:rFonts w:hint="eastAsia" w:ascii="宋体" w:hAnsi="宋体"/>
          <w:sz w:val="24"/>
          <w:szCs w:val="24"/>
        </w:rPr>
        <w:t>6.7 投标报名时，应以联合体协议中确定的主体方名义报名，以主体方名义缴纳投标保证金，对联合体各方均具有约束力。</w:t>
      </w:r>
    </w:p>
    <w:p>
      <w:pPr>
        <w:spacing w:line="360" w:lineRule="auto"/>
        <w:ind w:firstLine="482" w:firstLineChars="200"/>
        <w:rPr>
          <w:rFonts w:ascii="宋体" w:hAnsi="宋体"/>
          <w:b/>
          <w:sz w:val="24"/>
          <w:szCs w:val="24"/>
        </w:rPr>
      </w:pPr>
      <w:r>
        <w:rPr>
          <w:rFonts w:hint="eastAsia" w:ascii="宋体" w:hAnsi="宋体"/>
          <w:b/>
          <w:sz w:val="24"/>
          <w:szCs w:val="24"/>
        </w:rPr>
        <w:t>7.语言文字以及度量衡单位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7.1所有文件使用的语言文字为简体中文。专用术语使用外文的，应附有简体中文注释，否则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7.2所有计量均采用中国法定的计量单位。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7.3所有报价一律使用人民币，货币单位：元。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8. 现场踏勘</w:t>
      </w:r>
    </w:p>
    <w:p>
      <w:pPr>
        <w:spacing w:line="360" w:lineRule="auto"/>
        <w:ind w:firstLine="480" w:firstLineChars="200"/>
        <w:rPr>
          <w:rFonts w:ascii="宋体" w:hAnsi="宋体"/>
          <w:b/>
          <w:sz w:val="24"/>
          <w:szCs w:val="24"/>
        </w:rPr>
      </w:pPr>
      <w:r>
        <w:rPr>
          <w:rFonts w:hint="eastAsia" w:ascii="宋体" w:hAnsi="宋体"/>
          <w:sz w:val="24"/>
          <w:szCs w:val="24"/>
        </w:rPr>
        <w:t xml:space="preserve">8.1谈判文件规定组织踏勘现场的，采购人按谈判文件规定的时间、地点组织供应商踏勘项目现场。 </w:t>
      </w:r>
    </w:p>
    <w:p>
      <w:pPr>
        <w:spacing w:line="360" w:lineRule="auto"/>
        <w:ind w:firstLine="480" w:firstLineChars="200"/>
        <w:rPr>
          <w:rFonts w:ascii="宋体" w:hAnsi="宋体"/>
          <w:sz w:val="24"/>
          <w:szCs w:val="24"/>
        </w:rPr>
      </w:pPr>
      <w:r>
        <w:rPr>
          <w:rFonts w:hint="eastAsia" w:ascii="宋体" w:hAnsi="宋体"/>
          <w:sz w:val="24"/>
          <w:szCs w:val="24"/>
        </w:rPr>
        <w:t>8.2供应商自行承担踏勘现场发生的责任、风险和自身费用。</w:t>
      </w:r>
    </w:p>
    <w:p>
      <w:pPr>
        <w:spacing w:line="360" w:lineRule="auto"/>
        <w:ind w:firstLine="480" w:firstLineChars="200"/>
        <w:rPr>
          <w:rFonts w:ascii="宋体" w:hAnsi="宋体"/>
          <w:sz w:val="24"/>
          <w:szCs w:val="24"/>
        </w:rPr>
      </w:pPr>
      <w:r>
        <w:rPr>
          <w:rFonts w:hint="eastAsia" w:ascii="宋体" w:hAnsi="宋体"/>
          <w:sz w:val="24"/>
          <w:szCs w:val="24"/>
        </w:rPr>
        <w:t>8.3采购人在踏勘现场中提供的资料和数据，仅供供应商在编制响应文件时参考，采购人不对供应商据此作出的判断和决策负责。</w:t>
      </w:r>
    </w:p>
    <w:p>
      <w:pPr>
        <w:spacing w:line="360" w:lineRule="auto"/>
        <w:ind w:firstLine="482" w:firstLineChars="200"/>
        <w:rPr>
          <w:rFonts w:ascii="宋体" w:hAnsi="宋体"/>
          <w:b/>
          <w:sz w:val="24"/>
          <w:szCs w:val="24"/>
        </w:rPr>
      </w:pPr>
      <w:r>
        <w:rPr>
          <w:rFonts w:hint="eastAsia" w:ascii="宋体" w:hAnsi="宋体"/>
          <w:b/>
          <w:sz w:val="24"/>
          <w:szCs w:val="24"/>
        </w:rPr>
        <w:t>9.其他条款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四.谈判文件</w:t>
      </w:r>
    </w:p>
    <w:p>
      <w:pPr>
        <w:spacing w:line="360" w:lineRule="auto"/>
        <w:ind w:firstLine="482" w:firstLineChars="200"/>
        <w:rPr>
          <w:rFonts w:ascii="宋体" w:hAnsi="宋体"/>
          <w:b/>
          <w:sz w:val="24"/>
          <w:szCs w:val="24"/>
        </w:rPr>
      </w:pPr>
      <w:r>
        <w:rPr>
          <w:rFonts w:hint="eastAsia" w:ascii="宋体" w:hAnsi="宋体"/>
          <w:b/>
          <w:sz w:val="24"/>
          <w:szCs w:val="24"/>
        </w:rPr>
        <w:t>1.谈判文件的构成</w:t>
      </w:r>
    </w:p>
    <w:p>
      <w:pPr>
        <w:spacing w:line="360" w:lineRule="auto"/>
        <w:ind w:firstLine="480" w:firstLineChars="200"/>
        <w:rPr>
          <w:rFonts w:ascii="宋体" w:hAnsi="宋体"/>
          <w:b/>
          <w:sz w:val="24"/>
          <w:szCs w:val="24"/>
        </w:rPr>
      </w:pPr>
      <w:r>
        <w:rPr>
          <w:rFonts w:hint="eastAsia" w:ascii="宋体" w:hAnsi="宋体"/>
          <w:sz w:val="24"/>
          <w:szCs w:val="24"/>
        </w:rPr>
        <w:t>（1）谈判公告；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（4）谈判内容和技术要求；</w:t>
      </w:r>
    </w:p>
    <w:p>
      <w:pPr>
        <w:spacing w:line="360" w:lineRule="auto"/>
        <w:ind w:firstLine="480" w:firstLineChars="200"/>
        <w:rPr>
          <w:rFonts w:ascii="宋体" w:hAnsi="宋体"/>
          <w:sz w:val="24"/>
          <w:szCs w:val="24"/>
        </w:rPr>
      </w:pPr>
      <w:r>
        <w:rPr>
          <w:rFonts w:hint="eastAsia" w:ascii="宋体" w:hAnsi="宋体"/>
          <w:sz w:val="24"/>
          <w:szCs w:val="24"/>
        </w:rPr>
        <w:t>（5）谈判程序及方法；</w:t>
      </w:r>
    </w:p>
    <w:p>
      <w:pPr>
        <w:spacing w:line="360" w:lineRule="auto"/>
        <w:ind w:firstLine="480" w:firstLineChars="200"/>
        <w:rPr>
          <w:rFonts w:ascii="宋体" w:hAnsi="宋体"/>
          <w:sz w:val="24"/>
          <w:szCs w:val="24"/>
        </w:rPr>
      </w:pPr>
      <w:r>
        <w:rPr>
          <w:rFonts w:hint="eastAsia" w:ascii="宋体" w:hAnsi="宋体"/>
          <w:sz w:val="24"/>
          <w:szCs w:val="24"/>
        </w:rPr>
        <w:t>（6）响应文件格式。</w:t>
      </w:r>
    </w:p>
    <w:p>
      <w:pPr>
        <w:spacing w:line="360" w:lineRule="auto"/>
        <w:ind w:firstLine="482" w:firstLineChars="200"/>
        <w:rPr>
          <w:rFonts w:ascii="宋体" w:hAnsi="宋体"/>
          <w:b/>
          <w:sz w:val="24"/>
          <w:szCs w:val="24"/>
        </w:rPr>
      </w:pPr>
      <w:r>
        <w:rPr>
          <w:rFonts w:hint="eastAsia" w:ascii="宋体" w:hAnsi="宋体"/>
          <w:b/>
          <w:sz w:val="24"/>
          <w:szCs w:val="24"/>
        </w:rPr>
        <w:t>2.谈判文件的澄清或者修改</w:t>
      </w:r>
    </w:p>
    <w:p>
      <w:pPr>
        <w:spacing w:line="360" w:lineRule="auto"/>
        <w:ind w:firstLine="480" w:firstLineChars="200"/>
        <w:rPr>
          <w:rFonts w:ascii="宋体" w:hAnsi="宋体"/>
          <w:sz w:val="24"/>
          <w:szCs w:val="24"/>
        </w:rPr>
      </w:pPr>
      <w:r>
        <w:rPr>
          <w:rFonts w:hint="eastAsia" w:ascii="宋体" w:hAnsi="宋体"/>
          <w:sz w:val="24"/>
          <w:szCs w:val="24"/>
        </w:rPr>
        <w:t>采购人或采购代理机构需对谈判文件作实质性变动的，应当在规定的截止时间前3个工作日以公告形式告知所有参加谈判的供应商，</w:t>
      </w:r>
      <w:r>
        <w:rPr>
          <w:rFonts w:ascii="宋体" w:hAnsi="宋体"/>
          <w:sz w:val="24"/>
          <w:szCs w:val="24"/>
        </w:rPr>
        <w:t>不足3个工作日的，顺延提交首次响应文件截止之日</w:t>
      </w:r>
      <w:r>
        <w:rPr>
          <w:rFonts w:hint="eastAsia" w:ascii="宋体" w:hAnsi="宋体"/>
          <w:sz w:val="24"/>
          <w:szCs w:val="24"/>
        </w:rPr>
        <w:t>，同时在“内蒙古自治区政府采购网”、“内蒙古自治区公共资源交易网”、“鄂尔多斯市政府采购网”、“鄂尔多斯市公共资源交易网”和“杭锦旗公共资源交易网”上发布澄清或者变更公告。澄清或者变更公告的内容为谈判文件的组成部分，供应商应自行上网查询，采购人或杭锦旗公共资源交易中心不承担供应商未及时关注相关信息的责任。</w:t>
      </w:r>
    </w:p>
    <w:p>
      <w:pPr>
        <w:spacing w:line="360" w:lineRule="auto"/>
        <w:ind w:firstLine="482" w:firstLineChars="200"/>
        <w:rPr>
          <w:rFonts w:ascii="宋体" w:hAnsi="宋体"/>
          <w:b/>
          <w:sz w:val="24"/>
          <w:szCs w:val="24"/>
        </w:rPr>
      </w:pPr>
      <w:r>
        <w:rPr>
          <w:rFonts w:hint="eastAsia" w:ascii="宋体" w:hAnsi="宋体"/>
          <w:b/>
          <w:sz w:val="24"/>
          <w:szCs w:val="24"/>
        </w:rPr>
        <w:t>五.响应文件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响应文件应按照谈判文件第七章“响应文件格式”进行编写（可以增加附页），作为响应文件的组成部分。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供应商应按照“第四章谈判内容与要求”的</w:t>
      </w:r>
      <w:r>
        <w:rPr>
          <w:rFonts w:hint="eastAsia" w:ascii="宋体" w:hAnsi="宋体"/>
          <w:sz w:val="24"/>
          <w:szCs w:val="24"/>
        </w:rPr>
        <w:t>服务</w:t>
      </w:r>
      <w:r>
        <w:rPr>
          <w:rFonts w:ascii="宋体" w:hAnsi="宋体"/>
          <w:sz w:val="24"/>
          <w:szCs w:val="24"/>
        </w:rPr>
        <w:t>内容</w:t>
      </w:r>
      <w:r>
        <w:rPr>
          <w:rFonts w:hint="eastAsia" w:ascii="宋体" w:hAnsi="宋体"/>
          <w:sz w:val="24"/>
          <w:szCs w:val="24"/>
        </w:rPr>
        <w:t>、</w:t>
      </w:r>
      <w:r>
        <w:rPr>
          <w:rFonts w:ascii="宋体" w:hAnsi="宋体"/>
          <w:sz w:val="24"/>
          <w:szCs w:val="24"/>
        </w:rPr>
        <w:t>责任范围以及合同条款进行报价。并按“开标一览表”和“</w:t>
      </w:r>
      <w:r>
        <w:rPr>
          <w:rFonts w:hint="eastAsia" w:ascii="宋体" w:hAnsi="宋体"/>
          <w:sz w:val="24"/>
          <w:szCs w:val="24"/>
        </w:rPr>
        <w:t>分项报价明细表</w:t>
      </w:r>
      <w:r>
        <w:rPr>
          <w:rFonts w:ascii="宋体" w:hAnsi="宋体"/>
          <w:sz w:val="24"/>
          <w:szCs w:val="24"/>
        </w:rPr>
        <w:t>”规定的格式报出总价和分项价格</w:t>
      </w:r>
      <w:r>
        <w:rPr>
          <w:rFonts w:ascii="宋体" w:hAnsi="宋体"/>
          <w:kern w:val="0"/>
          <w:sz w:val="24"/>
          <w:szCs w:val="24"/>
        </w:rPr>
        <w:t>。投标总价中不得包含谈判文件要求以外的内容，否则，在评审时不予核减。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围：本次投标报价为一次性报价。投标报价含本招标文件要求、合同履约需要及服务过程中所产生的全部费用。</w:t>
      </w:r>
    </w:p>
    <w:p>
      <w:pPr>
        <w:tabs>
          <w:tab w:val="left" w:pos="567"/>
        </w:tabs>
        <w:spacing w:line="360" w:lineRule="auto"/>
        <w:ind w:firstLine="480" w:firstLineChars="200"/>
        <w:rPr>
          <w:rFonts w:ascii="宋体" w:hAnsi="宋体"/>
          <w:sz w:val="24"/>
          <w:szCs w:val="24"/>
        </w:rPr>
      </w:pPr>
      <w:r>
        <w:rPr>
          <w:rFonts w:hint="eastAsia" w:ascii="宋体" w:hAnsi="宋体"/>
          <w:sz w:val="24"/>
          <w:szCs w:val="24"/>
        </w:rPr>
        <w:t>2.3投标报价不得有选择性报价和附有条件的报价，不得缺项、漏项、不得高于预算价，否则按无效投标处理。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2" w:firstLineChars="201"/>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spacing w:line="360" w:lineRule="auto"/>
        <w:ind w:firstLine="480" w:firstLineChars="200"/>
        <w:rPr>
          <w:rFonts w:ascii="宋体" w:hAnsi="宋体"/>
          <w:sz w:val="24"/>
          <w:szCs w:val="24"/>
        </w:rPr>
      </w:pPr>
      <w:r>
        <w:rPr>
          <w:rFonts w:hint="eastAsia" w:ascii="宋体" w:hAnsi="宋体"/>
          <w:sz w:val="24"/>
          <w:szCs w:val="24"/>
        </w:rPr>
        <w:t>3.1纸质响应文件编制要求：响应文件应用A4纸书写、打印。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spacing w:line="360" w:lineRule="auto"/>
        <w:ind w:firstLine="480" w:firstLineChars="200"/>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r>
        <w:rPr>
          <w:rFonts w:hint="eastAsia" w:ascii="宋体" w:hAnsi="宋体"/>
          <w:kern w:val="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3.4响应文件的装订应采用胶订方式牢固装订成册，不可插页抽页，不可采用活页纸进行装订；供应商同时对多个标包投标的，响应文件应按所投标包分别编制并分册胶装、分包密封。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3.5响应文件的密封。供应商应使用密封袋将响应文件密封，电子文档可密封至响应文件中也可单独密封。密封封面上需注明“项目名称”、“项目编号”、“分包号”、“供应商全称”和《响应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供应商按上述规定进行密封和标记后，将响应文件按照谈判文件的要求送达指定地点。如果未按上述规定进行密封和标记，杭锦旗公共资源交易中心对误投或提前启封概不负责。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4.1投标有效期从提交响应文件的截止之日起算。响应文件中承诺的投标有效期应当不少于谈判文件中载明的投标有效期。投标有效期内供应商撤销响应文件的，采购人或者采购代理机构可以不退还投标保证金。</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b/>
          <w:sz w:val="24"/>
          <w:szCs w:val="24"/>
        </w:rPr>
      </w:pPr>
      <w:r>
        <w:rPr>
          <w:rFonts w:hint="eastAsia" w:ascii="宋体" w:hAnsi="宋体"/>
          <w:b/>
          <w:sz w:val="24"/>
          <w:szCs w:val="24"/>
        </w:rPr>
        <w:t>5.投标保证金</w:t>
      </w:r>
    </w:p>
    <w:p>
      <w:pPr>
        <w:spacing w:line="360" w:lineRule="auto"/>
        <w:ind w:firstLine="480" w:firstLineChars="200"/>
        <w:rPr>
          <w:rFonts w:ascii="宋体" w:hAnsi="宋体"/>
          <w:sz w:val="24"/>
          <w:szCs w:val="24"/>
        </w:rPr>
      </w:pPr>
      <w:r>
        <w:rPr>
          <w:rFonts w:hint="eastAsia" w:ascii="宋体" w:hAnsi="宋体"/>
          <w:sz w:val="24"/>
          <w:szCs w:val="24"/>
        </w:rPr>
        <w:t>5.1投标保证金的缴纳</w:t>
      </w:r>
    </w:p>
    <w:p>
      <w:pPr>
        <w:spacing w:line="360" w:lineRule="auto"/>
        <w:ind w:firstLine="480" w:firstLineChars="200"/>
        <w:rPr>
          <w:rFonts w:ascii="宋体" w:hAnsi="宋体"/>
          <w:sz w:val="24"/>
          <w:szCs w:val="24"/>
        </w:rPr>
      </w:pPr>
      <w:r>
        <w:rPr>
          <w:rFonts w:hint="eastAsia" w:ascii="宋体" w:hAnsi="宋体"/>
          <w:sz w:val="24"/>
          <w:szCs w:val="24"/>
        </w:rPr>
        <w:t>供应商在提交响应文件的同时，应按供应商须知前附表规定的金额、开户银行、行号、开户单位、账号和谈判文件本章“报名须知”规定的投标保证金缴纳要求递交投标保证金，并作为其响应文件的组成部分。</w:t>
      </w:r>
    </w:p>
    <w:p>
      <w:pPr>
        <w:spacing w:line="360" w:lineRule="auto"/>
        <w:ind w:firstLine="480" w:firstLineChars="200"/>
        <w:rPr>
          <w:rFonts w:ascii="宋体" w:hAnsi="宋体"/>
          <w:sz w:val="24"/>
          <w:szCs w:val="24"/>
        </w:rPr>
      </w:pPr>
      <w:r>
        <w:rPr>
          <w:rFonts w:hint="eastAsia" w:ascii="宋体" w:hAnsi="宋体"/>
          <w:sz w:val="24"/>
          <w:szCs w:val="24"/>
        </w:rPr>
        <w:t>5.2供应商未按供应商须知前附表和本章“报名须知”要求提交投标保证金的，按无效投标处理。</w:t>
      </w:r>
    </w:p>
    <w:p>
      <w:pPr>
        <w:spacing w:line="360" w:lineRule="auto"/>
        <w:ind w:firstLine="480" w:firstLineChars="200"/>
        <w:rPr>
          <w:rFonts w:ascii="宋体" w:hAnsi="宋体"/>
          <w:sz w:val="24"/>
          <w:szCs w:val="24"/>
        </w:rPr>
      </w:pPr>
      <w:r>
        <w:rPr>
          <w:rFonts w:hint="eastAsia" w:ascii="宋体" w:hAnsi="宋体"/>
          <w:sz w:val="24"/>
          <w:szCs w:val="24"/>
        </w:rPr>
        <w:t>5.3投标保证金的退还：</w:t>
      </w:r>
    </w:p>
    <w:p>
      <w:pPr>
        <w:spacing w:line="360" w:lineRule="auto"/>
        <w:ind w:firstLine="480" w:firstLineChars="200"/>
        <w:rPr>
          <w:rFonts w:ascii="宋体" w:hAnsi="宋体"/>
          <w:sz w:val="24"/>
          <w:szCs w:val="24"/>
        </w:rPr>
      </w:pPr>
      <w:r>
        <w:rPr>
          <w:rFonts w:hint="eastAsia" w:ascii="宋体" w:hAnsi="宋体"/>
          <w:sz w:val="24"/>
          <w:szCs w:val="24"/>
        </w:rPr>
        <w:t>（1）未成交供应商投标保证金，自成交通知书发出之日起5个工作日内退还；</w:t>
      </w:r>
    </w:p>
    <w:p>
      <w:pPr>
        <w:spacing w:line="360" w:lineRule="auto"/>
        <w:ind w:firstLine="480" w:firstLineChars="200"/>
        <w:rPr>
          <w:rFonts w:ascii="宋体" w:hAnsi="宋体"/>
          <w:sz w:val="24"/>
          <w:szCs w:val="24"/>
        </w:rPr>
      </w:pPr>
      <w:r>
        <w:rPr>
          <w:rFonts w:hint="eastAsia" w:ascii="宋体" w:hAnsi="宋体"/>
          <w:sz w:val="24"/>
          <w:szCs w:val="24"/>
        </w:rPr>
        <w:t>（2）成交供应商投标保证金，自政府采购合同签订之日起5个工作日内退还。</w:t>
      </w:r>
    </w:p>
    <w:p>
      <w:pPr>
        <w:spacing w:line="360" w:lineRule="auto"/>
        <w:ind w:firstLine="480" w:firstLineChars="200"/>
        <w:rPr>
          <w:rFonts w:ascii="宋体" w:hAnsi="宋体"/>
          <w:sz w:val="24"/>
          <w:szCs w:val="24"/>
        </w:rPr>
      </w:pPr>
      <w:r>
        <w:rPr>
          <w:rFonts w:hint="eastAsia" w:ascii="宋体" w:hAnsi="宋体"/>
          <w:sz w:val="24"/>
          <w:szCs w:val="24"/>
        </w:rPr>
        <w:t>5.4有下列情形之一的，投标保证金将不予退还：</w:t>
      </w:r>
    </w:p>
    <w:p>
      <w:pPr>
        <w:spacing w:line="360" w:lineRule="auto"/>
        <w:ind w:firstLine="528" w:firstLineChars="220"/>
        <w:rPr>
          <w:rFonts w:ascii="宋体" w:hAnsi="宋体"/>
          <w:sz w:val="24"/>
          <w:szCs w:val="24"/>
        </w:rPr>
      </w:pPr>
      <w:r>
        <w:rPr>
          <w:rFonts w:hint="eastAsia" w:ascii="宋体" w:hAnsi="宋体"/>
          <w:sz w:val="24"/>
          <w:szCs w:val="24"/>
        </w:rPr>
        <w:t>（1）成交后，无正当理由放弃成交资格；</w:t>
      </w:r>
    </w:p>
    <w:p>
      <w:pPr>
        <w:spacing w:line="360" w:lineRule="auto"/>
        <w:ind w:firstLine="528" w:firstLineChars="220"/>
        <w:rPr>
          <w:rFonts w:ascii="宋体" w:hAnsi="宋体"/>
          <w:sz w:val="24"/>
          <w:szCs w:val="24"/>
        </w:rPr>
      </w:pPr>
      <w:r>
        <w:rPr>
          <w:rFonts w:hint="eastAsia" w:ascii="宋体" w:hAnsi="宋体"/>
          <w:sz w:val="24"/>
          <w:szCs w:val="24"/>
        </w:rPr>
        <w:t>（2）成交后，无正当理由不与采购人签订合同；</w:t>
      </w:r>
    </w:p>
    <w:p>
      <w:pPr>
        <w:spacing w:line="360" w:lineRule="auto"/>
        <w:ind w:firstLine="528" w:firstLineChars="220"/>
        <w:rPr>
          <w:rFonts w:ascii="宋体" w:hAnsi="宋体"/>
          <w:sz w:val="24"/>
          <w:szCs w:val="24"/>
        </w:rPr>
      </w:pPr>
      <w:r>
        <w:rPr>
          <w:rFonts w:hint="eastAsia" w:ascii="宋体" w:hAnsi="宋体"/>
          <w:sz w:val="24"/>
          <w:szCs w:val="24"/>
        </w:rPr>
        <w:t>（3）在签订合同时，向采购人提出附加条件；</w:t>
      </w:r>
    </w:p>
    <w:p>
      <w:pPr>
        <w:spacing w:line="360" w:lineRule="auto"/>
        <w:ind w:firstLine="528" w:firstLineChars="220"/>
        <w:rPr>
          <w:rFonts w:ascii="宋体" w:hAnsi="宋体"/>
          <w:sz w:val="24"/>
          <w:szCs w:val="24"/>
        </w:rPr>
      </w:pPr>
      <w:r>
        <w:rPr>
          <w:rFonts w:hint="eastAsia" w:ascii="宋体" w:hAnsi="宋体"/>
          <w:sz w:val="24"/>
          <w:szCs w:val="24"/>
        </w:rPr>
        <w:t>（4）不按照谈判文件要求提交履约保证金；</w:t>
      </w:r>
    </w:p>
    <w:p>
      <w:pPr>
        <w:spacing w:line="360" w:lineRule="auto"/>
        <w:ind w:firstLine="528" w:firstLineChars="220"/>
        <w:rPr>
          <w:rFonts w:ascii="宋体" w:hAnsi="宋体"/>
          <w:sz w:val="24"/>
          <w:szCs w:val="24"/>
        </w:rPr>
      </w:pPr>
      <w:r>
        <w:rPr>
          <w:rFonts w:hint="eastAsia" w:ascii="宋体" w:hAnsi="宋体"/>
          <w:sz w:val="24"/>
          <w:szCs w:val="24"/>
        </w:rPr>
        <w:t>（5）要求修改、补充和撤销响应文件的实质性内容；</w:t>
      </w:r>
    </w:p>
    <w:p>
      <w:pPr>
        <w:spacing w:line="360" w:lineRule="auto"/>
        <w:ind w:firstLine="528" w:firstLineChars="220"/>
        <w:rPr>
          <w:rFonts w:ascii="宋体" w:hAnsi="宋体"/>
          <w:sz w:val="24"/>
          <w:szCs w:val="24"/>
        </w:rPr>
      </w:pPr>
      <w:r>
        <w:rPr>
          <w:rFonts w:hint="eastAsia" w:ascii="宋体" w:hAnsi="宋体"/>
          <w:sz w:val="24"/>
          <w:szCs w:val="24"/>
        </w:rPr>
        <w:t>（6）要求更改谈判文件和成交结果公告的实质性内容；</w:t>
      </w:r>
    </w:p>
    <w:p>
      <w:pPr>
        <w:spacing w:line="360" w:lineRule="auto"/>
        <w:ind w:firstLine="528" w:firstLineChars="220"/>
        <w:rPr>
          <w:rFonts w:ascii="宋体" w:hAnsi="宋体"/>
          <w:sz w:val="24"/>
          <w:szCs w:val="24"/>
        </w:rPr>
      </w:pPr>
      <w:r>
        <w:rPr>
          <w:rFonts w:hint="eastAsia" w:ascii="宋体" w:hAnsi="宋体"/>
          <w:sz w:val="24"/>
          <w:szCs w:val="24"/>
        </w:rPr>
        <w:t>（7）将成交项目转让给他人，或者在响应文件中未说明，且未经采购人同意，将成交项目分包给他人的；</w:t>
      </w:r>
    </w:p>
    <w:p>
      <w:pPr>
        <w:spacing w:line="360" w:lineRule="auto"/>
        <w:ind w:firstLine="528" w:firstLineChars="220"/>
        <w:rPr>
          <w:rFonts w:ascii="宋体" w:hAnsi="宋体"/>
          <w:sz w:val="24"/>
          <w:szCs w:val="24"/>
        </w:rPr>
      </w:pPr>
      <w:r>
        <w:rPr>
          <w:rFonts w:hint="eastAsia" w:ascii="宋体" w:hAnsi="宋体"/>
          <w:sz w:val="24"/>
          <w:szCs w:val="24"/>
        </w:rPr>
        <w:t>（8）法律法规和谈判文件规定的其他情形。</w:t>
      </w:r>
    </w:p>
    <w:p>
      <w:pPr>
        <w:spacing w:line="360" w:lineRule="auto"/>
        <w:ind w:firstLine="482" w:firstLineChars="200"/>
        <w:rPr>
          <w:rFonts w:ascii="宋体" w:hAnsi="宋体"/>
          <w:sz w:val="24"/>
          <w:szCs w:val="24"/>
        </w:rPr>
      </w:pPr>
      <w:r>
        <w:rPr>
          <w:rFonts w:hint="eastAsia" w:ascii="宋体" w:hAnsi="宋体"/>
          <w:b/>
          <w:sz w:val="24"/>
          <w:szCs w:val="24"/>
        </w:rPr>
        <w:t>6.</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谈判文件要求签署、盖章，并作为响应文件的组成部分；补充、修改的内容与响应文件不一致的，以补充、修改的内容为准；撤回的应以书面形式告知杭锦旗公共资源交易中心或采购人。</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在递交响应文件截止时间后到谈判文件规定的投标有效期终止之前，供应商不得补充、修改、替代或者撤回其响应文件。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7.响应文件的递交</w:t>
      </w:r>
    </w:p>
    <w:p>
      <w:pPr>
        <w:spacing w:line="360" w:lineRule="auto"/>
        <w:ind w:firstLine="480" w:firstLineChars="200"/>
        <w:rPr>
          <w:rFonts w:ascii="宋体" w:hAnsi="宋体"/>
          <w:sz w:val="24"/>
          <w:szCs w:val="24"/>
        </w:rPr>
      </w:pPr>
      <w:r>
        <w:rPr>
          <w:rFonts w:hint="eastAsia" w:ascii="宋体" w:hAnsi="宋体"/>
          <w:sz w:val="24"/>
          <w:szCs w:val="24"/>
        </w:rPr>
        <w:t>在谈判文件要求提交响应文件的截止时间之后送达的响应文件</w:t>
      </w:r>
      <w:r>
        <w:rPr>
          <w:rFonts w:hint="eastAsia" w:ascii="宋体" w:hAnsi="宋体"/>
          <w:kern w:val="0"/>
          <w:sz w:val="24"/>
          <w:szCs w:val="24"/>
        </w:rPr>
        <w:t>，</w:t>
      </w:r>
      <w:r>
        <w:rPr>
          <w:rFonts w:hint="eastAsia" w:ascii="宋体" w:hAnsi="宋体"/>
          <w:sz w:val="24"/>
          <w:szCs w:val="24"/>
        </w:rPr>
        <w:t>为无效响应文件，采购单位或杭锦旗公共资源交易中心拒收。</w:t>
      </w:r>
    </w:p>
    <w:p>
      <w:pPr>
        <w:spacing w:line="360" w:lineRule="auto"/>
        <w:ind w:firstLine="472" w:firstLineChars="196"/>
        <w:rPr>
          <w:rFonts w:ascii="宋体" w:hAnsi="宋体"/>
          <w:b/>
          <w:sz w:val="24"/>
          <w:szCs w:val="24"/>
        </w:rPr>
      </w:pPr>
      <w:r>
        <w:rPr>
          <w:rFonts w:hint="eastAsia" w:ascii="宋体" w:hAnsi="宋体"/>
          <w:b/>
          <w:sz w:val="24"/>
          <w:szCs w:val="24"/>
        </w:rPr>
        <w:t>8.投标现场演示</w:t>
      </w:r>
    </w:p>
    <w:p>
      <w:pPr>
        <w:spacing w:line="360" w:lineRule="auto"/>
        <w:ind w:firstLine="480" w:firstLineChars="200"/>
        <w:rPr>
          <w:rFonts w:ascii="宋体" w:hAnsi="宋体"/>
          <w:sz w:val="24"/>
          <w:szCs w:val="24"/>
        </w:rPr>
      </w:pPr>
      <w:r>
        <w:rPr>
          <w:rFonts w:hint="eastAsia" w:ascii="宋体" w:hAnsi="宋体"/>
          <w:sz w:val="24"/>
          <w:szCs w:val="24"/>
        </w:rPr>
        <w:t>招标文件规定投标现场演示的，供应商应开标前做好演示准备（包括演示内容、演示环境、演示人员），自行提供演示设备。</w:t>
      </w:r>
    </w:p>
    <w:p>
      <w:pPr>
        <w:spacing w:line="360" w:lineRule="auto"/>
        <w:ind w:firstLine="482" w:firstLineChars="200"/>
        <w:rPr>
          <w:rFonts w:ascii="宋体" w:hAnsi="宋体"/>
          <w:b/>
          <w:sz w:val="24"/>
          <w:szCs w:val="24"/>
        </w:rPr>
      </w:pPr>
      <w:r>
        <w:rPr>
          <w:rFonts w:hint="eastAsia" w:ascii="宋体" w:hAnsi="宋体"/>
          <w:b/>
          <w:sz w:val="24"/>
          <w:szCs w:val="24"/>
        </w:rPr>
        <w:t>六.开标</w:t>
      </w:r>
    </w:p>
    <w:p>
      <w:pPr>
        <w:spacing w:line="360" w:lineRule="auto"/>
        <w:ind w:firstLine="482" w:firstLineChars="200"/>
        <w:rPr>
          <w:rFonts w:ascii="宋体" w:hAnsi="宋体"/>
          <w:b/>
          <w:sz w:val="24"/>
          <w:szCs w:val="24"/>
        </w:rPr>
      </w:pPr>
      <w:r>
        <w:rPr>
          <w:rFonts w:hint="eastAsia" w:ascii="宋体" w:hAnsi="宋体"/>
          <w:b/>
          <w:sz w:val="24"/>
          <w:szCs w:val="24"/>
        </w:rPr>
        <w:t>1.开标时间和地点</w:t>
      </w:r>
    </w:p>
    <w:p>
      <w:pPr>
        <w:spacing w:line="360" w:lineRule="auto"/>
        <w:ind w:firstLine="480" w:firstLineChars="200"/>
        <w:rPr>
          <w:rFonts w:ascii="宋体" w:hAnsi="宋体"/>
          <w:sz w:val="24"/>
          <w:szCs w:val="24"/>
        </w:rPr>
      </w:pPr>
      <w:r>
        <w:rPr>
          <w:rFonts w:hint="eastAsia" w:ascii="宋体" w:hAnsi="宋体"/>
          <w:sz w:val="24"/>
          <w:szCs w:val="24"/>
        </w:rPr>
        <w:t>开标时间与投标截止时间为同一时间；开标地点为谈判文件规定的地点。邀请所有供应商的法定代表人或其授权委托人准时参加。</w:t>
      </w:r>
    </w:p>
    <w:p>
      <w:pPr>
        <w:spacing w:line="360" w:lineRule="auto"/>
        <w:ind w:firstLine="480" w:firstLineChars="200"/>
        <w:rPr>
          <w:rFonts w:ascii="宋体" w:hAnsi="宋体"/>
          <w:sz w:val="24"/>
          <w:szCs w:val="24"/>
        </w:rPr>
      </w:pPr>
      <w:r>
        <w:rPr>
          <w:rFonts w:hint="eastAsia" w:ascii="宋体" w:hAnsi="宋体"/>
          <w:sz w:val="24"/>
          <w:szCs w:val="24"/>
        </w:rPr>
        <w:t>采购人、杭锦旗公共资源交易中心对误投或未按规定时间、地点进行投标的概不负责。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2.开标程序</w:t>
      </w:r>
    </w:p>
    <w:p>
      <w:pPr>
        <w:spacing w:line="360" w:lineRule="auto"/>
        <w:ind w:firstLine="480" w:firstLineChars="200"/>
        <w:rPr>
          <w:rFonts w:ascii="宋体" w:hAnsi="宋体"/>
          <w:sz w:val="24"/>
          <w:szCs w:val="24"/>
        </w:rPr>
      </w:pPr>
      <w:r>
        <w:rPr>
          <w:rFonts w:hint="eastAsia" w:ascii="宋体" w:hAnsi="宋体"/>
          <w:sz w:val="24"/>
          <w:szCs w:val="24"/>
        </w:rPr>
        <w:t>2.1主持人按下列程序进行开标：</w:t>
      </w:r>
    </w:p>
    <w:p>
      <w:pPr>
        <w:spacing w:line="360" w:lineRule="auto"/>
        <w:ind w:firstLine="480" w:firstLineChars="200"/>
        <w:rPr>
          <w:rFonts w:ascii="宋体" w:hAnsi="宋体"/>
          <w:sz w:val="24"/>
          <w:szCs w:val="24"/>
        </w:rPr>
      </w:pPr>
      <w:r>
        <w:rPr>
          <w:rFonts w:hint="eastAsia" w:ascii="宋体" w:hAnsi="宋体"/>
          <w:sz w:val="24"/>
          <w:szCs w:val="24"/>
        </w:rPr>
        <w:t>（1）宣布开标纪律；</w:t>
      </w:r>
    </w:p>
    <w:p>
      <w:pPr>
        <w:spacing w:line="360" w:lineRule="auto"/>
        <w:ind w:firstLine="480" w:firstLineChars="200"/>
        <w:rPr>
          <w:rFonts w:ascii="宋体" w:hAnsi="宋体"/>
          <w:sz w:val="24"/>
          <w:szCs w:val="24"/>
        </w:rPr>
      </w:pPr>
      <w:r>
        <w:rPr>
          <w:rFonts w:hint="eastAsia" w:ascii="宋体" w:hAnsi="宋体"/>
          <w:sz w:val="24"/>
          <w:szCs w:val="24"/>
        </w:rPr>
        <w:t>（2）公布在投标截止时间前递交响应文件的供应商名称；</w:t>
      </w:r>
    </w:p>
    <w:p>
      <w:pPr>
        <w:spacing w:line="360" w:lineRule="auto"/>
        <w:ind w:firstLine="480" w:firstLineChars="200"/>
        <w:rPr>
          <w:rFonts w:ascii="宋体" w:hAnsi="宋体"/>
          <w:sz w:val="24"/>
          <w:szCs w:val="24"/>
        </w:rPr>
      </w:pPr>
      <w:r>
        <w:rPr>
          <w:rFonts w:hint="eastAsia" w:ascii="宋体" w:hAnsi="宋体"/>
          <w:sz w:val="24"/>
          <w:szCs w:val="24"/>
        </w:rPr>
        <w:t>（3）宣布开标人、唱标人、记录人、监标人等有关人员姓名；</w:t>
      </w:r>
    </w:p>
    <w:p>
      <w:pPr>
        <w:spacing w:line="360" w:lineRule="auto"/>
        <w:ind w:firstLine="480" w:firstLineChars="200"/>
        <w:rPr>
          <w:rFonts w:ascii="宋体" w:hAnsi="宋体"/>
          <w:sz w:val="24"/>
          <w:szCs w:val="24"/>
        </w:rPr>
      </w:pPr>
      <w:r>
        <w:rPr>
          <w:rFonts w:hint="eastAsia" w:ascii="宋体" w:hAnsi="宋体"/>
          <w:sz w:val="24"/>
          <w:szCs w:val="24"/>
        </w:rPr>
        <w:t>（4）供应商或供应商代表检查所有响应文件密封情况，并签字确认；</w:t>
      </w:r>
    </w:p>
    <w:p>
      <w:pPr>
        <w:spacing w:line="360" w:lineRule="auto"/>
        <w:ind w:firstLine="480" w:firstLineChars="200"/>
        <w:rPr>
          <w:rFonts w:ascii="宋体" w:hAnsi="宋体"/>
          <w:sz w:val="24"/>
          <w:szCs w:val="24"/>
        </w:rPr>
      </w:pPr>
      <w:r>
        <w:rPr>
          <w:rFonts w:hint="eastAsia" w:ascii="宋体" w:hAnsi="宋体"/>
          <w:sz w:val="24"/>
          <w:szCs w:val="24"/>
        </w:rPr>
        <w:t>（5）公布供应商的投标报价、质保期、售后服务网点等，并记录在案；</w:t>
      </w:r>
    </w:p>
    <w:p>
      <w:pPr>
        <w:spacing w:line="360" w:lineRule="auto"/>
        <w:ind w:firstLine="480" w:firstLineChars="200"/>
        <w:rPr>
          <w:rFonts w:ascii="宋体" w:hAnsi="宋体"/>
          <w:sz w:val="24"/>
          <w:szCs w:val="24"/>
        </w:rPr>
      </w:pPr>
      <w:r>
        <w:rPr>
          <w:rFonts w:hint="eastAsia" w:ascii="宋体" w:hAnsi="宋体"/>
          <w:sz w:val="24"/>
          <w:szCs w:val="24"/>
        </w:rPr>
        <w:t>（6）供应商代表、采购人代表、监标人、记录人等有关人员在开标记录上签字确认；</w:t>
      </w:r>
    </w:p>
    <w:p>
      <w:pPr>
        <w:spacing w:line="360" w:lineRule="auto"/>
        <w:ind w:firstLine="480" w:firstLineChars="200"/>
        <w:rPr>
          <w:rFonts w:ascii="宋体" w:hAnsi="宋体"/>
          <w:sz w:val="24"/>
          <w:szCs w:val="24"/>
        </w:rPr>
      </w:pPr>
      <w:r>
        <w:rPr>
          <w:rFonts w:hint="eastAsia" w:ascii="宋体" w:hAnsi="宋体"/>
          <w:sz w:val="24"/>
          <w:szCs w:val="24"/>
        </w:rPr>
        <w:t>（7）开标结束，响应文件移交谈判小组。</w:t>
      </w:r>
    </w:p>
    <w:p>
      <w:pPr>
        <w:spacing w:line="360" w:lineRule="auto"/>
        <w:ind w:firstLine="480" w:firstLineChars="200"/>
        <w:rPr>
          <w:rFonts w:ascii="宋体" w:hAnsi="宋体"/>
          <w:sz w:val="24"/>
          <w:szCs w:val="24"/>
        </w:rPr>
      </w:pPr>
      <w:r>
        <w:rPr>
          <w:rFonts w:hint="eastAsia" w:ascii="宋体" w:hAnsi="宋体"/>
          <w:sz w:val="24"/>
          <w:szCs w:val="24"/>
        </w:rPr>
        <w:t>2.2开标异议</w:t>
      </w:r>
    </w:p>
    <w:p>
      <w:pPr>
        <w:spacing w:line="360" w:lineRule="auto"/>
        <w:ind w:firstLine="480" w:firstLineChars="200"/>
        <w:rPr>
          <w:rFonts w:ascii="宋体" w:hAnsi="宋体"/>
          <w:sz w:val="24"/>
          <w:szCs w:val="24"/>
        </w:rPr>
      </w:pPr>
      <w:r>
        <w:rPr>
          <w:rFonts w:hint="eastAsia" w:ascii="宋体" w:hAnsi="宋体"/>
          <w:sz w:val="24"/>
          <w:szCs w:val="24"/>
        </w:rPr>
        <w:t>供应商对开标有异议的，应当在开标现场提出，开标结束后，不再受理对开标过程的异议。</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2" w:firstLineChars="200"/>
        <w:rPr>
          <w:rFonts w:ascii="宋体" w:hAnsi="宋体"/>
          <w:b/>
          <w:sz w:val="24"/>
          <w:szCs w:val="24"/>
        </w:rPr>
      </w:pPr>
      <w:r>
        <w:rPr>
          <w:rFonts w:hint="eastAsia" w:ascii="宋体" w:hAnsi="宋体"/>
          <w:b/>
          <w:sz w:val="24"/>
          <w:szCs w:val="24"/>
        </w:rPr>
        <w:t>1.谈判小组</w:t>
      </w:r>
    </w:p>
    <w:p>
      <w:pPr>
        <w:spacing w:line="360" w:lineRule="auto"/>
        <w:ind w:firstLine="480" w:firstLineChars="200"/>
        <w:rPr>
          <w:rFonts w:ascii="宋体" w:hAnsi="宋体"/>
          <w:sz w:val="24"/>
          <w:szCs w:val="24"/>
        </w:rPr>
      </w:pPr>
      <w:r>
        <w:rPr>
          <w:rFonts w:hint="eastAsia" w:ascii="宋体" w:hAnsi="宋体"/>
          <w:sz w:val="24"/>
          <w:szCs w:val="24"/>
        </w:rPr>
        <w:t>1.1竞争性谈判小组由采购人代表和评审专家共3人及以上单数组成，其中评审专家人数不得少于竞争性谈判小组成员总数的2/3。达到公开招标数额标准的，竞争性谈判小组应当由5人及以上单数组成。</w:t>
      </w:r>
    </w:p>
    <w:p>
      <w:pPr>
        <w:spacing w:line="360" w:lineRule="auto"/>
        <w:ind w:firstLine="480" w:firstLineChars="200"/>
        <w:rPr>
          <w:rFonts w:ascii="宋体" w:hAnsi="宋体"/>
          <w:sz w:val="24"/>
          <w:szCs w:val="24"/>
        </w:rPr>
      </w:pPr>
      <w:r>
        <w:rPr>
          <w:rFonts w:hint="eastAsia" w:ascii="宋体" w:hAnsi="宋体"/>
          <w:sz w:val="24"/>
          <w:szCs w:val="24"/>
        </w:rPr>
        <w:t>1.2谈判小组成员有下列情形之一的，应当回避：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2.谈判原则</w:t>
      </w:r>
    </w:p>
    <w:p>
      <w:pPr>
        <w:spacing w:line="360" w:lineRule="auto"/>
        <w:ind w:firstLine="480" w:firstLineChars="200"/>
        <w:rPr>
          <w:rFonts w:ascii="宋体" w:hAnsi="宋体"/>
          <w:sz w:val="24"/>
          <w:szCs w:val="24"/>
        </w:rPr>
      </w:pPr>
      <w:r>
        <w:rPr>
          <w:rFonts w:hint="eastAsia" w:ascii="宋体" w:hAnsi="宋体"/>
          <w:sz w:val="24"/>
          <w:szCs w:val="24"/>
        </w:rPr>
        <w:t>2.1谈判活动遵循公平、公正、科学和择优的原则，以谈判文件和响应文件为谈判的基本依据，并按照谈判文件规定的谈判方法和谈判标准进行谈判。</w:t>
      </w:r>
    </w:p>
    <w:p>
      <w:pPr>
        <w:spacing w:line="360" w:lineRule="auto"/>
        <w:ind w:firstLine="480" w:firstLineChars="200"/>
        <w:rPr>
          <w:rFonts w:ascii="宋体" w:hAnsi="宋体"/>
          <w:sz w:val="24"/>
          <w:szCs w:val="24"/>
        </w:rPr>
      </w:pPr>
      <w:r>
        <w:rPr>
          <w:rFonts w:hint="eastAsia" w:ascii="宋体" w:hAnsi="宋体"/>
          <w:sz w:val="24"/>
          <w:szCs w:val="24"/>
        </w:rPr>
        <w:t>2.2谈判由采购人依法组建的谈判小组负责，并按谈判文件的规定确定成交供应商或者推荐成交候选人。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3.投标无效的情形</w:t>
      </w:r>
    </w:p>
    <w:p>
      <w:pPr>
        <w:spacing w:line="360" w:lineRule="auto"/>
        <w:ind w:firstLine="480" w:firstLineChars="200"/>
        <w:rPr>
          <w:rFonts w:ascii="宋体" w:hAnsi="宋体"/>
          <w:sz w:val="24"/>
          <w:szCs w:val="24"/>
        </w:rPr>
      </w:pPr>
      <w:r>
        <w:rPr>
          <w:rFonts w:hint="eastAsia" w:ascii="宋体" w:hAnsi="宋体"/>
          <w:sz w:val="24"/>
          <w:szCs w:val="24"/>
        </w:rPr>
        <w:t>详见第六章评审表。经谈判小组认定，凡其中有一项不合格的，按无效投标处理。</w:t>
      </w:r>
    </w:p>
    <w:p>
      <w:pPr>
        <w:spacing w:line="360" w:lineRule="auto"/>
        <w:ind w:firstLine="482" w:firstLineChars="200"/>
        <w:rPr>
          <w:rFonts w:ascii="宋体" w:hAnsi="宋体"/>
          <w:sz w:val="24"/>
          <w:szCs w:val="24"/>
        </w:rPr>
      </w:pPr>
      <w:r>
        <w:rPr>
          <w:rFonts w:hint="eastAsia" w:ascii="宋体" w:hAnsi="宋体"/>
          <w:b/>
          <w:sz w:val="24"/>
          <w:szCs w:val="24"/>
        </w:rPr>
        <w:t>4.有下列情形之一的，视为供应商串通投标：</w:t>
      </w:r>
    </w:p>
    <w:p>
      <w:pPr>
        <w:spacing w:line="360" w:lineRule="auto"/>
        <w:ind w:firstLine="360" w:firstLineChars="150"/>
        <w:rPr>
          <w:rFonts w:ascii="宋体" w:hAnsi="宋体"/>
          <w:sz w:val="24"/>
          <w:szCs w:val="24"/>
        </w:rPr>
      </w:pPr>
      <w:r>
        <w:rPr>
          <w:rFonts w:hint="eastAsia" w:ascii="宋体" w:hAnsi="宋体"/>
          <w:sz w:val="24"/>
          <w:szCs w:val="24"/>
        </w:rPr>
        <w:t>（1）不同供应商的响应文件由同一单位或者个人编制；</w:t>
      </w:r>
    </w:p>
    <w:p>
      <w:pPr>
        <w:spacing w:line="360" w:lineRule="auto"/>
        <w:ind w:firstLine="360" w:firstLineChars="150"/>
        <w:rPr>
          <w:rFonts w:ascii="宋体" w:hAnsi="宋体"/>
          <w:sz w:val="24"/>
          <w:szCs w:val="24"/>
        </w:rPr>
      </w:pPr>
      <w:r>
        <w:rPr>
          <w:rFonts w:hint="eastAsia" w:ascii="宋体" w:hAnsi="宋体"/>
          <w:sz w:val="24"/>
          <w:szCs w:val="24"/>
        </w:rPr>
        <w:t>（2）不同供应商委托同一单位或者个人办理投标事宜；</w:t>
      </w:r>
    </w:p>
    <w:p>
      <w:pPr>
        <w:spacing w:line="360" w:lineRule="auto"/>
        <w:ind w:firstLine="360" w:firstLineChars="150"/>
        <w:rPr>
          <w:rFonts w:ascii="宋体" w:hAnsi="宋体"/>
          <w:sz w:val="24"/>
          <w:szCs w:val="24"/>
        </w:rPr>
      </w:pPr>
      <w:r>
        <w:rPr>
          <w:rFonts w:hint="eastAsia" w:ascii="宋体" w:hAnsi="宋体"/>
          <w:sz w:val="24"/>
          <w:szCs w:val="24"/>
        </w:rPr>
        <w:t>（3）不同供应商的响应文件载明的项目管理成员或者联系人员为同一人；</w:t>
      </w:r>
    </w:p>
    <w:p>
      <w:pPr>
        <w:spacing w:line="360" w:lineRule="auto"/>
        <w:ind w:firstLine="360" w:firstLineChars="150"/>
        <w:rPr>
          <w:rFonts w:ascii="宋体" w:hAnsi="宋体"/>
          <w:sz w:val="24"/>
          <w:szCs w:val="24"/>
        </w:rPr>
      </w:pPr>
      <w:r>
        <w:rPr>
          <w:rFonts w:hint="eastAsia" w:ascii="宋体" w:hAnsi="宋体"/>
          <w:sz w:val="24"/>
          <w:szCs w:val="24"/>
        </w:rPr>
        <w:t>（4）不同供应商的响应文件异常一致或者投标报价呈规律性差异；</w:t>
      </w:r>
    </w:p>
    <w:p>
      <w:pPr>
        <w:spacing w:line="360" w:lineRule="auto"/>
        <w:ind w:firstLine="360" w:firstLineChars="150"/>
        <w:rPr>
          <w:rFonts w:ascii="宋体" w:hAnsi="宋体"/>
          <w:sz w:val="24"/>
          <w:szCs w:val="24"/>
        </w:rPr>
      </w:pPr>
      <w:r>
        <w:rPr>
          <w:rFonts w:hint="eastAsia" w:ascii="宋体" w:hAnsi="宋体"/>
          <w:sz w:val="24"/>
          <w:szCs w:val="24"/>
        </w:rPr>
        <w:t>（5）不同供应商的响应文件相互混装；</w:t>
      </w:r>
    </w:p>
    <w:p>
      <w:pPr>
        <w:spacing w:line="360" w:lineRule="auto"/>
        <w:ind w:firstLine="360" w:firstLineChars="150"/>
        <w:rPr>
          <w:rFonts w:ascii="宋体" w:hAnsi="宋体"/>
          <w:sz w:val="24"/>
          <w:szCs w:val="24"/>
        </w:rPr>
      </w:pPr>
      <w:r>
        <w:rPr>
          <w:rFonts w:hint="eastAsia" w:ascii="宋体" w:hAnsi="宋体"/>
          <w:sz w:val="24"/>
          <w:szCs w:val="24"/>
        </w:rPr>
        <w:t>（6）不同供应商的投标保证金从同一单位或者个人的账户转出。</w:t>
      </w:r>
    </w:p>
    <w:p>
      <w:pPr>
        <w:spacing w:line="360" w:lineRule="auto"/>
        <w:ind w:firstLine="482" w:firstLineChars="200"/>
        <w:rPr>
          <w:rFonts w:ascii="宋体" w:hAnsi="宋体"/>
          <w:sz w:val="24"/>
          <w:szCs w:val="24"/>
        </w:rPr>
      </w:pPr>
      <w:r>
        <w:rPr>
          <w:rFonts w:hint="eastAsia" w:ascii="宋体" w:hAnsi="宋体"/>
          <w:b/>
          <w:sz w:val="24"/>
          <w:szCs w:val="24"/>
        </w:rPr>
        <w:t>5.废标的情形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出现下列情形之一的，应予以废标。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（1）符合专业条件的供应商或者对谈判文件作实质响应的供应商不足3家（经政府采购管理办公室批准的除外）；</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（3）供应商的报价均超过了采购预算；</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（5）法律、法规以及谈判文件规定其他情形。</w:t>
      </w:r>
    </w:p>
    <w:p>
      <w:pPr>
        <w:spacing w:line="360" w:lineRule="auto"/>
        <w:ind w:firstLine="482" w:firstLineChars="200"/>
        <w:rPr>
          <w:rFonts w:ascii="宋体" w:hAnsi="宋体"/>
          <w:b/>
          <w:sz w:val="24"/>
          <w:szCs w:val="24"/>
        </w:rPr>
      </w:pPr>
      <w:r>
        <w:rPr>
          <w:rFonts w:hint="eastAsia" w:ascii="宋体" w:hAnsi="宋体"/>
          <w:b/>
          <w:sz w:val="24"/>
          <w:szCs w:val="24"/>
        </w:rPr>
        <w:t>6.定标</w:t>
      </w:r>
    </w:p>
    <w:p>
      <w:pPr>
        <w:spacing w:line="360" w:lineRule="auto"/>
        <w:ind w:firstLine="480" w:firstLineChars="200"/>
        <w:rPr>
          <w:rFonts w:ascii="宋体" w:hAnsi="宋体"/>
          <w:sz w:val="24"/>
          <w:szCs w:val="24"/>
        </w:rPr>
      </w:pPr>
      <w:r>
        <w:rPr>
          <w:rFonts w:hint="eastAsia" w:ascii="宋体" w:hAnsi="宋体"/>
          <w:sz w:val="24"/>
          <w:szCs w:val="24"/>
        </w:rPr>
        <w:t>谈判小组按照谈判文件确定的谈判方法、步骤、标准，对响应文件进行评审。谈判结束后，对供应商的评审名次进行排序，确定成交供应商或者推荐成交候选人。</w:t>
      </w:r>
    </w:p>
    <w:p>
      <w:pPr>
        <w:spacing w:line="360" w:lineRule="auto"/>
        <w:ind w:firstLine="482" w:firstLineChars="200"/>
        <w:rPr>
          <w:rFonts w:ascii="宋体" w:hAnsi="宋体"/>
          <w:b/>
          <w:sz w:val="24"/>
          <w:szCs w:val="24"/>
        </w:rPr>
      </w:pPr>
      <w:r>
        <w:rPr>
          <w:rFonts w:hint="eastAsia" w:ascii="宋体" w:hAnsi="宋体"/>
          <w:b/>
          <w:sz w:val="24"/>
          <w:szCs w:val="24"/>
        </w:rPr>
        <w:t>7.成交结果公告</w:t>
      </w:r>
    </w:p>
    <w:p>
      <w:pPr>
        <w:spacing w:line="360" w:lineRule="auto"/>
        <w:ind w:firstLine="480" w:firstLineChars="200"/>
        <w:rPr>
          <w:rFonts w:ascii="宋体" w:hAnsi="宋体"/>
          <w:sz w:val="24"/>
          <w:szCs w:val="24"/>
        </w:rPr>
      </w:pPr>
      <w:r>
        <w:rPr>
          <w:rFonts w:hint="eastAsia" w:ascii="宋体" w:hAnsi="宋体"/>
          <w:sz w:val="24"/>
          <w:szCs w:val="24"/>
        </w:rPr>
        <w:t>成交供应商确定后，杭锦旗公共资源交易中心将在内蒙古自治区政府采购网、内蒙古自治区公共资源交易网、鄂尔多斯市政府采购网和鄂尔多斯市公共资源交易网、杭锦旗公共资源交易网上发布成交结果公告，同时将成交结果以公告形式通知未成交的供应商，中标公告期限为1个工作日。</w:t>
      </w:r>
    </w:p>
    <w:p>
      <w:pPr>
        <w:spacing w:line="360" w:lineRule="auto"/>
        <w:ind w:firstLine="480" w:firstLineChars="200"/>
        <w:rPr>
          <w:rFonts w:ascii="宋体" w:hAnsi="宋体"/>
          <w:sz w:val="24"/>
          <w:szCs w:val="24"/>
        </w:rPr>
      </w:pPr>
      <w:r>
        <w:rPr>
          <w:rFonts w:hint="eastAsia" w:ascii="宋体" w:hAnsi="宋体"/>
          <w:sz w:val="24"/>
          <w:szCs w:val="24"/>
        </w:rPr>
        <w:t>成交供应商须将成交货物报价明细表（WORD格式电子版，格式下载地址：鄂尔多斯市公共资源交易网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政府采购相关范本）（包括货物名称、生产厂家、品牌、规格、型号、数量、单位、单价及总价等）于谈判结束后当天发送在杭锦旗公共资源交易中心工作人员邮箱内（</w:t>
      </w:r>
      <w:r>
        <w:fldChar w:fldCharType="begin"/>
      </w:r>
      <w:r>
        <w:instrText xml:space="preserve"> HYPERLINK "javascript:;" </w:instrText>
      </w:r>
      <w:r>
        <w:fldChar w:fldCharType="separate"/>
      </w:r>
      <w:r>
        <w:rPr>
          <w:rStyle w:val="49"/>
          <w:rFonts w:hint="eastAsia" w:ascii="宋体" w:hAnsi="宋体"/>
          <w:b/>
          <w:bCs/>
          <w:sz w:val="24"/>
          <w:szCs w:val="24"/>
          <w:shd w:val="clear" w:color="auto" w:fill="FFFFFF"/>
        </w:rPr>
        <w:t>hjqzfcg@163.com</w:t>
      </w:r>
      <w:r>
        <w:rPr>
          <w:rStyle w:val="49"/>
          <w:rFonts w:hint="eastAsia" w:ascii="宋体" w:hAnsi="宋体"/>
          <w:b/>
          <w:bCs/>
          <w:sz w:val="24"/>
          <w:szCs w:val="24"/>
          <w:shd w:val="clear" w:color="auto" w:fill="FFFFFF"/>
        </w:rPr>
        <w:fldChar w:fldCharType="end"/>
      </w:r>
      <w:r>
        <w:rPr>
          <w:rFonts w:hint="eastAsia" w:ascii="宋体" w:hAnsi="宋体"/>
          <w:sz w:val="24"/>
          <w:szCs w:val="24"/>
        </w:rPr>
        <w:t>，联系人邬尚东，联系电话0477-6860805），并在邮件标题注明项目名称及成交单位名称。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8.成交通知书发放</w:t>
      </w:r>
    </w:p>
    <w:p>
      <w:pPr>
        <w:spacing w:line="360" w:lineRule="auto"/>
        <w:ind w:firstLine="480" w:firstLineChars="200"/>
        <w:rPr>
          <w:rFonts w:ascii="宋体" w:hAnsi="宋体"/>
          <w:sz w:val="24"/>
          <w:szCs w:val="24"/>
        </w:rPr>
      </w:pPr>
      <w:r>
        <w:rPr>
          <w:rFonts w:hint="eastAsia" w:ascii="宋体" w:hAnsi="宋体"/>
          <w:sz w:val="24"/>
          <w:szCs w:val="24"/>
        </w:rPr>
        <w:t>杭锦旗公共资源交易中心以书面形式向成交供应商发出成交通知书，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成交供应商须持法定代表人授权委托书及本人身份证至杭锦旗公共资源交易中心领取。</w:t>
      </w:r>
    </w:p>
    <w:p>
      <w:pPr>
        <w:spacing w:line="360" w:lineRule="auto"/>
        <w:ind w:firstLine="482" w:firstLineChars="200"/>
        <w:rPr>
          <w:rFonts w:ascii="宋体" w:hAnsi="宋体"/>
          <w:b/>
          <w:sz w:val="24"/>
          <w:szCs w:val="24"/>
        </w:rPr>
      </w:pPr>
      <w:r>
        <w:rPr>
          <w:rFonts w:hint="eastAsia" w:ascii="宋体" w:hAnsi="宋体"/>
          <w:b/>
          <w:sz w:val="24"/>
          <w:szCs w:val="24"/>
        </w:rPr>
        <w:t>八.询问、质疑与投诉</w:t>
      </w:r>
    </w:p>
    <w:p>
      <w:pPr>
        <w:autoSpaceDE w:val="0"/>
        <w:autoSpaceDN w:val="0"/>
        <w:adjustRightInd w:val="0"/>
        <w:snapToGrid w:val="0"/>
        <w:spacing w:line="360" w:lineRule="auto"/>
        <w:ind w:right="32" w:firstLine="484" w:firstLineChars="201"/>
        <w:rPr>
          <w:rFonts w:ascii="宋体" w:hAnsi="宋体" w:cs="宋体"/>
          <w:b/>
          <w:sz w:val="24"/>
          <w:szCs w:val="24"/>
        </w:rPr>
      </w:pPr>
      <w:r>
        <w:rPr>
          <w:rFonts w:hint="eastAsia" w:ascii="宋体" w:hAnsi="宋体" w:cs="宋体"/>
          <w:b/>
          <w:sz w:val="24"/>
          <w:szCs w:val="24"/>
        </w:rPr>
        <w:t>1.询问</w:t>
      </w:r>
    </w:p>
    <w:p>
      <w:pPr>
        <w:autoSpaceDE w:val="0"/>
        <w:autoSpaceDN w:val="0"/>
        <w:adjustRightInd w:val="0"/>
        <w:snapToGrid w:val="0"/>
        <w:spacing w:line="360" w:lineRule="auto"/>
        <w:ind w:right="32" w:firstLine="482" w:firstLineChars="201"/>
        <w:rPr>
          <w:rFonts w:ascii="宋体" w:hAnsi="宋体" w:cs="宋体"/>
          <w:b/>
          <w:kern w:val="0"/>
          <w:sz w:val="24"/>
          <w:szCs w:val="24"/>
        </w:rPr>
      </w:pPr>
      <w:r>
        <w:rPr>
          <w:rFonts w:hint="eastAsia" w:ascii="宋体" w:hAnsi="宋体" w:cs="宋体"/>
          <w:sz w:val="24"/>
          <w:szCs w:val="24"/>
        </w:rPr>
        <w:t>供应商对政府采购活动事项有疑问的，可以向采购人或公共资源交易中心提出询问，采购人或公共资源交易中心应当在</w:t>
      </w:r>
      <w:r>
        <w:rPr>
          <w:rFonts w:ascii="宋体" w:hAnsi="宋体" w:cs="宋体"/>
          <w:sz w:val="24"/>
          <w:szCs w:val="24"/>
        </w:rPr>
        <w:t>3</w:t>
      </w:r>
      <w:r>
        <w:rPr>
          <w:rFonts w:hint="eastAsia" w:ascii="宋体" w:hAnsi="宋体" w:cs="宋体"/>
          <w:sz w:val="24"/>
          <w:szCs w:val="24"/>
        </w:rPr>
        <w:t>个工作日内做出答复，但答复的内容不得涉及商业秘密。</w:t>
      </w:r>
      <w:r>
        <w:rPr>
          <w:rFonts w:hint="eastAsia" w:ascii="宋体" w:hAnsi="宋体" w:cs="宋体"/>
          <w:kern w:val="0"/>
          <w:sz w:val="24"/>
          <w:szCs w:val="24"/>
        </w:rPr>
        <w:t>供应商提出的询问超出采购人对公共资源交易中心委托授权范围的，公共资源交易中心应当告知其向采购人提出。</w:t>
      </w:r>
    </w:p>
    <w:p>
      <w:pPr>
        <w:autoSpaceDE w:val="0"/>
        <w:autoSpaceDN w:val="0"/>
        <w:adjustRightInd w:val="0"/>
        <w:snapToGrid w:val="0"/>
        <w:spacing w:line="360" w:lineRule="auto"/>
        <w:ind w:right="32" w:firstLine="482" w:firstLineChars="201"/>
        <w:rPr>
          <w:rFonts w:ascii="宋体" w:hAnsi="宋体"/>
          <w:kern w:val="0"/>
          <w:sz w:val="24"/>
          <w:szCs w:val="24"/>
        </w:rPr>
      </w:pPr>
      <w:r>
        <w:rPr>
          <w:rFonts w:hint="eastAsia" w:ascii="宋体" w:hAnsi="宋体" w:cs="宋体"/>
          <w:kern w:val="0"/>
          <w:sz w:val="24"/>
          <w:szCs w:val="24"/>
        </w:rPr>
        <w:t>为了使提出的询问事项在规定时间内得到有效回复，询问采用实名制，询问内容以书面材料的形式亲自递交到杭锦旗公共资源交易中心，正式受理后方可生效，否则，为无效询问。</w:t>
      </w:r>
    </w:p>
    <w:p>
      <w:pPr>
        <w:spacing w:line="360" w:lineRule="auto"/>
        <w:rPr>
          <w:rFonts w:ascii="宋体" w:hAnsi="宋体" w:cs="宋体"/>
          <w:b/>
          <w:sz w:val="24"/>
          <w:szCs w:val="24"/>
        </w:rPr>
      </w:pPr>
      <w:r>
        <w:rPr>
          <w:rFonts w:hint="eastAsia" w:ascii="宋体" w:hAnsi="宋体" w:cs="宋体"/>
          <w:b/>
          <w:sz w:val="24"/>
          <w:szCs w:val="24"/>
        </w:rPr>
        <w:t>2.质疑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2.1供应商认为采购文件、采购过程和中标、成交结果使自己的权益受到损害的，可以在知道或者应知其权益受到损害之日起七个工作日内，以书面形式向采购人提出质疑。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供应商</w:t>
      </w:r>
      <w:r>
        <w:rPr>
          <w:rFonts w:ascii="宋体" w:hAnsi="宋体" w:cs="宋体"/>
          <w:kern w:val="0"/>
          <w:sz w:val="24"/>
          <w:szCs w:val="24"/>
        </w:rPr>
        <w:t>在法定质疑期内</w:t>
      </w:r>
      <w:r>
        <w:rPr>
          <w:rFonts w:hint="eastAsia" w:ascii="宋体" w:hAnsi="宋体" w:cs="宋体"/>
          <w:kern w:val="0"/>
          <w:sz w:val="24"/>
          <w:szCs w:val="24"/>
        </w:rPr>
        <w:t>应当</w:t>
      </w:r>
      <w:r>
        <w:rPr>
          <w:rFonts w:ascii="宋体" w:hAnsi="宋体" w:cs="宋体"/>
          <w:kern w:val="0"/>
          <w:sz w:val="24"/>
          <w:szCs w:val="24"/>
        </w:rPr>
        <w:t>一次性提出针对同一采购程序环节的质疑。</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提</w:t>
      </w:r>
      <w:r>
        <w:rPr>
          <w:rFonts w:ascii="宋体" w:hAnsi="宋体" w:cs="宋体"/>
          <w:kern w:val="0"/>
          <w:sz w:val="24"/>
          <w:szCs w:val="24"/>
        </w:rPr>
        <w:t>出质疑的供应商应当是参与所质疑项目采购活动的供应商。</w:t>
      </w:r>
    </w:p>
    <w:p>
      <w:pPr>
        <w:spacing w:line="360" w:lineRule="auto"/>
        <w:ind w:firstLine="480" w:firstLineChars="200"/>
        <w:rPr>
          <w:rFonts w:ascii="宋体" w:hAnsi="宋体" w:cs="宋体"/>
          <w:kern w:val="0"/>
          <w:sz w:val="24"/>
          <w:szCs w:val="24"/>
        </w:rPr>
      </w:pPr>
      <w:r>
        <w:rPr>
          <w:rFonts w:ascii="宋体" w:hAnsi="宋体" w:cs="宋体"/>
          <w:kern w:val="0"/>
          <w:sz w:val="24"/>
          <w:szCs w:val="24"/>
        </w:rPr>
        <w:t>潜在供应商已依法获取其可质疑的采购文件的，可以对该文件提出质疑。对采购文件提出质疑的，应当在获取采购文件或者采购文件公告期限届满之日起7个工作日内提出。</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2.2采购人应当在收到供应商的书面质疑后七个工作日内作出答复，并以书面形式通知质疑供应商和其他有关供应商，但答复的内容不得涉及商业秘密。</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2.3询问或者质疑事项可能影响中标结果的，采购人应当暂停签订合同，已经签订合同的，应当中止履行合同。</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w:t>
      </w:r>
      <w:r>
        <w:rPr>
          <w:rFonts w:hint="eastAsia" w:ascii="Arial" w:hAnsi="Arial" w:cs="Arial"/>
          <w:kern w:val="0"/>
          <w:sz w:val="24"/>
          <w:szCs w:val="24"/>
        </w:rPr>
        <w:t xml:space="preserve"> </w:t>
      </w:r>
      <w:r>
        <w:rPr>
          <w:rFonts w:ascii="宋体" w:hAnsi="宋体" w:cs="宋体"/>
          <w:kern w:val="0"/>
          <w:sz w:val="24"/>
          <w:szCs w:val="24"/>
        </w:rPr>
        <w:t>供应商提出质疑应当提交质疑函和必要的证明材料。质疑函应当包括下列内容：</w:t>
      </w:r>
    </w:p>
    <w:p>
      <w:pPr>
        <w:spacing w:line="360" w:lineRule="auto"/>
        <w:ind w:firstLine="480" w:firstLineChars="200"/>
        <w:rPr>
          <w:rFonts w:ascii="宋体" w:hAnsi="宋体" w:cs="宋体"/>
          <w:kern w:val="0"/>
          <w:sz w:val="24"/>
          <w:szCs w:val="24"/>
        </w:rPr>
      </w:pPr>
      <w:r>
        <w:rPr>
          <w:rFonts w:ascii="宋体" w:hAnsi="宋体" w:cs="宋体"/>
          <w:kern w:val="0"/>
          <w:sz w:val="24"/>
          <w:szCs w:val="24"/>
        </w:rPr>
        <w:t>（一）供应商的姓名或者名称、地址、邮编、联系人及联系电话；</w:t>
      </w:r>
    </w:p>
    <w:p>
      <w:pPr>
        <w:spacing w:line="360" w:lineRule="auto"/>
        <w:ind w:firstLine="480" w:firstLineChars="200"/>
        <w:rPr>
          <w:rFonts w:ascii="宋体" w:hAnsi="宋体" w:cs="宋体"/>
          <w:kern w:val="0"/>
          <w:sz w:val="24"/>
          <w:szCs w:val="24"/>
        </w:rPr>
      </w:pPr>
      <w:r>
        <w:rPr>
          <w:rFonts w:ascii="宋体" w:hAnsi="宋体" w:cs="宋体"/>
          <w:kern w:val="0"/>
          <w:sz w:val="24"/>
          <w:szCs w:val="24"/>
        </w:rPr>
        <w:t>（二）质疑项目的名称、编号；</w:t>
      </w:r>
    </w:p>
    <w:p>
      <w:pPr>
        <w:spacing w:line="360" w:lineRule="auto"/>
        <w:ind w:firstLine="480" w:firstLineChars="200"/>
        <w:rPr>
          <w:rFonts w:ascii="宋体" w:hAnsi="宋体" w:cs="宋体"/>
          <w:kern w:val="0"/>
          <w:sz w:val="24"/>
          <w:szCs w:val="24"/>
        </w:rPr>
      </w:pPr>
      <w:r>
        <w:rPr>
          <w:rFonts w:ascii="宋体" w:hAnsi="宋体" w:cs="宋体"/>
          <w:kern w:val="0"/>
          <w:sz w:val="24"/>
          <w:szCs w:val="24"/>
        </w:rPr>
        <w:t>（三）具体、明确的质疑事项和与质疑事项相关的请求；</w:t>
      </w:r>
    </w:p>
    <w:p>
      <w:pPr>
        <w:spacing w:line="360" w:lineRule="auto"/>
        <w:ind w:firstLine="480" w:firstLineChars="200"/>
        <w:rPr>
          <w:rFonts w:ascii="宋体" w:hAnsi="宋体" w:cs="宋体"/>
          <w:kern w:val="0"/>
          <w:sz w:val="24"/>
          <w:szCs w:val="24"/>
        </w:rPr>
      </w:pPr>
      <w:r>
        <w:rPr>
          <w:rFonts w:ascii="宋体" w:hAnsi="宋体" w:cs="宋体"/>
          <w:kern w:val="0"/>
          <w:sz w:val="24"/>
          <w:szCs w:val="24"/>
        </w:rPr>
        <w:t>（四）事实依据；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（五）必要的法律依据；</w:t>
      </w:r>
    </w:p>
    <w:p>
      <w:pPr>
        <w:spacing w:line="360" w:lineRule="auto"/>
        <w:ind w:firstLine="480" w:firstLineChars="200"/>
        <w:rPr>
          <w:rFonts w:ascii="宋体" w:hAnsi="宋体" w:cs="宋体"/>
          <w:kern w:val="0"/>
          <w:sz w:val="24"/>
          <w:szCs w:val="24"/>
        </w:rPr>
      </w:pPr>
      <w:r>
        <w:rPr>
          <w:rFonts w:ascii="宋体" w:hAnsi="宋体" w:cs="宋体"/>
          <w:kern w:val="0"/>
          <w:sz w:val="24"/>
          <w:szCs w:val="24"/>
        </w:rPr>
        <w:t>（六）提出质疑的日期。</w:t>
      </w:r>
    </w:p>
    <w:p>
      <w:pPr>
        <w:spacing w:line="360" w:lineRule="auto"/>
        <w:ind w:firstLine="480" w:firstLineChars="200"/>
        <w:rPr>
          <w:rFonts w:ascii="宋体" w:hAnsi="宋体" w:cs="宋体"/>
          <w:kern w:val="0"/>
          <w:sz w:val="24"/>
          <w:szCs w:val="24"/>
        </w:rPr>
      </w:pPr>
      <w:r>
        <w:rPr>
          <w:rFonts w:ascii="宋体" w:hAnsi="宋体" w:cs="宋体"/>
          <w:kern w:val="0"/>
          <w:sz w:val="24"/>
          <w:szCs w:val="24"/>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Arial" w:hAnsi="Arial" w:cs="Arial"/>
          <w:kern w:val="0"/>
          <w:sz w:val="24"/>
          <w:szCs w:val="24"/>
        </w:rPr>
      </w:pPr>
      <w:r>
        <w:rPr>
          <w:rFonts w:ascii="Arial" w:hAnsi="Arial" w:cs="Arial"/>
          <w:kern w:val="0"/>
          <w:sz w:val="24"/>
          <w:szCs w:val="24"/>
        </w:rPr>
        <w:t>供应商可以委托代理人进行质疑</w:t>
      </w:r>
      <w:r>
        <w:rPr>
          <w:rFonts w:hint="eastAsia" w:ascii="Arial" w:hAnsi="Arial" w:cs="Arial"/>
          <w:kern w:val="0"/>
          <w:sz w:val="24"/>
          <w:szCs w:val="24"/>
        </w:rPr>
        <w:t>，且</w:t>
      </w:r>
      <w:r>
        <w:rPr>
          <w:rFonts w:ascii="Arial" w:hAnsi="Arial" w:cs="Arial"/>
          <w:kern w:val="0"/>
          <w:sz w:val="24"/>
          <w:szCs w:val="24"/>
        </w:rPr>
        <w:t>应当提交供应商签署的授权委托书。其授权委托书应当载明代理人的姓名或者名称、代理事项、具体权限、期限和相关事项。</w:t>
      </w:r>
    </w:p>
    <w:p>
      <w:pPr>
        <w:pStyle w:val="38"/>
        <w:spacing w:before="0" w:beforeAutospacing="0" w:after="0" w:afterAutospacing="0" w:line="360" w:lineRule="auto"/>
        <w:ind w:firstLine="480"/>
        <w:jc w:val="both"/>
        <w:rPr>
          <w:rFonts w:ascii="Arial" w:hAnsi="Arial" w:cs="Arial"/>
        </w:rPr>
      </w:pPr>
      <w:r>
        <w:rPr>
          <w:rFonts w:hint="eastAsia"/>
        </w:rPr>
        <w:t>2.5 供应商</w:t>
      </w:r>
      <w:r>
        <w:rPr>
          <w:rFonts w:hint="eastAsia" w:ascii="Arial" w:hAnsi="Arial" w:cs="Arial"/>
        </w:rPr>
        <w:t>在提出质疑时，请严格按照相关法律法规及质疑函范本要求提出和制作，否则，自行承担相关不利后果。</w:t>
      </w:r>
    </w:p>
    <w:p>
      <w:pPr>
        <w:pStyle w:val="38"/>
        <w:spacing w:before="0" w:beforeAutospacing="0" w:after="0" w:afterAutospacing="0" w:line="360" w:lineRule="auto"/>
        <w:ind w:firstLine="480"/>
        <w:jc w:val="both"/>
        <w:rPr>
          <w:rFonts w:ascii="Arial" w:hAnsi="Arial" w:cs="Arial"/>
        </w:rPr>
      </w:pPr>
      <w:r>
        <w:rPr>
          <w:rFonts w:hint="eastAsia" w:ascii="Arial" w:hAnsi="Arial" w:cs="Arial"/>
        </w:rPr>
        <w:t>对捏造事实，提供虚假材料或者以非法手段取得证明材料进行恶意质疑的，一经查实，将上报监督部门，并给以相应处罚。</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2.4 接收质疑函的方式：为了使提出的质疑事项在规定时间内得到有效答复、处理，质疑采用实名制，且由法定代表人或委托代理人亲自递交到杭锦旗公共资源交易中心，正式受理后方可生效。</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联系部门：采购人、采购代理机构（详见前附表）。</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联系电话：采购人、采购代理机构（详见前附表）。</w:t>
      </w:r>
    </w:p>
    <w:p>
      <w:pPr>
        <w:spacing w:line="360" w:lineRule="auto"/>
        <w:ind w:firstLine="480" w:firstLineChars="200"/>
        <w:rPr>
          <w:rFonts w:ascii="宋体" w:hAnsi="宋体"/>
          <w:sz w:val="24"/>
          <w:szCs w:val="24"/>
        </w:rPr>
      </w:pPr>
      <w:r>
        <w:rPr>
          <w:rFonts w:hint="eastAsia" w:ascii="宋体" w:hAnsi="宋体" w:cs="宋体"/>
          <w:kern w:val="0"/>
          <w:sz w:val="24"/>
          <w:szCs w:val="24"/>
        </w:rPr>
        <w:t>通讯地址：采购人、采购代理机构（详见前附表）。</w:t>
      </w:r>
    </w:p>
    <w:p>
      <w:pPr>
        <w:spacing w:line="360" w:lineRule="auto"/>
        <w:ind w:firstLine="482" w:firstLineChars="200"/>
        <w:rPr>
          <w:rFonts w:ascii="宋体" w:hAnsi="宋体"/>
          <w:b/>
          <w:sz w:val="24"/>
          <w:szCs w:val="24"/>
        </w:rPr>
      </w:pPr>
      <w:r>
        <w:rPr>
          <w:rFonts w:hint="eastAsia" w:ascii="宋体" w:hAnsi="宋体"/>
          <w:b/>
          <w:sz w:val="24"/>
          <w:szCs w:val="24"/>
        </w:rPr>
        <w:t>3.投诉</w:t>
      </w:r>
    </w:p>
    <w:p>
      <w:pPr>
        <w:spacing w:line="360" w:lineRule="auto"/>
        <w:ind w:firstLine="480" w:firstLineChars="200"/>
        <w:rPr>
          <w:rFonts w:ascii="宋体" w:hAnsi="宋体"/>
          <w:sz w:val="24"/>
          <w:szCs w:val="24"/>
        </w:rPr>
      </w:pPr>
      <w:r>
        <w:rPr>
          <w:rFonts w:hint="eastAsia" w:ascii="宋体" w:hAnsi="宋体"/>
          <w:sz w:val="24"/>
          <w:szCs w:val="24"/>
        </w:rPr>
        <w:t>质疑人对采购人、杭锦旗公共资源交易中心的答复不满意或者采购人、杭锦旗公共资源交易中心未在规定的时间内做出书面答复的，可以在答复期满后十五个工作日内向监督部门进行投诉。投诉程序按照财政部《政府采购供应商投诉处理办法》及相关规定执行。</w:t>
      </w:r>
    </w:p>
    <w:p>
      <w:pPr>
        <w:spacing w:line="360" w:lineRule="auto"/>
        <w:ind w:firstLine="480" w:firstLineChars="200"/>
        <w:rPr>
          <w:rFonts w:ascii="宋体" w:hAnsi="宋体"/>
          <w:sz w:val="24"/>
          <w:szCs w:val="24"/>
        </w:rPr>
      </w:pPr>
      <w:r>
        <w:rPr>
          <w:rFonts w:hint="eastAsia" w:ascii="宋体" w:hAnsi="宋体"/>
          <w:sz w:val="24"/>
          <w:szCs w:val="24"/>
        </w:rPr>
        <w:t>供应商投诉的事项不得超出已质疑事项的范围。</w:t>
      </w:r>
    </w:p>
    <w:bookmarkEnd w:id="2"/>
    <w:bookmarkEnd w:id="3"/>
    <w:p>
      <w:pPr>
        <w:spacing w:line="360" w:lineRule="auto"/>
        <w:rPr>
          <w:sz w:val="24"/>
          <w:szCs w:val="24"/>
          <w:lang w:val="zh-CN"/>
        </w:rPr>
      </w:pPr>
      <w:bookmarkStart w:id="9" w:name="_Toc447030612"/>
    </w:p>
    <w:p>
      <w:pPr>
        <w:pStyle w:val="39"/>
        <w:spacing w:line="360" w:lineRule="auto"/>
        <w:ind w:firstLine="484" w:firstLineChars="201"/>
        <w:rPr>
          <w:rFonts w:ascii="宋体" w:hAnsi="宋体" w:eastAsia="宋体" w:cs="宋体"/>
          <w:sz w:val="24"/>
          <w:szCs w:val="24"/>
        </w:rPr>
      </w:pPr>
      <w:r>
        <w:rPr>
          <w:rFonts w:ascii="宋体" w:hAnsi="宋体" w:eastAsia="宋体" w:cs="宋体"/>
          <w:sz w:val="24"/>
          <w:szCs w:val="24"/>
        </w:rPr>
        <w:br w:type="page"/>
      </w:r>
    </w:p>
    <w:bookmarkEnd w:id="9"/>
    <w:p>
      <w:pPr>
        <w:pStyle w:val="39"/>
        <w:spacing w:line="360" w:lineRule="auto"/>
        <w:rPr>
          <w:rFonts w:ascii="宋体" w:hAnsi="宋体" w:eastAsia="宋体" w:cs="宋体"/>
          <w:sz w:val="24"/>
          <w:szCs w:val="24"/>
        </w:rPr>
      </w:pPr>
      <w:bookmarkStart w:id="10" w:name="_Toc497726580"/>
      <w:bookmarkStart w:id="11" w:name="_Toc494546020"/>
      <w:r>
        <w:rPr>
          <w:rFonts w:hint="eastAsia" w:ascii="宋体" w:hAnsi="宋体" w:eastAsia="宋体" w:cs="宋体"/>
          <w:bCs w:val="0"/>
          <w:sz w:val="24"/>
          <w:szCs w:val="24"/>
        </w:rPr>
        <w:t>第三章 合同与验收</w:t>
      </w:r>
      <w:bookmarkEnd w:id="10"/>
      <w:bookmarkEnd w:id="11"/>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1.1采购人应当自中标通知书发出之日起30日内，按照谈判文件和成交供应商响应文件的规定，与成交供应商签订书面合同。所签订的合同不得对谈判文件确定的事项和成交供应商响应文件作实质性修改。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1.2政府采购合同应当包括采购人与成交供应商的名称和住所、标的、数量、质量、价款或者报酬、履行期限及地点和方式、验收要求、违约责任、解决争议的方法等内容。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1.3采购人与成交供应商应当根据合同的约定依法履行合同义务。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0" w:firstLineChars="200"/>
        <w:rPr>
          <w:rFonts w:ascii="宋体" w:hAnsi="宋体"/>
          <w:sz w:val="24"/>
          <w:szCs w:val="24"/>
        </w:rPr>
      </w:pPr>
      <w:r>
        <w:rPr>
          <w:rFonts w:hint="eastAsia" w:ascii="宋体" w:hAnsi="宋体"/>
          <w:sz w:val="24"/>
          <w:szCs w:val="24"/>
        </w:rPr>
        <w:t>自合同签订之日起2个工作日内，成交供应商应将政府采购合同送达至杭锦旗公共资源交易中心（联系电话：0477-6860805）存档，逾期未签订合同或未按时交回合同，将按照相关法律法规做出相应处罚。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2.1具体格式见本谈判文件后附拟签订的《合同文本》（部分合同条款），响应文件中可以不提供《合同文本》。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pStyle w:val="22"/>
        <w:spacing w:line="360" w:lineRule="auto"/>
        <w:ind w:left="57" w:right="57" w:firstLine="436" w:firstLineChars="182"/>
        <w:rPr>
          <w:rFonts w:hAnsi="宋体"/>
          <w:sz w:val="24"/>
          <w:szCs w:val="24"/>
        </w:rPr>
      </w:pPr>
      <w:r>
        <w:rPr>
          <w:rFonts w:hint="eastAsia" w:hAnsi="宋体"/>
          <w:sz w:val="24"/>
          <w:szCs w:val="24"/>
        </w:rPr>
        <w:t>成交供应商在供货、工程竣工或服务结束后，采购人应及时组织验收，并按照谈判文件、响应文件及合同约定填写验收单（下载地址：鄂尔多斯市公共资源交易网</w:t>
      </w:r>
      <w:r>
        <w:rPr>
          <w:rFonts w:hAnsi="宋体"/>
          <w:sz w:val="24"/>
          <w:szCs w:val="24"/>
        </w:rPr>
        <w:t>—</w:t>
      </w:r>
      <w:r>
        <w:rPr>
          <w:rFonts w:hint="eastAsia" w:hAnsi="宋体"/>
          <w:sz w:val="24"/>
          <w:szCs w:val="24"/>
        </w:rPr>
        <w:t>办事指南</w:t>
      </w:r>
      <w:r>
        <w:rPr>
          <w:rFonts w:hAnsi="宋体"/>
          <w:sz w:val="24"/>
          <w:szCs w:val="24"/>
        </w:rPr>
        <w:t>—</w:t>
      </w:r>
      <w:r>
        <w:rPr>
          <w:rFonts w:hint="eastAsia" w:hAnsi="宋体"/>
          <w:sz w:val="24"/>
          <w:szCs w:val="24"/>
        </w:rPr>
        <w:t>办事表格下载</w:t>
      </w:r>
      <w:r>
        <w:rPr>
          <w:rFonts w:hAnsi="宋体"/>
          <w:sz w:val="24"/>
          <w:szCs w:val="24"/>
        </w:rPr>
        <w:t>—</w:t>
      </w:r>
      <w:r>
        <w:rPr>
          <w:rFonts w:hint="eastAsia" w:hAnsi="宋体"/>
          <w:sz w:val="24"/>
          <w:szCs w:val="24"/>
        </w:rPr>
        <w:t>政府采购相关范本）。验收合格后2个工作日内，成交供应商应将政府采购项目验收单送达至杭锦旗公共资源交易中心（联系电话：0477-6860805）存档。逾期未验收或未按时交回验收单，将按照相关法律法规做出相应处罚。</w:t>
      </w:r>
    </w:p>
    <w:p>
      <w:pPr>
        <w:widowControl/>
        <w:jc w:val="left"/>
        <w:rPr>
          <w:rFonts w:ascii="宋体" w:hAnsi="宋体" w:cs="Courier New"/>
          <w:kern w:val="0"/>
          <w:sz w:val="24"/>
          <w:szCs w:val="24"/>
        </w:rPr>
      </w:pPr>
      <w:r>
        <w:rPr>
          <w:rFonts w:hAnsi="宋体"/>
          <w:sz w:val="24"/>
          <w:szCs w:val="24"/>
        </w:rPr>
        <w:br w:type="page"/>
      </w:r>
    </w:p>
    <w:p>
      <w:pPr>
        <w:jc w:val="center"/>
        <w:rPr>
          <w:rFonts w:ascii="宋体" w:hAnsi="宋体"/>
          <w:b/>
          <w:bCs/>
          <w:kern w:val="44"/>
          <w:sz w:val="24"/>
          <w:szCs w:val="24"/>
        </w:rPr>
      </w:pPr>
      <w:r>
        <w:rPr>
          <w:rFonts w:hint="eastAsia" w:ascii="宋体" w:hAnsi="宋体"/>
          <w:b/>
          <w:sz w:val="24"/>
          <w:szCs w:val="24"/>
        </w:rPr>
        <w:t>政府采购合同（合同文本）</w:t>
      </w:r>
    </w:p>
    <w:p>
      <w:pPr>
        <w:rPr>
          <w:rFonts w:ascii="宋体" w:hAnsi="宋体"/>
          <w:b/>
          <w:sz w:val="44"/>
          <w:szCs w:val="44"/>
        </w:rPr>
      </w:pP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甲方：***（填写采购单位）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乙方：***（填写中标供应商）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3、谈判文件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4、响应文件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二、本合同所提供的服务以谈判文件、响应文件要求的相关服务要求为主。后附主要服务内容清单。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sz w:val="24"/>
          <w:szCs w:val="24"/>
        </w:rPr>
        <w:t>***（见谈判文件第四章）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1、由甲乙双方及第三方（如有）按照谈判文件、响应文件及合同要求，一同对服务内容验收并签字确认。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乙方应按谈判文件、响应文件中做出的书面说明或承诺提供服务。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合同文本一式五份，采购单位、供应商、政府采购监管部门、市杭锦旗公共资源交易中心、国库支付执行机构各一份，自双方签订之日起生效。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kern w:val="44"/>
          <w:sz w:val="24"/>
          <w:szCs w:val="24"/>
        </w:rPr>
      </w:pPr>
    </w:p>
    <w:p>
      <w:pPr>
        <w:widowControl/>
        <w:jc w:val="left"/>
        <w:rPr>
          <w:rFonts w:ascii="宋体" w:hAnsi="宋体"/>
          <w:b/>
          <w:bCs/>
          <w:kern w:val="44"/>
          <w:sz w:val="24"/>
          <w:szCs w:val="24"/>
        </w:rPr>
      </w:pPr>
      <w:r>
        <w:rPr>
          <w:rFonts w:ascii="宋体" w:hAnsi="宋体"/>
          <w:b/>
          <w:bCs/>
          <w:kern w:val="44"/>
          <w:sz w:val="24"/>
          <w:szCs w:val="24"/>
        </w:rPr>
        <w:br w:type="page"/>
      </w:r>
    </w:p>
    <w:p>
      <w:pPr>
        <w:pStyle w:val="2"/>
        <w:keepNext w:val="0"/>
        <w:keepLines w:val="0"/>
        <w:spacing w:line="360" w:lineRule="auto"/>
        <w:rPr>
          <w:rFonts w:ascii="宋体" w:hAnsi="宋体"/>
          <w:sz w:val="24"/>
          <w:szCs w:val="24"/>
        </w:rPr>
      </w:pPr>
      <w:bookmarkStart w:id="12" w:name="_Toc497726581"/>
      <w:r>
        <w:rPr>
          <w:rFonts w:hint="eastAsia" w:ascii="宋体" w:hAnsi="宋体"/>
          <w:sz w:val="24"/>
          <w:szCs w:val="24"/>
        </w:rPr>
        <w:t>第四章 谈判内容与服务需求</w:t>
      </w:r>
      <w:bookmarkEnd w:id="12"/>
      <w:bookmarkStart w:id="13" w:name="_Toc497726582"/>
      <w:bookmarkStart w:id="14" w:name="_Toc397088603"/>
      <w:bookmarkStart w:id="15" w:name="_Toc303801500"/>
    </w:p>
    <w:tbl>
      <w:tblPr>
        <w:tblStyle w:val="43"/>
        <w:tblW w:w="9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6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主要商务条款</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采购预算／最高限价</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1100000元/年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服务期限</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服务期：本次招标有效期为三年，合同一年一签，合同有效期为自合同签订之日起1年。采购单位（甲方）每月或按季度对乙方进行评定、检查、考核，如乙方符合条件，甲方有权续签合同；如乙方不符合条件，甲方有权提前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服务地点</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bookmarkStart w:id="16" w:name="_Toc491862090"/>
            <w:r>
              <w:rPr>
                <w:rFonts w:hint="eastAsia" w:cs="宋体" w:asciiTheme="minorEastAsia" w:hAnsiTheme="minorEastAsia"/>
                <w:b w:val="0"/>
                <w:bCs w:val="0"/>
                <w:kern w:val="0"/>
                <w:sz w:val="24"/>
                <w:szCs w:val="24"/>
                <w:lang w:val="en-US"/>
              </w:rPr>
              <w:t>采购人指定地点。</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投标有效期</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554"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付款方式</w:t>
            </w:r>
          </w:p>
        </w:tc>
        <w:tc>
          <w:tcPr>
            <w:tcW w:w="652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spacing w:before="0" w:after="0" w:line="360" w:lineRule="auto"/>
              <w:jc w:val="both"/>
              <w:rPr>
                <w:rFonts w:cs="宋体" w:asciiTheme="minorEastAsia" w:hAnsiTheme="minorEastAsia"/>
                <w:b w:val="0"/>
                <w:bCs w:val="0"/>
                <w:kern w:val="0"/>
                <w:sz w:val="24"/>
                <w:szCs w:val="24"/>
                <w:lang w:val="en-US"/>
              </w:rPr>
            </w:pPr>
            <w:r>
              <w:rPr>
                <w:rFonts w:hint="eastAsia" w:cs="宋体" w:asciiTheme="minorEastAsia" w:hAnsiTheme="minorEastAsia"/>
                <w:b w:val="0"/>
                <w:bCs w:val="0"/>
                <w:kern w:val="0"/>
                <w:sz w:val="24"/>
                <w:szCs w:val="24"/>
                <w:lang w:val="en-US"/>
              </w:rPr>
              <w:t>按月支付，付款前提供符合财政支付要求的发票。</w:t>
            </w:r>
          </w:p>
        </w:tc>
      </w:tr>
    </w:tbl>
    <w:p>
      <w:pPr>
        <w:spacing w:line="360" w:lineRule="auto"/>
        <w:jc w:val="left"/>
        <w:rPr>
          <w:rFonts w:hAnsi="宋体"/>
          <w:b/>
          <w:sz w:val="24"/>
          <w:szCs w:val="24"/>
        </w:rPr>
      </w:pPr>
    </w:p>
    <w:p>
      <w:pPr>
        <w:spacing w:line="360" w:lineRule="auto"/>
        <w:jc w:val="left"/>
        <w:rPr>
          <w:rFonts w:hAnsi="宋体"/>
          <w:b/>
          <w:sz w:val="24"/>
          <w:szCs w:val="24"/>
        </w:rPr>
      </w:pPr>
      <w:r>
        <w:rPr>
          <w:rFonts w:hint="eastAsia" w:hAnsi="宋体"/>
          <w:b/>
          <w:sz w:val="24"/>
          <w:szCs w:val="24"/>
        </w:rPr>
        <w:t>二.服务需求：</w:t>
      </w:r>
    </w:p>
    <w:p>
      <w:pPr>
        <w:spacing w:line="360" w:lineRule="auto"/>
        <w:jc w:val="left"/>
        <w:rPr>
          <w:rFonts w:ascii="宋体" w:hAnsi="宋体"/>
          <w:b/>
          <w:color w:val="000000"/>
          <w:sz w:val="24"/>
          <w:szCs w:val="24"/>
        </w:rPr>
      </w:pPr>
      <w:r>
        <w:rPr>
          <w:rFonts w:hint="eastAsia" w:cs="宋体" w:asciiTheme="minorEastAsia" w:hAnsiTheme="minorEastAsia" w:eastAsiaTheme="minorEastAsia"/>
          <w:sz w:val="24"/>
          <w:szCs w:val="24"/>
        </w:rPr>
        <w:t>1.项目概况：</w:t>
      </w:r>
    </w:p>
    <w:p>
      <w:pPr>
        <w:spacing w:line="360" w:lineRule="auto"/>
        <w:ind w:firstLine="470" w:firstLineChars="196"/>
        <w:jc w:val="left"/>
        <w:rPr>
          <w:rFonts w:hAnsi="宋体"/>
          <w:b/>
          <w:sz w:val="24"/>
          <w:szCs w:val="24"/>
        </w:rPr>
      </w:pPr>
      <w:r>
        <w:rPr>
          <w:rFonts w:hint="eastAsia" w:cs="宋体" w:asciiTheme="minorEastAsia" w:hAnsiTheme="minorEastAsia"/>
          <w:kern w:val="0"/>
          <w:sz w:val="24"/>
          <w:szCs w:val="24"/>
        </w:rPr>
        <w:t xml:space="preserve">杭锦旗人民检察院位于鄂尔多斯市杭锦旗锡尼镇，总建筑面积：9100平方米。 </w:t>
      </w:r>
    </w:p>
    <w:p>
      <w:pPr>
        <w:spacing w:line="360" w:lineRule="auto"/>
        <w:ind w:right="57"/>
        <w:rPr>
          <w:rFonts w:ascii="宋体" w:hAnsi="宋体" w:cs="宋体"/>
          <w:b/>
          <w:sz w:val="24"/>
          <w:szCs w:val="24"/>
        </w:rPr>
      </w:pPr>
      <w:r>
        <w:rPr>
          <w:rFonts w:hint="eastAsia" w:cs="宋体" w:asciiTheme="minorEastAsia" w:hAnsiTheme="minorEastAsia" w:eastAsiaTheme="minorEastAsia"/>
          <w:sz w:val="24"/>
          <w:szCs w:val="24"/>
        </w:rPr>
        <w:t>2.服务需求一览表：</w:t>
      </w:r>
    </w:p>
    <w:tbl>
      <w:tblPr>
        <w:tblStyle w:val="4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2092"/>
        <w:gridCol w:w="2693"/>
        <w:gridCol w:w="1593"/>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277"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编号</w:t>
            </w:r>
          </w:p>
        </w:tc>
        <w:tc>
          <w:tcPr>
            <w:tcW w:w="2092"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服务项目</w:t>
            </w:r>
          </w:p>
        </w:tc>
        <w:tc>
          <w:tcPr>
            <w:tcW w:w="2693"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服务要求及标准</w:t>
            </w:r>
          </w:p>
        </w:tc>
        <w:tc>
          <w:tcPr>
            <w:tcW w:w="1593"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数量</w:t>
            </w:r>
          </w:p>
        </w:tc>
        <w:tc>
          <w:tcPr>
            <w:tcW w:w="1242"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1277" w:type="dxa"/>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1</w:t>
            </w:r>
          </w:p>
        </w:tc>
        <w:tc>
          <w:tcPr>
            <w:tcW w:w="2092" w:type="dxa"/>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物业管理服务</w:t>
            </w:r>
          </w:p>
        </w:tc>
        <w:tc>
          <w:tcPr>
            <w:tcW w:w="2693" w:type="dxa"/>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详见附表1</w:t>
            </w:r>
          </w:p>
        </w:tc>
        <w:tc>
          <w:tcPr>
            <w:tcW w:w="1593" w:type="dxa"/>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w:t>
            </w:r>
          </w:p>
        </w:tc>
        <w:tc>
          <w:tcPr>
            <w:tcW w:w="1242" w:type="dxa"/>
            <w:vAlign w:val="center"/>
          </w:tcPr>
          <w:p>
            <w:pPr>
              <w:widowControl/>
              <w:spacing w:line="360" w:lineRule="auto"/>
              <w:jc w:val="center"/>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项</w:t>
            </w:r>
          </w:p>
        </w:tc>
      </w:tr>
    </w:tbl>
    <w:p>
      <w:pPr>
        <w:spacing w:line="360" w:lineRule="auto"/>
        <w:jc w:val="center"/>
        <w:rPr>
          <w:rFonts w:ascii="宋体" w:hAnsi="宋体" w:cs="宋体"/>
          <w:sz w:val="24"/>
          <w:szCs w:val="24"/>
        </w:rPr>
      </w:pPr>
      <w:r>
        <w:rPr>
          <w:rFonts w:hint="eastAsia" w:ascii="宋体" w:hAnsi="宋体" w:cs="宋体"/>
          <w:sz w:val="24"/>
          <w:szCs w:val="24"/>
        </w:rPr>
        <w:t>附表1</w:t>
      </w:r>
      <w:r>
        <w:rPr>
          <w:rFonts w:hint="eastAsia" w:cs="宋体" w:asciiTheme="minorEastAsia" w:hAnsiTheme="minorEastAsia" w:eastAsiaTheme="minorEastAsia"/>
          <w:kern w:val="0"/>
          <w:sz w:val="24"/>
          <w:szCs w:val="24"/>
        </w:rPr>
        <w:t>服务项目：</w:t>
      </w:r>
      <w:r>
        <w:rPr>
          <w:rFonts w:hint="eastAsia" w:cs="宋体" w:asciiTheme="minorEastAsia" w:hAnsiTheme="minorEastAsia" w:eastAsiaTheme="minorEastAsia"/>
          <w:kern w:val="0"/>
          <w:sz w:val="24"/>
          <w:szCs w:val="24"/>
          <w:u w:val="single"/>
        </w:rPr>
        <w:t>物业管理服务。</w:t>
      </w:r>
    </w:p>
    <w:tbl>
      <w:tblPr>
        <w:tblStyle w:val="42"/>
        <w:tblpPr w:leftFromText="180" w:rightFromText="180" w:vertAnchor="text" w:tblpXSpec="center" w:tblpY="1"/>
        <w:tblOverlap w:val="never"/>
        <w:tblW w:w="9073" w:type="dxa"/>
        <w:jc w:val="center"/>
        <w:tblLayout w:type="fixed"/>
        <w:tblCellMar>
          <w:top w:w="0" w:type="dxa"/>
          <w:left w:w="108" w:type="dxa"/>
          <w:bottom w:w="0" w:type="dxa"/>
          <w:right w:w="108" w:type="dxa"/>
        </w:tblCellMar>
      </w:tblPr>
      <w:tblGrid>
        <w:gridCol w:w="710"/>
        <w:gridCol w:w="567"/>
        <w:gridCol w:w="992"/>
        <w:gridCol w:w="6804"/>
      </w:tblGrid>
      <w:tr>
        <w:tblPrEx>
          <w:tblCellMar>
            <w:top w:w="0" w:type="dxa"/>
            <w:left w:w="108" w:type="dxa"/>
            <w:bottom w:w="0" w:type="dxa"/>
            <w:right w:w="108" w:type="dxa"/>
          </w:tblCellMar>
        </w:tblPrEx>
        <w:trPr>
          <w:trHeight w:val="62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参数</w:t>
            </w:r>
          </w:p>
          <w:p>
            <w:pPr>
              <w:widowControl/>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性质</w:t>
            </w: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编号</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技术指</w:t>
            </w:r>
          </w:p>
          <w:p>
            <w:pPr>
              <w:widowControl/>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kern w:val="0"/>
                <w:sz w:val="24"/>
                <w:szCs w:val="24"/>
              </w:rPr>
              <w:t>标名称</w:t>
            </w:r>
          </w:p>
        </w:tc>
        <w:tc>
          <w:tcPr>
            <w:tcW w:w="680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技术参数和性能指标</w:t>
            </w:r>
          </w:p>
        </w:tc>
      </w:tr>
      <w:tr>
        <w:tblPrEx>
          <w:tblCellMar>
            <w:top w:w="0" w:type="dxa"/>
            <w:left w:w="108" w:type="dxa"/>
            <w:bottom w:w="0" w:type="dxa"/>
            <w:right w:w="108" w:type="dxa"/>
          </w:tblCellMar>
        </w:tblPrEx>
        <w:trPr>
          <w:trHeight w:val="401"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一</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ind w:firstLine="120" w:firstLineChars="50"/>
              <w:jc w:val="center"/>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kern w:val="0"/>
                <w:sz w:val="24"/>
                <w:szCs w:val="24"/>
                <w:lang w:bidi="lo-LA"/>
              </w:rPr>
              <w:t>服务</w:t>
            </w:r>
          </w:p>
          <w:p>
            <w:pPr>
              <w:widowControl/>
              <w:spacing w:line="360" w:lineRule="auto"/>
              <w:ind w:firstLine="120" w:firstLineChars="50"/>
              <w:jc w:val="center"/>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kern w:val="0"/>
                <w:sz w:val="24"/>
                <w:szCs w:val="24"/>
                <w:lang w:bidi="lo-LA"/>
              </w:rPr>
              <w:t>面积</w:t>
            </w:r>
          </w:p>
        </w:tc>
        <w:tc>
          <w:tcPr>
            <w:tcW w:w="6804" w:type="dxa"/>
            <w:tcBorders>
              <w:top w:val="single" w:color="auto" w:sz="4" w:space="0"/>
              <w:left w:val="nil"/>
              <w:bottom w:val="single" w:color="auto" w:sz="4" w:space="0"/>
              <w:right w:val="single" w:color="auto" w:sz="4" w:space="0"/>
            </w:tcBorders>
          </w:tcPr>
          <w:p>
            <w:pPr>
              <w:widowControl/>
              <w:spacing w:line="360" w:lineRule="auto"/>
              <w:ind w:firstLine="480" w:firstLineChars="200"/>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sz w:val="24"/>
                <w:szCs w:val="24"/>
              </w:rPr>
              <w:t>服务面积：</w:t>
            </w:r>
            <w:r>
              <w:rPr>
                <w:rFonts w:hint="eastAsia" w:cs="宋体" w:asciiTheme="minorEastAsia" w:hAnsiTheme="minorEastAsia" w:eastAsiaTheme="minorEastAsia"/>
                <w:color w:val="0C0C0C" w:themeColor="text1" w:themeTint="F2"/>
                <w:sz w:val="24"/>
                <w:szCs w:val="24"/>
              </w:rPr>
              <w:t>9100㎡</w:t>
            </w:r>
          </w:p>
        </w:tc>
      </w:tr>
      <w:tr>
        <w:tblPrEx>
          <w:tblCellMar>
            <w:top w:w="0" w:type="dxa"/>
            <w:left w:w="108" w:type="dxa"/>
            <w:bottom w:w="0" w:type="dxa"/>
            <w:right w:w="108" w:type="dxa"/>
          </w:tblCellMar>
        </w:tblPrEx>
        <w:trPr>
          <w:trHeight w:val="49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r>
              <w:rPr>
                <w:rFonts w:hint="eastAsia" w:asciiTheme="minorEastAsia" w:hAnsiTheme="minorEastAsia" w:eastAsiaTheme="minorEastAsia"/>
                <w:sz w:val="24"/>
                <w:szCs w:val="24"/>
                <w:lang w:bidi="lo-LA"/>
              </w:rPr>
              <w:t>*</w:t>
            </w: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二</w:t>
            </w:r>
          </w:p>
        </w:tc>
        <w:tc>
          <w:tcPr>
            <w:tcW w:w="99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kern w:val="0"/>
                <w:sz w:val="24"/>
                <w:szCs w:val="24"/>
                <w:lang w:bidi="lo-LA"/>
              </w:rPr>
              <w:t>物业服</w:t>
            </w:r>
          </w:p>
          <w:p>
            <w:pPr>
              <w:widowControl/>
              <w:spacing w:line="360" w:lineRule="auto"/>
              <w:jc w:val="center"/>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kern w:val="0"/>
                <w:sz w:val="24"/>
                <w:szCs w:val="24"/>
                <w:lang w:bidi="lo-LA"/>
              </w:rPr>
              <w:t>务范围</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color w:val="0000FF"/>
                <w:kern w:val="0"/>
                <w:sz w:val="24"/>
                <w:szCs w:val="24"/>
              </w:rPr>
            </w:pPr>
            <w:r>
              <w:rPr>
                <w:rFonts w:hint="eastAsia" w:cs="宋体" w:asciiTheme="minorEastAsia" w:hAnsiTheme="minorEastAsia" w:eastAsiaTheme="minorEastAsia"/>
                <w:kern w:val="0"/>
                <w:sz w:val="24"/>
                <w:szCs w:val="24"/>
              </w:rPr>
              <w:t>1.秩序维护服务（安保、车辆、消防、监控等管理）</w:t>
            </w:r>
          </w:p>
          <w:p>
            <w:pPr>
              <w:spacing w:line="360" w:lineRule="auto"/>
              <w:ind w:firstLine="470" w:firstLineChars="196"/>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2.保洁及环境卫生服务</w:t>
            </w:r>
          </w:p>
          <w:p>
            <w:pPr>
              <w:spacing w:line="360" w:lineRule="auto"/>
              <w:ind w:firstLine="470" w:firstLineChars="196"/>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w:t>
            </w:r>
            <w:r>
              <w:rPr>
                <w:rFonts w:hint="eastAsia" w:cs="宋体" w:asciiTheme="minorEastAsia" w:hAnsiTheme="minorEastAsia" w:eastAsiaTheme="minorEastAsia"/>
                <w:bCs/>
                <w:sz w:val="24"/>
                <w:szCs w:val="24"/>
              </w:rPr>
              <w:t>水、电、暖、气、饮水机等公共设施设备的维护与管理</w:t>
            </w:r>
          </w:p>
          <w:p>
            <w:pPr>
              <w:spacing w:line="360" w:lineRule="auto"/>
              <w:ind w:firstLine="470" w:firstLineChars="196"/>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4.办公楼管理服务</w:t>
            </w:r>
          </w:p>
          <w:p>
            <w:pPr>
              <w:spacing w:line="360" w:lineRule="auto"/>
              <w:ind w:firstLine="470" w:firstLineChars="196"/>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5.会务服务</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6.厨师及保洁人员服务</w:t>
            </w:r>
          </w:p>
        </w:tc>
      </w:tr>
      <w:tr>
        <w:tblPrEx>
          <w:tblCellMar>
            <w:top w:w="0" w:type="dxa"/>
            <w:left w:w="108" w:type="dxa"/>
            <w:bottom w:w="0" w:type="dxa"/>
            <w:right w:w="108" w:type="dxa"/>
          </w:tblCellMar>
        </w:tblPrEx>
        <w:trPr>
          <w:trHeight w:val="49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三</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管理</w:t>
            </w:r>
          </w:p>
          <w:p>
            <w:pPr>
              <w:jc w:val="center"/>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bCs/>
                <w:sz w:val="24"/>
                <w:szCs w:val="24"/>
              </w:rPr>
              <w:t>模式</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kern w:val="0"/>
                <w:sz w:val="24"/>
                <w:szCs w:val="24"/>
                <w:lang w:bidi="lo-LA"/>
              </w:rPr>
            </w:pPr>
            <w:r>
              <w:rPr>
                <w:rFonts w:hint="eastAsia" w:cs="宋体" w:asciiTheme="minorEastAsia" w:hAnsiTheme="minorEastAsia" w:eastAsiaTheme="minorEastAsia"/>
                <w:sz w:val="24"/>
                <w:szCs w:val="24"/>
              </w:rPr>
              <w:t>双方（委托方</w:t>
            </w:r>
            <w:r>
              <w:rPr>
                <w:rFonts w:hint="eastAsia" w:cs="宋体" w:asciiTheme="minorEastAsia" w:hAnsiTheme="minorEastAsia"/>
                <w:kern w:val="0"/>
                <w:sz w:val="24"/>
                <w:szCs w:val="24"/>
              </w:rPr>
              <w:t>杭锦旗人民检察院</w:t>
            </w:r>
            <w:r>
              <w:rPr>
                <w:rFonts w:hint="eastAsia" w:cs="宋体" w:asciiTheme="minorEastAsia" w:hAnsiTheme="minorEastAsia" w:eastAsiaTheme="minorEastAsia"/>
                <w:sz w:val="24"/>
                <w:szCs w:val="24"/>
              </w:rPr>
              <w:t>为甲方，受托方为乙方）签订《物业管理服务合同》，以合同方式约定双方权利和义务。</w:t>
            </w:r>
          </w:p>
        </w:tc>
      </w:tr>
      <w:tr>
        <w:tblPrEx>
          <w:tblCellMar>
            <w:top w:w="0" w:type="dxa"/>
            <w:left w:w="108" w:type="dxa"/>
            <w:bottom w:w="0" w:type="dxa"/>
            <w:right w:w="108" w:type="dxa"/>
          </w:tblCellMar>
        </w:tblPrEx>
        <w:trPr>
          <w:trHeight w:val="49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r>
              <w:rPr>
                <w:rFonts w:hint="eastAsia" w:asciiTheme="minorEastAsia" w:hAnsiTheme="minorEastAsia" w:eastAsiaTheme="minorEastAsia"/>
                <w:sz w:val="24"/>
                <w:szCs w:val="24"/>
                <w:lang w:bidi="lo-LA"/>
              </w:rPr>
              <w:t>*</w:t>
            </w: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四</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物业</w:t>
            </w:r>
          </w:p>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服务</w:t>
            </w:r>
          </w:p>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总体</w:t>
            </w:r>
          </w:p>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要求</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1.物业公司设立</w:t>
            </w:r>
            <w:r>
              <w:rPr>
                <w:rFonts w:hint="eastAsia" w:cs="宋体" w:asciiTheme="minorEastAsia" w:hAnsiTheme="minorEastAsia"/>
                <w:kern w:val="0"/>
                <w:sz w:val="24"/>
                <w:szCs w:val="24"/>
              </w:rPr>
              <w:t>杭锦旗人民检察院</w:t>
            </w:r>
            <w:r>
              <w:rPr>
                <w:rFonts w:hint="eastAsia" w:cs="宋体" w:asciiTheme="minorEastAsia" w:hAnsiTheme="minorEastAsia" w:eastAsiaTheme="minorEastAsia"/>
                <w:sz w:val="24"/>
                <w:szCs w:val="24"/>
              </w:rPr>
              <w:t>物业管理服务中心，为甲方提供优质高效的物业管理服务。</w:t>
            </w:r>
          </w:p>
          <w:p>
            <w:pPr>
              <w:spacing w:line="360" w:lineRule="auto"/>
              <w:ind w:firstLine="480" w:firstLineChars="200"/>
              <w:rPr>
                <w:rFonts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2.制度建设要求：</w:t>
            </w:r>
            <w:r>
              <w:rPr>
                <w:rFonts w:hint="eastAsia" w:asciiTheme="minorEastAsia" w:hAnsiTheme="minorEastAsia" w:eastAsiaTheme="minorEastAsia"/>
                <w:color w:val="000000"/>
                <w:sz w:val="24"/>
                <w:szCs w:val="24"/>
              </w:rPr>
              <w:t>物业管理企业依照国家有关规定及合同约定的物业管理项目和标准开展工作，</w:t>
            </w:r>
            <w:r>
              <w:rPr>
                <w:rFonts w:hint="eastAsia" w:cs="宋体" w:asciiTheme="minorEastAsia" w:hAnsiTheme="minorEastAsia" w:eastAsiaTheme="minorEastAsia"/>
                <w:sz w:val="24"/>
                <w:szCs w:val="24"/>
              </w:rPr>
              <w:t>建立各类管理制度，包括服务方案、服务质量目标、人员岗位计划、人员培训与待遇、内部管理职责与考核、设备操作规范、安全事故防范方案、项目难点和重点服务措施、维修报请处理及紧急情况应急预案等。</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hint="eastAsia" w:cs="宋体" w:asciiTheme="minorEastAsia" w:hAnsiTheme="minorEastAsia" w:eastAsiaTheme="minorEastAsia"/>
                <w:bCs/>
                <w:sz w:val="24"/>
                <w:szCs w:val="24"/>
              </w:rPr>
              <w:t>员工管理</w:t>
            </w:r>
          </w:p>
          <w:p>
            <w:pPr>
              <w:spacing w:line="360" w:lineRule="auto"/>
              <w:ind w:firstLine="240" w:firstLineChars="100"/>
              <w:rPr>
                <w:rFonts w:cs="宋体" w:asciiTheme="minorEastAsia" w:hAnsiTheme="minorEastAsia" w:eastAsiaTheme="minorEastAsia"/>
                <w:color w:val="FF0000"/>
                <w:sz w:val="24"/>
                <w:szCs w:val="24"/>
              </w:rPr>
            </w:pPr>
            <w:r>
              <w:rPr>
                <w:rFonts w:hint="eastAsia" w:cs="宋体" w:asciiTheme="minorEastAsia" w:hAnsiTheme="minorEastAsia" w:eastAsiaTheme="minorEastAsia"/>
                <w:bCs/>
                <w:sz w:val="24"/>
                <w:szCs w:val="24"/>
              </w:rPr>
              <w:t>（1）员工按岗位要求统一着装，言行规范，要注意仪容仪表、公众形象。</w:t>
            </w:r>
          </w:p>
          <w:p>
            <w:pPr>
              <w:spacing w:line="360" w:lineRule="auto"/>
              <w:ind w:firstLine="240" w:firstLineChars="100"/>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（2）对于不合适或不称职的员工，甲方有权提出调整要求，乙方应及时予以调整。</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4.各岗位拟任职人员要求</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（1）项目经理：</w:t>
            </w:r>
            <w:r>
              <w:rPr>
                <w:rFonts w:hint="eastAsia" w:cs="宋体" w:asciiTheme="minorEastAsia" w:hAnsiTheme="minorEastAsia" w:eastAsiaTheme="minorEastAsia"/>
                <w:bCs/>
                <w:sz w:val="24"/>
                <w:szCs w:val="24"/>
              </w:rPr>
              <w:t>须具有大专以上文化程度，具有物业经理从业人员岗位证书</w:t>
            </w:r>
            <w:r>
              <w:rPr>
                <w:rFonts w:hint="eastAsia" w:cs="宋体" w:asciiTheme="minorEastAsia" w:hAnsiTheme="minorEastAsia" w:eastAsiaTheme="minorEastAsia"/>
                <w:sz w:val="24"/>
                <w:szCs w:val="24"/>
              </w:rPr>
              <w:t>，有较强的组织领导能力和协调能力，年龄45周岁以下。</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（2）部门主管：有2年以上同等职务的履历</w:t>
            </w:r>
            <w:r>
              <w:rPr>
                <w:rFonts w:hint="eastAsia"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cs="宋体" w:asciiTheme="minorEastAsia" w:hAnsiTheme="minorEastAsia" w:eastAsiaTheme="minorEastAsia"/>
                <w:sz w:val="24"/>
                <w:szCs w:val="24"/>
              </w:rPr>
              <w:t>（3）</w:t>
            </w:r>
            <w:r>
              <w:rPr>
                <w:rFonts w:hint="eastAsia" w:asciiTheme="minorEastAsia" w:hAnsiTheme="minorEastAsia" w:eastAsiaTheme="minorEastAsia"/>
                <w:sz w:val="24"/>
                <w:szCs w:val="24"/>
              </w:rPr>
              <w:t>特殊岗位人员：如维修维保岗位人员持有电工操作证；监控兼消防管理人员持有建筑物消防员证</w:t>
            </w:r>
            <w:r>
              <w:rPr>
                <w:rFonts w:hint="eastAsia" w:asciiTheme="minorEastAsia" w:hAnsiTheme="minorEastAsia" w:eastAsiaTheme="minorEastAsia" w:cstheme="minorEastAsia"/>
                <w:sz w:val="24"/>
                <w:szCs w:val="24"/>
              </w:rPr>
              <w:t>。</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（4）普通工作人员符合以下条件</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1）、安全保卫人员：须身心健康，责任心强，五官端正，接受过安全保卫或相关训练，掌握基本安全保卫技能，熟悉有关法律法规，思想品德好，无违法违纪不良记录</w:t>
            </w:r>
            <w:r>
              <w:rPr>
                <w:rFonts w:hint="eastAsia" w:cs="宋体" w:asciiTheme="minorEastAsia" w:hAnsiTheme="minorEastAsia" w:eastAsiaTheme="minorEastAsia"/>
                <w:color w:val="000000"/>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2）、卫生保洁人员：须身心健康，责任心强，五官端正，接受过保洁或相关训练，掌握基本保洁的技能，熟悉有关法律法规，思想品德好，无违法违纪不良记录。具备相应健康证明，要求年龄50周岁以下。</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3）、维修维保人员：须身心健康，必须持有相关行业颁发的资格证书并具有相关设备的管理经验</w:t>
            </w:r>
            <w:r>
              <w:rPr>
                <w:rFonts w:hint="eastAsia" w:cs="宋体" w:asciiTheme="minorEastAsia" w:hAnsiTheme="minorEastAsia" w:eastAsiaTheme="minorEastAsia"/>
                <w:color w:val="000000"/>
                <w:sz w:val="24"/>
                <w:szCs w:val="24"/>
              </w:rPr>
              <w:t>。</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4）、会务服务人员：须身心健康，具备相关的礼仪知识，服务得体大方。具备相应健康证明，要求年龄40周岁以下。</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5）、绿化养护人员：须身心健康，责任心强，吃苦耐劳，具备相关园林养护知识，要求年龄50岁以下。</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5.物业公司人数编制要求</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（1）管理人员1人，文职人员2人，</w:t>
            </w:r>
            <w:r>
              <w:rPr>
                <w:rFonts w:hint="eastAsia" w:cs="宋体" w:asciiTheme="minorEastAsia" w:hAnsiTheme="minorEastAsia" w:eastAsiaTheme="minorEastAsia"/>
                <w:kern w:val="0"/>
                <w:sz w:val="24"/>
                <w:szCs w:val="24"/>
              </w:rPr>
              <w:t>安保人员4</w:t>
            </w:r>
            <w:r>
              <w:rPr>
                <w:rFonts w:hint="eastAsia" w:cs="宋体" w:asciiTheme="minorEastAsia" w:hAnsiTheme="minorEastAsia" w:eastAsiaTheme="minorEastAsia"/>
                <w:sz w:val="24"/>
                <w:szCs w:val="24"/>
              </w:rPr>
              <w:t>人，保洁及环境卫生8人，维修维保1人，会务服务3人，面点师1人，炖菜师1人，帮厨1人，共计22人</w:t>
            </w:r>
            <w:r>
              <w:rPr>
                <w:rFonts w:hint="eastAsia" w:asciiTheme="minorEastAsia" w:hAnsiTheme="minorEastAsia" w:eastAsiaTheme="minorEastAsia"/>
                <w:sz w:val="24"/>
                <w:szCs w:val="24"/>
              </w:rPr>
              <w:t>（为保证服务质量，所有工作人员必须定岗定人，不得串岗兼职，不得一挑多职）</w:t>
            </w:r>
            <w:r>
              <w:rPr>
                <w:rFonts w:hint="eastAsia" w:cs="宋体"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hint="eastAsia" w:cs="宋体" w:asciiTheme="minorEastAsia" w:hAnsiTheme="minorEastAsia" w:eastAsiaTheme="minorEastAsia"/>
                <w:bCs/>
                <w:sz w:val="24"/>
                <w:szCs w:val="24"/>
              </w:rPr>
              <w:t>（2）人员</w:t>
            </w:r>
            <w:r>
              <w:rPr>
                <w:rFonts w:hint="eastAsia" w:cs="宋体" w:asciiTheme="minorEastAsia" w:hAnsiTheme="minorEastAsia" w:eastAsiaTheme="minorEastAsia"/>
                <w:sz w:val="24"/>
                <w:szCs w:val="24"/>
              </w:rPr>
              <w:t>工作日制要求：因物业服务工种的特殊性，</w:t>
            </w:r>
            <w:r>
              <w:rPr>
                <w:rFonts w:hint="eastAsia" w:cs="宋体" w:asciiTheme="minorEastAsia" w:hAnsiTheme="minorEastAsia" w:eastAsiaTheme="minorEastAsia"/>
                <w:color w:val="000000" w:themeColor="text1"/>
                <w:sz w:val="24"/>
                <w:szCs w:val="24"/>
              </w:rPr>
              <w:t>物业服务人员执行每周6天工作制，同时必须确保周末及法定假日有轮岗值班人员</w:t>
            </w:r>
            <w:r>
              <w:rPr>
                <w:rFonts w:hint="eastAsia" w:cs="宋体" w:asciiTheme="minorEastAsia" w:hAnsiTheme="minorEastAsia" w:eastAsiaTheme="minorEastAsia"/>
                <w:sz w:val="24"/>
                <w:szCs w:val="24"/>
              </w:rPr>
              <w:t>，</w:t>
            </w:r>
            <w:r>
              <w:rPr>
                <w:rFonts w:hint="eastAsia" w:asciiTheme="minorEastAsia" w:hAnsiTheme="minorEastAsia" w:eastAsiaTheme="minorEastAsia"/>
                <w:sz w:val="24"/>
                <w:szCs w:val="24"/>
              </w:rPr>
              <w:t>保证物业管理正常运行,管理要求和服务标准不变。</w:t>
            </w:r>
          </w:p>
        </w:tc>
      </w:tr>
      <w:tr>
        <w:tblPrEx>
          <w:tblCellMar>
            <w:top w:w="0" w:type="dxa"/>
            <w:left w:w="108" w:type="dxa"/>
            <w:bottom w:w="0" w:type="dxa"/>
            <w:right w:w="108" w:type="dxa"/>
          </w:tblCellMar>
        </w:tblPrEx>
        <w:trPr>
          <w:trHeight w:val="493"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r>
              <w:rPr>
                <w:rFonts w:hint="eastAsia" w:asciiTheme="minorEastAsia" w:hAnsiTheme="minorEastAsia" w:eastAsiaTheme="minorEastAsia"/>
                <w:sz w:val="24"/>
                <w:szCs w:val="24"/>
                <w:lang w:bidi="lo-LA"/>
              </w:rPr>
              <w:t>*</w:t>
            </w: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五</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秩序维</w:t>
            </w:r>
          </w:p>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护服务</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1.服务内容</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w:t>
            </w:r>
            <w:r>
              <w:rPr>
                <w:rFonts w:hint="eastAsia" w:cs="宋体" w:asciiTheme="minorEastAsia" w:hAnsiTheme="minorEastAsia" w:eastAsiaTheme="minorEastAsia"/>
                <w:sz w:val="24"/>
                <w:szCs w:val="24"/>
              </w:rPr>
              <w:t>公共秩序维护。负责办公区正常秩序维护，如制止车辆乱停乱放、超速行车或乱鸣喇叭的行为以及其他各种事项。具体包括：交通秩序管理、消防管理，配合做到防火、防盗、防自然灾害等工作。</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cs="宋体" w:asciiTheme="minorEastAsia" w:hAnsiTheme="minorEastAsia" w:eastAsiaTheme="minorEastAsia"/>
                <w:sz w:val="24"/>
                <w:szCs w:val="24"/>
              </w:rPr>
              <w:t>紧急事故处理。负责各种突发事件的预防与处理，制定好各类安全事故发生时的紧急处理预案，并在事故发生时第一时间报告有关部门，并对各类事故进行紧急救护处理。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（3）</w:t>
            </w:r>
            <w:r>
              <w:rPr>
                <w:rFonts w:hint="eastAsia" w:cs="宋体" w:asciiTheme="minorEastAsia" w:hAnsiTheme="minorEastAsia" w:eastAsiaTheme="minorEastAsia"/>
                <w:sz w:val="24"/>
                <w:szCs w:val="24"/>
              </w:rPr>
              <w:t>安全法制教育。加强自身工作人员的安全教育与法制教育，提高其安全防范工作能力及法治意识</w:t>
            </w:r>
            <w:bookmarkStart w:id="41" w:name="_GoBack"/>
            <w:bookmarkEnd w:id="41"/>
            <w:r>
              <w:rPr>
                <w:rFonts w:hint="eastAsia" w:cs="宋体" w:asciiTheme="minorEastAsia" w:hAnsiTheme="minorEastAsia" w:eastAsiaTheme="minorEastAsia"/>
                <w:sz w:val="24"/>
                <w:szCs w:val="24"/>
              </w:rPr>
              <w:t>，确保不因自身工作人员原因发生安全事故，并配合甲方进行各类安全教育。</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（4）</w:t>
            </w:r>
            <w:r>
              <w:rPr>
                <w:rFonts w:hint="eastAsia" w:cs="宋体" w:asciiTheme="minorEastAsia" w:hAnsiTheme="minorEastAsia" w:eastAsiaTheme="minorEastAsia"/>
                <w:sz w:val="24"/>
                <w:szCs w:val="24"/>
              </w:rPr>
              <w:t>安全隐患排查。随时排查各类安全隐患，每周定期全面排查一次安全隐患，如发现安全隐患，必须及时报告甲方安全部门，并采取必要安全隐患防范措施。每周定期向甲方安全部门书面报告上周安全隐患排查的情况。</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（5）</w:t>
            </w:r>
            <w:r>
              <w:rPr>
                <w:rFonts w:hint="eastAsia" w:cs="宋体" w:asciiTheme="minorEastAsia" w:hAnsiTheme="minorEastAsia" w:eastAsiaTheme="minorEastAsia"/>
                <w:sz w:val="24"/>
                <w:szCs w:val="24"/>
              </w:rPr>
              <w:t>安全设备管理。建立安全设备管理与巡查制度，定期检查各类安全设施设备，包括道路交通安全防范设施、财产安全防范设施、防护栏网、安全监控系统设备、消防安全设施、供水安全设施、供电安全设施、供暖安全设施、燃气安全设施等；负责安全监控中心、消防监控中心、照明、绿化设施设备、主体建筑外墙瓷砖和墙皮脱落的日常管理。发现上述系统出现故障或故障隐患，须及时向监管部门报告。</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2.服务标准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w:t>
            </w:r>
            <w:r>
              <w:rPr>
                <w:rFonts w:hint="eastAsia" w:cs="宋体" w:asciiTheme="minorEastAsia" w:hAnsiTheme="minorEastAsia" w:eastAsiaTheme="minorEastAsia"/>
                <w:color w:val="000000"/>
                <w:sz w:val="24"/>
                <w:szCs w:val="24"/>
              </w:rPr>
              <w:t>门卫的保安根据要求对出入大门的车辆、人员、物品进行</w:t>
            </w:r>
            <w:r>
              <w:rPr>
                <w:rFonts w:hint="eastAsia" w:cs="宋体" w:asciiTheme="minorEastAsia" w:hAnsiTheme="minorEastAsia" w:eastAsiaTheme="minorEastAsia"/>
                <w:sz w:val="24"/>
                <w:szCs w:val="24"/>
              </w:rPr>
              <w:t>验证、登记制度，杜绝闲杂人员进入。保证环境秩序良好，道路畅通，车辆停放有序，机动车、自行车停车场秩序井然。</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cs="宋体" w:asciiTheme="minorEastAsia" w:hAnsiTheme="minorEastAsia" w:eastAsiaTheme="minorEastAsia"/>
                <w:sz w:val="24"/>
                <w:szCs w:val="24"/>
              </w:rPr>
              <w:t>各种消防设施和器材配套合理、更换及时、使用有效。</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（3）</w:t>
            </w:r>
            <w:r>
              <w:rPr>
                <w:rFonts w:hint="eastAsia" w:cs="宋体" w:asciiTheme="minorEastAsia" w:hAnsiTheme="minorEastAsia" w:eastAsiaTheme="minorEastAsia"/>
                <w:sz w:val="24"/>
                <w:szCs w:val="24"/>
              </w:rPr>
              <w:t>确保给水、供电、供暖设施正常使用，发现故障及时报告管理单位。</w:t>
            </w:r>
          </w:p>
          <w:p>
            <w:pPr>
              <w:spacing w:line="360" w:lineRule="auto"/>
              <w:ind w:firstLine="480" w:firstLineChars="200"/>
              <w:rPr>
                <w:rFonts w:cs="宋体" w:asciiTheme="minorEastAsia" w:hAnsiTheme="minorEastAsia" w:eastAsiaTheme="minorEastAsia"/>
                <w:bCs/>
                <w:sz w:val="24"/>
                <w:szCs w:val="24"/>
              </w:rPr>
            </w:pPr>
            <w:r>
              <w:rPr>
                <w:rFonts w:hint="eastAsia" w:cs="宋体" w:asciiTheme="minorEastAsia" w:hAnsiTheme="minorEastAsia" w:eastAsiaTheme="minorEastAsia"/>
                <w:color w:val="000000"/>
                <w:kern w:val="0"/>
                <w:sz w:val="24"/>
                <w:szCs w:val="24"/>
              </w:rPr>
              <w:t>（4）</w:t>
            </w:r>
            <w:r>
              <w:rPr>
                <w:rFonts w:hint="eastAsia" w:cs="宋体" w:asciiTheme="minorEastAsia" w:hAnsiTheme="minorEastAsia" w:eastAsiaTheme="minorEastAsia"/>
                <w:sz w:val="24"/>
                <w:szCs w:val="24"/>
              </w:rPr>
              <w:t>能及时发现和处理各种安全和事故隐患，并能迅速有效处置突发事件。每周至少排查一次主体建筑外墙瓷砖和墙皮是否安全，做好记录，发现安全隐患及时排除，重大情况报告学校。</w:t>
            </w:r>
          </w:p>
        </w:tc>
      </w:tr>
      <w:tr>
        <w:tblPrEx>
          <w:tblCellMar>
            <w:top w:w="0" w:type="dxa"/>
            <w:left w:w="108" w:type="dxa"/>
            <w:bottom w:w="0" w:type="dxa"/>
            <w:right w:w="108" w:type="dxa"/>
          </w:tblCellMar>
        </w:tblPrEx>
        <w:trPr>
          <w:trHeight w:val="9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六</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保洁</w:t>
            </w:r>
          </w:p>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及环</w:t>
            </w:r>
          </w:p>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境卫</w:t>
            </w:r>
          </w:p>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生</w:t>
            </w:r>
          </w:p>
          <w:p>
            <w:pPr>
              <w:jc w:val="center"/>
              <w:rPr>
                <w:rFonts w:cs="宋体" w:asciiTheme="minorEastAsia" w:hAnsiTheme="minorEastAsia" w:eastAsiaTheme="minorEastAsia"/>
                <w:bCs/>
                <w:sz w:val="24"/>
                <w:szCs w:val="24"/>
              </w:rPr>
            </w:pP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1.服务内容</w:t>
            </w:r>
          </w:p>
          <w:p>
            <w:pPr>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kern w:val="0"/>
                <w:sz w:val="24"/>
                <w:szCs w:val="24"/>
              </w:rPr>
              <w:t>（1）公共区域保洁。负责做好所有的露天地面及楼内外公共区域的保洁与管理，办公室、办案工作区及所有会议室的室内保洁。</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清运消毒。负责做好环境卫生、下水道的清淤处理，垃圾每天清运到指定地点，并和环卫部门协调，及时清理运送垃圾。负责除“四害”及卫生消毒工作；在流行性传染病高发期或爆发期要严格按有关部门要求组织消毒。</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2.服务标准</w:t>
            </w:r>
          </w:p>
          <w:tbl>
            <w:tblPr>
              <w:tblStyle w:val="42"/>
              <w:tblpPr w:leftFromText="180" w:rightFromText="180" w:vertAnchor="text" w:horzAnchor="page" w:tblpX="-93" w:tblpY="425"/>
              <w:tblOverlap w:val="never"/>
              <w:tblW w:w="6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6"/>
              <w:gridCol w:w="1372"/>
              <w:gridCol w:w="2158"/>
              <w:gridCol w:w="1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工作项目</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作业频率</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质量标准</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保洁率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楼道清洁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每日清扫两次，清运垃圾两次，每日拖抹两次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无杂物、黑尘、蜘蛛网，无乱贴广告，无乱堆放，挂墙设施、扶手无尘，地面无拖痕</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公用厕所清洁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每日清扫两次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无杂物、黑尘、蜘蛛网，无乱贴广告，无乱堆放，挂墙设施、扶手无尘，地面无拖痕、异味</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室内保洁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每日清扫一到二次，清垃圾一次。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无杂物，无灰尘，干净整洁</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楼梯扶手、栏杆的清洁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扶手每日擦抹二次，栏杆每日擦抹一次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无黑尘、污迹、蜘蛛网、死角</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大厅清洁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每日拖扫两次，每月打磨一次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无垃圾杂物，无泥沙、污渍、黑尘、拖痕，无卫生死角</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  梯</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每日拖扫、擦抹二次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无垃圾杂物，无泥沙、无灰尘，干净整洁</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墙面、开关按钮清洁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每周二次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无广告纸、蜘蛛网、积尘、污迹等</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电子门、信报箱清洁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每日擦抹一次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无黑尘、污迹等</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消防栓、消防管道、配电箱等清洁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每周二次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无蜘蛛网，无积尘、污迹等</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灯具清洁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外抹每月二次，内抹每月一次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灯具、灯管无灰尘，灯具内无蚊虫，灯盖、灯罩无蜘蛛网，保持明亮洁净</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宣传栏、标识牌不锈钢表面清洁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宣传栏、标识牌每日清洁一次，不锈钢表面每日一次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宣传栏、标识牌无污迹、斑点、积尘，表面光亮可映出人形</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天台清洁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每周一次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无垃圾、积水、杂物、堵塞</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停车场清洁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每日二次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无垃圾、果皮、纸屑、杂物、灰尘、积水</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公共场地和马路的清洁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每日二次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无泥沙、垃圾杂物、积水、污迹、杂草</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垃圾池、垃圾桶的清洁</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每日一次清扫，每周一次消杀</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无滴水、蚊虫孳生、异味、污迹、张帖广告</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排水沟、排污管、污水井、楼宇内公共区域消杀</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每月一次</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少蚊、蝇、蟑螂，无鼠</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2" w:hRule="atLeast"/>
              </w:trPr>
              <w:tc>
                <w:tcPr>
                  <w:tcW w:w="2076"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建筑物楼顶</w:t>
                  </w:r>
                </w:p>
              </w:tc>
              <w:tc>
                <w:tcPr>
                  <w:tcW w:w="137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每月一次，多雨季节不定期检查</w:t>
                  </w:r>
                </w:p>
              </w:tc>
              <w:tc>
                <w:tcPr>
                  <w:tcW w:w="2158"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无积水，无堵塞</w:t>
                  </w:r>
                </w:p>
              </w:tc>
              <w:tc>
                <w:tcPr>
                  <w:tcW w:w="13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99%</w:t>
                  </w:r>
                </w:p>
              </w:tc>
            </w:tr>
          </w:tbl>
          <w:p>
            <w:pPr>
              <w:spacing w:line="360" w:lineRule="auto"/>
              <w:rPr>
                <w:rFonts w:cs="宋体" w:asciiTheme="minorEastAsia" w:hAnsiTheme="minorEastAsia" w:eastAsiaTheme="minorEastAsia"/>
                <w:sz w:val="24"/>
                <w:szCs w:val="24"/>
              </w:rPr>
            </w:pPr>
          </w:p>
        </w:tc>
      </w:tr>
      <w:tr>
        <w:tblPrEx>
          <w:tblCellMar>
            <w:top w:w="0" w:type="dxa"/>
            <w:left w:w="108" w:type="dxa"/>
            <w:bottom w:w="0" w:type="dxa"/>
            <w:right w:w="108" w:type="dxa"/>
          </w:tblCellMar>
        </w:tblPrEx>
        <w:trPr>
          <w:trHeight w:val="631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七</w:t>
            </w:r>
          </w:p>
        </w:tc>
        <w:tc>
          <w:tcPr>
            <w:tcW w:w="992" w:type="dxa"/>
            <w:tcBorders>
              <w:top w:val="single" w:color="auto" w:sz="4" w:space="0"/>
              <w:left w:val="nil"/>
              <w:bottom w:val="single" w:color="auto" w:sz="4" w:space="0"/>
              <w:right w:val="single" w:color="auto" w:sz="4" w:space="0"/>
            </w:tcBorders>
            <w:vAlign w:val="center"/>
          </w:tcPr>
          <w:p>
            <w:pPr>
              <w:jc w:val="center"/>
              <w:rPr>
                <w:rFonts w:cs="宋体" w:asciiTheme="minorEastAsia" w:hAnsiTheme="minorEastAsia" w:eastAsiaTheme="minorEastAsia"/>
                <w:bCs/>
                <w:sz w:val="24"/>
                <w:szCs w:val="24"/>
              </w:rPr>
            </w:pPr>
            <w:r>
              <w:rPr>
                <w:rFonts w:hint="eastAsia" w:cs="宋体" w:asciiTheme="minorEastAsia" w:hAnsiTheme="minorEastAsia" w:eastAsiaTheme="minorEastAsia"/>
                <w:bCs/>
                <w:sz w:val="24"/>
                <w:szCs w:val="24"/>
              </w:rPr>
              <w:t>公共设施设备维护与管理</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1.管理内容</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（1）负责水、电、暖、气、</w:t>
            </w:r>
            <w:r>
              <w:rPr>
                <w:rFonts w:hint="eastAsia" w:cs="宋体" w:asciiTheme="minorEastAsia" w:hAnsiTheme="minorEastAsia" w:eastAsiaTheme="minorEastAsia"/>
                <w:bCs/>
                <w:sz w:val="24"/>
                <w:szCs w:val="24"/>
              </w:rPr>
              <w:t>饮水机</w:t>
            </w:r>
            <w:r>
              <w:rPr>
                <w:rFonts w:hint="eastAsia" w:cs="宋体" w:asciiTheme="minorEastAsia" w:hAnsiTheme="minorEastAsia" w:eastAsiaTheme="minorEastAsia"/>
                <w:sz w:val="24"/>
                <w:szCs w:val="24"/>
              </w:rPr>
              <w:t>等公共配套设施设备的维修、管理，包括门窗、室内外照明、给排水等零星维修和维护。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消防系统、供配电系统、空调、电梯等各类公共设施的日常运行维护与管理，保障其正常运行或处于良好的备用状态。质保期内的大型设施设备的定期专业维保（维修由厂家负责），乙方负责日常监督检查，发现问题及时报告，由甲方联系厂家维修，质保期后配合甲方选择优秀的维保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（3）监控系统、消防系统（含器材）的更新或增加由甲方负责，乙方负责日常运行维护。</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（4）负责定期对各类公共设施进行检查并作记录，每月向甲方后勤部门书面报告一次公共设施设备的使用情况。</w:t>
            </w:r>
          </w:p>
          <w:p>
            <w:pPr>
              <w:spacing w:line="360" w:lineRule="auto"/>
              <w:ind w:firstLine="480" w:firstLineChars="200"/>
              <w:rPr>
                <w:rFonts w:asciiTheme="minorEastAsia" w:hAnsiTheme="minorEastAsia" w:eastAsiaTheme="minorEastAsia"/>
                <w:sz w:val="24"/>
                <w:szCs w:val="24"/>
              </w:rPr>
            </w:pPr>
            <w:r>
              <w:rPr>
                <w:rFonts w:hint="eastAsia" w:cs="宋体" w:asciiTheme="minorEastAsia" w:hAnsiTheme="minorEastAsia" w:eastAsiaTheme="minorEastAsia"/>
                <w:sz w:val="24"/>
                <w:szCs w:val="24"/>
              </w:rPr>
              <w:t>（5）</w:t>
            </w:r>
            <w:r>
              <w:rPr>
                <w:rFonts w:hint="eastAsia" w:asciiTheme="minorEastAsia" w:hAnsiTheme="minorEastAsia" w:eastAsiaTheme="minorEastAsia"/>
                <w:sz w:val="24"/>
                <w:szCs w:val="24"/>
              </w:rPr>
              <w:t>公共区域的日常小型维修、</w:t>
            </w:r>
            <w:r>
              <w:rPr>
                <w:rFonts w:hint="eastAsia" w:cs="宋体" w:asciiTheme="minorEastAsia" w:hAnsiTheme="minorEastAsia" w:eastAsiaTheme="minorEastAsia"/>
                <w:sz w:val="24"/>
                <w:szCs w:val="24"/>
              </w:rPr>
              <w:t>零星配件及耗材费用（不包括大、中型修缮和改造）</w:t>
            </w:r>
            <w:r>
              <w:rPr>
                <w:rFonts w:hint="eastAsia" w:asciiTheme="minorEastAsia" w:hAnsiTheme="minorEastAsia" w:eastAsiaTheme="minorEastAsia"/>
                <w:sz w:val="24"/>
                <w:szCs w:val="24"/>
              </w:rPr>
              <w:t>,</w:t>
            </w:r>
            <w:r>
              <w:rPr>
                <w:rFonts w:hint="eastAsia" w:cs="宋体" w:asciiTheme="minorEastAsia" w:hAnsiTheme="minorEastAsia" w:eastAsiaTheme="minorEastAsia"/>
                <w:sz w:val="24"/>
                <w:szCs w:val="24"/>
              </w:rPr>
              <w:t xml:space="preserve"> 单价</w:t>
            </w:r>
            <w:r>
              <w:rPr>
                <w:rFonts w:hint="eastAsia" w:asciiTheme="minorEastAsia" w:hAnsiTheme="minorEastAsia" w:eastAsiaTheme="minorEastAsia"/>
                <w:sz w:val="24"/>
                <w:szCs w:val="24"/>
              </w:rPr>
              <w:t>在200元以内(含)由物业公司承担,</w:t>
            </w:r>
            <w:r>
              <w:rPr>
                <w:rFonts w:hint="eastAsia" w:cs="宋体" w:asciiTheme="minorEastAsia" w:hAnsiTheme="minorEastAsia" w:eastAsiaTheme="minorEastAsia"/>
                <w:sz w:val="24"/>
                <w:szCs w:val="24"/>
              </w:rPr>
              <w:t xml:space="preserve"> 超过</w:t>
            </w:r>
            <w:r>
              <w:rPr>
                <w:rFonts w:hint="eastAsia" w:asciiTheme="minorEastAsia" w:hAnsiTheme="minorEastAsia" w:eastAsiaTheme="minorEastAsia"/>
                <w:sz w:val="24"/>
                <w:szCs w:val="24"/>
              </w:rPr>
              <w:t>200元以上由甲方承担。</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（6）制定详细的公共设施日常维修计划及实施方案。</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2.管理标准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(1)公共设备维修养护服务标准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1）、建立完善的质量保证体系，提供切实可行的运行管理、维护保养、维修实施方案和各种措施。</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2）、制定设备安全运行管理、岗位责任制、定期巡视检查、操作规程及监督检查制度，建立岗位责任制，并严格执行。做到科学管理，正确使用，精心维护，备齐备件，及时维修。</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3）、建立安全检查制度，对所有服务区域设备设施进行日常安全巡检和定期安全检查，并记录备查。实行24小时值班制度，保证设备良好，运行正常，无重大管理责任事故。</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4）、设备及运行泵房、机房等环境整洁，无杂物、灰尘、无鼠虫害发生。</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5）、所需各种专业技术人员配备齐全、维修和操作人员持证上岗。有解决各类故障和事件的能力。</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6）、建立设备台账和档案，项目齐全，目录清晰，设备图纸档案、技术资料齐全，管理完善，可随时查阅。</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cs="宋体" w:asciiTheme="minorEastAsia" w:hAnsiTheme="minorEastAsia" w:eastAsiaTheme="minorEastAsia"/>
                <w:sz w:val="24"/>
                <w:szCs w:val="24"/>
              </w:rPr>
              <w:t>公共设施维修养护具体服务标准如下</w:t>
            </w:r>
          </w:p>
          <w:tbl>
            <w:tblPr>
              <w:tblStyle w:val="42"/>
              <w:tblpPr w:leftFromText="180" w:rightFromText="180" w:vertAnchor="text" w:horzAnchor="page" w:tblpX="-38" w:tblpY="272"/>
              <w:tblOverlap w:val="never"/>
              <w:tblW w:w="6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5"/>
              <w:gridCol w:w="730"/>
              <w:gridCol w:w="1646"/>
              <w:gridCol w:w="4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序号</w:t>
                  </w:r>
                </w:p>
              </w:tc>
              <w:tc>
                <w:tcPr>
                  <w:tcW w:w="730"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项目</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内容</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00" w:lineRule="exact"/>
                    <w:rPr>
                      <w:rFonts w:cs="宋体" w:asciiTheme="minorEastAsia" w:hAnsiTheme="minorEastAsia" w:eastAsiaTheme="minorEastAsia"/>
                      <w:b/>
                      <w:bCs/>
                      <w:sz w:val="24"/>
                      <w:szCs w:val="24"/>
                    </w:rPr>
                  </w:pPr>
                  <w:r>
                    <w:rPr>
                      <w:rFonts w:hint="eastAsia" w:cs="宋体" w:asciiTheme="minorEastAsia" w:hAnsiTheme="minorEastAsia" w:eastAsiaTheme="minorEastAsia"/>
                      <w:b/>
                      <w:bCs/>
                      <w:sz w:val="24"/>
                      <w:szCs w:val="24"/>
                    </w:rPr>
                    <w:t>服务标准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w:t>
                  </w:r>
                </w:p>
              </w:tc>
              <w:tc>
                <w:tcPr>
                  <w:tcW w:w="73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right="113"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日常零星维修</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1、门窗养护维修</w:t>
                  </w:r>
                </w:p>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2、墙台面及天花板养护维修</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办公楼内外墙面、天花板、门窗的完好和正常使用；及时完成各项零星维修任务，零修合格率100%。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7" w:hRule="atLeast"/>
              </w:trPr>
              <w:tc>
                <w:tcPr>
                  <w:tcW w:w="415"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p>
              </w:tc>
              <w:tc>
                <w:tcPr>
                  <w:tcW w:w="730" w:type="dxa"/>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112" w:leftChars="40" w:right="113" w:firstLine="1440" w:firstLineChars="6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给排水设备运行维护管理</w:t>
                  </w:r>
                </w:p>
              </w:tc>
              <w:tc>
                <w:tcPr>
                  <w:tcW w:w="1646" w:type="dxa"/>
                  <w:tcBorders>
                    <w:top w:val="single" w:color="auto" w:sz="4" w:space="0"/>
                    <w:left w:val="single" w:color="auto" w:sz="4" w:space="0"/>
                    <w:bottom w:val="single" w:color="auto" w:sz="4" w:space="0"/>
                    <w:right w:val="single" w:color="auto" w:sz="4" w:space="0"/>
                  </w:tcBorders>
                  <w:vAlign w:val="center"/>
                </w:tcPr>
                <w:p>
                  <w:pPr>
                    <w:tabs>
                      <w:tab w:val="left" w:pos="360"/>
                    </w:tabs>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1、给排水管道养护维修</w:t>
                  </w:r>
                </w:p>
                <w:p>
                  <w:pPr>
                    <w:tabs>
                      <w:tab w:val="left" w:pos="360"/>
                    </w:tabs>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2、水泵、水箱、阀门等设备设施养护维修</w:t>
                  </w:r>
                </w:p>
                <w:p>
                  <w:pPr>
                    <w:tabs>
                      <w:tab w:val="left" w:pos="360"/>
                    </w:tabs>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3、水泵房及机电设备的养护维修</w:t>
                  </w:r>
                </w:p>
                <w:p>
                  <w:pPr>
                    <w:tabs>
                      <w:tab w:val="left" w:pos="360"/>
                    </w:tabs>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4、给排水检查井养护维修</w:t>
                  </w:r>
                </w:p>
                <w:p>
                  <w:pPr>
                    <w:tabs>
                      <w:tab w:val="left" w:pos="360"/>
                    </w:tabs>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5、沟渠池井的检查</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保证给排水系统正常运行使用。防止跑、冒、滴、漏。对供水系统管路、水泵、水箱、阀门等进行日常维护和定期检修。定期对水泵房及机电设备进行检查、保养、维修、清洁；定期对排水管进行清通、养护及清除污垢，保证室内外排水系统通畅；建立24小时运行维修值班制度，及时清理排水井和排水沟渠淤泥、杂物。及时发现并解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7" w:hRule="atLeast"/>
              </w:trPr>
              <w:tc>
                <w:tcPr>
                  <w:tcW w:w="415" w:type="dxa"/>
                  <w:vMerge w:val="restart"/>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w:t>
                  </w:r>
                </w:p>
              </w:tc>
              <w:tc>
                <w:tcPr>
                  <w:tcW w:w="730" w:type="dxa"/>
                  <w:vMerge w:val="restart"/>
                  <w:tcBorders>
                    <w:top w:val="single" w:color="auto" w:sz="4" w:space="0"/>
                    <w:left w:val="single" w:color="auto" w:sz="4" w:space="0"/>
                    <w:bottom w:val="single" w:color="auto" w:sz="4" w:space="0"/>
                    <w:right w:val="single" w:color="auto" w:sz="4" w:space="0"/>
                  </w:tcBorders>
                  <w:textDirection w:val="tbRlV"/>
                  <w:vAlign w:val="center"/>
                </w:tcPr>
                <w:p>
                  <w:pPr>
                    <w:spacing w:line="340" w:lineRule="exact"/>
                    <w:ind w:left="112" w:leftChars="40" w:right="113" w:firstLine="1440" w:firstLineChars="6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供配电设备运行维护管理</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供配电设备运行维护管理</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对供电范围内的电气设备定期巡视维护和重点检测，建立各项设备档案（包括电气平面图、设备管理图、接线图等图样），做到安全、合理、节约用电；建立严格的配送电运行制度、电气维修制度和配电房管理制度，供电运行和维修人员必须持证上岗；建立24小时运行维修值班制度，及时排除故障；加强日常维护检修，公共使用的照明灯具、线路、开关保证完好，确保用电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p>
              </w:tc>
              <w:tc>
                <w:tcPr>
                  <w:tcW w:w="73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p>
              </w:tc>
              <w:tc>
                <w:tcPr>
                  <w:tcW w:w="1646"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室内外照明和效果灯光工程系统维护管理</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加强日常检查巡视，及时更换灯具光源，确保节日灯光的正常使用；定期检测，发现故障及时维修，零修及时率达到100%，小修不过夜。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9" w:hRule="atLeast"/>
              </w:trPr>
              <w:tc>
                <w:tcPr>
                  <w:tcW w:w="415"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w:t>
                  </w:r>
                </w:p>
              </w:tc>
              <w:tc>
                <w:tcPr>
                  <w:tcW w:w="730" w:type="dxa"/>
                  <w:tcBorders>
                    <w:top w:val="single" w:color="auto" w:sz="4" w:space="0"/>
                    <w:left w:val="single" w:color="auto" w:sz="4" w:space="0"/>
                    <w:bottom w:val="single" w:color="auto" w:sz="4" w:space="0"/>
                    <w:right w:val="single" w:color="auto" w:sz="4" w:space="0"/>
                  </w:tcBorders>
                  <w:textDirection w:val="tbRlV"/>
                  <w:vAlign w:val="center"/>
                </w:tcPr>
                <w:p>
                  <w:pPr>
                    <w:widowControl/>
                    <w:ind w:left="112" w:leftChars="40" w:right="113" w:firstLine="3720" w:firstLineChars="1550"/>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饮水设备</w:t>
                  </w:r>
                </w:p>
              </w:tc>
              <w:tc>
                <w:tcPr>
                  <w:tcW w:w="1646" w:type="dxa"/>
                  <w:tcBorders>
                    <w:top w:val="single" w:color="auto" w:sz="4" w:space="0"/>
                    <w:left w:val="single" w:color="auto" w:sz="4" w:space="0"/>
                    <w:bottom w:val="single" w:color="auto" w:sz="4" w:space="0"/>
                    <w:right w:val="single" w:color="auto" w:sz="4" w:space="0"/>
                  </w:tcBorders>
                  <w:vAlign w:val="center"/>
                </w:tcPr>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bCs/>
                      <w:sz w:val="24"/>
                      <w:szCs w:val="24"/>
                    </w:rPr>
                    <w:t>热水器操作和保养管理</w:t>
                  </w:r>
                </w:p>
              </w:tc>
              <w:tc>
                <w:tcPr>
                  <w:tcW w:w="4008" w:type="dxa"/>
                  <w:tcBorders>
                    <w:top w:val="single" w:color="auto" w:sz="4" w:space="0"/>
                    <w:left w:val="single" w:color="auto" w:sz="4" w:space="0"/>
                    <w:bottom w:val="single" w:color="auto" w:sz="4" w:space="0"/>
                    <w:right w:val="single" w:color="auto" w:sz="4" w:space="0"/>
                  </w:tcBorders>
                  <w:vAlign w:val="center"/>
                </w:tcPr>
                <w:p>
                  <w:pPr>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1.服务内容</w:t>
                  </w:r>
                </w:p>
                <w:p>
                  <w:pPr>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（1）负责饮水设备的安全运行与管理，保证按时按点供应开水。</w:t>
                  </w:r>
                </w:p>
                <w:p>
                  <w:pPr>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（2）保证餐厅的热水供给。</w:t>
                  </w:r>
                </w:p>
                <w:p>
                  <w:pPr>
                    <w:spacing w:line="360" w:lineRule="auto"/>
                    <w:rPr>
                      <w:rFonts w:cs="宋体" w:asciiTheme="minorEastAsia" w:hAnsiTheme="minorEastAsia" w:eastAsiaTheme="minorEastAsia"/>
                      <w:b/>
                      <w:bCs/>
                      <w:sz w:val="24"/>
                      <w:szCs w:val="24"/>
                    </w:rPr>
                  </w:pPr>
                  <w:r>
                    <w:rPr>
                      <w:rFonts w:hint="eastAsia" w:cs="宋体" w:asciiTheme="minorEastAsia" w:hAnsiTheme="minorEastAsia" w:eastAsiaTheme="minorEastAsia"/>
                      <w:sz w:val="24"/>
                      <w:szCs w:val="24"/>
                    </w:rPr>
                    <w:t>（3）对饮水设备维护保养，按时维修，做到节水、节电。</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（4）负责饮水房的管理与卫生清洁工作。</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2.管理标准</w:t>
                  </w:r>
                </w:p>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（1）</w:t>
                  </w:r>
                  <w:r>
                    <w:rPr>
                      <w:rFonts w:hint="eastAsia" w:cs="宋体" w:asciiTheme="minorEastAsia" w:hAnsiTheme="minorEastAsia" w:eastAsiaTheme="minorEastAsia"/>
                      <w:sz w:val="24"/>
                      <w:szCs w:val="24"/>
                    </w:rPr>
                    <w:t>建立严格的热水器运行制度和安全管理规定。</w:t>
                  </w:r>
                </w:p>
                <w:p>
                  <w:pPr>
                    <w:spacing w:line="340" w:lineRule="exact"/>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cs="宋体" w:asciiTheme="minorEastAsia" w:hAnsiTheme="minorEastAsia" w:eastAsiaTheme="minorEastAsia"/>
                      <w:sz w:val="24"/>
                      <w:szCs w:val="24"/>
                    </w:rPr>
                    <w:t>加强日常维护检修，确保设施设备的正常使用。</w:t>
                  </w:r>
                </w:p>
              </w:tc>
            </w:tr>
          </w:tbl>
          <w:p>
            <w:pPr>
              <w:spacing w:line="360" w:lineRule="auto"/>
              <w:rPr>
                <w:rFonts w:cs="宋体" w:asciiTheme="minorEastAsia" w:hAnsiTheme="minorEastAsia" w:eastAsiaTheme="minorEastAsia"/>
                <w:sz w:val="24"/>
                <w:szCs w:val="24"/>
              </w:rPr>
            </w:pPr>
          </w:p>
        </w:tc>
      </w:tr>
      <w:tr>
        <w:tblPrEx>
          <w:tblCellMar>
            <w:top w:w="0" w:type="dxa"/>
            <w:left w:w="108" w:type="dxa"/>
            <w:bottom w:w="0" w:type="dxa"/>
            <w:right w:w="108" w:type="dxa"/>
          </w:tblCellMar>
        </w:tblPrEx>
        <w:trPr>
          <w:trHeight w:val="424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sz w:val="24"/>
                <w:szCs w:val="24"/>
              </w:rPr>
            </w:pPr>
          </w:p>
          <w:p>
            <w:pPr>
              <w:jc w:val="center"/>
              <w:rPr>
                <w:rFonts w:cs="宋体" w:asciiTheme="minorEastAsia" w:hAnsiTheme="minorEastAsia" w:eastAsiaTheme="minorEastAsia"/>
                <w:bCs/>
                <w:sz w:val="24"/>
                <w:szCs w:val="24"/>
              </w:rPr>
            </w:pPr>
          </w:p>
        </w:tc>
        <w:tc>
          <w:tcPr>
            <w:tcW w:w="6804" w:type="dxa"/>
            <w:tcBorders>
              <w:top w:val="single" w:color="auto" w:sz="4" w:space="0"/>
              <w:left w:val="nil"/>
              <w:bottom w:val="single" w:color="auto" w:sz="4" w:space="0"/>
              <w:right w:val="single" w:color="auto" w:sz="4" w:space="0"/>
            </w:tcBorders>
          </w:tcPr>
          <w:p>
            <w:pPr>
              <w:spacing w:line="360" w:lineRule="auto"/>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1.服务内容</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（1）负责办公楼卫生区域的设施设备以及办公楼内公共财产，保持良好的环境卫生、休息秩序等生活环境。</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（2）按照甲方的有关要求，开展定期和不定期的安全检查，做好防火、防盗的安全宣传工作。</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2.管理标准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（1)必须有一支有修养、素质高的卫生保洁队伍，有较强的做好工作的意识。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（2）优化服务意识，抓好文化建设，做好检查记录工作。要求有一定的处理突发事件的能力。</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（3）管理秩序良好、纪律严明、人财物安全，无任何事故。</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（4）</w:t>
            </w:r>
            <w:r>
              <w:rPr>
                <w:rFonts w:hint="eastAsia" w:cs="宋体" w:asciiTheme="minorEastAsia" w:hAnsiTheme="minorEastAsia" w:eastAsiaTheme="minorEastAsia"/>
                <w:sz w:val="24"/>
                <w:szCs w:val="24"/>
              </w:rPr>
              <w:t>公共区域卫生要求如下</w:t>
            </w:r>
          </w:p>
        </w:tc>
      </w:tr>
      <w:tr>
        <w:tblPrEx>
          <w:tblCellMar>
            <w:top w:w="0" w:type="dxa"/>
            <w:left w:w="108" w:type="dxa"/>
            <w:bottom w:w="0" w:type="dxa"/>
            <w:right w:w="108" w:type="dxa"/>
          </w:tblCellMar>
        </w:tblPrEx>
        <w:trPr>
          <w:trHeight w:val="69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八</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会务</w:t>
            </w:r>
          </w:p>
          <w:p>
            <w:pPr>
              <w:spacing w:line="360" w:lineRule="auto"/>
              <w:jc w:val="center"/>
              <w:rPr>
                <w:rFonts w:cs="宋体" w:asciiTheme="minorEastAsia" w:hAnsiTheme="minorEastAsia" w:eastAsiaTheme="minorEastAsia"/>
                <w:sz w:val="24"/>
                <w:szCs w:val="24"/>
              </w:rPr>
            </w:pPr>
            <w:r>
              <w:rPr>
                <w:rFonts w:hint="eastAsia" w:cs="宋体" w:asciiTheme="minorEastAsia" w:hAnsiTheme="minorEastAsia" w:eastAsiaTheme="minorEastAsia"/>
                <w:bCs/>
                <w:color w:val="000000"/>
                <w:sz w:val="24"/>
                <w:szCs w:val="24"/>
              </w:rPr>
              <w:t>服务</w:t>
            </w:r>
          </w:p>
        </w:tc>
        <w:tc>
          <w:tcPr>
            <w:tcW w:w="6804" w:type="dxa"/>
            <w:tcBorders>
              <w:top w:val="single" w:color="auto" w:sz="4" w:space="0"/>
              <w:left w:val="nil"/>
              <w:bottom w:val="single" w:color="auto" w:sz="4" w:space="0"/>
              <w:right w:val="single" w:color="auto" w:sz="4" w:space="0"/>
            </w:tcBorders>
          </w:tcPr>
          <w:p>
            <w:pPr>
              <w:spacing w:line="360" w:lineRule="auto"/>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服务内容</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负责所有会议、参观及接待的各项服务工作；负责办公楼所有会议室的清洁及服务工作；做好会议服务准备，保证24小时业主会议服务要求。具体如下：</w:t>
            </w:r>
          </w:p>
          <w:p>
            <w:pPr>
              <w:spacing w:line="360" w:lineRule="auto"/>
              <w:ind w:firstLine="360" w:firstLineChars="15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（1）</w:t>
            </w:r>
            <w:r>
              <w:rPr>
                <w:rFonts w:hint="eastAsia" w:cs="宋体" w:asciiTheme="minorEastAsia" w:hAnsiTheme="minorEastAsia" w:eastAsiaTheme="minorEastAsia"/>
                <w:color w:val="000000"/>
                <w:sz w:val="24"/>
                <w:szCs w:val="24"/>
              </w:rPr>
              <w:t>会前、会中、会后等常规服务。</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color w:val="000000"/>
                <w:kern w:val="0"/>
                <w:sz w:val="24"/>
                <w:szCs w:val="24"/>
              </w:rPr>
              <w:t>（2）</w:t>
            </w:r>
            <w:r>
              <w:rPr>
                <w:rFonts w:hint="eastAsia" w:cs="宋体" w:asciiTheme="minorEastAsia" w:hAnsiTheme="minorEastAsia" w:eastAsiaTheme="minorEastAsia"/>
                <w:color w:val="000000"/>
                <w:sz w:val="24"/>
                <w:szCs w:val="24"/>
              </w:rPr>
              <w:t>会议用品洗消服务（要符合卫生防疫规范标准和要求）。</w:t>
            </w:r>
          </w:p>
        </w:tc>
      </w:tr>
      <w:tr>
        <w:tblPrEx>
          <w:tblCellMar>
            <w:top w:w="0" w:type="dxa"/>
            <w:left w:w="108" w:type="dxa"/>
            <w:bottom w:w="0" w:type="dxa"/>
            <w:right w:w="108" w:type="dxa"/>
          </w:tblCellMar>
        </w:tblPrEx>
        <w:trPr>
          <w:trHeight w:val="69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九</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绿化</w:t>
            </w:r>
          </w:p>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养护</w:t>
            </w:r>
          </w:p>
        </w:tc>
        <w:tc>
          <w:tcPr>
            <w:tcW w:w="6804" w:type="dxa"/>
            <w:tcBorders>
              <w:top w:val="single" w:color="auto" w:sz="4" w:space="0"/>
              <w:left w:val="nil"/>
              <w:bottom w:val="single" w:color="auto" w:sz="4" w:space="0"/>
              <w:right w:val="single" w:color="auto" w:sz="4" w:space="0"/>
            </w:tcBorders>
          </w:tcPr>
          <w:p>
            <w:pPr>
              <w:spacing w:line="360" w:lineRule="auto"/>
              <w:rPr>
                <w:rFonts w:cs="宋体" w:asciiTheme="minorEastAsia" w:hAnsiTheme="minorEastAsia" w:eastAsiaTheme="minorEastAsia"/>
                <w:color w:val="000000"/>
                <w:kern w:val="0"/>
                <w:sz w:val="24"/>
                <w:szCs w:val="24"/>
              </w:rPr>
            </w:pPr>
            <w:r>
              <w:rPr>
                <w:rFonts w:hint="eastAsia" w:cs="宋体" w:asciiTheme="minorEastAsia" w:hAnsiTheme="minorEastAsia" w:eastAsiaTheme="minorEastAsia"/>
                <w:color w:val="000000"/>
                <w:kern w:val="0"/>
                <w:sz w:val="24"/>
                <w:szCs w:val="24"/>
              </w:rPr>
              <w:t>服务内容及要求</w:t>
            </w:r>
          </w:p>
          <w:p>
            <w:pPr>
              <w:spacing w:line="360" w:lineRule="auto"/>
              <w:ind w:firstLine="480" w:firstLineChars="2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全面负责花草树木的修剪、浇水、杀虫、施肥及铲除杂草等作业。</w:t>
            </w:r>
          </w:p>
        </w:tc>
      </w:tr>
      <w:tr>
        <w:tblPrEx>
          <w:tblCellMar>
            <w:top w:w="0" w:type="dxa"/>
            <w:left w:w="108" w:type="dxa"/>
            <w:bottom w:w="0" w:type="dxa"/>
            <w:right w:w="108" w:type="dxa"/>
          </w:tblCellMar>
        </w:tblPrEx>
        <w:trPr>
          <w:trHeight w:val="69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r>
              <w:rPr>
                <w:rFonts w:hint="eastAsia" w:asciiTheme="minorEastAsia" w:hAnsiTheme="minorEastAsia" w:eastAsiaTheme="minorEastAsia"/>
                <w:sz w:val="24"/>
                <w:szCs w:val="24"/>
                <w:lang w:bidi="lo-LA"/>
              </w:rPr>
              <w:t>*</w:t>
            </w: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十</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费用</w:t>
            </w:r>
          </w:p>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界定</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1.甲方负责费用</w:t>
            </w:r>
          </w:p>
          <w:p>
            <w:pPr>
              <w:spacing w:line="360" w:lineRule="auto"/>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特种设备及大型设备的维保：智能系统、会议灯光音响系统、安全监控系统等特种设备和大型设备由采购方委托给专业维保公司负责专业维保，物业管理服务方建立运行检查制度并进行日常运行管理，发现故障及时配合甲方联系维保方维修，需定期检测和年检的设备配合甲方督促维保方定期年检。</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（1）生活水池清洗及水质检查。</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（2）外围垃圾桶、垃圾车，生活垃圾外运及化粪池清理费用。</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（3）负担水、电、暖、气等能源费用。</w:t>
            </w:r>
          </w:p>
          <w:p>
            <w:pPr>
              <w:spacing w:line="360" w:lineRule="auto"/>
              <w:ind w:firstLine="360" w:firstLineChars="150"/>
              <w:rPr>
                <w:rFonts w:cs="宋体" w:asciiTheme="minorEastAsia" w:hAnsiTheme="minorEastAsia" w:eastAsiaTheme="minorEastAsia"/>
                <w:sz w:val="24"/>
                <w:szCs w:val="24"/>
              </w:rPr>
            </w:pPr>
            <w:r>
              <w:rPr>
                <w:rFonts w:hint="eastAsia" w:asciiTheme="minorEastAsia" w:hAnsiTheme="minorEastAsia" w:eastAsiaTheme="minorEastAsia"/>
                <w:sz w:val="24"/>
                <w:szCs w:val="24"/>
              </w:rPr>
              <w:t>2．乙方负责费用</w:t>
            </w:r>
          </w:p>
          <w:p>
            <w:pPr>
              <w:spacing w:line="360" w:lineRule="auto"/>
              <w:ind w:firstLine="360" w:firstLineChars="150"/>
              <w:rPr>
                <w:rFonts w:asciiTheme="minorEastAsia" w:hAnsiTheme="minorEastAsia" w:eastAsiaTheme="minorEastAsia"/>
                <w:sz w:val="24"/>
                <w:szCs w:val="24"/>
              </w:rPr>
            </w:pPr>
            <w:r>
              <w:rPr>
                <w:rFonts w:hint="eastAsia" w:asciiTheme="minorEastAsia" w:hAnsiTheme="minorEastAsia" w:eastAsiaTheme="minorEastAsia"/>
                <w:sz w:val="24"/>
                <w:szCs w:val="24"/>
              </w:rPr>
              <w:t>（1）根据劳动法、合同法及其相关法律法规的规定缴纳或发放员工工资、社会保险费、工会经费、残疾人保障金、福利费、税费等。</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（2）保洁工具及日常维修材料费（200元以内）、员工服装及劳保费、办公费等。</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（3）电梯、中央空调、消防系统维护、保养、清洁、年检费用等。</w:t>
            </w:r>
          </w:p>
          <w:p>
            <w:pPr>
              <w:spacing w:line="360" w:lineRule="auto"/>
              <w:ind w:firstLine="360" w:firstLineChars="15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（4）合同履行期间，</w:t>
            </w:r>
            <w:r>
              <w:rPr>
                <w:rFonts w:hint="eastAsia" w:asciiTheme="minorEastAsia" w:hAnsiTheme="minorEastAsia" w:eastAsiaTheme="minorEastAsia"/>
                <w:color w:val="000000"/>
                <w:sz w:val="24"/>
                <w:szCs w:val="24"/>
              </w:rPr>
              <w:t>因劳动操作不规范或因突发疾病而导致的伤残或人身伤亡事故的赔偿。</w:t>
            </w:r>
          </w:p>
          <w:p>
            <w:pPr>
              <w:ind w:firstLine="360" w:firstLineChars="15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（5）因管理不善，提供服务人员措施不当造成财产损失而产生的费用等。</w:t>
            </w:r>
          </w:p>
        </w:tc>
      </w:tr>
      <w:tr>
        <w:tblPrEx>
          <w:tblCellMar>
            <w:top w:w="0" w:type="dxa"/>
            <w:left w:w="108" w:type="dxa"/>
            <w:bottom w:w="0" w:type="dxa"/>
            <w:right w:w="108" w:type="dxa"/>
          </w:tblCellMar>
        </w:tblPrEx>
        <w:trPr>
          <w:trHeight w:val="699"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sz w:val="24"/>
                <w:szCs w:val="24"/>
                <w:lang w:bidi="lo-LA"/>
              </w:rPr>
            </w:pPr>
          </w:p>
        </w:tc>
        <w:tc>
          <w:tcPr>
            <w:tcW w:w="56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sz w:val="24"/>
                <w:szCs w:val="24"/>
                <w:lang w:bidi="lo-LA"/>
              </w:rPr>
            </w:pPr>
            <w:r>
              <w:rPr>
                <w:rFonts w:hint="eastAsia" w:asciiTheme="minorEastAsia" w:hAnsiTheme="minorEastAsia" w:eastAsiaTheme="minorEastAsia"/>
                <w:kern w:val="0"/>
                <w:sz w:val="24"/>
                <w:szCs w:val="24"/>
                <w:lang w:bidi="lo-LA"/>
              </w:rPr>
              <w:t>十一</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cs="宋体" w:asciiTheme="minorEastAsia" w:hAnsiTheme="minorEastAsia" w:eastAsiaTheme="minorEastAsia"/>
                <w:bCs/>
                <w:color w:val="000000"/>
                <w:sz w:val="24"/>
                <w:szCs w:val="24"/>
              </w:rPr>
            </w:pPr>
            <w:r>
              <w:rPr>
                <w:rFonts w:hint="eastAsia" w:cs="宋体" w:asciiTheme="minorEastAsia" w:hAnsiTheme="minorEastAsia" w:eastAsiaTheme="minorEastAsia"/>
                <w:bCs/>
                <w:color w:val="000000"/>
                <w:sz w:val="24"/>
                <w:szCs w:val="24"/>
              </w:rPr>
              <w:t>其它服务和说明</w:t>
            </w:r>
          </w:p>
        </w:tc>
        <w:tc>
          <w:tcPr>
            <w:tcW w:w="6804" w:type="dxa"/>
            <w:tcBorders>
              <w:top w:val="single" w:color="auto" w:sz="4" w:space="0"/>
              <w:left w:val="nil"/>
              <w:bottom w:val="single" w:color="auto" w:sz="4" w:space="0"/>
              <w:right w:val="single" w:color="auto" w:sz="4" w:space="0"/>
            </w:tcBorders>
          </w:tcPr>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1.甲方遇重大活动，物业公司要无偿提供协助及服务，包括会场布置及会场卫生服务工作和安全保卫等。</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w:t>
            </w:r>
            <w:r>
              <w:rPr>
                <w:rFonts w:hint="eastAsia" w:asciiTheme="minorEastAsia" w:hAnsiTheme="minorEastAsia" w:eastAsiaTheme="minorEastAsia"/>
                <w:kern w:val="0"/>
                <w:sz w:val="24"/>
                <w:szCs w:val="24"/>
              </w:rPr>
              <w:t>物业公司负责登记接收</w:t>
            </w:r>
            <w:r>
              <w:rPr>
                <w:rFonts w:hint="eastAsia" w:asciiTheme="minorEastAsia" w:hAnsiTheme="minorEastAsia" w:eastAsiaTheme="minorEastAsia"/>
                <w:sz w:val="24"/>
                <w:szCs w:val="24"/>
              </w:rPr>
              <w:t>报纸、各类普通邮件（平信、明信片、汇款单、包裹单等）的收发管理及公共区域钥匙的管理。</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3.物业档案资料的建立与管理。</w:t>
            </w:r>
          </w:p>
          <w:p>
            <w:pPr>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4.属于物业管理的其它工作事项。</w:t>
            </w:r>
          </w:p>
          <w:p>
            <w:pPr>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5.甲方提供物业管理办公用房,不提供员工住宿用房。</w:t>
            </w:r>
          </w:p>
        </w:tc>
      </w:tr>
      <w:tr>
        <w:tblPrEx>
          <w:tblCellMar>
            <w:top w:w="0" w:type="dxa"/>
            <w:left w:w="108" w:type="dxa"/>
            <w:bottom w:w="0" w:type="dxa"/>
            <w:right w:w="108" w:type="dxa"/>
          </w:tblCellMar>
        </w:tblPrEx>
        <w:trPr>
          <w:trHeight w:val="493" w:hRule="atLeast"/>
          <w:jc w:val="center"/>
        </w:trPr>
        <w:tc>
          <w:tcPr>
            <w:tcW w:w="9073" w:type="dxa"/>
            <w:gridSpan w:val="4"/>
            <w:tcBorders>
              <w:top w:val="single" w:color="auto" w:sz="4" w:space="0"/>
              <w:left w:val="single" w:color="auto" w:sz="4" w:space="0"/>
              <w:bottom w:val="single" w:color="auto" w:sz="4" w:space="0"/>
              <w:right w:val="single" w:color="auto" w:sz="4" w:space="0"/>
            </w:tcBorders>
          </w:tcPr>
          <w:p>
            <w:pPr>
              <w:widowControl/>
              <w:spacing w:line="360" w:lineRule="auto"/>
              <w:rPr>
                <w:rFonts w:hint="eastAsia"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注：1.“参数性质”标“*”表示此要求为主要服务指标。</w:t>
            </w:r>
          </w:p>
          <w:p>
            <w:pPr>
              <w:widowControl/>
              <w:spacing w:line="360" w:lineRule="auto"/>
              <w:ind w:firstLine="480" w:firstLineChars="200"/>
              <w:rPr>
                <w:rFonts w:cs="宋体" w:asciiTheme="minorEastAsia" w:hAnsiTheme="minorEastAsia" w:eastAsiaTheme="minorEastAsia"/>
                <w:kern w:val="0"/>
                <w:sz w:val="24"/>
                <w:szCs w:val="24"/>
              </w:rPr>
            </w:pPr>
            <w:r>
              <w:rPr>
                <w:rFonts w:hint="eastAsia" w:cs="宋体" w:asciiTheme="minorEastAsia" w:hAnsiTheme="minorEastAsia" w:eastAsiaTheme="minorEastAsia"/>
                <w:color w:val="000000"/>
                <w:sz w:val="24"/>
                <w:szCs w:val="24"/>
              </w:rPr>
              <w:t>2.</w:t>
            </w:r>
            <w:r>
              <w:rPr>
                <w:rFonts w:hint="eastAsia" w:ascii="宋体" w:hAnsi="宋体"/>
                <w:sz w:val="24"/>
                <w:szCs w:val="24"/>
              </w:rPr>
              <w:t>主要技术参数指标（加“</w:t>
            </w:r>
            <w:r>
              <w:rPr>
                <w:rFonts w:hint="eastAsia" w:ascii="宋体" w:hAnsi="宋体"/>
                <w:sz w:val="24"/>
                <w:szCs w:val="24"/>
                <w:lang w:bidi="lo-LA"/>
              </w:rPr>
              <w:t>*</w:t>
            </w:r>
            <w:r>
              <w:rPr>
                <w:rFonts w:hint="eastAsia" w:ascii="宋体" w:hAnsi="宋体"/>
                <w:sz w:val="24"/>
                <w:szCs w:val="24"/>
              </w:rPr>
              <w:t>”项）完全满足或优于招标文件要求。</w:t>
            </w:r>
          </w:p>
        </w:tc>
      </w:tr>
    </w:tbl>
    <w:p>
      <w:pPr>
        <w:spacing w:line="360" w:lineRule="auto"/>
        <w:jc w:val="center"/>
        <w:rPr>
          <w:rFonts w:ascii="宋体" w:hAnsi="宋体" w:cs="宋体"/>
          <w:b/>
          <w:color w:val="000000"/>
          <w:kern w:val="0"/>
          <w:szCs w:val="28"/>
        </w:rPr>
      </w:pPr>
    </w:p>
    <w:p>
      <w:pPr>
        <w:spacing w:line="360" w:lineRule="auto"/>
        <w:jc w:val="center"/>
        <w:rPr>
          <w:rFonts w:ascii="宋体" w:hAnsi="宋体" w:cs="宋体"/>
          <w:b/>
          <w:color w:val="000000"/>
          <w:kern w:val="0"/>
          <w:szCs w:val="28"/>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p>
    <w:p>
      <w:pPr>
        <w:pStyle w:val="2"/>
        <w:keepNext w:val="0"/>
        <w:keepLines w:val="0"/>
        <w:spacing w:line="360" w:lineRule="auto"/>
        <w:rPr>
          <w:rFonts w:ascii="宋体" w:hAnsi="宋体"/>
          <w:sz w:val="24"/>
          <w:szCs w:val="24"/>
        </w:rPr>
      </w:pPr>
      <w:r>
        <w:rPr>
          <w:rFonts w:hint="eastAsia" w:ascii="宋体" w:hAnsi="宋体"/>
          <w:sz w:val="24"/>
          <w:szCs w:val="24"/>
        </w:rPr>
        <w:t>第五章 供应商资格证明及相关文件要求</w:t>
      </w:r>
      <w:bookmarkEnd w:id="13"/>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sz w:val="24"/>
          <w:szCs w:val="24"/>
        </w:rPr>
      </w:pPr>
      <w:r>
        <w:rPr>
          <w:rFonts w:hint="eastAsia" w:ascii="宋体" w:hAnsi="宋体" w:cs="宋体"/>
          <w:sz w:val="24"/>
          <w:szCs w:val="24"/>
        </w:rPr>
        <w:t>一.供应商的资格性证明文件</w:t>
      </w:r>
    </w:p>
    <w:p>
      <w:pPr>
        <w:spacing w:line="360" w:lineRule="auto"/>
        <w:ind w:firstLine="482" w:firstLineChars="201"/>
        <w:rPr>
          <w:rFonts w:ascii="宋体" w:hAnsi="宋体" w:cs="宋体"/>
          <w:sz w:val="24"/>
          <w:szCs w:val="24"/>
        </w:rPr>
      </w:pPr>
      <w:r>
        <w:rPr>
          <w:rFonts w:ascii="宋体" w:hAnsi="宋体" w:cs="宋体"/>
          <w:sz w:val="24"/>
          <w:szCs w:val="24"/>
        </w:rPr>
        <w:t>1.</w:t>
      </w:r>
      <w:r>
        <w:rPr>
          <w:rFonts w:hint="eastAsia" w:ascii="宋体" w:hAnsi="宋体" w:cs="宋体"/>
          <w:sz w:val="24"/>
          <w:szCs w:val="24"/>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Ansi="宋体"/>
          <w:sz w:val="24"/>
          <w:szCs w:val="24"/>
        </w:rPr>
      </w:pPr>
      <w:r>
        <w:rPr>
          <w:rFonts w:hAnsi="宋体"/>
          <w:sz w:val="24"/>
          <w:szCs w:val="24"/>
        </w:rPr>
        <w:t>2</w:t>
      </w:r>
      <w:r>
        <w:rPr>
          <w:rFonts w:hint="eastAsia" w:hAnsi="宋体"/>
          <w:sz w:val="24"/>
          <w:szCs w:val="24"/>
        </w:rPr>
        <w:t>．</w:t>
      </w:r>
      <w:r>
        <w:rPr>
          <w:rFonts w:hint="eastAsia" w:ascii="宋体" w:hAnsi="宋体" w:cs="宋体"/>
          <w:sz w:val="24"/>
          <w:szCs w:val="24"/>
        </w:rPr>
        <w:t>财务状况报告，应附经会计师事务所出具的财务审计报告或其基本开户银行出具的资信证明；</w:t>
      </w:r>
    </w:p>
    <w:p>
      <w:pPr>
        <w:spacing w:line="360" w:lineRule="auto"/>
        <w:ind w:firstLine="482" w:firstLineChars="201"/>
        <w:rPr>
          <w:rFonts w:ascii="宋体" w:hAnsi="宋体"/>
          <w:sz w:val="24"/>
          <w:szCs w:val="24"/>
        </w:rPr>
      </w:pPr>
      <w:r>
        <w:rPr>
          <w:rFonts w:ascii="宋体" w:hAnsi="宋体"/>
          <w:sz w:val="24"/>
          <w:szCs w:val="24"/>
        </w:rPr>
        <w:t>3</w:t>
      </w:r>
      <w:r>
        <w:rPr>
          <w:rFonts w:hint="eastAsia" w:ascii="宋体" w:hAnsi="宋体" w:cs="宋体"/>
          <w:sz w:val="24"/>
          <w:szCs w:val="24"/>
        </w:rPr>
        <w:t>．供应商依法缴纳税收证明材料；</w:t>
      </w:r>
    </w:p>
    <w:p>
      <w:pPr>
        <w:spacing w:line="360" w:lineRule="auto"/>
        <w:ind w:firstLine="482" w:firstLineChars="201"/>
        <w:rPr>
          <w:rFonts w:ascii="宋体" w:hAnsi="宋体"/>
          <w:sz w:val="24"/>
          <w:szCs w:val="24"/>
        </w:rPr>
      </w:pPr>
      <w:r>
        <w:rPr>
          <w:rFonts w:ascii="宋体" w:hAnsi="宋体" w:cs="宋体"/>
          <w:sz w:val="24"/>
          <w:szCs w:val="24"/>
        </w:rPr>
        <w:t>4</w:t>
      </w:r>
      <w:r>
        <w:rPr>
          <w:rFonts w:hint="eastAsia" w:ascii="宋体" w:hAnsi="宋体" w:cs="宋体"/>
          <w:sz w:val="24"/>
          <w:szCs w:val="24"/>
        </w:rPr>
        <w:t>．供应商为企业员工缴纳社保资金的证明材料；</w:t>
      </w:r>
      <w:r>
        <w:rPr>
          <w:rFonts w:ascii="宋体" w:hAnsi="宋体"/>
          <w:sz w:val="24"/>
          <w:szCs w:val="24"/>
        </w:rPr>
        <w:t xml:space="preserve"> </w:t>
      </w:r>
    </w:p>
    <w:p>
      <w:pPr>
        <w:spacing w:line="360" w:lineRule="auto"/>
        <w:ind w:firstLine="482" w:firstLineChars="201"/>
        <w:rPr>
          <w:rFonts w:ascii="宋体" w:hAnsi="宋体"/>
          <w:sz w:val="24"/>
          <w:szCs w:val="24"/>
        </w:rPr>
      </w:pPr>
      <w:r>
        <w:rPr>
          <w:rFonts w:ascii="宋体" w:hAnsi="宋体" w:cs="宋体"/>
          <w:sz w:val="24"/>
          <w:szCs w:val="24"/>
        </w:rPr>
        <w:t>5</w:t>
      </w:r>
      <w:r>
        <w:rPr>
          <w:rFonts w:hint="eastAsia" w:ascii="宋体" w:hAnsi="宋体" w:cs="宋体"/>
          <w:sz w:val="24"/>
          <w:szCs w:val="24"/>
        </w:rPr>
        <w:t>．供应商参加政府采购前三年内在经营活动中没有重大违法记录书面声明函；</w:t>
      </w:r>
      <w:r>
        <w:rPr>
          <w:rFonts w:ascii="宋体" w:hAnsi="宋体"/>
          <w:sz w:val="24"/>
          <w:szCs w:val="24"/>
        </w:rPr>
        <w:t xml:space="preserve"> </w:t>
      </w:r>
    </w:p>
    <w:p>
      <w:pPr>
        <w:autoSpaceDE w:val="0"/>
        <w:autoSpaceDN w:val="0"/>
        <w:adjustRightInd w:val="0"/>
        <w:snapToGrid w:val="0"/>
        <w:spacing w:line="360" w:lineRule="auto"/>
        <w:ind w:right="32" w:firstLine="482" w:firstLineChars="201"/>
        <w:rPr>
          <w:rFonts w:ascii="宋体" w:hAnsi="宋体" w:cs="宋体"/>
          <w:sz w:val="24"/>
          <w:szCs w:val="24"/>
        </w:rPr>
      </w:pPr>
      <w:r>
        <w:rPr>
          <w:rFonts w:ascii="宋体" w:hAnsi="宋体" w:cs="宋体"/>
          <w:sz w:val="24"/>
          <w:szCs w:val="24"/>
        </w:rPr>
        <w:t>6</w:t>
      </w:r>
      <w:r>
        <w:rPr>
          <w:rFonts w:hint="eastAsia" w:ascii="宋体" w:hAnsi="宋体" w:cs="宋体"/>
          <w:sz w:val="24"/>
          <w:szCs w:val="24"/>
        </w:rPr>
        <w:t>.在“信用中国”网站(</w:t>
      </w:r>
      <w:r>
        <w:fldChar w:fldCharType="begin"/>
      </w:r>
      <w:r>
        <w:instrText xml:space="preserve"> HYPERLINK "http://www.creditchina.gov.cn" </w:instrText>
      </w:r>
      <w:r>
        <w:fldChar w:fldCharType="separate"/>
      </w:r>
      <w:r>
        <w:rPr>
          <w:rFonts w:hint="eastAsia" w:ascii="宋体" w:hAnsi="宋体" w:cs="宋体"/>
          <w:sz w:val="24"/>
          <w:szCs w:val="24"/>
        </w:rPr>
        <w:t>www.creditchina.gov.cn</w:t>
      </w:r>
      <w:r>
        <w:rPr>
          <w:rFonts w:hint="eastAsia" w:ascii="宋体" w:hAnsi="宋体" w:cs="宋体"/>
          <w:sz w:val="24"/>
          <w:szCs w:val="24"/>
        </w:rPr>
        <w:fldChar w:fldCharType="end"/>
      </w:r>
      <w:r>
        <w:rPr>
          <w:rFonts w:hint="eastAsia" w:ascii="宋体" w:hAnsi="宋体" w:cs="宋体"/>
          <w:sz w:val="24"/>
          <w:szCs w:val="24"/>
        </w:rPr>
        <w:t>)和“中国政府采购网”（www.ccgp.gov.cn）查询供应商的信用记录截图。</w:t>
      </w:r>
    </w:p>
    <w:p>
      <w:pPr>
        <w:autoSpaceDE w:val="0"/>
        <w:autoSpaceDN w:val="0"/>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7. 招标文件对供应商的其他资格要求。</w:t>
      </w:r>
    </w:p>
    <w:p>
      <w:pPr>
        <w:spacing w:line="360" w:lineRule="auto"/>
        <w:ind w:firstLine="482" w:firstLineChars="201"/>
        <w:rPr>
          <w:rFonts w:ascii="宋体" w:hAnsi="宋体"/>
          <w:sz w:val="24"/>
          <w:szCs w:val="24"/>
        </w:rPr>
      </w:pPr>
      <w:r>
        <w:rPr>
          <w:rFonts w:hint="eastAsia" w:ascii="宋体" w:hAnsi="宋体"/>
          <w:sz w:val="24"/>
          <w:szCs w:val="24"/>
        </w:rPr>
        <w:t>以上文件除要求提供“原件”以外，均应在响应文件中提供复印件并加盖供应商公章，未提供或提供的文件过期、失效的，均为无效投标。（具体要求详见本招标文件初审表）</w:t>
      </w:r>
    </w:p>
    <w:p>
      <w:pPr>
        <w:spacing w:line="360" w:lineRule="auto"/>
        <w:ind w:firstLine="482" w:firstLineChars="201"/>
        <w:rPr>
          <w:rFonts w:ascii="宋体" w:hAnsi="宋体"/>
          <w:sz w:val="24"/>
          <w:szCs w:val="24"/>
        </w:rPr>
      </w:pPr>
      <w:r>
        <w:rPr>
          <w:rFonts w:hint="eastAsia" w:ascii="宋体" w:hAnsi="宋体"/>
          <w:sz w:val="24"/>
          <w:szCs w:val="24"/>
        </w:rPr>
        <w:t>二.供应商应提供的其它材料</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能够真实反映供应商业绩的有效证明材料，如</w:t>
      </w:r>
      <w:r>
        <w:rPr>
          <w:rFonts w:hint="eastAsia" w:ascii="宋体" w:hAnsi="宋体"/>
          <w:sz w:val="24"/>
          <w:szCs w:val="24"/>
        </w:rPr>
        <w:t>协议、服务</w:t>
      </w:r>
      <w:r>
        <w:rPr>
          <w:rFonts w:ascii="宋体" w:hAnsi="宋体"/>
          <w:sz w:val="24"/>
          <w:szCs w:val="24"/>
        </w:rPr>
        <w:t>合同等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kern w:val="0"/>
          <w:sz w:val="24"/>
          <w:szCs w:val="24"/>
        </w:rPr>
        <w:t>. 供应商的质量管理体系认证证书、环境认证证书等；</w:t>
      </w:r>
    </w:p>
    <w:p>
      <w:pPr>
        <w:spacing w:line="360" w:lineRule="auto"/>
        <w:ind w:firstLine="480" w:firstLineChars="200"/>
        <w:rPr>
          <w:rFonts w:ascii="宋体" w:hAnsi="宋体"/>
          <w:kern w:val="0"/>
          <w:sz w:val="24"/>
          <w:szCs w:val="24"/>
        </w:rPr>
      </w:pPr>
      <w:r>
        <w:rPr>
          <w:rFonts w:hint="eastAsia" w:ascii="宋体" w:hAnsi="宋体"/>
          <w:kern w:val="0"/>
          <w:sz w:val="24"/>
          <w:szCs w:val="24"/>
        </w:rPr>
        <w:t>3. 供应商</w:t>
      </w:r>
      <w:r>
        <w:rPr>
          <w:rFonts w:ascii="宋体" w:hAnsi="宋体"/>
          <w:kern w:val="0"/>
          <w:sz w:val="24"/>
          <w:szCs w:val="24"/>
        </w:rPr>
        <w:t>认为需要提供的证明文件及资料。</w:t>
      </w:r>
    </w:p>
    <w:p>
      <w:pPr>
        <w:spacing w:line="360" w:lineRule="auto"/>
        <w:ind w:firstLine="480" w:firstLineChars="200"/>
        <w:rPr>
          <w:rFonts w:ascii="宋体" w:hAnsi="宋体"/>
          <w:sz w:val="24"/>
          <w:szCs w:val="24"/>
        </w:rPr>
      </w:pPr>
      <w:r>
        <w:rPr>
          <w:rFonts w:ascii="宋体" w:hAnsi="宋体"/>
          <w:sz w:val="24"/>
          <w:szCs w:val="24"/>
        </w:rPr>
        <w:t>以上文件除要求提供原件以外，</w:t>
      </w:r>
      <w:r>
        <w:rPr>
          <w:rFonts w:hint="eastAsia" w:ascii="宋体" w:hAnsi="宋体"/>
          <w:sz w:val="24"/>
          <w:szCs w:val="24"/>
        </w:rPr>
        <w:t>其余</w:t>
      </w:r>
      <w:r>
        <w:rPr>
          <w:rFonts w:ascii="宋体" w:hAnsi="宋体"/>
          <w:sz w:val="24"/>
          <w:szCs w:val="24"/>
        </w:rPr>
        <w:t>均</w:t>
      </w:r>
      <w:r>
        <w:rPr>
          <w:rFonts w:hint="eastAsia" w:ascii="宋体" w:hAnsi="宋体"/>
          <w:sz w:val="24"/>
          <w:szCs w:val="24"/>
        </w:rPr>
        <w:t>在响应文件中</w:t>
      </w:r>
      <w:r>
        <w:rPr>
          <w:rFonts w:ascii="宋体" w:hAnsi="宋体"/>
          <w:sz w:val="24"/>
          <w:szCs w:val="24"/>
        </w:rPr>
        <w:t>提供复印件并加盖供应商公章</w:t>
      </w:r>
      <w:r>
        <w:rPr>
          <w:rFonts w:hint="eastAsia" w:ascii="宋体" w:hAnsi="宋体"/>
          <w:sz w:val="24"/>
          <w:szCs w:val="24"/>
        </w:rPr>
        <w:t>；</w:t>
      </w:r>
      <w:r>
        <w:rPr>
          <w:rFonts w:ascii="宋体" w:hAnsi="宋体"/>
          <w:sz w:val="24"/>
          <w:szCs w:val="24"/>
        </w:rPr>
        <w:t>除在本谈判文件中明确规定不提供为无效投标外，其余均供评委在评审时参考</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sz w:val="24"/>
          <w:szCs w:val="24"/>
        </w:rPr>
      </w:pPr>
      <w:bookmarkStart w:id="17" w:name="_Toc497726583"/>
      <w:r>
        <w:rPr>
          <w:rFonts w:hint="eastAsia" w:ascii="宋体" w:hAnsi="宋体"/>
          <w:sz w:val="24"/>
          <w:szCs w:val="24"/>
        </w:rPr>
        <w:t>第六章 谈判程序及方法</w:t>
      </w:r>
      <w:bookmarkEnd w:id="14"/>
      <w:bookmarkEnd w:id="17"/>
    </w:p>
    <w:p>
      <w:pPr>
        <w:spacing w:line="360" w:lineRule="auto"/>
        <w:ind w:firstLine="482" w:firstLineChars="200"/>
        <w:rPr>
          <w:rFonts w:ascii="宋体" w:hAnsi="宋体"/>
          <w:b/>
          <w:sz w:val="24"/>
          <w:szCs w:val="24"/>
        </w:rPr>
      </w:pPr>
      <w:bookmarkStart w:id="18" w:name="_Toc257983096"/>
      <w:bookmarkStart w:id="19" w:name="_Toc355703360"/>
      <w:bookmarkStart w:id="20" w:name="_Toc355703243"/>
      <w:r>
        <w:rPr>
          <w:rFonts w:hint="eastAsia" w:ascii="宋体" w:hAnsi="宋体"/>
          <w:b/>
          <w:sz w:val="24"/>
          <w:szCs w:val="24"/>
        </w:rPr>
        <w:t>一.</w:t>
      </w:r>
      <w:r>
        <w:rPr>
          <w:rFonts w:ascii="宋体" w:hAnsi="宋体"/>
          <w:b/>
          <w:sz w:val="24"/>
          <w:szCs w:val="24"/>
        </w:rPr>
        <w:t xml:space="preserve"> </w:t>
      </w:r>
      <w:r>
        <w:rPr>
          <w:rFonts w:hint="eastAsia" w:ascii="宋体" w:hAnsi="宋体"/>
          <w:b/>
          <w:sz w:val="24"/>
          <w:szCs w:val="24"/>
        </w:rPr>
        <w:t>评标原则</w:t>
      </w:r>
    </w:p>
    <w:p>
      <w:pPr>
        <w:spacing w:after="120" w:line="360" w:lineRule="auto"/>
        <w:ind w:firstLine="446" w:firstLineChars="186"/>
        <w:rPr>
          <w:rFonts w:ascii="宋体" w:hAnsi="宋体"/>
          <w:b/>
          <w:kern w:val="0"/>
          <w:sz w:val="24"/>
          <w:szCs w:val="24"/>
        </w:rPr>
      </w:pPr>
      <w:r>
        <w:rPr>
          <w:rFonts w:hint="eastAsia" w:ascii="宋体" w:hAnsi="宋体"/>
          <w:sz w:val="24"/>
          <w:szCs w:val="24"/>
        </w:rPr>
        <w:t>评审活动遵循公开、公平、公正、择优的原则进行。谈判小组将综合分析供应商的各项指标，而不以单项指标的优劣评选出预中标人。</w:t>
      </w:r>
    </w:p>
    <w:p>
      <w:pPr>
        <w:spacing w:after="120" w:line="360" w:lineRule="auto"/>
        <w:ind w:firstLine="448" w:firstLineChars="186"/>
        <w:rPr>
          <w:rFonts w:ascii="宋体" w:hAnsi="宋体"/>
          <w:b/>
          <w:kern w:val="0"/>
          <w:sz w:val="24"/>
          <w:szCs w:val="24"/>
        </w:rPr>
      </w:pPr>
      <w:r>
        <w:rPr>
          <w:rFonts w:hint="eastAsia" w:ascii="宋体" w:hAnsi="宋体"/>
          <w:b/>
          <w:kern w:val="0"/>
          <w:sz w:val="24"/>
          <w:szCs w:val="24"/>
        </w:rPr>
        <w:t>二.谈判</w:t>
      </w:r>
      <w:bookmarkEnd w:id="18"/>
      <w:bookmarkEnd w:id="19"/>
      <w:bookmarkEnd w:id="20"/>
      <w:r>
        <w:rPr>
          <w:rFonts w:hint="eastAsia" w:ascii="宋体" w:hAnsi="宋体"/>
          <w:b/>
          <w:kern w:val="0"/>
          <w:sz w:val="24"/>
          <w:szCs w:val="24"/>
        </w:rPr>
        <w:t>程序</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1.第一阶段：初步审查</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竞争性谈判</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资格性、符合性部分</w:t>
      </w:r>
      <w:r>
        <w:rPr>
          <w:rFonts w:ascii="宋体" w:hAnsi="宋体"/>
          <w:kern w:val="0"/>
          <w:sz w:val="24"/>
          <w:szCs w:val="24"/>
        </w:rPr>
        <w:t>进行审查，</w:t>
      </w:r>
      <w:r>
        <w:rPr>
          <w:rFonts w:ascii="宋体" w:hAnsi="宋体"/>
          <w:sz w:val="24"/>
          <w:szCs w:val="24"/>
        </w:rPr>
        <w:t>以确定</w:t>
      </w:r>
      <w:r>
        <w:rPr>
          <w:rFonts w:hint="eastAsia" w:ascii="宋体" w:hAnsi="宋体"/>
          <w:sz w:val="24"/>
          <w:szCs w:val="24"/>
        </w:rPr>
        <w:t>供应商是否可以实质性响应谈判文件要求</w:t>
      </w:r>
      <w:r>
        <w:rPr>
          <w:rFonts w:ascii="宋体" w:hAnsi="宋体"/>
          <w:sz w:val="24"/>
          <w:szCs w:val="24"/>
        </w:rPr>
        <w:t>。</w:t>
      </w:r>
      <w:r>
        <w:rPr>
          <w:rFonts w:hint="eastAsia" w:ascii="宋体" w:hAnsi="宋体"/>
          <w:kern w:val="0"/>
          <w:sz w:val="24"/>
          <w:szCs w:val="24"/>
        </w:rPr>
        <w:t>在评审时,如有不符合谈判文件要求</w:t>
      </w:r>
      <w:r>
        <w:rPr>
          <w:rFonts w:ascii="宋体" w:hAnsi="宋体"/>
          <w:kern w:val="0"/>
          <w:sz w:val="24"/>
          <w:szCs w:val="24"/>
        </w:rPr>
        <w:t>的，</w:t>
      </w:r>
      <w:r>
        <w:rPr>
          <w:rFonts w:hint="eastAsia" w:ascii="宋体" w:hAnsi="宋体"/>
          <w:kern w:val="0"/>
          <w:sz w:val="24"/>
          <w:szCs w:val="24"/>
        </w:rPr>
        <w:t>经谈判小组认定，视</w:t>
      </w:r>
      <w:r>
        <w:rPr>
          <w:rFonts w:ascii="宋体" w:hAnsi="宋体"/>
          <w:kern w:val="0"/>
          <w:sz w:val="24"/>
          <w:szCs w:val="24"/>
        </w:rPr>
        <w:t>为</w:t>
      </w:r>
      <w:r>
        <w:rPr>
          <w:rFonts w:hint="eastAsia" w:ascii="宋体" w:hAnsi="宋体"/>
          <w:kern w:val="0"/>
          <w:sz w:val="24"/>
          <w:szCs w:val="24"/>
        </w:rPr>
        <w:t>非实质性响应，将视为无效竞标，并当场告知。</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2.第二阶段：谈判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（1）谈判小组应当通过随机方式序确定参加谈判供应商的谈判顺序，谈判小组所有成员应当集中与单一供应商分别进行谈判，并给予所有参加谈判的供应商平等的谈判机会。</w:t>
      </w:r>
    </w:p>
    <w:p>
      <w:pPr>
        <w:autoSpaceDE w:val="0"/>
        <w:autoSpaceDN w:val="0"/>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（2）响应文件的澄清和更正。</w:t>
      </w:r>
    </w:p>
    <w:p>
      <w:pPr>
        <w:autoSpaceDE w:val="0"/>
        <w:autoSpaceDN w:val="0"/>
        <w:adjustRightInd w:val="0"/>
        <w:snapToGrid w:val="0"/>
        <w:spacing w:line="360" w:lineRule="auto"/>
        <w:ind w:firstLine="480" w:firstLineChars="200"/>
        <w:rPr>
          <w:rFonts w:ascii="宋体" w:hAnsi="宋体"/>
          <w:kern w:val="0"/>
          <w:sz w:val="24"/>
          <w:szCs w:val="24"/>
        </w:rPr>
      </w:pPr>
      <w:r>
        <w:rPr>
          <w:rFonts w:ascii="宋体" w:hAnsi="宋体"/>
          <w:kern w:val="0"/>
          <w:sz w:val="24"/>
          <w:szCs w:val="24"/>
        </w:rPr>
        <w:t>谈判小组</w:t>
      </w:r>
      <w:r>
        <w:rPr>
          <w:rFonts w:hint="eastAsia" w:ascii="宋体" w:hAnsi="宋体"/>
          <w:kern w:val="0"/>
          <w:sz w:val="24"/>
          <w:szCs w:val="24"/>
        </w:rPr>
        <w:t>通过</w:t>
      </w:r>
      <w:r>
        <w:rPr>
          <w:rFonts w:ascii="宋体" w:hAnsi="宋体"/>
          <w:kern w:val="0"/>
          <w:sz w:val="24"/>
          <w:szCs w:val="24"/>
        </w:rPr>
        <w:t>对响应文件的有效性、完整性和响应程度进行审查，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ascii="宋体" w:hAnsi="宋体"/>
          <w:kern w:val="0"/>
          <w:sz w:val="24"/>
          <w:szCs w:val="24"/>
        </w:rPr>
        <w:t>谈判小组要求供应商澄清、说明或者更正响应文件应当以书面形式作出。供应商的澄清、说明或者更正应当由法定代表人或其授权代表签字或者加盖公章。供应商为自然人的，应当由本人签字并附身份证明</w:t>
      </w:r>
      <w:r>
        <w:rPr>
          <w:rFonts w:hint="eastAsia" w:ascii="宋体" w:hAnsi="宋体"/>
          <w:kern w:val="0"/>
          <w:sz w:val="24"/>
          <w:szCs w:val="24"/>
        </w:rPr>
        <w:t>。</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（3）谈判内容主要包括：</w:t>
      </w:r>
      <w:r>
        <w:rPr>
          <w:rFonts w:hint="eastAsia" w:ascii="宋体" w:hAnsi="宋体"/>
          <w:sz w:val="24"/>
          <w:szCs w:val="24"/>
        </w:rPr>
        <w:t>针对本项目的技术、服务要求以及合同草案条款；谈判文件不能详细列明采购标的的技术、服务要求的，需经谈判由供应商提供最终设计方案或解决方案；其它需要谈判的事项。</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对谈判文件作出的实质性变动是谈判文件的有效组成部分，谈判小组应当在《最后报价表》中载明，同时通知所有参加谈判的供应商。</w:t>
      </w:r>
    </w:p>
    <w:p>
      <w:pPr>
        <w:autoSpaceDE w:val="0"/>
        <w:autoSpaceDN w:val="0"/>
        <w:adjustRightInd w:val="0"/>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widowControl/>
        <w:spacing w:afterLines="50" w:line="360" w:lineRule="auto"/>
        <w:ind w:firstLine="480" w:firstLineChars="200"/>
        <w:jc w:val="left"/>
        <w:rPr>
          <w:rFonts w:ascii="宋体" w:hAnsi="宋体"/>
          <w:kern w:val="0"/>
          <w:sz w:val="24"/>
          <w:szCs w:val="24"/>
        </w:rPr>
      </w:pPr>
      <w:r>
        <w:rPr>
          <w:rFonts w:hint="eastAsia" w:ascii="宋体" w:hAnsi="宋体"/>
          <w:kern w:val="0"/>
          <w:sz w:val="24"/>
          <w:szCs w:val="24"/>
        </w:rPr>
        <w:t>3．第三阶段：最后报价</w:t>
      </w:r>
    </w:p>
    <w:p>
      <w:pPr>
        <w:widowControl/>
        <w:spacing w:afterLines="50" w:line="360" w:lineRule="auto"/>
        <w:ind w:firstLine="480" w:firstLineChars="200"/>
        <w:jc w:val="left"/>
        <w:rPr>
          <w:rFonts w:ascii="宋体" w:hAnsi="宋体"/>
          <w:sz w:val="24"/>
          <w:szCs w:val="24"/>
        </w:rPr>
      </w:pPr>
      <w:r>
        <w:rPr>
          <w:rFonts w:hint="eastAsia" w:ascii="宋体" w:hAnsi="宋体"/>
          <w:kern w:val="0"/>
          <w:sz w:val="24"/>
          <w:szCs w:val="24"/>
        </w:rPr>
        <w:t>谈判小组可根据供应商的报价，响应内容及谈判的情况，按谈判文件规定的谈判轮次，要求各供应商分别进行不超过三轮报价，并给予每个正在参加谈判的供应商平等的谈判机会。最后一轮谈判结束后，参加谈判的供应商应当对谈判的承诺和最后报价以书面形式确认，并由法定代表人或其授权委托人签署生效。</w:t>
      </w:r>
      <w:r>
        <w:rPr>
          <w:rFonts w:hint="eastAsia" w:ascii="宋体" w:hAnsi="宋体"/>
          <w:sz w:val="24"/>
          <w:szCs w:val="24"/>
        </w:rPr>
        <w:t>最后报价是供应商响应文件的有效组成部分。</w:t>
      </w:r>
    </w:p>
    <w:p>
      <w:pPr>
        <w:widowControl/>
        <w:tabs>
          <w:tab w:val="left" w:pos="540"/>
        </w:tabs>
        <w:spacing w:line="360" w:lineRule="auto"/>
        <w:ind w:firstLine="480" w:firstLineChars="200"/>
        <w:jc w:val="left"/>
        <w:rPr>
          <w:rFonts w:ascii="宋体" w:hAnsi="宋体"/>
          <w:kern w:val="0"/>
          <w:sz w:val="24"/>
          <w:szCs w:val="24"/>
        </w:rPr>
      </w:pPr>
      <w:r>
        <w:rPr>
          <w:rFonts w:ascii="宋体" w:hAnsi="宋体"/>
          <w:kern w:val="0"/>
          <w:sz w:val="24"/>
          <w:szCs w:val="24"/>
        </w:rPr>
        <w:t>已提交响应文件的供应商，在提交最后报价之前，可以根据谈判情况退出谈判。</w:t>
      </w:r>
      <w:r>
        <w:rPr>
          <w:rFonts w:hint="eastAsia" w:ascii="宋体" w:hAnsi="宋体"/>
          <w:kern w:val="0"/>
          <w:sz w:val="24"/>
          <w:szCs w:val="24"/>
        </w:rPr>
        <w:t>最后报价逾时不交的，可视同供应商自动放弃。</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对谈判的承诺和最后报价填写至《最后报价表》（该表在谈判过程中由工作人员统一发放），并在规定的时间内递交至谈判小组或杭锦旗公共资源交易中心。待所有实质性响应供应商最后报价完毕后，工作人员统一公布每位实质性响应供应商的最终价格。</w:t>
      </w:r>
    </w:p>
    <w:p>
      <w:pPr>
        <w:widowControl/>
        <w:spacing w:afterLines="50" w:line="360" w:lineRule="auto"/>
        <w:ind w:firstLine="482" w:firstLineChars="200"/>
        <w:jc w:val="left"/>
        <w:rPr>
          <w:rFonts w:ascii="宋体" w:hAnsi="宋体"/>
          <w:b/>
          <w:kern w:val="0"/>
          <w:sz w:val="24"/>
          <w:szCs w:val="24"/>
        </w:rPr>
      </w:pPr>
      <w:r>
        <w:rPr>
          <w:rFonts w:hint="eastAsia" w:ascii="宋体" w:hAnsi="宋体"/>
          <w:b/>
          <w:kern w:val="0"/>
          <w:sz w:val="24"/>
          <w:szCs w:val="24"/>
        </w:rPr>
        <w:t>二.确定成交供应商</w:t>
      </w:r>
    </w:p>
    <w:p>
      <w:pPr>
        <w:spacing w:line="360" w:lineRule="auto"/>
        <w:ind w:firstLine="480" w:firstLineChars="200"/>
        <w:rPr>
          <w:rFonts w:ascii="宋体" w:hAnsi="宋体"/>
          <w:kern w:val="0"/>
          <w:sz w:val="24"/>
          <w:szCs w:val="24"/>
        </w:rPr>
      </w:pPr>
      <w:r>
        <w:rPr>
          <w:rFonts w:hint="eastAsia" w:ascii="宋体" w:hAnsi="宋体"/>
          <w:kern w:val="0"/>
          <w:sz w:val="24"/>
          <w:szCs w:val="24"/>
        </w:rPr>
        <w:t>通过谈判、澄清，谈判小组应当从质量和服务均能满足谈判文件实质性响应要求的供应商中，按照最后报价由低到高的顺序提出成交候选人，并编写评审报告。报价相同时，技术指标优者优先，报价和技术指标均相同时，服务好的优先。</w:t>
      </w:r>
    </w:p>
    <w:p>
      <w:pPr>
        <w:spacing w:line="360" w:lineRule="auto"/>
        <w:ind w:firstLine="480" w:firstLineChars="200"/>
        <w:rPr>
          <w:rFonts w:ascii="宋体" w:hAnsi="宋体"/>
          <w:kern w:val="0"/>
          <w:sz w:val="24"/>
          <w:szCs w:val="24"/>
        </w:rPr>
      </w:pPr>
      <w:r>
        <w:rPr>
          <w:rFonts w:hint="eastAsia" w:ascii="宋体" w:hAnsi="宋体"/>
          <w:kern w:val="0"/>
          <w:sz w:val="24"/>
          <w:szCs w:val="24"/>
        </w:rPr>
        <w:t>谈判小组或采购人从评审报告提出的成交候选人中，根据质量和服务均能满足谈判文件实质性响应要求且最后报价最低的原则确定成交供应商。</w:t>
      </w:r>
    </w:p>
    <w:p>
      <w:pPr>
        <w:widowControl/>
        <w:spacing w:line="360" w:lineRule="auto"/>
        <w:ind w:firstLine="602" w:firstLineChars="250"/>
        <w:jc w:val="left"/>
        <w:rPr>
          <w:rFonts w:ascii="宋体" w:hAnsi="宋体"/>
          <w:b/>
          <w:sz w:val="24"/>
          <w:szCs w:val="24"/>
        </w:rPr>
      </w:pPr>
      <w:r>
        <w:rPr>
          <w:rFonts w:hint="eastAsia" w:ascii="宋体" w:hAnsi="宋体"/>
          <w:b/>
          <w:sz w:val="24"/>
          <w:szCs w:val="24"/>
        </w:rPr>
        <w:t>三.政府采购政策落实：</w:t>
      </w:r>
    </w:p>
    <w:p>
      <w:pPr>
        <w:pStyle w:val="211"/>
        <w:spacing w:line="360" w:lineRule="auto"/>
        <w:ind w:firstLine="480" w:firstLineChars="200"/>
        <w:jc w:val="both"/>
        <w:rPr>
          <w:rFonts w:ascii="宋体" w:hAnsi="宋体" w:eastAsia="宋体" w:cs="Times New Roman"/>
          <w:color w:val="auto"/>
          <w:kern w:val="2"/>
        </w:rPr>
      </w:pPr>
      <w:r>
        <w:rPr>
          <w:rFonts w:hint="eastAsia" w:ascii="宋体" w:hAnsi="宋体" w:eastAsia="宋体" w:cs="Times New Roman"/>
          <w:color w:val="auto"/>
          <w:kern w:val="2"/>
        </w:rPr>
        <w:t>1.</w:t>
      </w:r>
      <w:r>
        <w:rPr>
          <w:rFonts w:hint="eastAsia" w:ascii="宋体" w:hAnsi="宋体" w:eastAsia="宋体" w:cs="Times New Roman"/>
          <w:color w:val="auto"/>
        </w:rPr>
        <w:t>依照《政府采购促进中小企业发展暂行办法》、《关于政府采购支持监狱企业发展有关问题的通知》和《财政部 民政部 中国残疾人联合会关于促进残疾人就业政府采购政策的通知》的规定，凡符合要求的小型、微型企业、监狱企业或残疾人福利性单位，按</w:t>
      </w:r>
      <w:r>
        <w:rPr>
          <w:rFonts w:hint="eastAsia" w:ascii="宋体" w:hAnsi="宋体" w:eastAsia="宋体" w:cs="Times New Roman"/>
          <w:color w:val="auto"/>
          <w:kern w:val="2"/>
        </w:rPr>
        <w:t>照以下比例给予相应的价格扣除：（监狱企业、</w:t>
      </w:r>
      <w:r>
        <w:rPr>
          <w:rFonts w:hint="eastAsia" w:ascii="Times New Roman" w:eastAsia="宋体" w:cs="Times New Roman"/>
          <w:color w:val="auto"/>
        </w:rPr>
        <w:t>残疾人福利性单位</w:t>
      </w:r>
      <w:r>
        <w:rPr>
          <w:rFonts w:hint="eastAsia" w:ascii="宋体" w:hAnsi="宋体" w:eastAsia="宋体" w:cs="Times New Roman"/>
          <w:color w:val="auto"/>
          <w:kern w:val="2"/>
        </w:rPr>
        <w:t>视同为小、微企业）</w:t>
      </w:r>
    </w:p>
    <w:tbl>
      <w:tblPr>
        <w:tblStyle w:val="4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3828"/>
        <w:gridCol w:w="2409"/>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02" w:type="dxa"/>
            <w:vAlign w:val="center"/>
          </w:tcPr>
          <w:p>
            <w:pPr>
              <w:snapToGrid w:val="0"/>
              <w:jc w:val="center"/>
              <w:rPr>
                <w:rFonts w:ascii="宋体" w:hAnsi="宋体"/>
                <w:sz w:val="18"/>
                <w:szCs w:val="18"/>
              </w:rPr>
            </w:pPr>
            <w:r>
              <w:rPr>
                <w:rFonts w:hint="eastAsia" w:ascii="宋体" w:hAnsi="宋体"/>
                <w:sz w:val="18"/>
                <w:szCs w:val="18"/>
              </w:rPr>
              <w:t>序号</w:t>
            </w:r>
          </w:p>
        </w:tc>
        <w:tc>
          <w:tcPr>
            <w:tcW w:w="3828" w:type="dxa"/>
            <w:vAlign w:val="center"/>
          </w:tcPr>
          <w:p>
            <w:pPr>
              <w:snapToGrid w:val="0"/>
              <w:jc w:val="center"/>
              <w:rPr>
                <w:rFonts w:ascii="宋体" w:hAnsi="宋体"/>
                <w:sz w:val="24"/>
                <w:szCs w:val="24"/>
              </w:rPr>
            </w:pPr>
            <w:r>
              <w:rPr>
                <w:rFonts w:hint="eastAsia" w:ascii="宋体" w:hAnsi="宋体"/>
                <w:sz w:val="24"/>
                <w:szCs w:val="24"/>
              </w:rPr>
              <w:t>情形</w:t>
            </w:r>
          </w:p>
        </w:tc>
        <w:tc>
          <w:tcPr>
            <w:tcW w:w="2409" w:type="dxa"/>
            <w:vAlign w:val="center"/>
          </w:tcPr>
          <w:p>
            <w:pPr>
              <w:snapToGrid w:val="0"/>
              <w:jc w:val="center"/>
              <w:rPr>
                <w:rFonts w:ascii="宋体" w:hAnsi="宋体"/>
                <w:sz w:val="24"/>
                <w:szCs w:val="24"/>
              </w:rPr>
            </w:pPr>
            <w:r>
              <w:rPr>
                <w:rFonts w:hint="eastAsia" w:ascii="宋体" w:hAnsi="宋体"/>
                <w:sz w:val="24"/>
                <w:szCs w:val="24"/>
              </w:rPr>
              <w:t>价格扣除比例</w:t>
            </w:r>
          </w:p>
        </w:tc>
        <w:tc>
          <w:tcPr>
            <w:tcW w:w="2643" w:type="dxa"/>
            <w:vAlign w:val="center"/>
          </w:tcPr>
          <w:p>
            <w:pPr>
              <w:snapToGrid w:val="0"/>
              <w:jc w:val="center"/>
              <w:rPr>
                <w:rFonts w:ascii="宋体" w:hAnsi="宋体"/>
                <w:sz w:val="24"/>
                <w:szCs w:val="24"/>
              </w:rPr>
            </w:pPr>
            <w:r>
              <w:rPr>
                <w:rFonts w:hint="eastAsia" w:ascii="宋体" w:hAnsi="宋体"/>
                <w:sz w:val="24"/>
                <w:szCs w:val="24"/>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1</w:t>
            </w:r>
          </w:p>
        </w:tc>
        <w:tc>
          <w:tcPr>
            <w:tcW w:w="3828" w:type="dxa"/>
            <w:vAlign w:val="center"/>
          </w:tcPr>
          <w:p>
            <w:pPr>
              <w:snapToGrid w:val="0"/>
              <w:jc w:val="center"/>
              <w:rPr>
                <w:rFonts w:ascii="宋体" w:hAnsi="宋体"/>
                <w:sz w:val="24"/>
                <w:szCs w:val="24"/>
              </w:rPr>
            </w:pPr>
            <w:r>
              <w:rPr>
                <w:rFonts w:hint="eastAsia" w:ascii="宋体" w:hAnsi="宋体"/>
                <w:sz w:val="24"/>
                <w:szCs w:val="24"/>
              </w:rPr>
              <w:t>非联合体供应商</w:t>
            </w:r>
          </w:p>
          <w:p>
            <w:pPr>
              <w:snapToGrid w:val="0"/>
              <w:jc w:val="center"/>
              <w:rPr>
                <w:rFonts w:ascii="宋体" w:hAnsi="宋体"/>
                <w:sz w:val="24"/>
                <w:szCs w:val="24"/>
              </w:rPr>
            </w:pPr>
            <w:r>
              <w:rPr>
                <w:rFonts w:hint="eastAsia" w:ascii="宋体" w:hAnsi="宋体"/>
                <w:sz w:val="24"/>
                <w:szCs w:val="24"/>
              </w:rPr>
              <w:t>（小型、微型企业）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w:t>
            </w:r>
          </w:p>
        </w:tc>
        <w:tc>
          <w:tcPr>
            <w:tcW w:w="2643" w:type="dxa"/>
            <w:vMerge w:val="restart"/>
            <w:vAlign w:val="center"/>
          </w:tcPr>
          <w:p>
            <w:pPr>
              <w:snapToGrid w:val="0"/>
              <w:jc w:val="center"/>
              <w:rPr>
                <w:rFonts w:ascii="宋体" w:hAnsi="宋体"/>
                <w:sz w:val="24"/>
                <w:szCs w:val="24"/>
              </w:rPr>
            </w:pPr>
            <w:r>
              <w:rPr>
                <w:rFonts w:hint="eastAsia" w:ascii="宋体" w:hAnsi="宋体"/>
                <w:sz w:val="24"/>
                <w:szCs w:val="24"/>
              </w:rPr>
              <w:t>评标价＝投标总报价×（1-6%）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2</w:t>
            </w:r>
          </w:p>
        </w:tc>
        <w:tc>
          <w:tcPr>
            <w:tcW w:w="3828" w:type="dxa"/>
            <w:vAlign w:val="center"/>
          </w:tcPr>
          <w:p>
            <w:pPr>
              <w:snapToGrid w:val="0"/>
              <w:jc w:val="center"/>
              <w:rPr>
                <w:rFonts w:ascii="宋体" w:hAnsi="宋体"/>
                <w:sz w:val="24"/>
                <w:szCs w:val="24"/>
              </w:rPr>
            </w:pPr>
            <w:r>
              <w:rPr>
                <w:rFonts w:hint="eastAsia" w:ascii="宋体" w:hAnsi="宋体"/>
                <w:sz w:val="24"/>
                <w:szCs w:val="24"/>
              </w:rPr>
              <w:t>联合体各方均为小型、微型企业</w:t>
            </w:r>
          </w:p>
        </w:tc>
        <w:tc>
          <w:tcPr>
            <w:tcW w:w="2409" w:type="dxa"/>
            <w:vAlign w:val="center"/>
          </w:tcPr>
          <w:p>
            <w:pPr>
              <w:snapToGrid w:val="0"/>
              <w:jc w:val="center"/>
              <w:rPr>
                <w:rFonts w:ascii="宋体" w:hAnsi="宋体"/>
                <w:sz w:val="24"/>
                <w:szCs w:val="24"/>
              </w:rPr>
            </w:pPr>
            <w:r>
              <w:rPr>
                <w:rFonts w:hint="eastAsia" w:ascii="宋体" w:hAnsi="宋体"/>
                <w:sz w:val="24"/>
                <w:szCs w:val="24"/>
              </w:rPr>
              <w:t>6%（不再享受本表序号3的价格扣除）</w:t>
            </w:r>
          </w:p>
        </w:tc>
        <w:tc>
          <w:tcPr>
            <w:tcW w:w="2643" w:type="dxa"/>
            <w:vMerge w:val="continue"/>
          </w:tcPr>
          <w:p>
            <w:pPr>
              <w:snapToGrid w:val="0"/>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602" w:type="dxa"/>
            <w:vAlign w:val="center"/>
          </w:tcPr>
          <w:p>
            <w:pPr>
              <w:snapToGrid w:val="0"/>
              <w:jc w:val="center"/>
              <w:rPr>
                <w:rFonts w:ascii="宋体" w:hAnsi="宋体"/>
                <w:sz w:val="24"/>
                <w:szCs w:val="24"/>
              </w:rPr>
            </w:pPr>
            <w:r>
              <w:rPr>
                <w:rFonts w:hint="eastAsia" w:ascii="宋体" w:hAnsi="宋体"/>
                <w:sz w:val="24"/>
                <w:szCs w:val="24"/>
              </w:rPr>
              <w:t>3</w:t>
            </w:r>
          </w:p>
        </w:tc>
        <w:tc>
          <w:tcPr>
            <w:tcW w:w="3828" w:type="dxa"/>
            <w:vAlign w:val="center"/>
          </w:tcPr>
          <w:p>
            <w:pPr>
              <w:snapToGrid w:val="0"/>
              <w:jc w:val="center"/>
              <w:rPr>
                <w:rFonts w:ascii="宋体" w:hAnsi="宋体"/>
                <w:sz w:val="24"/>
                <w:szCs w:val="24"/>
              </w:rPr>
            </w:pPr>
            <w:r>
              <w:rPr>
                <w:rFonts w:hint="eastAsia" w:ascii="宋体" w:hAnsi="宋体"/>
                <w:sz w:val="24"/>
                <w:szCs w:val="24"/>
              </w:rPr>
              <w:t>联合体一方为小型、微型企业且小型、微型企业协议合同金额占联合体协议合同总金额30%以上的</w:t>
            </w:r>
          </w:p>
        </w:tc>
        <w:tc>
          <w:tcPr>
            <w:tcW w:w="2409" w:type="dxa"/>
            <w:vAlign w:val="center"/>
          </w:tcPr>
          <w:p>
            <w:pPr>
              <w:snapToGrid w:val="0"/>
              <w:jc w:val="center"/>
              <w:rPr>
                <w:rFonts w:ascii="宋体" w:hAnsi="宋体"/>
                <w:sz w:val="24"/>
                <w:szCs w:val="24"/>
              </w:rPr>
            </w:pPr>
            <w:r>
              <w:rPr>
                <w:rFonts w:hint="eastAsia" w:ascii="宋体" w:hAnsi="宋体"/>
                <w:sz w:val="24"/>
                <w:szCs w:val="24"/>
              </w:rPr>
              <w:t>对联合体总金额扣除2%</w:t>
            </w:r>
          </w:p>
        </w:tc>
        <w:tc>
          <w:tcPr>
            <w:tcW w:w="2643" w:type="dxa"/>
            <w:vAlign w:val="center"/>
          </w:tcPr>
          <w:p>
            <w:pPr>
              <w:snapToGrid w:val="0"/>
              <w:jc w:val="center"/>
              <w:rPr>
                <w:rFonts w:ascii="宋体" w:hAnsi="宋体"/>
                <w:sz w:val="24"/>
                <w:szCs w:val="24"/>
              </w:rPr>
            </w:pPr>
            <w:r>
              <w:rPr>
                <w:rFonts w:hint="eastAsia" w:ascii="宋体" w:hAnsi="宋体"/>
                <w:sz w:val="24"/>
                <w:szCs w:val="24"/>
              </w:rPr>
              <w:t>评标价＝投标总报价×(1-2%)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9482" w:type="dxa"/>
            <w:gridSpan w:val="4"/>
            <w:vAlign w:val="center"/>
          </w:tcPr>
          <w:p>
            <w:pPr>
              <w:snapToGrid w:val="0"/>
              <w:rPr>
                <w:rFonts w:ascii="宋体" w:hAnsi="宋体"/>
                <w:b/>
                <w:sz w:val="21"/>
                <w:szCs w:val="21"/>
              </w:rPr>
            </w:pPr>
            <w:r>
              <w:rPr>
                <w:rFonts w:hint="eastAsia" w:ascii="宋体" w:hAnsi="宋体"/>
                <w:sz w:val="21"/>
                <w:szCs w:val="21"/>
              </w:rPr>
              <w:t>注：</w:t>
            </w:r>
            <w:r>
              <w:rPr>
                <w:rFonts w:hint="eastAsia" w:ascii="宋体" w:hAnsi="宋体"/>
                <w:b/>
                <w:sz w:val="21"/>
                <w:szCs w:val="21"/>
              </w:rPr>
              <w:t>（1）上述评标价仅用于计算价格评分，中标金额以实际投标价为准。</w:t>
            </w:r>
          </w:p>
          <w:p>
            <w:pPr>
              <w:widowControl/>
              <w:ind w:firstLine="316" w:firstLineChars="150"/>
              <w:jc w:val="left"/>
              <w:rPr>
                <w:rFonts w:ascii="宋体" w:hAnsi="宋体"/>
                <w:b/>
                <w:sz w:val="21"/>
                <w:szCs w:val="21"/>
              </w:rPr>
            </w:pPr>
            <w:r>
              <w:rPr>
                <w:rFonts w:hint="eastAsia" w:ascii="宋体" w:hAnsi="宋体"/>
                <w:b/>
                <w:sz w:val="21"/>
                <w:szCs w:val="21"/>
              </w:rPr>
              <w:t>（2）小型、微型企业是指供应商及其所投核心设备的制造商均为小型、微型企业。（如实填写后附《政府采购政策情况表》）</w:t>
            </w:r>
          </w:p>
          <w:p>
            <w:pPr>
              <w:widowControl/>
              <w:ind w:firstLine="316" w:firstLineChars="150"/>
              <w:jc w:val="left"/>
              <w:rPr>
                <w:rFonts w:ascii="宋体" w:hAnsi="宋体"/>
                <w:sz w:val="24"/>
                <w:szCs w:val="24"/>
              </w:rPr>
            </w:pPr>
            <w:r>
              <w:rPr>
                <w:rFonts w:hint="eastAsia" w:ascii="宋体" w:hAnsi="宋体"/>
                <w:b/>
                <w:sz w:val="21"/>
                <w:szCs w:val="21"/>
              </w:rPr>
              <w:t>（3）组成联合体的大中型企业和其他自然人、法人或者其他组织，与小型、微型企业之间不得存在投资关系。</w:t>
            </w:r>
          </w:p>
        </w:tc>
      </w:tr>
    </w:tbl>
    <w:p>
      <w:pPr>
        <w:widowControl/>
        <w:spacing w:line="360" w:lineRule="auto"/>
        <w:ind w:firstLine="480" w:firstLineChars="200"/>
        <w:jc w:val="left"/>
        <w:rPr>
          <w:rFonts w:ascii="宋体" w:hAnsi="宋体"/>
          <w:sz w:val="24"/>
          <w:szCs w:val="24"/>
        </w:rPr>
      </w:pPr>
      <w:r>
        <w:rPr>
          <w:rFonts w:hint="eastAsia" w:ascii="宋体" w:hAnsi="宋体"/>
          <w:sz w:val="24"/>
          <w:szCs w:val="24"/>
        </w:rPr>
        <w:t>2.价格扣除相关要求。</w:t>
      </w:r>
    </w:p>
    <w:p>
      <w:pPr>
        <w:widowControl/>
        <w:spacing w:line="360" w:lineRule="auto"/>
        <w:ind w:firstLine="480" w:firstLineChars="200"/>
        <w:jc w:val="left"/>
        <w:rPr>
          <w:rFonts w:ascii="宋体" w:hAnsi="宋体"/>
          <w:sz w:val="24"/>
          <w:szCs w:val="24"/>
        </w:rPr>
      </w:pPr>
      <w:r>
        <w:rPr>
          <w:rFonts w:hint="eastAsia" w:ascii="宋体" w:hAnsi="宋体"/>
          <w:sz w:val="24"/>
          <w:szCs w:val="24"/>
        </w:rPr>
        <w:t>所称小型和微型企业应当同时符合以下条件：</w:t>
      </w:r>
    </w:p>
    <w:p>
      <w:pPr>
        <w:spacing w:line="360" w:lineRule="auto"/>
        <w:ind w:firstLine="360" w:firstLineChars="150"/>
        <w:rPr>
          <w:rFonts w:ascii="宋体" w:hAnsi="宋体"/>
          <w:sz w:val="24"/>
          <w:szCs w:val="24"/>
        </w:rPr>
      </w:pPr>
      <w:r>
        <w:rPr>
          <w:rFonts w:hint="eastAsia" w:ascii="宋体" w:hAnsi="宋体"/>
          <w:sz w:val="24"/>
          <w:szCs w:val="24"/>
        </w:rPr>
        <w:t>（1）符合中小企业划分标准：是指国务院有关部门根据企业从业人员、营业收入、资产总额等指标制定的中小企业划型标准。（详见《关于印发中小企业划型标准规定的通知》工信部联企业〔2011〕300号）</w:t>
      </w:r>
    </w:p>
    <w:p>
      <w:pPr>
        <w:widowControl/>
        <w:spacing w:line="360" w:lineRule="auto"/>
        <w:ind w:firstLine="480" w:firstLineChars="200"/>
        <w:jc w:val="left"/>
        <w:rPr>
          <w:rFonts w:ascii="宋体" w:hAnsi="宋体"/>
          <w:sz w:val="24"/>
          <w:szCs w:val="24"/>
        </w:rPr>
      </w:pPr>
      <w:r>
        <w:rPr>
          <w:rFonts w:hint="eastAsia" w:ascii="宋体" w:hAnsi="宋体"/>
          <w:sz w:val="24"/>
          <w:szCs w:val="24"/>
        </w:rPr>
        <w:t>提供本企业制造的货物、承担的工程或者服务，或者提供其他中小企业制造的货物。</w:t>
      </w:r>
      <w:bookmarkStart w:id="21" w:name="OLE_LINK9"/>
      <w:bookmarkStart w:id="22" w:name="OLE_LINK1"/>
      <w:r>
        <w:rPr>
          <w:rFonts w:hint="eastAsia" w:ascii="宋体" w:hAnsi="宋体"/>
          <w:sz w:val="24"/>
          <w:szCs w:val="24"/>
        </w:rPr>
        <w:t>本项所称货物不包括使用大型企业注册商标的货物。</w:t>
      </w:r>
      <w:bookmarkEnd w:id="21"/>
      <w:bookmarkEnd w:id="22"/>
      <w:r>
        <w:rPr>
          <w:rFonts w:hint="eastAsia" w:ascii="宋体" w:hAnsi="宋体"/>
          <w:sz w:val="24"/>
          <w:szCs w:val="24"/>
        </w:rPr>
        <w:t>小型、微型企业提供中型企业制造的货物的，视同为中型企业。</w:t>
      </w:r>
    </w:p>
    <w:p>
      <w:pPr>
        <w:widowControl/>
        <w:spacing w:line="360" w:lineRule="auto"/>
        <w:ind w:firstLine="480" w:firstLineChars="200"/>
        <w:jc w:val="left"/>
        <w:rPr>
          <w:rFonts w:ascii="宋体" w:hAnsi="宋体"/>
          <w:sz w:val="24"/>
          <w:szCs w:val="24"/>
        </w:rPr>
      </w:pPr>
      <w:r>
        <w:rPr>
          <w:rFonts w:hint="eastAsia" w:ascii="宋体" w:hAnsi="宋体"/>
          <w:sz w:val="24"/>
          <w:szCs w:val="24"/>
        </w:rPr>
        <w:t>（2）小微企业以供应商填写的《中小企业声明函》为判定标准；监狱企业须供应商提供由监狱管理局、戒毒管理局（含新疆生产建设兵团）出具的属于监狱企业的证明文件为判定标准；残疾人福利性单位以供应商填写的</w:t>
      </w:r>
      <w:bookmarkStart w:id="23" w:name="OLE_LINK14"/>
      <w:bookmarkStart w:id="24" w:name="OLE_LINK13"/>
      <w:r>
        <w:rPr>
          <w:rFonts w:hint="eastAsia" w:ascii="宋体" w:hAnsi="宋体"/>
          <w:sz w:val="24"/>
          <w:szCs w:val="24"/>
        </w:rPr>
        <w:t>《残疾人福利性单位声明函》</w:t>
      </w:r>
      <w:bookmarkEnd w:id="23"/>
      <w:bookmarkEnd w:id="24"/>
      <w:r>
        <w:rPr>
          <w:rFonts w:hint="eastAsia" w:ascii="宋体" w:hAnsi="宋体"/>
          <w:sz w:val="24"/>
          <w:szCs w:val="24"/>
        </w:rPr>
        <w:t>为判定标准，否则不认定价格扣除。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（3）提供供应商的《中小企业声明函》、《残疾人福利性单位声明函》（格式后附，不可修改），未提供、未盖章的不予价格扣除。</w:t>
      </w:r>
    </w:p>
    <w:p>
      <w:pPr>
        <w:widowControl/>
        <w:spacing w:line="360" w:lineRule="auto"/>
        <w:ind w:firstLine="360" w:firstLineChars="150"/>
        <w:jc w:val="left"/>
        <w:rPr>
          <w:rFonts w:ascii="宋体" w:hAnsi="宋体"/>
          <w:sz w:val="24"/>
          <w:szCs w:val="24"/>
        </w:rPr>
      </w:pPr>
      <w:r>
        <w:rPr>
          <w:rFonts w:hint="eastAsia" w:ascii="宋体" w:hAnsi="宋体"/>
          <w:sz w:val="24"/>
          <w:szCs w:val="24"/>
        </w:rPr>
        <w:t>（4）供应商通过“国家企业信用信息公示系统”（</w:t>
      </w:r>
      <w:r>
        <w:rPr>
          <w:rFonts w:ascii="宋体" w:hAnsi="宋体"/>
          <w:sz w:val="24"/>
          <w:szCs w:val="24"/>
        </w:rPr>
        <w:t>http://www.gsxt.gov.cn/index.html</w:t>
      </w:r>
      <w:r>
        <w:rPr>
          <w:rFonts w:hint="eastAsia" w:ascii="宋体" w:hAnsi="宋体"/>
          <w:sz w:val="24"/>
          <w:szCs w:val="24"/>
        </w:rPr>
        <w:t>），点击“小微企业名录”（</w:t>
      </w:r>
      <w:r>
        <w:rPr>
          <w:rFonts w:ascii="宋体" w:hAnsi="宋体"/>
          <w:sz w:val="24"/>
          <w:szCs w:val="24"/>
        </w:rPr>
        <w:t>http://xwqy.gsxt.gov.cn/</w:t>
      </w:r>
      <w:r>
        <w:rPr>
          <w:rFonts w:hint="eastAsia" w:ascii="宋体" w:hAnsi="宋体"/>
          <w:sz w:val="24"/>
          <w:szCs w:val="24"/>
        </w:rPr>
        <w:t>）进行搜索截图，截图时间应当在本项目招标公告发布之日至提交响应文件截止时间，通过截图说明供应商、核心设备制造商是否列入小微企业库，对未列入小微企业库的供应商、核心设备制造商不予价格扣除、对响应文件中未提供截图的不予价格扣除。评标委员会在评审时通过查询对供应商提供截图内容进行甄别，对查询内容与供应商提供内容不符的不予价格扣除。</w:t>
      </w:r>
    </w:p>
    <w:p>
      <w:pPr>
        <w:spacing w:line="360" w:lineRule="auto"/>
        <w:ind w:firstLine="360" w:firstLineChars="150"/>
        <w:rPr>
          <w:rFonts w:ascii="宋体" w:hAnsi="宋体"/>
          <w:sz w:val="24"/>
          <w:szCs w:val="24"/>
        </w:rPr>
      </w:pPr>
      <w:r>
        <w:rPr>
          <w:rFonts w:hint="eastAsia" w:ascii="宋体" w:hAnsi="宋体"/>
          <w:sz w:val="24"/>
          <w:szCs w:val="24"/>
        </w:rPr>
        <w:t>（5）提供声明函不实或在政府采购活动中有违法违规行为的，取消其中标资格，并严格按照相关法律法规处理。</w:t>
      </w: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p>
    <w:p>
      <w:pPr>
        <w:spacing w:line="360" w:lineRule="auto"/>
        <w:ind w:firstLine="360" w:firstLineChars="150"/>
        <w:rPr>
          <w:rFonts w:ascii="宋体" w:hAnsi="宋体"/>
          <w:sz w:val="24"/>
          <w:szCs w:val="24"/>
        </w:rPr>
      </w:pPr>
    </w:p>
    <w:p>
      <w:pPr>
        <w:spacing w:line="360" w:lineRule="auto"/>
        <w:rPr>
          <w:rFonts w:ascii="宋体" w:hAnsi="宋体"/>
          <w:b/>
          <w:sz w:val="24"/>
          <w:szCs w:val="24"/>
        </w:rPr>
      </w:pPr>
      <w:r>
        <w:rPr>
          <w:rFonts w:hint="eastAsia" w:ascii="宋体" w:hAnsi="宋体"/>
          <w:b/>
          <w:sz w:val="24"/>
          <w:szCs w:val="24"/>
        </w:rPr>
        <w:t>四．评审表：</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jc w:val="center"/>
        </w:trPr>
        <w:tc>
          <w:tcPr>
            <w:tcW w:w="457" w:type="dxa"/>
            <w:vMerge w:val="restart"/>
            <w:tcBorders>
              <w:left w:val="single" w:color="auto" w:sz="4" w:space="0"/>
              <w:right w:val="single" w:color="auto" w:sz="4" w:space="0"/>
            </w:tcBorders>
            <w:vAlign w:val="center"/>
          </w:tcPr>
          <w:p>
            <w:pPr>
              <w:jc w:val="left"/>
              <w:rPr>
                <w:rFonts w:ascii="宋体" w:hAnsi="宋体"/>
                <w:sz w:val="21"/>
                <w:szCs w:val="21"/>
              </w:rPr>
            </w:pPr>
            <w:r>
              <w:rPr>
                <w:rFonts w:hint="eastAsia" w:ascii="宋体" w:hAnsi="宋体"/>
                <w:sz w:val="21"/>
                <w:szCs w:val="21"/>
              </w:rPr>
              <w:t>资格性审查</w:t>
            </w:r>
          </w:p>
          <w:p>
            <w:pPr>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1.供应商是法人的审查会计师事务所出具的近一年度财务审计报告或基本开户银行近一年内出具的资信证明。</w:t>
            </w:r>
          </w:p>
          <w:p>
            <w:pPr>
              <w:jc w:val="left"/>
              <w:rPr>
                <w:rFonts w:ascii="宋体" w:hAnsi="宋体"/>
                <w:sz w:val="24"/>
                <w:szCs w:val="24"/>
              </w:rPr>
            </w:pPr>
            <w:r>
              <w:rPr>
                <w:rFonts w:hint="eastAsia" w:ascii="宋体" w:hAnsi="宋体"/>
                <w:sz w:val="24"/>
                <w:szCs w:val="24"/>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4"/>
                <w:szCs w:val="24"/>
              </w:rPr>
            </w:pPr>
            <w:r>
              <w:rPr>
                <w:rFonts w:hint="eastAsia" w:ascii="宋体" w:hAnsi="宋体" w:cs="宋体"/>
                <w:sz w:val="24"/>
                <w:szCs w:val="24"/>
              </w:rPr>
              <w:t>1.提供递交响应文件截止之日前6个月内（至少一个月）的良好缴纳税收的相关凭据。（以税务机关提供的纳税凭据或银行入账单为准）</w:t>
            </w:r>
          </w:p>
          <w:p>
            <w:pPr>
              <w:jc w:val="left"/>
              <w:rPr>
                <w:rFonts w:ascii="宋体" w:hAnsi="宋体" w:cs="宋体"/>
                <w:sz w:val="24"/>
                <w:szCs w:val="24"/>
              </w:rPr>
            </w:pPr>
            <w:r>
              <w:rPr>
                <w:rFonts w:hint="eastAsia" w:ascii="宋体" w:hAnsi="宋体" w:cs="宋体"/>
                <w:sz w:val="24"/>
                <w:szCs w:val="24"/>
              </w:rPr>
              <w:t>2.提供递交响应文件截止之日前6个月内（至少一个月）缴纳社会保险的凭证。（以社保机构出具的专用收据或社会保险缴纳清单为准）</w:t>
            </w:r>
          </w:p>
          <w:p>
            <w:pPr>
              <w:jc w:val="left"/>
              <w:rPr>
                <w:rFonts w:ascii="宋体" w:hAnsi="宋体"/>
                <w:sz w:val="24"/>
                <w:szCs w:val="24"/>
              </w:rPr>
            </w:pPr>
            <w:r>
              <w:rPr>
                <w:rFonts w:hint="eastAsia" w:ascii="宋体" w:hAnsi="宋体" w:cs="宋体"/>
                <w:sz w:val="24"/>
                <w:szCs w:val="24"/>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1.审查“参加本采购活动前3年内”供应商书面声明函；</w:t>
            </w:r>
          </w:p>
          <w:p>
            <w:pPr>
              <w:jc w:val="left"/>
              <w:rPr>
                <w:rFonts w:ascii="宋体" w:hAnsi="宋体"/>
                <w:sz w:val="24"/>
                <w:szCs w:val="24"/>
              </w:rPr>
            </w:pPr>
            <w:r>
              <w:rPr>
                <w:rFonts w:hint="eastAsia" w:ascii="宋体" w:hAnsi="宋体"/>
                <w:sz w:val="24"/>
                <w:szCs w:val="24"/>
              </w:rPr>
              <w:t>2.到提交响应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其他资质要求</w:t>
            </w:r>
          </w:p>
        </w:tc>
        <w:tc>
          <w:tcPr>
            <w:tcW w:w="6258" w:type="dxa"/>
            <w:tcBorders>
              <w:top w:val="single" w:color="auto" w:sz="4" w:space="0"/>
              <w:left w:val="single" w:color="auto" w:sz="4" w:space="0"/>
              <w:bottom w:val="single" w:color="auto" w:sz="4" w:space="0"/>
              <w:right w:val="single" w:color="auto" w:sz="4" w:space="0"/>
            </w:tcBorders>
            <w:vAlign w:val="center"/>
          </w:tcPr>
          <w:p>
            <w:pPr>
              <w:spacing w:line="240" w:lineRule="atLeast"/>
              <w:jc w:val="left"/>
              <w:rPr>
                <w:rFonts w:ascii="宋体" w:hAnsi="宋体"/>
                <w:b/>
                <w:bCs/>
                <w:sz w:val="24"/>
                <w:szCs w:val="24"/>
              </w:rPr>
            </w:pPr>
            <w:r>
              <w:rPr>
                <w:rFonts w:hint="eastAsia" w:ascii="宋体" w:hAnsi="宋体"/>
                <w:sz w:val="24"/>
                <w:szCs w:val="24"/>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sz w:val="21"/>
                <w:szCs w:val="21"/>
              </w:rPr>
            </w:pPr>
            <w:r>
              <w:rPr>
                <w:rFonts w:hint="eastAsia" w:ascii="宋体" w:hAnsi="宋体"/>
                <w:sz w:val="21"/>
                <w:szCs w:val="21"/>
              </w:rPr>
              <w:t>符合性审查</w:t>
            </w:r>
          </w:p>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报名及保证金缴纳情况</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按要求进行网上报名、进行保证金缴纳。（审查汇款凭证）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9"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符合谈判文件要求。（格式、填写要求、签署、盖章等）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响应文件规范性、符合性</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响应文件的编制、密封、装订、签署、盖章、涂改、删除、插字、公章使用等符合谈判文件要求；响应文件的格式、文字、目录、页码等符合谈判文件要求或对投标无实质性影响。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投标有效期</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主要商务条款</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满足谈判文件关于服务时间、付款方式要求。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联合体投标</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本项目不接受联合体投标。（如要求联合体投标，符合本谈判文件对联合体投标的相关要求）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4"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服务需求内容</w:t>
            </w:r>
          </w:p>
        </w:tc>
        <w:tc>
          <w:tcPr>
            <w:tcW w:w="6258" w:type="dxa"/>
            <w:tcBorders>
              <w:top w:val="single" w:color="auto" w:sz="4" w:space="0"/>
              <w:left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服务内容明确（逐一对应）并实质性满足谈判文件要求。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sz w:val="24"/>
                <w:szCs w:val="24"/>
              </w:rPr>
            </w:pPr>
            <w:r>
              <w:rPr>
                <w:rFonts w:hint="eastAsia" w:ascii="宋体" w:hAnsi="宋体"/>
                <w:sz w:val="24"/>
                <w:szCs w:val="24"/>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457" w:type="dxa"/>
            <w:vMerge w:val="continue"/>
            <w:tcBorders>
              <w:left w:val="single" w:color="auto" w:sz="4" w:space="0"/>
              <w:right w:val="single" w:color="auto" w:sz="4" w:space="0"/>
            </w:tcBorders>
            <w:vAlign w:val="center"/>
          </w:tcPr>
          <w:p>
            <w:pPr>
              <w:rPr>
                <w:rFonts w:ascii="宋体" w:hAnsi="宋体"/>
                <w:sz w:val="21"/>
                <w:szCs w:val="21"/>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sz w:val="24"/>
                <w:szCs w:val="24"/>
              </w:rPr>
            </w:pPr>
            <w:r>
              <w:rPr>
                <w:rFonts w:hint="eastAsia" w:ascii="宋体" w:hAnsi="宋体"/>
                <w:sz w:val="24"/>
                <w:szCs w:val="24"/>
              </w:rPr>
              <w:t>招标文件要求的其他无效投标情形；围标、串标和法律法规规定的其它无效投标条款。</w:t>
            </w:r>
          </w:p>
        </w:tc>
      </w:tr>
    </w:tbl>
    <w:p>
      <w:pPr>
        <w:spacing w:line="360" w:lineRule="auto"/>
        <w:rPr>
          <w:rFonts w:ascii="宋体" w:hAnsi="宋体"/>
          <w:b/>
          <w:sz w:val="24"/>
          <w:szCs w:val="24"/>
        </w:rPr>
      </w:pPr>
    </w:p>
    <w:p>
      <w:pPr>
        <w:widowControl/>
        <w:jc w:val="left"/>
        <w:rPr>
          <w:rFonts w:ascii="宋体" w:hAnsi="宋体"/>
          <w:b/>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sz w:val="24"/>
          <w:szCs w:val="24"/>
        </w:rPr>
      </w:pPr>
      <w:bookmarkStart w:id="25" w:name="_Toc497726584"/>
      <w:r>
        <w:rPr>
          <w:rFonts w:hint="eastAsia" w:ascii="宋体" w:hAnsi="宋体"/>
          <w:sz w:val="24"/>
          <w:szCs w:val="24"/>
        </w:rPr>
        <w:t>第七章 响应文件格式与要求</w:t>
      </w:r>
      <w:bookmarkEnd w:id="15"/>
      <w:bookmarkEnd w:id="25"/>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供应商提供响应文件应当按照以下格式及要求进行编制，且应不少于以下内容。</w:t>
      </w:r>
    </w:p>
    <w:p>
      <w:pPr>
        <w:spacing w:line="360" w:lineRule="auto"/>
        <w:rPr>
          <w:rFonts w:ascii="宋体" w:hAnsi="宋体"/>
          <w:bCs/>
          <w:kern w:val="0"/>
          <w:sz w:val="24"/>
          <w:szCs w:val="24"/>
          <w:lang w:val="zh-CN"/>
        </w:rPr>
      </w:pPr>
      <w:r>
        <w:rPr>
          <w:rFonts w:ascii="宋体" w:hAnsi="宋体"/>
          <w:bCs/>
          <w:kern w:val="0"/>
          <w:sz w:val="24"/>
          <w:szCs w:val="24"/>
          <w:lang w:val="zh-CN"/>
        </w:rPr>
        <w:br w:type="page"/>
      </w:r>
    </w:p>
    <w:p>
      <w:pPr>
        <w:spacing w:line="360" w:lineRule="auto"/>
        <w:jc w:val="left"/>
        <w:rPr>
          <w:rFonts w:ascii="宋体" w:hAnsi="宋体"/>
          <w:b/>
          <w:sz w:val="24"/>
          <w:szCs w:val="24"/>
        </w:rPr>
      </w:pPr>
      <w:r>
        <w:rPr>
          <w:rFonts w:hint="eastAsia" w:ascii="宋体" w:hAnsi="宋体"/>
          <w:b/>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1566" w:firstLineChars="300"/>
        <w:rPr>
          <w:rFonts w:ascii="宋体" w:hAnsi="宋体"/>
          <w:b/>
          <w:bCs/>
          <w:kern w:val="0"/>
          <w:sz w:val="52"/>
          <w:szCs w:val="52"/>
        </w:rPr>
      </w:pPr>
      <w:r>
        <w:rPr>
          <w:rFonts w:hint="eastAsia" w:ascii="宋体" w:hAnsi="宋体" w:cs="宋体"/>
          <w:b/>
          <w:bCs/>
          <w:kern w:val="0"/>
          <w:sz w:val="52"/>
          <w:szCs w:val="52"/>
        </w:rPr>
        <w:t>---------------------项目</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6" w:name="_Toc482026546"/>
    </w:p>
    <w:bookmarkEnd w:id="26"/>
    <w:p>
      <w:pPr>
        <w:spacing w:line="360" w:lineRule="auto"/>
        <w:rPr>
          <w:rFonts w:ascii="宋体" w:hAnsi="宋体" w:cs="宋体"/>
          <w:sz w:val="24"/>
          <w:szCs w:val="24"/>
        </w:rPr>
      </w:pPr>
      <w:bookmarkStart w:id="27" w:name="_Toc482196940"/>
      <w:r>
        <w:rPr>
          <w:rFonts w:ascii="宋体" w:hAnsi="宋体" w:cs="宋体"/>
          <w:sz w:val="24"/>
          <w:szCs w:val="24"/>
        </w:rPr>
        <w:br w:type="page"/>
      </w:r>
    </w:p>
    <w:bookmarkEnd w:id="27"/>
    <w:p>
      <w:pPr>
        <w:spacing w:line="360" w:lineRule="auto"/>
        <w:jc w:val="left"/>
        <w:rPr>
          <w:rFonts w:ascii="宋体" w:hAnsi="宋体"/>
          <w:b/>
          <w:sz w:val="24"/>
          <w:szCs w:val="24"/>
        </w:rPr>
      </w:pPr>
      <w:r>
        <w:rPr>
          <w:rFonts w:hint="eastAsia" w:ascii="宋体" w:hAnsi="宋体"/>
          <w:b/>
          <w:sz w:val="24"/>
          <w:szCs w:val="24"/>
        </w:rPr>
        <w:t xml:space="preserve">格式二：                 </w:t>
      </w:r>
    </w:p>
    <w:p>
      <w:pPr>
        <w:spacing w:line="360" w:lineRule="auto"/>
        <w:jc w:val="center"/>
        <w:rPr>
          <w:rFonts w:ascii="宋体" w:hAnsi="宋体"/>
          <w:sz w:val="24"/>
          <w:szCs w:val="24"/>
        </w:rPr>
      </w:pPr>
      <w:r>
        <w:rPr>
          <w:rFonts w:hint="eastAsia" w:ascii="宋体" w:hAnsi="宋体"/>
          <w:sz w:val="24"/>
          <w:szCs w:val="24"/>
        </w:rPr>
        <w:t>响应文件目录</w:t>
      </w:r>
    </w:p>
    <w:p>
      <w:pPr>
        <w:spacing w:line="360" w:lineRule="auto"/>
        <w:rPr>
          <w:rFonts w:ascii="宋体" w:hAnsi="宋体"/>
          <w:sz w:val="24"/>
          <w:szCs w:val="24"/>
        </w:rPr>
      </w:pPr>
      <w:r>
        <w:rPr>
          <w:rFonts w:hint="eastAsia" w:ascii="宋体" w:hAnsi="宋体"/>
          <w:sz w:val="24"/>
          <w:szCs w:val="24"/>
        </w:rPr>
        <w:t>一. 投标承诺书………………………………………………………</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 开标一览表……………………………………………………</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三. 法定代表人身份证明……………………………………………………</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四.</w:t>
      </w:r>
      <w:r>
        <w:rPr>
          <w:rFonts w:asciiTheme="minorEastAsia" w:hAnsiTheme="minorEastAsia" w:eastAsiaTheme="minorEastAsia"/>
          <w:sz w:val="24"/>
          <w:szCs w:val="24"/>
        </w:rPr>
        <w:t>授权委托人身份证明</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Theme="minorEastAsia" w:hAnsiTheme="minorEastAsia" w:eastAsiaTheme="minorEastAsia"/>
          <w:sz w:val="24"/>
          <w:szCs w:val="24"/>
        </w:rPr>
      </w:pPr>
      <w:r>
        <w:rPr>
          <w:rFonts w:hint="eastAsia" w:ascii="宋体" w:hAnsi="宋体"/>
          <w:sz w:val="24"/>
          <w:szCs w:val="24"/>
        </w:rPr>
        <w:t>五.</w:t>
      </w:r>
      <w:r>
        <w:rPr>
          <w:rFonts w:asciiTheme="minorEastAsia" w:hAnsiTheme="minorEastAsia" w:eastAsiaTheme="minorEastAsia"/>
          <w:sz w:val="24"/>
          <w:szCs w:val="24"/>
        </w:rPr>
        <w:t>授权委托书</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Theme="minorEastAsia" w:hAnsiTheme="minorEastAsia" w:eastAsiaTheme="minorEastAsia"/>
          <w:bCs/>
          <w:sz w:val="24"/>
          <w:szCs w:val="24"/>
        </w:rPr>
      </w:pPr>
      <w:r>
        <w:rPr>
          <w:rFonts w:hint="eastAsia" w:ascii="宋体" w:hAnsi="宋体"/>
          <w:sz w:val="24"/>
          <w:szCs w:val="24"/>
        </w:rPr>
        <w:t>六.</w:t>
      </w:r>
      <w:r>
        <w:rPr>
          <w:rFonts w:asciiTheme="minorEastAsia" w:hAnsiTheme="minorEastAsia" w:eastAsiaTheme="minorEastAsia"/>
          <w:bCs/>
          <w:sz w:val="24"/>
          <w:szCs w:val="24"/>
        </w:rPr>
        <w:t>投标保证金</w:t>
      </w:r>
      <w:r>
        <w:rPr>
          <w:rFonts w:hint="eastAsia" w:ascii="宋体" w:hAnsi="宋体"/>
          <w:sz w:val="24"/>
          <w:szCs w:val="24"/>
        </w:rPr>
        <w:t>……………………………………………………</w:t>
      </w:r>
      <w:r>
        <w:rPr>
          <w:rFonts w:ascii="宋体" w:hAnsi="宋体"/>
          <w:sz w:val="24"/>
          <w:szCs w:val="24"/>
        </w:rPr>
        <w:t>…………</w:t>
      </w:r>
      <w:r>
        <w:rPr>
          <w:rFonts w:hint="eastAsia" w:ascii="宋体" w:hAnsi="宋体"/>
          <w:sz w:val="24"/>
          <w:szCs w:val="24"/>
        </w:rPr>
        <w:t>…   （ ）</w:t>
      </w:r>
    </w:p>
    <w:p>
      <w:pPr>
        <w:spacing w:line="360" w:lineRule="auto"/>
        <w:rPr>
          <w:rFonts w:ascii="宋体" w:hAnsi="宋体"/>
          <w:sz w:val="24"/>
          <w:szCs w:val="24"/>
        </w:rPr>
      </w:pPr>
      <w:r>
        <w:rPr>
          <w:rFonts w:hint="eastAsia" w:ascii="宋体" w:hAnsi="宋体"/>
          <w:sz w:val="24"/>
          <w:szCs w:val="24"/>
        </w:rPr>
        <w:t>七.</w:t>
      </w:r>
      <w:r>
        <w:rPr>
          <w:rFonts w:asciiTheme="minorEastAsia" w:hAnsiTheme="minorEastAsia" w:eastAsiaTheme="minorEastAsia"/>
          <w:bCs/>
          <w:sz w:val="24"/>
          <w:szCs w:val="24"/>
        </w:rPr>
        <w:t>联合体协议书</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八．本项目服务人员简表……………………………………………………    （ ）</w:t>
      </w:r>
    </w:p>
    <w:p>
      <w:pPr>
        <w:spacing w:line="360" w:lineRule="auto"/>
        <w:rPr>
          <w:rFonts w:ascii="宋体" w:hAnsi="宋体"/>
          <w:sz w:val="24"/>
          <w:szCs w:val="24"/>
        </w:rPr>
      </w:pPr>
      <w:r>
        <w:rPr>
          <w:rFonts w:hint="eastAsia" w:ascii="宋体" w:hAnsi="宋体"/>
          <w:sz w:val="24"/>
          <w:szCs w:val="24"/>
        </w:rPr>
        <w:t>九.分项报价明细表</w:t>
      </w:r>
      <w:r>
        <w:rPr>
          <w:rFonts w:ascii="宋体" w:hAnsi="宋体"/>
          <w:sz w:val="24"/>
          <w:szCs w:val="24"/>
        </w:rPr>
        <w:t>………………</w:t>
      </w:r>
      <w:r>
        <w:rPr>
          <w:rFonts w:hint="eastAsia" w:ascii="宋体" w:hAnsi="宋体"/>
          <w:sz w:val="24"/>
          <w:szCs w:val="24"/>
        </w:rPr>
        <w:t>……………………………………</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十.服务需求响应表………………………………………………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十一.项目服务方案………………………………………………</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十二.商务规格响应表…………………………………………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十三.供应商业绩情况表…………………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十四.供应商基本情况表……………………………………………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 xml:space="preserve">十五.上一年度财务会计制度… </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十六.依法缴纳税收的凭据 ……………………………………………………  （ ）</w:t>
      </w:r>
    </w:p>
    <w:p>
      <w:pPr>
        <w:autoSpaceDE w:val="0"/>
        <w:autoSpaceDN w:val="0"/>
        <w:spacing w:line="360" w:lineRule="auto"/>
        <w:rPr>
          <w:rFonts w:ascii="宋体" w:hAnsi="宋体"/>
          <w:sz w:val="24"/>
          <w:szCs w:val="24"/>
        </w:rPr>
      </w:pPr>
      <w:r>
        <w:rPr>
          <w:rFonts w:hint="eastAsia" w:ascii="宋体" w:hAnsi="宋体"/>
          <w:sz w:val="24"/>
          <w:szCs w:val="24"/>
        </w:rPr>
        <w:t>十七.依法缴纳社会保险的凭据………………………………………………… （ ）</w:t>
      </w:r>
    </w:p>
    <w:p>
      <w:pPr>
        <w:autoSpaceDE w:val="0"/>
        <w:autoSpaceDN w:val="0"/>
        <w:spacing w:line="360" w:lineRule="auto"/>
        <w:jc w:val="left"/>
        <w:rPr>
          <w:rFonts w:ascii="宋体" w:hAnsi="宋体"/>
          <w:sz w:val="24"/>
          <w:szCs w:val="24"/>
        </w:rPr>
      </w:pPr>
      <w:r>
        <w:rPr>
          <w:rFonts w:hint="eastAsia" w:ascii="宋体" w:hAnsi="宋体"/>
          <w:sz w:val="24"/>
          <w:szCs w:val="24"/>
        </w:rPr>
        <w:t>十八.参加政府采购前三年内在经营活动中无重大违法记录书面声明</w:t>
      </w:r>
      <w:r>
        <w:rPr>
          <w:rFonts w:ascii="宋体" w:hAnsi="宋体"/>
          <w:sz w:val="24"/>
          <w:szCs w:val="24"/>
        </w:rPr>
        <w:t>……</w:t>
      </w:r>
      <w:r>
        <w:rPr>
          <w:rFonts w:hint="eastAsia" w:ascii="宋体" w:hAnsi="宋体"/>
          <w:sz w:val="24"/>
          <w:szCs w:val="24"/>
        </w:rPr>
        <w:t xml:space="preserve">   （ ）</w:t>
      </w:r>
    </w:p>
    <w:p>
      <w:pPr>
        <w:autoSpaceDE w:val="0"/>
        <w:autoSpaceDN w:val="0"/>
        <w:spacing w:line="360" w:lineRule="auto"/>
        <w:rPr>
          <w:rFonts w:ascii="宋体" w:hAnsi="宋体"/>
          <w:sz w:val="24"/>
          <w:szCs w:val="24"/>
        </w:rPr>
      </w:pPr>
      <w:r>
        <w:rPr>
          <w:rFonts w:hint="eastAsia" w:ascii="宋体" w:hAnsi="宋体"/>
          <w:sz w:val="24"/>
          <w:szCs w:val="24"/>
        </w:rPr>
        <w:t>十九.政府采购政策情况表</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二十.中小企业声明函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二十一.残疾人福利性单位声明函</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sz w:val="24"/>
          <w:szCs w:val="24"/>
        </w:rPr>
      </w:pPr>
      <w:r>
        <w:rPr>
          <w:rFonts w:hint="eastAsia" w:ascii="宋体" w:hAnsi="宋体"/>
          <w:sz w:val="24"/>
          <w:szCs w:val="24"/>
        </w:rPr>
        <w:t>二十二.各类证明材料…………………………………………………</w:t>
      </w:r>
      <w:r>
        <w:rPr>
          <w:rFonts w:ascii="宋体" w:hAnsi="宋体"/>
          <w:sz w:val="24"/>
          <w:szCs w:val="24"/>
        </w:rPr>
        <w:t>…………</w:t>
      </w:r>
      <w:r>
        <w:rPr>
          <w:rFonts w:hint="eastAsia" w:ascii="宋体" w:hAnsi="宋体"/>
          <w:sz w:val="24"/>
          <w:szCs w:val="24"/>
        </w:rPr>
        <w:t xml:space="preserve"> （ ）</w:t>
      </w:r>
    </w:p>
    <w:p>
      <w:pPr>
        <w:spacing w:line="360" w:lineRule="auto"/>
        <w:rPr>
          <w:rFonts w:ascii="宋体" w:hAnsi="宋体"/>
          <w:b/>
          <w:sz w:val="24"/>
          <w:szCs w:val="24"/>
        </w:rPr>
      </w:pPr>
      <w:bookmarkStart w:id="28" w:name="_Toc482026547"/>
      <w:r>
        <w:rPr>
          <w:rFonts w:ascii="宋体" w:hAnsi="宋体"/>
          <w:b/>
          <w:sz w:val="24"/>
          <w:szCs w:val="24"/>
        </w:rPr>
        <w:br w:type="page"/>
      </w:r>
    </w:p>
    <w:p>
      <w:pPr>
        <w:spacing w:line="360" w:lineRule="auto"/>
        <w:jc w:val="left"/>
        <w:rPr>
          <w:rFonts w:ascii="宋体" w:hAnsi="宋体"/>
          <w:b/>
          <w:sz w:val="24"/>
          <w:szCs w:val="24"/>
        </w:rPr>
      </w:pPr>
      <w:r>
        <w:rPr>
          <w:rFonts w:hint="eastAsia" w:ascii="宋体" w:hAnsi="宋体"/>
          <w:b/>
          <w:sz w:val="24"/>
          <w:szCs w:val="24"/>
        </w:rPr>
        <w:t>格式三：</w:t>
      </w:r>
      <w:bookmarkEnd w:id="28"/>
      <w:r>
        <w:rPr>
          <w:rFonts w:hint="eastAsia" w:ascii="宋体" w:hAnsi="宋体"/>
          <w:b/>
          <w:sz w:val="24"/>
          <w:szCs w:val="24"/>
        </w:rPr>
        <w:t xml:space="preserve">  </w:t>
      </w:r>
    </w:p>
    <w:p>
      <w:pPr>
        <w:spacing w:line="360" w:lineRule="auto"/>
        <w:jc w:val="center"/>
        <w:rPr>
          <w:rFonts w:ascii="宋体" w:hAnsi="宋体"/>
          <w:bCs/>
          <w:sz w:val="24"/>
          <w:szCs w:val="24"/>
        </w:rPr>
      </w:pPr>
      <w:r>
        <w:rPr>
          <w:rFonts w:hint="eastAsia" w:ascii="宋体" w:hAnsi="宋体"/>
          <w:bCs/>
          <w:sz w:val="24"/>
          <w:szCs w:val="24"/>
        </w:rPr>
        <w:t>投标承诺书</w:t>
      </w:r>
    </w:p>
    <w:p>
      <w:pPr>
        <w:spacing w:line="360" w:lineRule="auto"/>
        <w:rPr>
          <w:rFonts w:ascii="宋体" w:hAnsi="宋体"/>
          <w:sz w:val="24"/>
          <w:szCs w:val="24"/>
        </w:rPr>
      </w:pPr>
      <w:r>
        <w:rPr>
          <w:rFonts w:hint="eastAsia" w:ascii="宋体" w:hAnsi="宋体"/>
          <w:sz w:val="24"/>
          <w:szCs w:val="24"/>
        </w:rPr>
        <w:t xml:space="preserve">鄂尔多斯市杭锦旗公共资源交易中心：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）谈判文件要求，经我方</w:t>
      </w:r>
      <w:r>
        <w:rPr>
          <w:rFonts w:hint="eastAsia" w:ascii="宋体" w:hAnsi="宋体"/>
          <w:sz w:val="24"/>
          <w:szCs w:val="24"/>
          <w:u w:val="single"/>
        </w:rPr>
        <w:t xml:space="preserve">  （供应商名称）  </w:t>
      </w:r>
      <w:r>
        <w:rPr>
          <w:rFonts w:hint="eastAsia" w:ascii="宋体" w:hAnsi="宋体"/>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kern w:val="0"/>
          <w:sz w:val="24"/>
          <w:szCs w:val="24"/>
        </w:rPr>
      </w:pPr>
      <w:r>
        <w:rPr>
          <w:rFonts w:hint="eastAsia" w:ascii="宋体" w:hAnsi="宋体"/>
          <w:kern w:val="0"/>
          <w:sz w:val="24"/>
          <w:szCs w:val="24"/>
        </w:rPr>
        <w:t>6. 我单位如果存在下列情形的，愿意承担取消中标资格、投标保证金不予退还、赔偿超过投标保证金金额的损失部分、接受有关监督部门处罚等后果：</w:t>
      </w:r>
    </w:p>
    <w:p>
      <w:pPr>
        <w:spacing w:line="360" w:lineRule="auto"/>
        <w:ind w:firstLine="528" w:firstLineChars="220"/>
        <w:rPr>
          <w:rFonts w:ascii="宋体" w:hAnsi="宋体"/>
          <w:kern w:val="0"/>
          <w:sz w:val="24"/>
          <w:szCs w:val="24"/>
        </w:rPr>
      </w:pPr>
      <w:r>
        <w:rPr>
          <w:rFonts w:hint="eastAsia" w:ascii="宋体" w:hAnsi="宋体"/>
          <w:kern w:val="0"/>
          <w:sz w:val="24"/>
          <w:szCs w:val="24"/>
        </w:rPr>
        <w:t>（1）中标后，无正当理由放弃中标资格；</w:t>
      </w:r>
    </w:p>
    <w:p>
      <w:pPr>
        <w:spacing w:line="360" w:lineRule="auto"/>
        <w:ind w:firstLine="528" w:firstLineChars="220"/>
        <w:rPr>
          <w:rFonts w:ascii="宋体" w:hAnsi="宋体"/>
          <w:kern w:val="0"/>
          <w:sz w:val="24"/>
          <w:szCs w:val="24"/>
        </w:rPr>
      </w:pPr>
      <w:r>
        <w:rPr>
          <w:rFonts w:hint="eastAsia" w:ascii="宋体" w:hAnsi="宋体"/>
          <w:kern w:val="0"/>
          <w:sz w:val="24"/>
          <w:szCs w:val="24"/>
        </w:rPr>
        <w:t>（2）中标后，无正当理由不与招标人签订合同；</w:t>
      </w:r>
    </w:p>
    <w:p>
      <w:pPr>
        <w:spacing w:line="360" w:lineRule="auto"/>
        <w:ind w:firstLine="528" w:firstLineChars="220"/>
        <w:rPr>
          <w:rFonts w:ascii="宋体" w:hAnsi="宋体"/>
          <w:kern w:val="0"/>
          <w:sz w:val="24"/>
          <w:szCs w:val="24"/>
        </w:rPr>
      </w:pPr>
      <w:r>
        <w:rPr>
          <w:rFonts w:hint="eastAsia" w:ascii="宋体" w:hAnsi="宋体"/>
          <w:kern w:val="0"/>
          <w:sz w:val="24"/>
          <w:szCs w:val="24"/>
        </w:rPr>
        <w:t>（3）在签订合同时，向招标人提出附加条件；</w:t>
      </w:r>
    </w:p>
    <w:p>
      <w:pPr>
        <w:spacing w:line="360" w:lineRule="auto"/>
        <w:ind w:firstLine="528" w:firstLineChars="220"/>
        <w:rPr>
          <w:rFonts w:ascii="宋体" w:hAnsi="宋体"/>
          <w:kern w:val="0"/>
          <w:sz w:val="24"/>
          <w:szCs w:val="24"/>
        </w:rPr>
      </w:pPr>
      <w:r>
        <w:rPr>
          <w:rFonts w:hint="eastAsia" w:ascii="宋体" w:hAnsi="宋体"/>
          <w:kern w:val="0"/>
          <w:sz w:val="24"/>
          <w:szCs w:val="24"/>
        </w:rPr>
        <w:t>（4）不按照谈判文件要求提交履约保证金；</w:t>
      </w:r>
    </w:p>
    <w:p>
      <w:pPr>
        <w:spacing w:line="360" w:lineRule="auto"/>
        <w:ind w:firstLine="528" w:firstLineChars="220"/>
        <w:rPr>
          <w:rFonts w:ascii="宋体" w:hAnsi="宋体"/>
          <w:kern w:val="0"/>
          <w:sz w:val="24"/>
          <w:szCs w:val="24"/>
        </w:rPr>
      </w:pPr>
      <w:r>
        <w:rPr>
          <w:rFonts w:hint="eastAsia" w:ascii="宋体" w:hAnsi="宋体"/>
          <w:kern w:val="0"/>
          <w:sz w:val="24"/>
          <w:szCs w:val="24"/>
        </w:rPr>
        <w:t>（5）要求修改、补充和撤销响应文件的实质性内容；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（6）要求更改谈判文件和中标结果公告的实质性内容；</w:t>
      </w:r>
    </w:p>
    <w:p>
      <w:pPr>
        <w:spacing w:line="360" w:lineRule="auto"/>
        <w:ind w:firstLine="528" w:firstLineChars="220"/>
        <w:rPr>
          <w:rFonts w:ascii="宋体" w:hAnsi="宋体"/>
          <w:kern w:val="0"/>
          <w:sz w:val="24"/>
          <w:szCs w:val="24"/>
        </w:rPr>
      </w:pPr>
      <w:r>
        <w:rPr>
          <w:rFonts w:hint="eastAsia" w:ascii="宋体" w:hAnsi="宋体"/>
          <w:kern w:val="0"/>
          <w:sz w:val="24"/>
          <w:szCs w:val="24"/>
        </w:rPr>
        <w:t>（7）法律法规和谈判文件规定的其他情形。</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供应商法人签字：</w:t>
      </w:r>
    </w:p>
    <w:p>
      <w:pPr>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b/>
          <w:bCs/>
          <w:kern w:val="0"/>
          <w:sz w:val="24"/>
          <w:szCs w:val="24"/>
          <w:lang w:val="zh-CN"/>
        </w:rPr>
        <w:br w:type="page"/>
      </w:r>
    </w:p>
    <w:p>
      <w:pPr>
        <w:adjustRightInd w:val="0"/>
        <w:snapToGrid w:val="0"/>
        <w:spacing w:line="360" w:lineRule="auto"/>
        <w:jc w:val="left"/>
        <w:rPr>
          <w:rFonts w:ascii="宋体" w:hAnsi="宋体"/>
          <w:sz w:val="24"/>
          <w:szCs w:val="24"/>
        </w:rPr>
      </w:pPr>
      <w:r>
        <w:rPr>
          <w:rFonts w:hint="eastAsia" w:hAnsi="宋体"/>
          <w:b/>
          <w:bCs/>
          <w:sz w:val="24"/>
          <w:szCs w:val="24"/>
        </w:rPr>
        <w:t>格式四：</w:t>
      </w:r>
      <w:r>
        <w:rPr>
          <w:rFonts w:hint="eastAsia" w:ascii="宋体" w:hAnsi="宋体"/>
          <w:sz w:val="24"/>
          <w:szCs w:val="24"/>
        </w:rPr>
        <w:t xml:space="preserve">                   </w:t>
      </w:r>
    </w:p>
    <w:p>
      <w:pPr>
        <w:adjustRightInd w:val="0"/>
        <w:snapToGrid w:val="0"/>
        <w:spacing w:line="360" w:lineRule="auto"/>
        <w:jc w:val="center"/>
        <w:rPr>
          <w:rFonts w:ascii="宋体" w:hAnsi="宋体"/>
          <w:b/>
          <w:sz w:val="24"/>
          <w:szCs w:val="24"/>
        </w:rPr>
      </w:pPr>
      <w:r>
        <w:rPr>
          <w:rFonts w:hint="eastAsia" w:ascii="宋体" w:hAnsi="宋体"/>
          <w:sz w:val="24"/>
          <w:szCs w:val="24"/>
        </w:rPr>
        <w:t>开标一览表</w:t>
      </w:r>
    </w:p>
    <w:p>
      <w:pPr>
        <w:pStyle w:val="22"/>
        <w:spacing w:line="360" w:lineRule="auto"/>
        <w:ind w:left="57" w:right="57" w:firstLine="57"/>
        <w:rPr>
          <w:rFonts w:hAnsi="宋体"/>
          <w:bCs/>
          <w:sz w:val="24"/>
          <w:szCs w:val="24"/>
        </w:rPr>
      </w:pPr>
    </w:p>
    <w:p>
      <w:pPr>
        <w:pStyle w:val="22"/>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9"/>
        <w:gridCol w:w="3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779"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3849" w:type="dxa"/>
            <w:vAlign w:val="center"/>
          </w:tcPr>
          <w:p>
            <w:pPr>
              <w:spacing w:line="360" w:lineRule="auto"/>
              <w:jc w:val="center"/>
              <w:rPr>
                <w:rFonts w:ascii="宋体" w:hAnsi="宋体"/>
                <w:sz w:val="24"/>
                <w:szCs w:val="24"/>
              </w:rPr>
            </w:pPr>
            <w:r>
              <w:rPr>
                <w:rFonts w:hint="eastAsia" w:ascii="宋体" w:hAnsi="宋体"/>
                <w:sz w:val="24"/>
                <w:szCs w:val="24"/>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3849" w:type="dxa"/>
            <w:vMerge w:val="restart"/>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5779"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3849" w:type="dxa"/>
            <w:vMerge w:val="continue"/>
            <w:vAlign w:val="center"/>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b/>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spacing w:line="360" w:lineRule="auto"/>
        <w:ind w:right="240"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p>
    <w:p>
      <w:pPr>
        <w:spacing w:line="360" w:lineRule="auto"/>
        <w:ind w:firstLine="720" w:firstLineChars="300"/>
        <w:jc w:val="right"/>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rPr>
          <w:rFonts w:ascii="宋体" w:hAnsi="宋体"/>
          <w:sz w:val="24"/>
          <w:szCs w:val="24"/>
        </w:rPr>
      </w:pPr>
      <w:r>
        <w:rPr>
          <w:rFonts w:hint="eastAsia" w:ascii="宋体" w:hAnsi="宋体"/>
          <w:sz w:val="24"/>
          <w:szCs w:val="24"/>
        </w:rPr>
        <w:t xml:space="preserve">                                              年    月     日</w:t>
      </w:r>
    </w:p>
    <w:p>
      <w:pPr>
        <w:pStyle w:val="3"/>
        <w:keepNext w:val="0"/>
        <w:keepLines w:val="0"/>
        <w:spacing w:line="360" w:lineRule="auto"/>
        <w:rPr>
          <w:rFonts w:ascii="宋体" w:hAnsi="宋体" w:eastAsia="宋体"/>
          <w:sz w:val="24"/>
          <w:szCs w:val="24"/>
        </w:rPr>
      </w:pPr>
      <w:bookmarkStart w:id="29" w:name="_Toc482026549"/>
      <w:r>
        <w:rPr>
          <w:rFonts w:ascii="宋体" w:hAnsi="宋体" w:eastAsia="宋体"/>
          <w:sz w:val="24"/>
          <w:szCs w:val="24"/>
        </w:rPr>
        <w:br w:type="page"/>
      </w:r>
    </w:p>
    <w:bookmarkEnd w:id="29"/>
    <w:p>
      <w:pPr>
        <w:spacing w:line="360" w:lineRule="auto"/>
        <w:rPr>
          <w:rFonts w:asciiTheme="minorEastAsia" w:hAnsiTheme="minorEastAsia" w:eastAsiaTheme="minorEastAsia"/>
          <w:b/>
          <w:sz w:val="24"/>
          <w:szCs w:val="24"/>
        </w:rPr>
      </w:pPr>
      <w:bookmarkStart w:id="30" w:name="_Toc496001220"/>
      <w:bookmarkStart w:id="31" w:name="_Toc491862100"/>
      <w:r>
        <w:rPr>
          <w:rFonts w:hint="eastAsia" w:asciiTheme="minorEastAsia" w:hAnsiTheme="minorEastAsia" w:eastAsiaTheme="minorEastAsia"/>
          <w:b/>
          <w:sz w:val="24"/>
          <w:szCs w:val="24"/>
        </w:rPr>
        <w:t>格式五：</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b/>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格式六：</w:t>
      </w:r>
    </w:p>
    <w:p>
      <w:pPr>
        <w:spacing w:line="360" w:lineRule="auto"/>
        <w:ind w:firstLine="420"/>
        <w:jc w:val="center"/>
        <w:rPr>
          <w:rFonts w:asciiTheme="minorEastAsia" w:hAnsiTheme="minorEastAsia" w:eastAsiaTheme="minorEastAsia"/>
          <w:sz w:val="24"/>
          <w:szCs w:val="24"/>
        </w:rPr>
      </w:pPr>
      <w:r>
        <w:rPr>
          <w:rFonts w:asciiTheme="minorEastAsia" w:hAnsiTheme="minorEastAsia" w:eastAsiaTheme="minorEastAsia"/>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7" w:hRule="atLeast"/>
        </w:trPr>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814"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日</w:t>
      </w: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格式七：</w:t>
      </w:r>
      <w:bookmarkEnd w:id="30"/>
    </w:p>
    <w:p>
      <w:pPr>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2"/>
        <w:spacing w:line="360" w:lineRule="auto"/>
        <w:ind w:right="57"/>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格式八：</w:t>
      </w:r>
    </w:p>
    <w:p>
      <w:pPr>
        <w:spacing w:line="360" w:lineRule="auto"/>
        <w:jc w:val="center"/>
        <w:rPr>
          <w:rFonts w:asciiTheme="minorEastAsia" w:hAnsiTheme="minorEastAsia" w:eastAsiaTheme="minorEastAsia"/>
          <w:sz w:val="24"/>
          <w:szCs w:val="24"/>
        </w:rPr>
      </w:pPr>
      <w:r>
        <w:rPr>
          <w:rFonts w:asciiTheme="minorEastAsia" w:hAnsiTheme="minorEastAsia" w:eastAsiaTheme="minorEastAsia"/>
          <w:bCs/>
          <w:sz w:val="24"/>
          <w:szCs w:val="24"/>
        </w:rPr>
        <w:t>投标保证金</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供应商应在此提供</w:t>
      </w:r>
      <w:r>
        <w:rPr>
          <w:rFonts w:hint="eastAsia" w:asciiTheme="minorEastAsia" w:hAnsiTheme="minorEastAsia" w:eastAsiaTheme="minorEastAsia"/>
          <w:sz w:val="24"/>
          <w:szCs w:val="24"/>
        </w:rPr>
        <w:t>保证金</w:t>
      </w:r>
      <w:r>
        <w:rPr>
          <w:rFonts w:asciiTheme="minorEastAsia" w:hAnsiTheme="minorEastAsia" w:eastAsiaTheme="minorEastAsia"/>
          <w:sz w:val="24"/>
          <w:szCs w:val="24"/>
        </w:rPr>
        <w:t xml:space="preserve">汇款凭证的复印件。 </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widowControl/>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格式九：</w:t>
      </w:r>
    </w:p>
    <w:p>
      <w:pPr>
        <w:spacing w:line="360" w:lineRule="auto"/>
        <w:jc w:val="center"/>
        <w:rPr>
          <w:rFonts w:asciiTheme="minorEastAsia" w:hAnsiTheme="minorEastAsia" w:eastAsiaTheme="minorEastAsia"/>
          <w:bCs/>
          <w:sz w:val="24"/>
          <w:szCs w:val="24"/>
        </w:rPr>
      </w:pPr>
      <w:r>
        <w:rPr>
          <w:rFonts w:asciiTheme="minorEastAsia" w:hAnsiTheme="minorEastAsia" w:eastAsiaTheme="minorEastAsia"/>
          <w:bCs/>
          <w:sz w:val="24"/>
          <w:szCs w:val="24"/>
        </w:rPr>
        <w:t>联合体协议书</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 xml:space="preserve">    ______________________________</w:t>
      </w:r>
      <w:r>
        <w:rPr>
          <w:rFonts w:asciiTheme="minorEastAsia" w:hAnsiTheme="minorEastAsia" w:eastAsiaTheme="minorEastAsia"/>
          <w:sz w:val="24"/>
          <w:szCs w:val="24"/>
        </w:rPr>
        <w:t>（所有成员单位名称）自愿组成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（联合体名称）联合体，共同参加</w:t>
      </w:r>
      <w:r>
        <w:rPr>
          <w:rFonts w:hint="eastAsia" w:asciiTheme="minorEastAsia" w:hAnsiTheme="minorEastAsia" w:eastAsiaTheme="minorEastAsia"/>
          <w:sz w:val="24"/>
          <w:szCs w:val="24"/>
        </w:rPr>
        <w:t>_________________采购物业管理服务项目</w:t>
      </w:r>
      <w:r>
        <w:rPr>
          <w:rFonts w:asciiTheme="minorEastAsia" w:hAnsiTheme="minorEastAsia" w:eastAsiaTheme="minorEastAsia"/>
          <w:sz w:val="24"/>
          <w:szCs w:val="24"/>
        </w:rPr>
        <w:t xml:space="preserve">招标项目投标。现就联合体投标事宜订立如下协议。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1. （某成员单位名称）为 （联合体名称）牵头人。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4. 联合体各成员单位内部的职责分工如下：</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5. 本协议书自所有成员单位法定代表人或其委托代理人签字或盖单位章之日起生效，合同履行完毕后自动失效。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6. 本协议书一式</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 xml:space="preserve">份，联合体成员和招标人各执一份。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r>
        <w:rPr>
          <w:rFonts w:asciiTheme="minorEastAsia" w:hAnsiTheme="minorEastAsia" w:eastAsiaTheme="minorEastAsia"/>
          <w:sz w:val="24"/>
          <w:szCs w:val="24"/>
        </w:rPr>
        <w:t xml:space="preserve">协议书由法定代表人签字的，应附法定代表人身份证明；由委托代理人签字的，应附授权委托书。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联合体牵头人名称：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联合体成员名称：</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法定代表人或其委托代理人：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line="360" w:lineRule="auto"/>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________</w:t>
      </w:r>
      <w:r>
        <w:rPr>
          <w:rFonts w:asciiTheme="minorEastAsia" w:hAnsiTheme="minorEastAsia" w:eastAsiaTheme="minorEastAsia"/>
          <w:sz w:val="24"/>
          <w:szCs w:val="24"/>
        </w:rPr>
        <w:t>日</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p>
    <w:p>
      <w:pPr>
        <w:spacing w:line="360" w:lineRule="auto"/>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格式十：</w:t>
      </w:r>
    </w:p>
    <w:p>
      <w:pPr>
        <w:jc w:val="center"/>
        <w:rPr>
          <w:sz w:val="24"/>
          <w:szCs w:val="24"/>
          <w:lang w:val="zh-CN"/>
        </w:rPr>
      </w:pPr>
      <w:r>
        <w:rPr>
          <w:rFonts w:hint="eastAsia"/>
          <w:sz w:val="24"/>
          <w:szCs w:val="24"/>
          <w:lang w:val="zh-CN"/>
        </w:rPr>
        <w:t>本项目服务人员简表</w:t>
      </w:r>
    </w:p>
    <w:tbl>
      <w:tblPr>
        <w:tblStyle w:val="4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275"/>
        <w:gridCol w:w="850"/>
        <w:gridCol w:w="993"/>
        <w:gridCol w:w="1275"/>
        <w:gridCol w:w="851"/>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r>
              <w:rPr>
                <w:rFonts w:hint="eastAsia"/>
                <w:sz w:val="24"/>
                <w:szCs w:val="24"/>
                <w:lang w:val="zh-CN"/>
              </w:rPr>
              <w:t>姓名</w:t>
            </w:r>
          </w:p>
        </w:tc>
        <w:tc>
          <w:tcPr>
            <w:tcW w:w="851" w:type="dxa"/>
            <w:vAlign w:val="center"/>
          </w:tcPr>
          <w:p>
            <w:pPr>
              <w:jc w:val="center"/>
              <w:rPr>
                <w:sz w:val="24"/>
                <w:szCs w:val="24"/>
                <w:lang w:val="zh-CN"/>
              </w:rPr>
            </w:pPr>
            <w:r>
              <w:rPr>
                <w:rFonts w:hint="eastAsia"/>
                <w:sz w:val="24"/>
                <w:szCs w:val="24"/>
                <w:lang w:val="zh-CN"/>
              </w:rPr>
              <w:t>年龄</w:t>
            </w:r>
          </w:p>
        </w:tc>
        <w:tc>
          <w:tcPr>
            <w:tcW w:w="1275" w:type="dxa"/>
            <w:vAlign w:val="center"/>
          </w:tcPr>
          <w:p>
            <w:pPr>
              <w:jc w:val="center"/>
              <w:rPr>
                <w:sz w:val="24"/>
                <w:szCs w:val="24"/>
                <w:lang w:val="zh-CN"/>
              </w:rPr>
            </w:pPr>
            <w:r>
              <w:rPr>
                <w:rFonts w:hint="eastAsia"/>
                <w:sz w:val="24"/>
                <w:szCs w:val="24"/>
                <w:lang w:val="zh-CN"/>
              </w:rPr>
              <w:t>取得相关证书</w:t>
            </w:r>
          </w:p>
        </w:tc>
        <w:tc>
          <w:tcPr>
            <w:tcW w:w="850" w:type="dxa"/>
            <w:vAlign w:val="center"/>
          </w:tcPr>
          <w:p>
            <w:pPr>
              <w:jc w:val="center"/>
              <w:rPr>
                <w:sz w:val="24"/>
                <w:szCs w:val="24"/>
                <w:lang w:val="zh-CN"/>
              </w:rPr>
            </w:pPr>
            <w:r>
              <w:rPr>
                <w:rFonts w:hint="eastAsia"/>
                <w:sz w:val="24"/>
                <w:szCs w:val="24"/>
                <w:lang w:val="zh-CN"/>
              </w:rPr>
              <w:t>职务</w:t>
            </w:r>
          </w:p>
        </w:tc>
        <w:tc>
          <w:tcPr>
            <w:tcW w:w="993" w:type="dxa"/>
            <w:vAlign w:val="center"/>
          </w:tcPr>
          <w:p>
            <w:pPr>
              <w:jc w:val="center"/>
              <w:rPr>
                <w:sz w:val="24"/>
                <w:szCs w:val="24"/>
                <w:lang w:val="zh-CN"/>
              </w:rPr>
            </w:pPr>
            <w:r>
              <w:rPr>
                <w:rFonts w:hint="eastAsia"/>
                <w:sz w:val="24"/>
                <w:szCs w:val="24"/>
                <w:lang w:val="zh-CN"/>
              </w:rPr>
              <w:t>学历</w:t>
            </w:r>
          </w:p>
        </w:tc>
        <w:tc>
          <w:tcPr>
            <w:tcW w:w="1275" w:type="dxa"/>
            <w:vAlign w:val="center"/>
          </w:tcPr>
          <w:p>
            <w:pPr>
              <w:jc w:val="center"/>
              <w:rPr>
                <w:sz w:val="24"/>
                <w:szCs w:val="24"/>
                <w:lang w:val="zh-CN"/>
              </w:rPr>
            </w:pPr>
            <w:r>
              <w:rPr>
                <w:rFonts w:hint="eastAsia"/>
                <w:sz w:val="24"/>
                <w:szCs w:val="24"/>
                <w:lang w:val="zh-CN"/>
              </w:rPr>
              <w:t>从事本工作年限</w:t>
            </w:r>
          </w:p>
        </w:tc>
        <w:tc>
          <w:tcPr>
            <w:tcW w:w="851" w:type="dxa"/>
            <w:vAlign w:val="center"/>
          </w:tcPr>
          <w:p>
            <w:pPr>
              <w:jc w:val="center"/>
              <w:rPr>
                <w:sz w:val="24"/>
                <w:szCs w:val="24"/>
                <w:lang w:val="zh-CN"/>
              </w:rPr>
            </w:pPr>
            <w:r>
              <w:rPr>
                <w:rFonts w:hint="eastAsia"/>
                <w:sz w:val="24"/>
                <w:szCs w:val="24"/>
                <w:lang w:val="zh-CN"/>
              </w:rPr>
              <w:t>职责分配</w:t>
            </w:r>
          </w:p>
        </w:tc>
        <w:tc>
          <w:tcPr>
            <w:tcW w:w="2148" w:type="dxa"/>
            <w:vAlign w:val="center"/>
          </w:tcPr>
          <w:p>
            <w:pPr>
              <w:jc w:val="center"/>
              <w:rPr>
                <w:sz w:val="24"/>
                <w:szCs w:val="24"/>
                <w:lang w:val="zh-CN"/>
              </w:rPr>
            </w:pPr>
            <w:r>
              <w:rPr>
                <w:rFonts w:hint="eastAsia"/>
                <w:sz w:val="24"/>
                <w:szCs w:val="24"/>
                <w:lang w:val="zh-CN"/>
              </w:rPr>
              <w:t>工作简历（承担过的项目）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jc w:val="cente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17" w:type="dxa"/>
            <w:vAlign w:val="center"/>
          </w:tcPr>
          <w:p>
            <w:pPr>
              <w:rPr>
                <w:sz w:val="24"/>
                <w:szCs w:val="24"/>
                <w:lang w:val="zh-CN"/>
              </w:rPr>
            </w:pPr>
          </w:p>
        </w:tc>
        <w:tc>
          <w:tcPr>
            <w:tcW w:w="851" w:type="dxa"/>
            <w:vAlign w:val="center"/>
          </w:tcPr>
          <w:p>
            <w:pPr>
              <w:jc w:val="center"/>
              <w:rPr>
                <w:sz w:val="24"/>
                <w:szCs w:val="24"/>
                <w:lang w:val="zh-CN"/>
              </w:rPr>
            </w:pPr>
          </w:p>
        </w:tc>
        <w:tc>
          <w:tcPr>
            <w:tcW w:w="1275" w:type="dxa"/>
            <w:vAlign w:val="center"/>
          </w:tcPr>
          <w:p>
            <w:pPr>
              <w:jc w:val="center"/>
              <w:rPr>
                <w:sz w:val="24"/>
                <w:szCs w:val="24"/>
                <w:lang w:val="zh-CN"/>
              </w:rPr>
            </w:pPr>
          </w:p>
        </w:tc>
        <w:tc>
          <w:tcPr>
            <w:tcW w:w="850" w:type="dxa"/>
            <w:vAlign w:val="center"/>
          </w:tcPr>
          <w:p>
            <w:pPr>
              <w:jc w:val="center"/>
              <w:rPr>
                <w:sz w:val="24"/>
                <w:szCs w:val="24"/>
                <w:lang w:val="zh-CN"/>
              </w:rPr>
            </w:pPr>
          </w:p>
        </w:tc>
        <w:tc>
          <w:tcPr>
            <w:tcW w:w="993" w:type="dxa"/>
            <w:vAlign w:val="center"/>
          </w:tcPr>
          <w:p>
            <w:pPr>
              <w:jc w:val="center"/>
              <w:rPr>
                <w:sz w:val="24"/>
                <w:szCs w:val="24"/>
                <w:lang w:val="zh-CN"/>
              </w:rPr>
            </w:pPr>
          </w:p>
        </w:tc>
        <w:tc>
          <w:tcPr>
            <w:tcW w:w="1275" w:type="dxa"/>
            <w:vAlign w:val="center"/>
          </w:tcPr>
          <w:p>
            <w:pPr>
              <w:jc w:val="center"/>
              <w:rPr>
                <w:sz w:val="24"/>
                <w:szCs w:val="24"/>
                <w:lang w:val="zh-CN"/>
              </w:rPr>
            </w:pPr>
          </w:p>
        </w:tc>
        <w:tc>
          <w:tcPr>
            <w:tcW w:w="851" w:type="dxa"/>
            <w:vAlign w:val="center"/>
          </w:tcPr>
          <w:p>
            <w:pPr>
              <w:jc w:val="center"/>
              <w:rPr>
                <w:sz w:val="24"/>
                <w:szCs w:val="24"/>
                <w:lang w:val="zh-CN"/>
              </w:rPr>
            </w:pPr>
          </w:p>
        </w:tc>
        <w:tc>
          <w:tcPr>
            <w:tcW w:w="2148" w:type="dxa"/>
            <w:vAlign w:val="center"/>
          </w:tcPr>
          <w:p>
            <w:pPr>
              <w:jc w:val="center"/>
              <w:rPr>
                <w:sz w:val="24"/>
                <w:szCs w:val="24"/>
                <w:lang w:val="zh-CN"/>
              </w:rPr>
            </w:pPr>
          </w:p>
        </w:tc>
      </w:tr>
    </w:tbl>
    <w:p>
      <w:pPr>
        <w:ind w:firstLine="120" w:firstLineChars="50"/>
        <w:rPr>
          <w:rFonts w:ascii="宋体" w:hAnsi="宋体"/>
          <w:sz w:val="24"/>
          <w:szCs w:val="24"/>
        </w:rPr>
      </w:pPr>
    </w:p>
    <w:p>
      <w:pPr>
        <w:rPr>
          <w:lang w:val="zh-CN"/>
        </w:rPr>
      </w:pPr>
      <w:r>
        <w:rPr>
          <w:rFonts w:hint="eastAsia" w:ascii="宋体" w:hAnsi="宋体"/>
          <w:sz w:val="24"/>
          <w:szCs w:val="24"/>
          <w:lang w:val="zh-CN"/>
        </w:rPr>
        <w:t>注：供应商在本表后附人员证书等复印件。</w:t>
      </w:r>
    </w:p>
    <w:p>
      <w:pPr>
        <w:widowControl/>
        <w:jc w:val="left"/>
        <w:rPr>
          <w:lang w:val="zh-CN"/>
        </w:rPr>
      </w:pPr>
      <w:r>
        <w:rPr>
          <w:lang w:val="zh-CN"/>
        </w:rPr>
        <w:br w:type="page"/>
      </w:r>
    </w:p>
    <w:p>
      <w:pPr>
        <w:adjustRightInd w:val="0"/>
        <w:snapToGrid w:val="0"/>
        <w:spacing w:line="360" w:lineRule="auto"/>
        <w:jc w:val="left"/>
        <w:rPr>
          <w:rFonts w:hint="eastAsia" w:hAnsi="宋体"/>
          <w:b/>
          <w:bCs/>
          <w:sz w:val="24"/>
          <w:szCs w:val="24"/>
        </w:rPr>
      </w:pPr>
      <w:r>
        <w:rPr>
          <w:rFonts w:hint="eastAsia" w:hAnsi="宋体"/>
          <w:b/>
          <w:bCs/>
          <w:sz w:val="24"/>
          <w:szCs w:val="24"/>
        </w:rPr>
        <w:t>格式十一：</w:t>
      </w:r>
      <w:bookmarkEnd w:id="31"/>
      <w:r>
        <w:rPr>
          <w:rFonts w:hint="eastAsia" w:hAnsi="宋体"/>
          <w:b/>
          <w:bCs/>
          <w:sz w:val="24"/>
          <w:szCs w:val="24"/>
        </w:rPr>
        <w:t xml:space="preserve"> </w:t>
      </w:r>
    </w:p>
    <w:p>
      <w:pPr>
        <w:adjustRightInd w:val="0"/>
        <w:snapToGrid w:val="0"/>
        <w:spacing w:line="360" w:lineRule="auto"/>
        <w:ind w:firstLine="3960" w:firstLineChars="1650"/>
        <w:jc w:val="left"/>
        <w:rPr>
          <w:rFonts w:ascii="宋体" w:hAnsi="宋体" w:cs="Courier New"/>
          <w:color w:val="000000"/>
          <w:kern w:val="0"/>
          <w:sz w:val="24"/>
          <w:szCs w:val="24"/>
        </w:rPr>
      </w:pPr>
      <w:r>
        <w:rPr>
          <w:rFonts w:hint="eastAsia" w:ascii="宋体" w:hAnsi="宋体" w:cs="Courier New"/>
          <w:color w:val="000000"/>
          <w:kern w:val="0"/>
          <w:sz w:val="24"/>
          <w:szCs w:val="24"/>
        </w:rPr>
        <w:t>报价明细表</w:t>
      </w:r>
    </w:p>
    <w:tbl>
      <w:tblPr>
        <w:tblStyle w:val="42"/>
        <w:tblW w:w="99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57" w:type="dxa"/>
          <w:bottom w:w="85" w:type="dxa"/>
          <w:right w:w="57" w:type="dxa"/>
        </w:tblCellMar>
      </w:tblPr>
      <w:tblGrid>
        <w:gridCol w:w="1418"/>
        <w:gridCol w:w="2410"/>
        <w:gridCol w:w="2835"/>
        <w:gridCol w:w="3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top w:val="single" w:color="auto" w:sz="4" w:space="0"/>
              <w:left w:val="single" w:color="auto" w:sz="4" w:space="0"/>
              <w:right w:val="single" w:color="auto" w:sz="4" w:space="0"/>
            </w:tcBorders>
            <w:vAlign w:val="center"/>
          </w:tcPr>
          <w:p>
            <w:pPr>
              <w:widowControl/>
              <w:jc w:val="center"/>
              <w:rPr>
                <w:sz w:val="21"/>
              </w:rPr>
            </w:pPr>
            <w:r>
              <w:rPr>
                <w:rFonts w:hint="eastAsia"/>
                <w:sz w:val="21"/>
              </w:rPr>
              <w:t>报价明细</w:t>
            </w:r>
          </w:p>
        </w:tc>
        <w:tc>
          <w:tcPr>
            <w:tcW w:w="2835" w:type="dxa"/>
            <w:tcBorders>
              <w:top w:val="single" w:color="auto" w:sz="4" w:space="0"/>
              <w:left w:val="single" w:color="auto" w:sz="4" w:space="0"/>
              <w:right w:val="single" w:color="auto" w:sz="4" w:space="0"/>
            </w:tcBorders>
            <w:vAlign w:val="center"/>
          </w:tcPr>
          <w:p>
            <w:pPr>
              <w:widowControl/>
              <w:jc w:val="center"/>
              <w:rPr>
                <w:sz w:val="21"/>
              </w:rPr>
            </w:pPr>
            <w:r>
              <w:rPr>
                <w:rFonts w:hint="eastAsia"/>
                <w:sz w:val="21"/>
              </w:rPr>
              <w:t>报价（元）</w:t>
            </w:r>
          </w:p>
        </w:tc>
        <w:tc>
          <w:tcPr>
            <w:tcW w:w="3317" w:type="dxa"/>
            <w:tcBorders>
              <w:top w:val="single" w:color="auto" w:sz="4" w:space="0"/>
              <w:left w:val="single" w:color="auto" w:sz="4" w:space="0"/>
              <w:right w:val="single" w:color="auto" w:sz="4" w:space="0"/>
            </w:tcBorders>
            <w:vAlign w:val="center"/>
          </w:tcPr>
          <w:p>
            <w:pPr>
              <w:widowControl/>
              <w:jc w:val="center"/>
              <w:rPr>
                <w:sz w:val="21"/>
              </w:rPr>
            </w:pPr>
            <w:r>
              <w:rPr>
                <w:rFonts w:hint="eastAsia"/>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430" w:hRule="atLeast"/>
          <w:jc w:val="center"/>
        </w:trPr>
        <w:tc>
          <w:tcPr>
            <w:tcW w:w="1418" w:type="dxa"/>
            <w:vMerge w:val="restart"/>
            <w:tcBorders>
              <w:top w:val="single" w:color="auto" w:sz="4" w:space="0"/>
              <w:left w:val="single" w:color="auto" w:sz="4" w:space="0"/>
              <w:right w:val="single" w:color="auto" w:sz="4" w:space="0"/>
            </w:tcBorders>
            <w:vAlign w:val="center"/>
          </w:tcPr>
          <w:p>
            <w:pPr>
              <w:widowControl/>
              <w:ind w:firstLine="105" w:firstLineChars="50"/>
              <w:jc w:val="left"/>
              <w:rPr>
                <w:sz w:val="21"/>
              </w:rPr>
            </w:pPr>
            <w:r>
              <w:rPr>
                <w:rFonts w:hint="eastAsia"/>
                <w:sz w:val="21"/>
              </w:rPr>
              <w:t>用工成本</w:t>
            </w:r>
          </w:p>
        </w:tc>
        <w:tc>
          <w:tcPr>
            <w:tcW w:w="2410" w:type="dxa"/>
            <w:tcBorders>
              <w:top w:val="single" w:color="auto" w:sz="4" w:space="0"/>
              <w:left w:val="single" w:color="auto" w:sz="4" w:space="0"/>
              <w:right w:val="single" w:color="auto" w:sz="4" w:space="0"/>
            </w:tcBorders>
            <w:vAlign w:val="center"/>
          </w:tcPr>
          <w:p>
            <w:pPr>
              <w:widowControl/>
              <w:jc w:val="center"/>
              <w:rPr>
                <w:sz w:val="21"/>
              </w:rPr>
            </w:pPr>
            <w:r>
              <w:rPr>
                <w:rFonts w:hint="eastAsia"/>
                <w:sz w:val="21"/>
              </w:rPr>
              <w:t>人员工资</w:t>
            </w:r>
          </w:p>
        </w:tc>
        <w:tc>
          <w:tcPr>
            <w:tcW w:w="2835" w:type="dxa"/>
            <w:tcBorders>
              <w:top w:val="single" w:color="auto" w:sz="4" w:space="0"/>
              <w:left w:val="single" w:color="auto" w:sz="4" w:space="0"/>
              <w:right w:val="single" w:color="auto" w:sz="4" w:space="0"/>
            </w:tcBorders>
            <w:vAlign w:val="center"/>
          </w:tcPr>
          <w:p>
            <w:pPr>
              <w:widowControl/>
              <w:rPr>
                <w:sz w:val="21"/>
              </w:rPr>
            </w:pPr>
          </w:p>
        </w:tc>
        <w:tc>
          <w:tcPr>
            <w:tcW w:w="3317" w:type="dxa"/>
            <w:tcBorders>
              <w:top w:val="single" w:color="auto" w:sz="4" w:space="0"/>
              <w:left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1418" w:type="dxa"/>
            <w:vMerge w:val="continue"/>
            <w:tcBorders>
              <w:left w:val="single" w:color="auto" w:sz="4" w:space="0"/>
              <w:right w:val="single" w:color="auto" w:sz="4" w:space="0"/>
            </w:tcBorders>
            <w:vAlign w:val="center"/>
          </w:tcPr>
          <w:p>
            <w:pPr>
              <w:widowControl/>
              <w:jc w:val="left"/>
              <w:rPr>
                <w:sz w:val="21"/>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社会保险费</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1418" w:type="dxa"/>
            <w:vMerge w:val="continue"/>
            <w:tcBorders>
              <w:left w:val="single" w:color="auto" w:sz="4" w:space="0"/>
              <w:right w:val="single" w:color="auto" w:sz="4" w:space="0"/>
            </w:tcBorders>
            <w:vAlign w:val="center"/>
          </w:tcPr>
          <w:p>
            <w:pPr>
              <w:widowControl/>
              <w:jc w:val="left"/>
              <w:rPr>
                <w:sz w:val="21"/>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福利费</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1418" w:type="dxa"/>
            <w:vMerge w:val="continue"/>
            <w:tcBorders>
              <w:left w:val="single" w:color="auto" w:sz="4" w:space="0"/>
              <w:right w:val="single" w:color="auto" w:sz="4" w:space="0"/>
            </w:tcBorders>
            <w:vAlign w:val="center"/>
          </w:tcPr>
          <w:p>
            <w:pPr>
              <w:widowControl/>
              <w:jc w:val="left"/>
              <w:rPr>
                <w:sz w:val="21"/>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工会经费</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1418" w:type="dxa"/>
            <w:vMerge w:val="continue"/>
            <w:tcBorders>
              <w:left w:val="single" w:color="auto" w:sz="4" w:space="0"/>
              <w:right w:val="single" w:color="auto" w:sz="4" w:space="0"/>
            </w:tcBorders>
            <w:vAlign w:val="center"/>
          </w:tcPr>
          <w:p>
            <w:pPr>
              <w:widowControl/>
              <w:jc w:val="left"/>
              <w:rPr>
                <w:sz w:val="21"/>
              </w:rPr>
            </w:pPr>
          </w:p>
        </w:tc>
        <w:tc>
          <w:tcPr>
            <w:tcW w:w="2410" w:type="dxa"/>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残疾人保障金</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tcPr>
          <w:p>
            <w:pPr>
              <w:widowControl/>
              <w:spacing w:line="240" w:lineRule="atLeast"/>
              <w:rPr>
                <w:rFonts w:hint="eastAsia"/>
                <w:sz w:val="21"/>
              </w:rPr>
            </w:pPr>
            <w:r>
              <w:rPr>
                <w:rFonts w:hint="eastAsia" w:cs="宋体" w:asciiTheme="minorEastAsia" w:hAnsiTheme="minorEastAsia" w:eastAsiaTheme="minorEastAsia"/>
                <w:sz w:val="24"/>
                <w:szCs w:val="24"/>
              </w:rPr>
              <w:t>保洁工具及日常维修材料费（200元以内）、员工服装及劳保费、办公费等。</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tcPr>
          <w:p>
            <w:pPr>
              <w:spacing w:line="240" w:lineRule="atLeast"/>
              <w:rPr>
                <w:rFonts w:hint="eastAsia" w:cs="宋体" w:asciiTheme="minorEastAsia" w:hAnsiTheme="minorEastAsia" w:eastAsiaTheme="minorEastAsia"/>
                <w:sz w:val="24"/>
                <w:szCs w:val="24"/>
              </w:rPr>
            </w:pPr>
            <w:r>
              <w:rPr>
                <w:rFonts w:hint="eastAsia" w:cs="宋体" w:asciiTheme="minorEastAsia" w:hAnsiTheme="minorEastAsia" w:eastAsiaTheme="minorEastAsia"/>
                <w:sz w:val="24"/>
                <w:szCs w:val="24"/>
              </w:rPr>
              <w:t>电梯、中央空调、消防系统维护、保养、清洁、年检费用等。</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tcPr>
          <w:p>
            <w:pPr>
              <w:widowControl/>
              <w:spacing w:line="240" w:lineRule="atLeast"/>
              <w:rPr>
                <w:rFonts w:hint="eastAsia"/>
                <w:sz w:val="21"/>
              </w:rPr>
            </w:pPr>
            <w:r>
              <w:rPr>
                <w:rFonts w:hint="eastAsia" w:cs="宋体" w:asciiTheme="minorEastAsia" w:hAnsiTheme="minorEastAsia" w:eastAsiaTheme="minorEastAsia"/>
                <w:sz w:val="24"/>
                <w:szCs w:val="24"/>
              </w:rPr>
              <w:t>合同履行期间，</w:t>
            </w:r>
            <w:r>
              <w:rPr>
                <w:rFonts w:hint="eastAsia" w:asciiTheme="minorEastAsia" w:hAnsiTheme="minorEastAsia" w:eastAsiaTheme="minorEastAsia"/>
                <w:color w:val="000000"/>
                <w:sz w:val="24"/>
                <w:szCs w:val="24"/>
              </w:rPr>
              <w:t>因劳动操作不规范或因突发疾病而导致的伤残或人身伤亡事故的赔偿。</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tcPr>
          <w:p>
            <w:pPr>
              <w:widowControl/>
              <w:spacing w:line="240" w:lineRule="atLeast"/>
              <w:rPr>
                <w:rFonts w:hint="eastAsia"/>
                <w:sz w:val="21"/>
              </w:rPr>
            </w:pPr>
            <w:r>
              <w:rPr>
                <w:rFonts w:hint="eastAsia" w:asciiTheme="minorEastAsia" w:hAnsiTheme="minorEastAsia" w:eastAsiaTheme="minorEastAsia"/>
                <w:color w:val="000000"/>
                <w:sz w:val="24"/>
                <w:szCs w:val="24"/>
              </w:rPr>
              <w:t>因管理不善，提供服务人员措施不当造成财产损失而产生的费用等。</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vAlign w:val="center"/>
          </w:tcPr>
          <w:p>
            <w:pPr>
              <w:widowControl/>
              <w:rPr>
                <w:sz w:val="21"/>
              </w:rPr>
            </w:pPr>
            <w:r>
              <w:rPr>
                <w:rFonts w:hint="eastAsia"/>
                <w:sz w:val="21"/>
              </w:rPr>
              <w:t>本项目列明的所有费用及在服务过程中产生的其他费用。</w:t>
            </w: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vAlign w:val="center"/>
          </w:tcPr>
          <w:p>
            <w:pPr>
              <w:widowControl/>
              <w:rPr>
                <w:sz w:val="21"/>
              </w:rPr>
            </w:pP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right w:val="single" w:color="auto" w:sz="4" w:space="0"/>
            </w:tcBorders>
            <w:vAlign w:val="center"/>
          </w:tcPr>
          <w:p>
            <w:pPr>
              <w:widowControl/>
              <w:rPr>
                <w:sz w:val="21"/>
              </w:rPr>
            </w:pP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jc w:val="center"/>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left w:val="single" w:color="auto" w:sz="4" w:space="0"/>
              <w:bottom w:val="single" w:color="auto" w:sz="4" w:space="0"/>
              <w:right w:val="single" w:color="auto" w:sz="4" w:space="0"/>
            </w:tcBorders>
            <w:vAlign w:val="center"/>
          </w:tcPr>
          <w:p>
            <w:pPr>
              <w:pStyle w:val="66"/>
              <w:tabs>
                <w:tab w:val="left" w:pos="0"/>
              </w:tabs>
              <w:spacing w:line="360" w:lineRule="auto"/>
              <w:ind w:left="432" w:firstLine="0" w:firstLineChars="0"/>
              <w:rPr>
                <w:sz w:val="21"/>
                <w:szCs w:val="20"/>
              </w:rPr>
            </w:pPr>
          </w:p>
        </w:tc>
        <w:tc>
          <w:tcPr>
            <w:tcW w:w="2835" w:type="dxa"/>
            <w:tcBorders>
              <w:left w:val="single" w:color="auto" w:sz="4" w:space="0"/>
              <w:bottom w:val="single" w:color="auto" w:sz="4" w:space="0"/>
              <w:right w:val="single" w:color="auto" w:sz="4" w:space="0"/>
            </w:tcBorders>
            <w:vAlign w:val="center"/>
          </w:tcPr>
          <w:p>
            <w:pPr>
              <w:widowControl/>
              <w:rPr>
                <w:sz w:val="21"/>
              </w:rPr>
            </w:pPr>
          </w:p>
        </w:tc>
        <w:tc>
          <w:tcPr>
            <w:tcW w:w="3317" w:type="dxa"/>
            <w:tcBorders>
              <w:left w:val="single" w:color="auto" w:sz="4" w:space="0"/>
              <w:bottom w:val="single" w:color="auto" w:sz="4" w:space="0"/>
              <w:right w:val="single" w:color="auto" w:sz="4" w:space="0"/>
            </w:tcBorders>
            <w:vAlign w:val="center"/>
          </w:tcPr>
          <w:p>
            <w:pPr>
              <w:widowControl/>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rPr>
                <w:sz w:val="21"/>
              </w:rPr>
            </w:pPr>
          </w:p>
        </w:tc>
        <w:tc>
          <w:tcPr>
            <w:tcW w:w="3317" w:type="dxa"/>
            <w:tcBorders>
              <w:top w:val="single" w:color="auto" w:sz="4" w:space="0"/>
              <w:left w:val="single" w:color="auto" w:sz="4" w:space="0"/>
              <w:bottom w:val="single" w:color="auto" w:sz="4" w:space="0"/>
              <w:right w:val="single" w:color="auto" w:sz="4" w:space="0"/>
            </w:tcBorders>
            <w:vAlign w:val="center"/>
          </w:tcPr>
          <w:p>
            <w:pPr>
              <w:widowControl/>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税费</w:t>
            </w:r>
          </w:p>
        </w:tc>
        <w:tc>
          <w:tcPr>
            <w:tcW w:w="2835" w:type="dxa"/>
            <w:tcBorders>
              <w:top w:val="single" w:color="auto" w:sz="4" w:space="0"/>
              <w:left w:val="single" w:color="auto" w:sz="4" w:space="0"/>
              <w:bottom w:val="single" w:color="auto" w:sz="4" w:space="0"/>
              <w:right w:val="single" w:color="auto" w:sz="4" w:space="0"/>
            </w:tcBorders>
            <w:vAlign w:val="center"/>
          </w:tcPr>
          <w:p>
            <w:pPr>
              <w:widowControl/>
              <w:rPr>
                <w:sz w:val="21"/>
              </w:rPr>
            </w:pPr>
            <w:r>
              <w:rPr>
                <w:rFonts w:hint="eastAsia"/>
                <w:sz w:val="21"/>
              </w:rPr>
              <w:t>税率：</w:t>
            </w:r>
            <w:r>
              <w:rPr>
                <w:rFonts w:hint="eastAsia"/>
                <w:sz w:val="21"/>
                <w:u w:val="single"/>
              </w:rPr>
              <w:t xml:space="preserve">   </w:t>
            </w:r>
            <w:r>
              <w:rPr>
                <w:rFonts w:hint="eastAsia"/>
                <w:sz w:val="21"/>
              </w:rPr>
              <w:t xml:space="preserve"> %，共计</w:t>
            </w:r>
            <w:r>
              <w:rPr>
                <w:rFonts w:hint="eastAsia"/>
                <w:sz w:val="21"/>
                <w:u w:val="single"/>
              </w:rPr>
              <w:t xml:space="preserve">    </w:t>
            </w:r>
            <w:r>
              <w:rPr>
                <w:rFonts w:hint="eastAsia"/>
                <w:sz w:val="21"/>
              </w:rPr>
              <w:t>元</w:t>
            </w:r>
          </w:p>
        </w:tc>
        <w:tc>
          <w:tcPr>
            <w:tcW w:w="3317" w:type="dxa"/>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在此处标明该项报价计算方法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57" w:type="dxa"/>
            <w:bottom w:w="85" w:type="dxa"/>
            <w:right w:w="57" w:type="dxa"/>
          </w:tblCellMar>
        </w:tblPrEx>
        <w:trPr>
          <w:trHeight w:val="340" w:hRule="atLeast"/>
          <w:jc w:val="center"/>
        </w:trPr>
        <w:tc>
          <w:tcPr>
            <w:tcW w:w="382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sz w:val="21"/>
              </w:rPr>
            </w:pPr>
            <w:r>
              <w:rPr>
                <w:rFonts w:hint="eastAsia"/>
                <w:sz w:val="21"/>
              </w:rPr>
              <w:t>合计</w:t>
            </w:r>
          </w:p>
        </w:tc>
        <w:tc>
          <w:tcPr>
            <w:tcW w:w="6152" w:type="dxa"/>
            <w:gridSpan w:val="2"/>
            <w:tcBorders>
              <w:top w:val="single" w:color="auto" w:sz="4" w:space="0"/>
              <w:left w:val="single" w:color="auto" w:sz="4" w:space="0"/>
              <w:bottom w:val="single" w:color="auto" w:sz="4" w:space="0"/>
              <w:right w:val="single" w:color="auto" w:sz="4" w:space="0"/>
            </w:tcBorders>
            <w:vAlign w:val="center"/>
          </w:tcPr>
          <w:p>
            <w:pPr>
              <w:widowControl/>
              <w:ind w:firstLine="210" w:firstLineChars="100"/>
              <w:jc w:val="center"/>
              <w:rPr>
                <w:sz w:val="21"/>
              </w:rPr>
            </w:pPr>
            <w:r>
              <w:rPr>
                <w:rFonts w:hint="eastAsia"/>
                <w:sz w:val="21"/>
              </w:rPr>
              <w:t>共计</w:t>
            </w:r>
            <w:r>
              <w:rPr>
                <w:rFonts w:hint="eastAsia"/>
                <w:sz w:val="21"/>
                <w:u w:val="single"/>
              </w:rPr>
              <w:t xml:space="preserve">    </w:t>
            </w:r>
            <w:r>
              <w:rPr>
                <w:rFonts w:hint="eastAsia"/>
                <w:sz w:val="21"/>
              </w:rPr>
              <w:t>元；</w:t>
            </w:r>
          </w:p>
        </w:tc>
      </w:tr>
    </w:tbl>
    <w:p>
      <w:pPr>
        <w:numPr>
          <w:ilvl w:val="0"/>
          <w:numId w:val="6"/>
        </w:numPr>
        <w:suppressAutoHyphens/>
        <w:spacing w:line="360" w:lineRule="auto"/>
        <w:rPr>
          <w:rFonts w:ascii="宋体" w:hAnsi="宋体"/>
          <w:sz w:val="21"/>
          <w:szCs w:val="21"/>
          <w:lang w:val="en-GB"/>
        </w:rPr>
      </w:pPr>
      <w:r>
        <w:rPr>
          <w:rFonts w:hint="eastAsia" w:ascii="宋体" w:hAnsi="宋体"/>
          <w:sz w:val="21"/>
          <w:szCs w:val="21"/>
        </w:rPr>
        <w:t>注：</w:t>
      </w:r>
    </w:p>
    <w:p>
      <w:pPr>
        <w:suppressAutoHyphens/>
        <w:spacing w:line="360" w:lineRule="auto"/>
        <w:ind w:left="432"/>
        <w:rPr>
          <w:rFonts w:ascii="宋体" w:hAnsi="宋体"/>
          <w:sz w:val="21"/>
          <w:szCs w:val="21"/>
          <w:lang w:val="en-GB"/>
        </w:rPr>
      </w:pPr>
      <w:r>
        <w:rPr>
          <w:rFonts w:hint="eastAsia" w:ascii="宋体" w:hAnsi="宋体"/>
          <w:sz w:val="21"/>
          <w:szCs w:val="21"/>
          <w:lang w:val="en-GB"/>
        </w:rPr>
        <w:t>（1）以上内容必须全部填写；</w:t>
      </w:r>
    </w:p>
    <w:p>
      <w:pPr>
        <w:suppressAutoHyphens/>
        <w:spacing w:line="360" w:lineRule="auto"/>
        <w:ind w:left="432"/>
        <w:rPr>
          <w:rFonts w:ascii="宋体" w:hAnsi="宋体"/>
          <w:sz w:val="21"/>
          <w:szCs w:val="21"/>
          <w:lang w:val="en-GB"/>
        </w:rPr>
      </w:pPr>
      <w:r>
        <w:rPr>
          <w:rFonts w:hint="eastAsia"/>
          <w:snapToGrid w:val="0"/>
          <w:sz w:val="21"/>
        </w:rPr>
        <w:t>（2）</w:t>
      </w:r>
      <w:r>
        <w:rPr>
          <w:rFonts w:hint="eastAsia"/>
          <w:sz w:val="21"/>
        </w:rPr>
        <w:t>用工成本、税费为投标报价必须包含项（在备注部分应当注明报价计算方法），</w:t>
      </w:r>
      <w:r>
        <w:rPr>
          <w:rFonts w:hint="eastAsia"/>
          <w:snapToGrid w:val="0"/>
          <w:sz w:val="21"/>
        </w:rPr>
        <w:t>由供应商根据相关法规自行在政策范围内取值计算，</w:t>
      </w:r>
      <w:r>
        <w:rPr>
          <w:rFonts w:hint="eastAsia"/>
          <w:sz w:val="21"/>
        </w:rPr>
        <w:t>不可填写免费或0元；</w:t>
      </w:r>
      <w:r>
        <w:rPr>
          <w:rFonts w:ascii="宋体" w:hAnsi="宋体"/>
          <w:sz w:val="21"/>
          <w:szCs w:val="21"/>
          <w:lang w:val="en-GB"/>
        </w:rPr>
        <w:t xml:space="preserve"> </w:t>
      </w:r>
    </w:p>
    <w:p>
      <w:pPr>
        <w:suppressAutoHyphens/>
        <w:spacing w:line="360" w:lineRule="auto"/>
        <w:ind w:left="432"/>
        <w:rPr>
          <w:rFonts w:ascii="宋体" w:hAnsi="宋体"/>
          <w:sz w:val="21"/>
          <w:szCs w:val="21"/>
          <w:lang w:val="en-GB"/>
        </w:rPr>
      </w:pPr>
      <w:r>
        <w:rPr>
          <w:rFonts w:hint="eastAsia"/>
          <w:snapToGrid w:val="0"/>
          <w:sz w:val="21"/>
        </w:rPr>
        <w:t>（3）根据合同或本表未列明的其它可能产生的费用应由供应商支付、负责。</w:t>
      </w:r>
    </w:p>
    <w:p>
      <w:pPr>
        <w:suppressAutoHyphens/>
        <w:snapToGrid w:val="0"/>
        <w:spacing w:line="360" w:lineRule="auto"/>
        <w:ind w:firstLine="420" w:firstLineChars="200"/>
        <w:rPr>
          <w:rFonts w:ascii="宋体" w:hAnsi="宋体" w:cs="宋体"/>
          <w:sz w:val="21"/>
          <w:szCs w:val="21"/>
        </w:rPr>
      </w:pPr>
      <w:r>
        <w:rPr>
          <w:rFonts w:hint="eastAsia" w:ascii="宋体" w:hAnsi="宋体" w:cs="宋体"/>
          <w:sz w:val="21"/>
          <w:szCs w:val="21"/>
        </w:rPr>
        <w:t>（4）上述表格中列明的条目，在本项目中如不涉及，请填写“不涉及”。</w:t>
      </w:r>
    </w:p>
    <w:p>
      <w:pPr>
        <w:numPr>
          <w:ilvl w:val="0"/>
          <w:numId w:val="6"/>
        </w:numPr>
        <w:suppressAutoHyphens/>
        <w:spacing w:line="360" w:lineRule="auto"/>
        <w:rPr>
          <w:rFonts w:ascii="宋体" w:hAnsi="宋体"/>
          <w:sz w:val="21"/>
          <w:szCs w:val="21"/>
          <w:lang w:val="en-GB"/>
        </w:rPr>
      </w:pPr>
      <w:r>
        <w:rPr>
          <w:rFonts w:hint="eastAsia" w:ascii="宋体" w:hAnsi="宋体" w:cs="宋体"/>
          <w:sz w:val="21"/>
          <w:szCs w:val="21"/>
        </w:rPr>
        <w:t xml:space="preserve">    （5）享有优惠政策的供应商，须提供享有优惠政策的批准文件（有效期内），否则不予认定。</w:t>
      </w: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供应商名称（盖章）：</w:t>
      </w:r>
      <w:r>
        <w:rPr>
          <w:rFonts w:hint="eastAsia" w:ascii="宋体" w:hAnsi="宋体" w:cs="宋体"/>
          <w:sz w:val="21"/>
          <w:szCs w:val="21"/>
          <w:u w:val="single"/>
        </w:rPr>
        <w:t xml:space="preserve">                        </w:t>
      </w:r>
    </w:p>
    <w:p>
      <w:pPr>
        <w:rPr>
          <w:rFonts w:ascii="宋体" w:hAnsi="宋体" w:cs="宋体"/>
          <w:sz w:val="21"/>
          <w:szCs w:val="21"/>
        </w:rPr>
      </w:pPr>
      <w:r>
        <w:rPr>
          <w:rFonts w:hint="eastAsia" w:ascii="宋体" w:hAnsi="宋体" w:cs="宋体"/>
          <w:sz w:val="21"/>
          <w:szCs w:val="21"/>
        </w:rPr>
        <w:t xml:space="preserve">                                                    日期：   年   月   日</w:t>
      </w:r>
    </w:p>
    <w:p>
      <w:pPr>
        <w:adjustRightInd w:val="0"/>
        <w:snapToGrid w:val="0"/>
        <w:spacing w:line="360" w:lineRule="auto"/>
        <w:jc w:val="left"/>
        <w:rPr>
          <w:rFonts w:hAnsi="宋体"/>
          <w:b/>
          <w:bCs/>
          <w:sz w:val="24"/>
          <w:szCs w:val="24"/>
        </w:rPr>
      </w:pPr>
    </w:p>
    <w:p>
      <w:pPr>
        <w:rPr>
          <w:b/>
          <w:sz w:val="24"/>
          <w:szCs w:val="24"/>
          <w:lang w:val="zh-CN"/>
        </w:rPr>
      </w:pPr>
      <w:r>
        <w:rPr>
          <w:b/>
          <w:sz w:val="24"/>
          <w:szCs w:val="24"/>
          <w:lang w:val="zh-CN"/>
        </w:rPr>
        <w:br w:type="page"/>
      </w:r>
    </w:p>
    <w:p>
      <w:pPr>
        <w:rPr>
          <w:b/>
          <w:sz w:val="24"/>
          <w:szCs w:val="24"/>
          <w:lang w:val="zh-CN"/>
        </w:rPr>
      </w:pPr>
      <w:r>
        <w:rPr>
          <w:rFonts w:hint="eastAsia"/>
          <w:b/>
          <w:sz w:val="24"/>
          <w:szCs w:val="24"/>
          <w:lang w:val="zh-CN"/>
        </w:rPr>
        <w:t>格式十二：</w:t>
      </w:r>
    </w:p>
    <w:p>
      <w:pPr>
        <w:rPr>
          <w:sz w:val="24"/>
          <w:szCs w:val="24"/>
          <w:lang w:val="zh-CN"/>
        </w:rPr>
      </w:pPr>
    </w:p>
    <w:p>
      <w:pPr>
        <w:spacing w:line="360" w:lineRule="auto"/>
        <w:jc w:val="center"/>
        <w:rPr>
          <w:rFonts w:ascii="宋体" w:hAnsi="宋体"/>
          <w:sz w:val="24"/>
          <w:szCs w:val="24"/>
        </w:rPr>
      </w:pPr>
      <w:r>
        <w:rPr>
          <w:rFonts w:hint="eastAsia" w:ascii="宋体" w:hAnsi="宋体"/>
          <w:sz w:val="24"/>
          <w:szCs w:val="24"/>
        </w:rPr>
        <w:t>服务需求响应表</w:t>
      </w:r>
    </w:p>
    <w:p>
      <w:pPr>
        <w:spacing w:line="360" w:lineRule="auto"/>
        <w:rPr>
          <w:rFonts w:ascii="宋体" w:hAnsi="宋体"/>
          <w:b/>
          <w:sz w:val="24"/>
          <w:szCs w:val="24"/>
        </w:rPr>
      </w:pPr>
      <w:r>
        <w:rPr>
          <w:rFonts w:hint="eastAsia" w:ascii="宋体" w:hAnsi="宋体" w:cs="宋体"/>
          <w:kern w:val="0"/>
          <w:sz w:val="24"/>
          <w:szCs w:val="24"/>
        </w:rPr>
        <w:t>1.服务项目名称：</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5"/>
        <w:gridCol w:w="1666"/>
        <w:gridCol w:w="1292"/>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5" w:type="dxa"/>
            <w:vAlign w:val="center"/>
          </w:tcPr>
          <w:p>
            <w:pPr>
              <w:spacing w:line="360" w:lineRule="auto"/>
              <w:jc w:val="center"/>
              <w:rPr>
                <w:rFonts w:ascii="宋体" w:hAnsi="宋体"/>
                <w:sz w:val="24"/>
                <w:szCs w:val="24"/>
              </w:rPr>
            </w:pPr>
            <w:r>
              <w:rPr>
                <w:rFonts w:hint="eastAsia" w:ascii="宋体" w:hAnsi="宋体"/>
                <w:sz w:val="24"/>
                <w:szCs w:val="24"/>
              </w:rPr>
              <w:t>谈判文件要求服务要求及标准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92"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5"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2"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rPr>
          <w:rFonts w:ascii="宋体" w:hAnsi="宋体"/>
          <w:b/>
          <w:sz w:val="24"/>
          <w:szCs w:val="24"/>
        </w:rPr>
      </w:pPr>
      <w:r>
        <w:rPr>
          <w:rFonts w:hint="eastAsia" w:ascii="宋体" w:hAnsi="宋体" w:cs="宋体"/>
          <w:kern w:val="0"/>
          <w:sz w:val="24"/>
          <w:szCs w:val="24"/>
        </w:rPr>
        <w:t>2. 服务项目名称：：</w:t>
      </w:r>
    </w:p>
    <w:tbl>
      <w:tblPr>
        <w:tblStyle w:val="42"/>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33"/>
        <w:gridCol w:w="1666"/>
        <w:gridCol w:w="1294"/>
        <w:gridCol w:w="2761"/>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编号</w:t>
            </w:r>
          </w:p>
        </w:tc>
        <w:tc>
          <w:tcPr>
            <w:tcW w:w="1933" w:type="dxa"/>
            <w:vAlign w:val="center"/>
          </w:tcPr>
          <w:p>
            <w:pPr>
              <w:spacing w:line="360" w:lineRule="auto"/>
              <w:jc w:val="center"/>
              <w:rPr>
                <w:rFonts w:ascii="宋体" w:hAnsi="宋体"/>
                <w:sz w:val="24"/>
                <w:szCs w:val="24"/>
              </w:rPr>
            </w:pPr>
            <w:r>
              <w:rPr>
                <w:rFonts w:hint="eastAsia" w:ascii="宋体" w:hAnsi="宋体"/>
                <w:sz w:val="24"/>
                <w:szCs w:val="24"/>
              </w:rPr>
              <w:t>谈判文件要求服务要求及标准</w:t>
            </w:r>
          </w:p>
        </w:tc>
        <w:tc>
          <w:tcPr>
            <w:tcW w:w="1666" w:type="dxa"/>
            <w:vAlign w:val="center"/>
          </w:tcPr>
          <w:p>
            <w:pPr>
              <w:spacing w:line="360" w:lineRule="auto"/>
              <w:jc w:val="center"/>
              <w:rPr>
                <w:rFonts w:ascii="宋体" w:hAnsi="宋体"/>
                <w:sz w:val="24"/>
                <w:szCs w:val="24"/>
              </w:rPr>
            </w:pPr>
            <w:r>
              <w:rPr>
                <w:rFonts w:hint="eastAsia" w:ascii="宋体" w:hAnsi="宋体"/>
                <w:sz w:val="24"/>
                <w:szCs w:val="24"/>
              </w:rPr>
              <w:t>供应商提供服务指标</w:t>
            </w:r>
          </w:p>
        </w:tc>
        <w:tc>
          <w:tcPr>
            <w:tcW w:w="1294" w:type="dxa"/>
            <w:vAlign w:val="center"/>
          </w:tcPr>
          <w:p>
            <w:pPr>
              <w:spacing w:line="360" w:lineRule="auto"/>
              <w:jc w:val="center"/>
              <w:rPr>
                <w:rFonts w:ascii="宋体" w:hAnsi="宋体"/>
                <w:sz w:val="24"/>
                <w:szCs w:val="24"/>
              </w:rPr>
            </w:pPr>
            <w:r>
              <w:rPr>
                <w:rFonts w:hint="eastAsia" w:ascii="宋体" w:hAnsi="宋体"/>
                <w:sz w:val="24"/>
                <w:szCs w:val="24"/>
              </w:rPr>
              <w:t>响应</w:t>
            </w:r>
          </w:p>
          <w:p>
            <w:pPr>
              <w:spacing w:line="360" w:lineRule="auto"/>
              <w:jc w:val="center"/>
              <w:rPr>
                <w:rFonts w:ascii="宋体" w:hAnsi="宋体"/>
                <w:sz w:val="24"/>
                <w:szCs w:val="24"/>
              </w:rPr>
            </w:pPr>
            <w:r>
              <w:rPr>
                <w:rFonts w:hint="eastAsia" w:ascii="宋体" w:hAnsi="宋体"/>
                <w:sz w:val="24"/>
                <w:szCs w:val="24"/>
              </w:rPr>
              <w:t>程度</w:t>
            </w:r>
          </w:p>
        </w:tc>
        <w:tc>
          <w:tcPr>
            <w:tcW w:w="2761" w:type="dxa"/>
            <w:vAlign w:val="center"/>
          </w:tcPr>
          <w:p>
            <w:pPr>
              <w:spacing w:line="360" w:lineRule="auto"/>
              <w:jc w:val="center"/>
              <w:rPr>
                <w:rFonts w:ascii="宋体" w:hAnsi="宋体"/>
                <w:sz w:val="24"/>
                <w:szCs w:val="24"/>
              </w:rPr>
            </w:pPr>
            <w:r>
              <w:rPr>
                <w:rFonts w:hint="eastAsia" w:ascii="宋体" w:hAnsi="宋体" w:cs="宋体"/>
                <w:sz w:val="24"/>
                <w:szCs w:val="24"/>
              </w:rPr>
              <w:t>其他要求（如截图、演示要求等）请标明页码</w:t>
            </w:r>
          </w:p>
        </w:tc>
        <w:tc>
          <w:tcPr>
            <w:tcW w:w="1298" w:type="dxa"/>
            <w:vAlign w:val="center"/>
          </w:tcPr>
          <w:p>
            <w:pPr>
              <w:spacing w:line="360" w:lineRule="auto"/>
              <w:jc w:val="center"/>
              <w:rPr>
                <w:rFonts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1</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ind w:left="2201" w:leftChars="786"/>
              <w:rPr>
                <w:rFonts w:ascii="宋体" w:hAnsi="宋体"/>
                <w:sz w:val="24"/>
                <w:szCs w:val="24"/>
              </w:rPr>
            </w:pPr>
          </w:p>
        </w:tc>
        <w:tc>
          <w:tcPr>
            <w:tcW w:w="1298" w:type="dxa"/>
          </w:tcPr>
          <w:p>
            <w:pPr>
              <w:spacing w:line="360" w:lineRule="auto"/>
              <w:ind w:left="2201" w:leftChars="786"/>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76" w:type="dxa"/>
            <w:vAlign w:val="center"/>
          </w:tcPr>
          <w:p>
            <w:pPr>
              <w:spacing w:line="360" w:lineRule="auto"/>
              <w:jc w:val="center"/>
              <w:rPr>
                <w:rFonts w:ascii="宋体" w:hAnsi="宋体"/>
                <w:sz w:val="24"/>
                <w:szCs w:val="24"/>
              </w:rPr>
            </w:pPr>
            <w:r>
              <w:rPr>
                <w:rFonts w:hint="eastAsia" w:ascii="宋体" w:hAnsi="宋体"/>
                <w:sz w:val="24"/>
                <w:szCs w:val="24"/>
              </w:rPr>
              <w:t>2</w:t>
            </w:r>
          </w:p>
        </w:tc>
        <w:tc>
          <w:tcPr>
            <w:tcW w:w="1933" w:type="dxa"/>
            <w:vAlign w:val="center"/>
          </w:tcPr>
          <w:p>
            <w:pPr>
              <w:spacing w:line="360" w:lineRule="auto"/>
              <w:rPr>
                <w:rFonts w:ascii="宋体" w:hAnsi="宋体"/>
                <w:sz w:val="24"/>
                <w:szCs w:val="24"/>
              </w:rPr>
            </w:pPr>
          </w:p>
        </w:tc>
        <w:tc>
          <w:tcPr>
            <w:tcW w:w="1666" w:type="dxa"/>
            <w:vAlign w:val="center"/>
          </w:tcPr>
          <w:p>
            <w:pPr>
              <w:spacing w:line="360" w:lineRule="auto"/>
              <w:rPr>
                <w:rFonts w:ascii="宋体" w:hAnsi="宋体"/>
                <w:sz w:val="24"/>
                <w:szCs w:val="24"/>
              </w:rPr>
            </w:pPr>
          </w:p>
        </w:tc>
        <w:tc>
          <w:tcPr>
            <w:tcW w:w="1294" w:type="dxa"/>
            <w:vAlign w:val="center"/>
          </w:tcPr>
          <w:p>
            <w:pPr>
              <w:spacing w:line="360" w:lineRule="auto"/>
              <w:rPr>
                <w:rFonts w:ascii="宋体" w:hAnsi="宋体"/>
                <w:sz w:val="24"/>
                <w:szCs w:val="24"/>
              </w:rPr>
            </w:pPr>
          </w:p>
        </w:tc>
        <w:tc>
          <w:tcPr>
            <w:tcW w:w="2761" w:type="dxa"/>
            <w:vAlign w:val="center"/>
          </w:tcPr>
          <w:p>
            <w:pPr>
              <w:spacing w:line="360" w:lineRule="auto"/>
              <w:rPr>
                <w:rFonts w:ascii="宋体" w:hAnsi="宋体"/>
                <w:sz w:val="24"/>
                <w:szCs w:val="24"/>
              </w:rPr>
            </w:pPr>
          </w:p>
        </w:tc>
        <w:tc>
          <w:tcPr>
            <w:tcW w:w="1298" w:type="dxa"/>
          </w:tcPr>
          <w:p>
            <w:pPr>
              <w:spacing w:line="360" w:lineRule="auto"/>
              <w:rPr>
                <w:rFonts w:ascii="宋体" w:hAnsi="宋体"/>
                <w:sz w:val="24"/>
                <w:szCs w:val="24"/>
              </w:rPr>
            </w:pPr>
          </w:p>
        </w:tc>
      </w:tr>
    </w:tbl>
    <w:p>
      <w:pPr>
        <w:spacing w:line="360" w:lineRule="auto"/>
        <w:ind w:right="57"/>
        <w:rPr>
          <w:rFonts w:ascii="宋体" w:hAnsi="宋体"/>
          <w:b/>
          <w:bCs/>
          <w:sz w:val="24"/>
          <w:szCs w:val="24"/>
        </w:rPr>
      </w:pPr>
    </w:p>
    <w:p>
      <w:pPr>
        <w:spacing w:line="360" w:lineRule="auto"/>
        <w:ind w:right="57"/>
        <w:rPr>
          <w:rFonts w:ascii="宋体" w:hAnsi="宋体"/>
          <w:sz w:val="24"/>
          <w:szCs w:val="24"/>
        </w:rPr>
      </w:pPr>
      <w:r>
        <w:rPr>
          <w:rFonts w:hint="eastAsia" w:ascii="宋体" w:hAnsi="宋体"/>
          <w:b/>
          <w:bCs/>
          <w:sz w:val="24"/>
          <w:szCs w:val="24"/>
        </w:rPr>
        <w:t>说明</w:t>
      </w:r>
      <w:r>
        <w:rPr>
          <w:rFonts w:hint="eastAsia" w:ascii="宋体" w:hAnsi="宋体"/>
          <w:b/>
          <w:sz w:val="24"/>
          <w:szCs w:val="24"/>
        </w:rPr>
        <w:t>：</w:t>
      </w:r>
    </w:p>
    <w:p>
      <w:pPr>
        <w:spacing w:line="360" w:lineRule="auto"/>
        <w:ind w:right="57" w:firstLine="360" w:firstLineChars="150"/>
        <w:rPr>
          <w:rFonts w:ascii="宋体" w:hAnsi="宋体" w:cs="宋体"/>
          <w:sz w:val="24"/>
          <w:szCs w:val="24"/>
        </w:rPr>
      </w:pPr>
      <w:r>
        <w:rPr>
          <w:rFonts w:hint="eastAsia" w:ascii="宋体" w:hAnsi="宋体" w:cs="宋体"/>
          <w:sz w:val="24"/>
          <w:szCs w:val="24"/>
        </w:rPr>
        <w:t>1. 供应商应按照本谈判文件第四章“服务需求一览表”中的要求，将</w:t>
      </w:r>
      <w:r>
        <w:rPr>
          <w:rFonts w:hint="eastAsia" w:ascii="宋体" w:hAnsi="宋体"/>
          <w:sz w:val="24"/>
          <w:szCs w:val="24"/>
        </w:rPr>
        <w:t>服务要求及标准</w:t>
      </w:r>
      <w:r>
        <w:rPr>
          <w:rFonts w:hint="eastAsia" w:ascii="宋体" w:hAnsi="宋体" w:cs="宋体"/>
          <w:sz w:val="24"/>
          <w:szCs w:val="24"/>
        </w:rPr>
        <w:t>逐一列出，以证明供应商对谈判文件要求的服务内容做出实质性响应。</w:t>
      </w:r>
    </w:p>
    <w:p>
      <w:pPr>
        <w:spacing w:line="360" w:lineRule="auto"/>
        <w:ind w:right="57" w:firstLine="360" w:firstLineChars="150"/>
        <w:rPr>
          <w:rFonts w:ascii="宋体" w:hAnsi="宋体" w:cs="宋体"/>
          <w:sz w:val="24"/>
          <w:szCs w:val="24"/>
        </w:rPr>
      </w:pPr>
      <w:r>
        <w:rPr>
          <w:rFonts w:hint="eastAsia" w:ascii="宋体" w:hAnsi="宋体" w:cs="宋体"/>
          <w:kern w:val="0"/>
          <w:sz w:val="24"/>
          <w:szCs w:val="24"/>
        </w:rPr>
        <w:t>响应文件中的服务指标应达到或优于谈判文件中所列要求。谈判文件中所列服务指标仅列出了最低限度，供应商在提供的服务指标中必须列出具体数值或内容。对谈判文件原文复制或只注明符合、满足等无具体内容的表述，将视为不符合谈判文件要求。</w:t>
      </w:r>
    </w:p>
    <w:p>
      <w:pPr>
        <w:spacing w:line="360" w:lineRule="auto"/>
        <w:ind w:right="57" w:firstLine="360" w:firstLineChars="150"/>
        <w:rPr>
          <w:rFonts w:ascii="宋体" w:hAnsi="宋体" w:cs="宋体"/>
          <w:sz w:val="24"/>
          <w:szCs w:val="24"/>
        </w:rPr>
      </w:pPr>
      <w:r>
        <w:rPr>
          <w:rFonts w:hint="eastAsia" w:ascii="宋体" w:hAnsi="宋体" w:cs="宋体"/>
          <w:sz w:val="24"/>
          <w:szCs w:val="24"/>
        </w:rPr>
        <w:t>2. 此表按照服务项目分别填写，填写时注明服务项目名称。（每一种服务项目须分别填写此表）</w:t>
      </w:r>
    </w:p>
    <w:p>
      <w:pPr>
        <w:spacing w:line="360" w:lineRule="auto"/>
        <w:ind w:right="57" w:firstLine="360" w:firstLineChars="150"/>
        <w:rPr>
          <w:rFonts w:ascii="宋体" w:hAnsi="宋体" w:cs="宋体"/>
          <w:sz w:val="24"/>
          <w:szCs w:val="24"/>
        </w:rPr>
      </w:pPr>
      <w:r>
        <w:rPr>
          <w:rFonts w:hint="eastAsia" w:ascii="宋体" w:hAnsi="宋体" w:cs="宋体"/>
          <w:sz w:val="24"/>
          <w:szCs w:val="24"/>
        </w:rPr>
        <w:t>3.“响应程度”处可填写满足、响应或正偏离、负偏离。</w:t>
      </w:r>
    </w:p>
    <w:p>
      <w:pPr>
        <w:spacing w:line="360" w:lineRule="auto"/>
        <w:ind w:right="57" w:firstLine="360" w:firstLineChars="150"/>
        <w:rPr>
          <w:rFonts w:ascii="宋体" w:hAnsi="宋体" w:cs="宋体"/>
          <w:sz w:val="24"/>
          <w:szCs w:val="24"/>
        </w:rPr>
      </w:pPr>
      <w:r>
        <w:rPr>
          <w:rFonts w:hint="eastAsia" w:ascii="宋体" w:hAnsi="宋体" w:cs="宋体"/>
          <w:sz w:val="24"/>
          <w:szCs w:val="24"/>
        </w:rPr>
        <w:t>4. “备注”处可填写偏离情况的具体说明。</w:t>
      </w:r>
    </w:p>
    <w:p>
      <w:pPr>
        <w:widowControl/>
        <w:rPr>
          <w:sz w:val="21"/>
        </w:rPr>
      </w:pPr>
      <w:r>
        <w:rPr>
          <w:sz w:val="21"/>
        </w:rPr>
        <w:br w:type="page"/>
      </w:r>
    </w:p>
    <w:p>
      <w:pPr>
        <w:widowControl/>
        <w:rPr>
          <w:sz w:val="21"/>
        </w:rPr>
      </w:pPr>
    </w:p>
    <w:p>
      <w:pPr>
        <w:spacing w:line="360" w:lineRule="auto"/>
        <w:rPr>
          <w:rFonts w:ascii="宋体" w:hAnsi="宋体"/>
          <w:b/>
          <w:sz w:val="24"/>
          <w:szCs w:val="24"/>
        </w:rPr>
      </w:pPr>
      <w:r>
        <w:rPr>
          <w:rFonts w:hint="eastAsia"/>
          <w:b/>
          <w:sz w:val="24"/>
        </w:rPr>
        <w:t>格式十三：</w:t>
      </w:r>
    </w:p>
    <w:p>
      <w:pPr>
        <w:spacing w:line="480" w:lineRule="exact"/>
        <w:ind w:firstLine="3465" w:firstLineChars="1650"/>
        <w:rPr>
          <w:rFonts w:ascii="宋体" w:hAnsi="Courier New"/>
          <w:b/>
          <w:snapToGrid w:val="0"/>
          <w:kern w:val="0"/>
          <w:sz w:val="21"/>
          <w:szCs w:val="21"/>
        </w:rPr>
      </w:pPr>
      <w:r>
        <w:rPr>
          <w:rFonts w:hint="eastAsia" w:ascii="宋体" w:hAnsi="Courier New"/>
          <w:snapToGrid w:val="0"/>
          <w:kern w:val="0"/>
          <w:sz w:val="21"/>
          <w:szCs w:val="21"/>
        </w:rPr>
        <w:t>项目服务方案</w:t>
      </w:r>
      <w:r>
        <w:rPr>
          <w:rFonts w:hint="eastAsia" w:ascii="宋体" w:hAnsi="Courier New"/>
          <w:b/>
          <w:snapToGrid w:val="0"/>
          <w:kern w:val="0"/>
          <w:sz w:val="21"/>
          <w:szCs w:val="21"/>
        </w:rPr>
        <w:t>（</w:t>
      </w:r>
      <w:r>
        <w:rPr>
          <w:rFonts w:hint="eastAsia" w:ascii="宋体" w:hAnsi="宋体"/>
          <w:sz w:val="24"/>
          <w:szCs w:val="24"/>
        </w:rPr>
        <w:t>整体实施方案</w:t>
      </w:r>
      <w:r>
        <w:rPr>
          <w:rFonts w:hint="eastAsia" w:ascii="宋体" w:hAnsi="Courier New"/>
          <w:b/>
          <w:snapToGrid w:val="0"/>
          <w:kern w:val="0"/>
          <w:sz w:val="21"/>
          <w:szCs w:val="21"/>
        </w:rPr>
        <w:t>）</w:t>
      </w:r>
    </w:p>
    <w:p>
      <w:pPr>
        <w:spacing w:line="480" w:lineRule="exact"/>
        <w:rPr>
          <w:rFonts w:ascii="宋体" w:hAnsi="Courier New"/>
          <w:snapToGrid w:val="0"/>
          <w:kern w:val="0"/>
          <w:sz w:val="21"/>
          <w:szCs w:val="21"/>
        </w:rPr>
      </w:pPr>
    </w:p>
    <w:p>
      <w:pPr>
        <w:spacing w:line="480" w:lineRule="exact"/>
        <w:rPr>
          <w:rFonts w:ascii="宋体" w:hAnsi="Courier New"/>
          <w:snapToGrid w:val="0"/>
          <w:kern w:val="0"/>
          <w:sz w:val="21"/>
          <w:szCs w:val="21"/>
        </w:rPr>
      </w:pPr>
      <w:r>
        <w:rPr>
          <w:rFonts w:hint="eastAsia" w:ascii="宋体" w:hAnsi="Courier New"/>
          <w:snapToGrid w:val="0"/>
          <w:kern w:val="0"/>
          <w:sz w:val="21"/>
          <w:szCs w:val="21"/>
        </w:rPr>
        <w:t>（由供应商自行编制）</w:t>
      </w:r>
    </w:p>
    <w:p>
      <w:pPr>
        <w:spacing w:line="480" w:lineRule="exac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p>
    <w:p>
      <w:pPr>
        <w:autoSpaceDE w:val="0"/>
        <w:autoSpaceDN w:val="0"/>
        <w:adjustRightInd w:val="0"/>
        <w:spacing w:line="480" w:lineRule="exact"/>
        <w:ind w:firstLine="420" w:firstLineChars="200"/>
        <w:jc w:val="left"/>
        <w:rPr>
          <w:rFonts w:ascii="宋体" w:hAnsi="Courier New"/>
          <w:snapToGrid w:val="0"/>
          <w:kern w:val="0"/>
          <w:sz w:val="21"/>
          <w:szCs w:val="21"/>
        </w:rPr>
      </w:pPr>
      <w:r>
        <w:rPr>
          <w:rFonts w:hint="eastAsia" w:ascii="宋体" w:hAnsi="Courier New"/>
          <w:snapToGrid w:val="0"/>
          <w:kern w:val="0"/>
          <w:sz w:val="21"/>
          <w:szCs w:val="21"/>
        </w:rPr>
        <w:t>注：本部分内容应包含但不限于本谈判文件服务要求的相关的内容。</w:t>
      </w:r>
    </w:p>
    <w:p>
      <w:r>
        <w:br w:type="page"/>
      </w:r>
    </w:p>
    <w:p>
      <w:pPr>
        <w:spacing w:line="360" w:lineRule="auto"/>
        <w:rPr>
          <w:rFonts w:ascii="宋体" w:hAnsi="宋体"/>
          <w:b/>
          <w:sz w:val="24"/>
          <w:szCs w:val="24"/>
        </w:rPr>
      </w:pPr>
      <w:r>
        <w:rPr>
          <w:rFonts w:hint="eastAsia" w:ascii="宋体" w:hAnsi="宋体"/>
          <w:b/>
          <w:bCs/>
          <w:kern w:val="0"/>
          <w:sz w:val="24"/>
          <w:szCs w:val="24"/>
          <w:lang w:val="zh-CN"/>
        </w:rPr>
        <w:t>格式十四：</w:t>
      </w:r>
    </w:p>
    <w:p>
      <w:pPr>
        <w:spacing w:line="360" w:lineRule="auto"/>
        <w:jc w:val="center"/>
        <w:rPr>
          <w:rFonts w:ascii="宋体" w:hAnsi="宋体"/>
          <w:b/>
          <w:bCs/>
          <w:sz w:val="24"/>
          <w:szCs w:val="24"/>
        </w:rPr>
      </w:pPr>
      <w:r>
        <w:rPr>
          <w:rFonts w:hint="eastAsia" w:ascii="宋体" w:hAnsi="宋体"/>
          <w:sz w:val="24"/>
          <w:szCs w:val="24"/>
          <w:lang w:val="zh-CN"/>
        </w:rPr>
        <w:t>商务规格响应表</w:t>
      </w:r>
    </w:p>
    <w:tbl>
      <w:tblPr>
        <w:tblStyle w:val="42"/>
        <w:tblW w:w="8609"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8"/>
        <w:gridCol w:w="2209"/>
        <w:gridCol w:w="2202"/>
        <w:gridCol w:w="1476"/>
        <w:gridCol w:w="180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4"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序号</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谈判文件商务</w:t>
            </w:r>
          </w:p>
          <w:p>
            <w:pPr>
              <w:spacing w:line="360" w:lineRule="auto"/>
              <w:ind w:left="57" w:right="57" w:firstLine="57"/>
              <w:jc w:val="center"/>
              <w:rPr>
                <w:rFonts w:ascii="宋体" w:hAnsi="宋体"/>
                <w:sz w:val="24"/>
                <w:szCs w:val="24"/>
              </w:rPr>
            </w:pPr>
            <w:r>
              <w:rPr>
                <w:rFonts w:hint="eastAsia" w:ascii="宋体" w:hAnsi="宋体"/>
                <w:sz w:val="24"/>
                <w:szCs w:val="24"/>
              </w:rPr>
              <w:t>要求的项目</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供应商响应的</w:t>
            </w:r>
          </w:p>
          <w:p>
            <w:pPr>
              <w:spacing w:line="360" w:lineRule="auto"/>
              <w:jc w:val="center"/>
              <w:rPr>
                <w:rFonts w:ascii="宋体" w:hAnsi="宋体"/>
                <w:sz w:val="24"/>
                <w:szCs w:val="24"/>
              </w:rPr>
            </w:pPr>
            <w:r>
              <w:rPr>
                <w:rFonts w:hint="eastAsia" w:ascii="宋体" w:hAnsi="宋体"/>
                <w:sz w:val="24"/>
                <w:szCs w:val="24"/>
              </w:rPr>
              <w:t>商务项目</w:t>
            </w: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响应程度</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w:t>
            </w:r>
          </w:p>
        </w:tc>
        <w:tc>
          <w:tcPr>
            <w:tcW w:w="22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服务时间</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2</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服务地点</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1"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3</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投标有效期</w:t>
            </w:r>
          </w:p>
        </w:tc>
        <w:tc>
          <w:tcPr>
            <w:tcW w:w="2202"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 w:hRule="atLeast"/>
        </w:trPr>
        <w:tc>
          <w:tcPr>
            <w:tcW w:w="91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4</w:t>
            </w:r>
          </w:p>
        </w:tc>
        <w:tc>
          <w:tcPr>
            <w:tcW w:w="2209" w:type="dxa"/>
            <w:tcBorders>
              <w:top w:val="single" w:color="auto" w:sz="4" w:space="0"/>
              <w:left w:val="single" w:color="auto" w:sz="4" w:space="0"/>
              <w:bottom w:val="single" w:color="auto" w:sz="4" w:space="0"/>
              <w:right w:val="single" w:color="auto" w:sz="4" w:space="0"/>
            </w:tcBorders>
            <w:vAlign w:val="center"/>
          </w:tcPr>
          <w:p>
            <w:pPr>
              <w:pStyle w:val="66"/>
              <w:ind w:firstLine="0" w:firstLineChars="0"/>
              <w:jc w:val="center"/>
              <w:rPr>
                <w:rFonts w:ascii="宋体" w:hAnsi="宋体"/>
                <w:sz w:val="24"/>
                <w:szCs w:val="24"/>
              </w:rPr>
            </w:pPr>
            <w:r>
              <w:rPr>
                <w:rFonts w:hint="eastAsia" w:ascii="宋体" w:hAnsi="宋体"/>
                <w:sz w:val="24"/>
                <w:szCs w:val="24"/>
              </w:rPr>
              <w:t>付款方式</w:t>
            </w:r>
          </w:p>
        </w:tc>
        <w:tc>
          <w:tcPr>
            <w:tcW w:w="220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p>
        </w:tc>
      </w:tr>
    </w:tbl>
    <w:p>
      <w:pPr>
        <w:spacing w:line="360" w:lineRule="auto"/>
        <w:ind w:right="57" w:firstLine="361" w:firstLineChars="150"/>
        <w:rPr>
          <w:rFonts w:ascii="宋体" w:hAnsi="宋体"/>
          <w:sz w:val="24"/>
          <w:szCs w:val="24"/>
        </w:rPr>
      </w:pPr>
      <w:r>
        <w:rPr>
          <w:rFonts w:hint="eastAsia" w:ascii="宋体" w:hAnsi="宋体"/>
          <w:b/>
          <w:sz w:val="24"/>
          <w:szCs w:val="24"/>
        </w:rPr>
        <w:t>说明：</w:t>
      </w:r>
      <w:r>
        <w:rPr>
          <w:rFonts w:hint="eastAsia" w:ascii="宋体" w:hAnsi="宋体" w:cs="宋体"/>
          <w:sz w:val="24"/>
          <w:szCs w:val="24"/>
        </w:rPr>
        <w:t>“响应程度”处可填写满足、响应或正偏离、负偏离。</w:t>
      </w:r>
    </w:p>
    <w:p>
      <w:pPr>
        <w:spacing w:line="360" w:lineRule="auto"/>
        <w:rPr>
          <w:rFonts w:ascii="宋体" w:hAnsi="宋体"/>
          <w:b/>
          <w:sz w:val="24"/>
          <w:szCs w:val="24"/>
        </w:rPr>
      </w:pPr>
      <w:r>
        <w:rPr>
          <w:rFonts w:ascii="宋体" w:hAnsi="宋体"/>
          <w:b/>
          <w:sz w:val="24"/>
          <w:szCs w:val="24"/>
        </w:rPr>
        <w:br w:type="page"/>
      </w:r>
    </w:p>
    <w:p>
      <w:pPr>
        <w:spacing w:line="360" w:lineRule="auto"/>
        <w:rPr>
          <w:rFonts w:ascii="宋体" w:hAnsi="宋体"/>
          <w:b/>
          <w:sz w:val="24"/>
          <w:szCs w:val="24"/>
        </w:rPr>
      </w:pPr>
      <w:r>
        <w:rPr>
          <w:rFonts w:hint="eastAsia" w:ascii="宋体" w:hAnsi="宋体"/>
          <w:b/>
          <w:sz w:val="24"/>
          <w:szCs w:val="24"/>
        </w:rPr>
        <w:t xml:space="preserve">格式十五：               </w:t>
      </w:r>
    </w:p>
    <w:p>
      <w:pPr>
        <w:spacing w:line="360" w:lineRule="auto"/>
        <w:jc w:val="center"/>
        <w:rPr>
          <w:rFonts w:ascii="宋体" w:hAnsi="宋体"/>
          <w:b/>
          <w:sz w:val="24"/>
          <w:szCs w:val="24"/>
        </w:rPr>
      </w:pPr>
      <w:r>
        <w:rPr>
          <w:rFonts w:hint="eastAsia" w:ascii="宋体" w:hAnsi="宋体"/>
          <w:sz w:val="24"/>
          <w:szCs w:val="24"/>
        </w:rPr>
        <w:t>供应商业绩情况表</w:t>
      </w:r>
    </w:p>
    <w:tbl>
      <w:tblPr>
        <w:tblStyle w:val="42"/>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057"/>
        <w:gridCol w:w="3539"/>
        <w:gridCol w:w="1708"/>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1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序号</w:t>
            </w:r>
          </w:p>
        </w:tc>
        <w:tc>
          <w:tcPr>
            <w:tcW w:w="2057"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使用单位</w:t>
            </w:r>
          </w:p>
        </w:tc>
        <w:tc>
          <w:tcPr>
            <w:tcW w:w="3539"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业绩名称</w:t>
            </w:r>
          </w:p>
        </w:tc>
        <w:tc>
          <w:tcPr>
            <w:tcW w:w="1708"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合同总价</w:t>
            </w:r>
          </w:p>
        </w:tc>
        <w:tc>
          <w:tcPr>
            <w:tcW w:w="1706" w:type="dxa"/>
            <w:shd w:val="clear" w:color="auto" w:fill="auto"/>
            <w:vAlign w:val="center"/>
          </w:tcPr>
          <w:p>
            <w:pPr>
              <w:spacing w:line="360" w:lineRule="auto"/>
              <w:jc w:val="center"/>
              <w:rPr>
                <w:rFonts w:ascii="宋体" w:hAnsi="宋体"/>
                <w:sz w:val="24"/>
                <w:szCs w:val="24"/>
              </w:rPr>
            </w:pPr>
            <w:r>
              <w:rPr>
                <w:rFonts w:hint="eastAsia" w:ascii="宋体" w:hAnsi="宋体"/>
                <w:sz w:val="24"/>
                <w:szCs w:val="24"/>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1</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2</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3</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hint="eastAsia" w:ascii="宋体" w:hAnsi="宋体"/>
                <w:kern w:val="0"/>
                <w:sz w:val="24"/>
                <w:szCs w:val="24"/>
                <w:lang w:val="zh-CN"/>
              </w:rPr>
              <w:t>4</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618" w:type="dxa"/>
            <w:shd w:val="clear" w:color="auto" w:fill="auto"/>
            <w:vAlign w:val="center"/>
          </w:tcPr>
          <w:p>
            <w:pPr>
              <w:spacing w:line="360" w:lineRule="auto"/>
              <w:jc w:val="center"/>
              <w:rPr>
                <w:rFonts w:ascii="宋体" w:hAnsi="宋体"/>
                <w:kern w:val="0"/>
                <w:sz w:val="24"/>
                <w:szCs w:val="24"/>
                <w:lang w:val="zh-CN"/>
              </w:rPr>
            </w:pPr>
            <w:r>
              <w:rPr>
                <w:rFonts w:ascii="宋体" w:hAnsi="宋体"/>
                <w:kern w:val="0"/>
                <w:sz w:val="24"/>
                <w:szCs w:val="24"/>
                <w:lang w:val="zh-CN"/>
              </w:rPr>
              <w:t>…</w:t>
            </w:r>
          </w:p>
        </w:tc>
        <w:tc>
          <w:tcPr>
            <w:tcW w:w="2057" w:type="dxa"/>
            <w:shd w:val="clear" w:color="auto" w:fill="auto"/>
          </w:tcPr>
          <w:p>
            <w:pPr>
              <w:spacing w:line="360" w:lineRule="auto"/>
              <w:jc w:val="center"/>
              <w:rPr>
                <w:rFonts w:ascii="宋体" w:hAnsi="宋体"/>
                <w:kern w:val="0"/>
                <w:sz w:val="24"/>
                <w:szCs w:val="24"/>
                <w:lang w:val="zh-CN"/>
              </w:rPr>
            </w:pPr>
          </w:p>
        </w:tc>
        <w:tc>
          <w:tcPr>
            <w:tcW w:w="3539" w:type="dxa"/>
            <w:shd w:val="clear" w:color="auto" w:fill="auto"/>
            <w:vAlign w:val="center"/>
          </w:tcPr>
          <w:p>
            <w:pPr>
              <w:spacing w:line="360" w:lineRule="auto"/>
              <w:jc w:val="center"/>
              <w:rPr>
                <w:rFonts w:ascii="宋体" w:hAnsi="宋体"/>
                <w:kern w:val="0"/>
                <w:sz w:val="24"/>
                <w:szCs w:val="24"/>
                <w:lang w:val="zh-CN"/>
              </w:rPr>
            </w:pPr>
          </w:p>
        </w:tc>
        <w:tc>
          <w:tcPr>
            <w:tcW w:w="1708" w:type="dxa"/>
            <w:shd w:val="clear" w:color="auto" w:fill="auto"/>
            <w:vAlign w:val="center"/>
          </w:tcPr>
          <w:p>
            <w:pPr>
              <w:spacing w:line="360" w:lineRule="auto"/>
              <w:jc w:val="center"/>
              <w:rPr>
                <w:rFonts w:ascii="宋体" w:hAnsi="宋体"/>
                <w:kern w:val="0"/>
                <w:sz w:val="24"/>
                <w:szCs w:val="24"/>
                <w:lang w:val="zh-CN"/>
              </w:rPr>
            </w:pPr>
          </w:p>
        </w:tc>
        <w:tc>
          <w:tcPr>
            <w:tcW w:w="1706" w:type="dxa"/>
            <w:shd w:val="clear" w:color="auto" w:fill="auto"/>
            <w:vAlign w:val="center"/>
          </w:tcPr>
          <w:p>
            <w:pPr>
              <w:spacing w:line="360" w:lineRule="auto"/>
              <w:jc w:val="center"/>
              <w:rPr>
                <w:rFonts w:ascii="宋体" w:hAnsi="宋体"/>
                <w:kern w:val="0"/>
                <w:sz w:val="24"/>
                <w:szCs w:val="24"/>
                <w:lang w:val="zh-CN"/>
              </w:rPr>
            </w:pPr>
          </w:p>
        </w:tc>
      </w:tr>
    </w:tbl>
    <w:p>
      <w:pPr>
        <w:rPr>
          <w:rFonts w:ascii="宋体" w:hAnsi="宋体"/>
          <w:sz w:val="24"/>
          <w:szCs w:val="24"/>
          <w:lang w:val="zh-CN"/>
        </w:rPr>
      </w:pPr>
      <w:r>
        <w:rPr>
          <w:rFonts w:hint="eastAsia" w:ascii="宋体" w:hAnsi="宋体"/>
          <w:sz w:val="24"/>
          <w:szCs w:val="24"/>
          <w:lang w:val="zh-CN"/>
        </w:rPr>
        <w:t>注：供应商根据上述业绩情况后附</w:t>
      </w:r>
      <w:r>
        <w:rPr>
          <w:rFonts w:hint="eastAsia" w:ascii="宋体" w:hAnsi="宋体"/>
          <w:sz w:val="24"/>
          <w:szCs w:val="24"/>
        </w:rPr>
        <w:t>销售或服务</w:t>
      </w:r>
      <w:r>
        <w:rPr>
          <w:rFonts w:ascii="宋体" w:hAnsi="宋体"/>
          <w:sz w:val="24"/>
          <w:szCs w:val="24"/>
        </w:rPr>
        <w:t>合同</w:t>
      </w:r>
      <w:r>
        <w:rPr>
          <w:rFonts w:hint="eastAsia" w:ascii="宋体" w:hAnsi="宋体"/>
          <w:sz w:val="24"/>
          <w:szCs w:val="24"/>
          <w:lang w:val="zh-CN"/>
        </w:rPr>
        <w:t>复印件。</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格式十六：              </w:t>
      </w:r>
    </w:p>
    <w:p>
      <w:pPr>
        <w:spacing w:line="360" w:lineRule="auto"/>
        <w:jc w:val="center"/>
        <w:rPr>
          <w:rFonts w:ascii="宋体" w:hAnsi="宋体"/>
          <w:b/>
          <w:sz w:val="24"/>
          <w:szCs w:val="24"/>
        </w:rPr>
      </w:pPr>
      <w:r>
        <w:rPr>
          <w:rFonts w:hint="eastAsia" w:ascii="宋体" w:hAnsi="宋体"/>
          <w:sz w:val="24"/>
          <w:szCs w:val="24"/>
          <w:lang w:val="zh-CN"/>
        </w:rPr>
        <w:t>供应商基本情况表</w:t>
      </w:r>
    </w:p>
    <w:tbl>
      <w:tblPr>
        <w:tblStyle w:val="42"/>
        <w:tblW w:w="942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72"/>
        <w:gridCol w:w="2261"/>
        <w:gridCol w:w="1441"/>
        <w:gridCol w:w="34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ind w:firstLine="360" w:firstLineChars="150"/>
              <w:rPr>
                <w:rFonts w:ascii="宋体" w:hAnsi="宋体"/>
                <w:sz w:val="24"/>
                <w:szCs w:val="24"/>
              </w:rPr>
            </w:pPr>
            <w:r>
              <w:rPr>
                <w:rFonts w:hint="eastAsia" w:ascii="宋体" w:hAnsi="宋体"/>
                <w:sz w:val="24"/>
                <w:szCs w:val="24"/>
              </w:rPr>
              <w:t xml:space="preserve">   供应商名称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注册资金</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注册地</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注册时间</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法定代表人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技术负责人</w:t>
            </w:r>
          </w:p>
        </w:tc>
        <w:tc>
          <w:tcPr>
            <w:tcW w:w="226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c>
          <w:tcPr>
            <w:tcW w:w="144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联系电话</w:t>
            </w:r>
          </w:p>
        </w:tc>
        <w:tc>
          <w:tcPr>
            <w:tcW w:w="3454"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67" w:hRule="atLeast"/>
          <w:jc w:val="center"/>
        </w:trPr>
        <w:tc>
          <w:tcPr>
            <w:tcW w:w="2272"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r>
              <w:rPr>
                <w:rFonts w:hint="eastAsia" w:ascii="宋体" w:hAnsi="宋体"/>
                <w:sz w:val="24"/>
                <w:szCs w:val="24"/>
              </w:rPr>
              <w:t>开户银行账号</w:t>
            </w:r>
          </w:p>
        </w:tc>
        <w:tc>
          <w:tcPr>
            <w:tcW w:w="7156" w:type="dxa"/>
            <w:gridSpan w:val="3"/>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77" w:hRule="atLeast"/>
          <w:jc w:val="center"/>
        </w:trPr>
        <w:tc>
          <w:tcPr>
            <w:tcW w:w="9428"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主营范围：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703" w:hRule="atLeast"/>
          <w:jc w:val="center"/>
        </w:trPr>
        <w:tc>
          <w:tcPr>
            <w:tcW w:w="9428" w:type="dxa"/>
            <w:gridSpan w:val="4"/>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ascii="宋体" w:hAnsi="宋体"/>
                <w:sz w:val="24"/>
                <w:szCs w:val="24"/>
              </w:rPr>
            </w:pPr>
            <w:r>
              <w:rPr>
                <w:rFonts w:hint="eastAsia" w:ascii="宋体" w:hAnsi="宋体"/>
                <w:sz w:val="24"/>
                <w:szCs w:val="24"/>
              </w:rPr>
              <w:t>企业资质：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2" w:hRule="atLeast"/>
          <w:jc w:val="center"/>
        </w:trPr>
        <w:tc>
          <w:tcPr>
            <w:tcW w:w="9428" w:type="dxa"/>
            <w:gridSpan w:val="4"/>
            <w:tcBorders>
              <w:top w:val="single" w:color="auto" w:sz="4" w:space="0"/>
              <w:left w:val="single" w:color="auto" w:sz="6" w:space="0"/>
              <w:bottom w:val="single" w:color="auto" w:sz="6" w:space="0"/>
              <w:right w:val="single" w:color="auto" w:sz="6" w:space="0"/>
            </w:tcBorders>
            <w:vAlign w:val="center"/>
          </w:tcPr>
          <w:p>
            <w:pPr>
              <w:spacing w:line="360" w:lineRule="auto"/>
              <w:rPr>
                <w:rFonts w:ascii="宋体" w:hAnsi="宋体"/>
                <w:b/>
                <w:sz w:val="24"/>
                <w:szCs w:val="24"/>
                <w:lang w:val="zh-CN"/>
              </w:rPr>
            </w:pPr>
            <w:r>
              <w:rPr>
                <w:rFonts w:hint="eastAsia" w:ascii="宋体" w:hAnsi="宋体"/>
                <w:b/>
                <w:sz w:val="24"/>
                <w:szCs w:val="24"/>
              </w:rPr>
              <w:t>注：投标单位须在该表后附</w:t>
            </w:r>
            <w:r>
              <w:rPr>
                <w:rFonts w:hint="eastAsia" w:ascii="宋体" w:hAnsi="宋体" w:cs="宋体"/>
                <w:b/>
                <w:bCs/>
                <w:sz w:val="24"/>
                <w:szCs w:val="24"/>
              </w:rPr>
              <w:t>法人或其他组织的营业执照副本、自然人的身份证明</w:t>
            </w:r>
            <w:r>
              <w:rPr>
                <w:rFonts w:hint="eastAsia" w:ascii="宋体" w:hAnsi="宋体"/>
                <w:b/>
                <w:sz w:val="24"/>
                <w:szCs w:val="24"/>
              </w:rPr>
              <w:t>及招标公告中供应商资质要求的其他资质证明等</w:t>
            </w:r>
            <w:r>
              <w:rPr>
                <w:rFonts w:hint="eastAsia" w:ascii="宋体" w:hAnsi="宋体"/>
                <w:b/>
                <w:sz w:val="24"/>
                <w:szCs w:val="24"/>
                <w:lang w:val="zh-CN"/>
              </w:rPr>
              <w:t>。</w:t>
            </w:r>
          </w:p>
        </w:tc>
      </w:tr>
    </w:tbl>
    <w:p>
      <w:pPr>
        <w:spacing w:line="360" w:lineRule="auto"/>
        <w:rPr>
          <w:rFonts w:ascii="宋体" w:hAnsi="宋体"/>
          <w:b/>
          <w:sz w:val="24"/>
          <w:szCs w:val="24"/>
        </w:rPr>
      </w:pPr>
      <w:r>
        <w:rPr>
          <w:rFonts w:hint="eastAsia" w:ascii="宋体" w:hAnsi="宋体"/>
          <w:b/>
          <w:sz w:val="24"/>
          <w:szCs w:val="24"/>
        </w:rPr>
        <w:t>说明：</w:t>
      </w:r>
    </w:p>
    <w:p>
      <w:pPr>
        <w:ind w:firstLine="480" w:firstLineChars="200"/>
        <w:rPr>
          <w:rFonts w:ascii="宋体" w:hAnsi="宋体"/>
          <w:sz w:val="24"/>
          <w:szCs w:val="24"/>
        </w:rPr>
      </w:pPr>
      <w:r>
        <w:rPr>
          <w:rFonts w:hint="eastAsia" w:ascii="宋体" w:hAnsi="宋体"/>
          <w:sz w:val="24"/>
          <w:szCs w:val="24"/>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pPr>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 xml:space="preserve">格式十七：          </w:t>
      </w:r>
    </w:p>
    <w:p>
      <w:pPr>
        <w:spacing w:line="360" w:lineRule="auto"/>
        <w:jc w:val="center"/>
        <w:rPr>
          <w:rFonts w:ascii="宋体" w:hAnsi="宋体"/>
          <w:sz w:val="24"/>
          <w:szCs w:val="24"/>
        </w:rPr>
      </w:pPr>
      <w:r>
        <w:rPr>
          <w:rFonts w:hint="eastAsia" w:ascii="宋体" w:hAnsi="宋体"/>
          <w:sz w:val="24"/>
          <w:szCs w:val="24"/>
        </w:rPr>
        <w:t>上一年度财务会计制度</w:t>
      </w:r>
    </w:p>
    <w:p>
      <w:pPr>
        <w:spacing w:line="360" w:lineRule="auto"/>
        <w:rPr>
          <w:rFonts w:ascii="宋体" w:hAnsi="宋体"/>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按照本招标文件第六章资格性审查的要求，提供供应商的财务审计报告或资信证明。</w:t>
      </w:r>
    </w:p>
    <w:p>
      <w:pPr>
        <w:spacing w:line="360" w:lineRule="auto"/>
        <w:rPr>
          <w:rFonts w:ascii="宋体" w:hAnsi="宋体"/>
          <w:b/>
          <w:sz w:val="24"/>
          <w:szCs w:val="24"/>
        </w:rPr>
      </w:pPr>
      <w:r>
        <w:rPr>
          <w:rFonts w:hint="eastAsia" w:ascii="宋体" w:hAnsi="宋体"/>
          <w:b/>
          <w:sz w:val="24"/>
          <w:szCs w:val="24"/>
        </w:rPr>
        <w:t>说明：</w:t>
      </w:r>
    </w:p>
    <w:p>
      <w:pPr>
        <w:spacing w:line="360" w:lineRule="auto"/>
        <w:rPr>
          <w:rFonts w:ascii="宋体" w:hAnsi="宋体"/>
          <w:sz w:val="24"/>
          <w:szCs w:val="24"/>
        </w:rPr>
      </w:pPr>
      <w:bookmarkStart w:id="32" w:name="_Toc438714732"/>
      <w:bookmarkStart w:id="33" w:name="_Toc482026556"/>
      <w:bookmarkStart w:id="34" w:name="_Toc438655702"/>
      <w:r>
        <w:rPr>
          <w:rFonts w:hint="eastAsia" w:ascii="宋体" w:hAnsi="宋体"/>
          <w:sz w:val="24"/>
          <w:szCs w:val="24"/>
        </w:rPr>
        <w:t>1.提供供应商财务审计报告的，须提供会计师事务所出具的经审计的财务报告。</w:t>
      </w:r>
    </w:p>
    <w:p>
      <w:pPr>
        <w:rPr>
          <w:rFonts w:ascii="宋体" w:hAnsi="宋体"/>
          <w:sz w:val="24"/>
          <w:szCs w:val="24"/>
        </w:rPr>
      </w:pPr>
      <w:r>
        <w:rPr>
          <w:rFonts w:hint="eastAsia" w:ascii="宋体" w:hAnsi="宋体"/>
          <w:sz w:val="24"/>
          <w:szCs w:val="24"/>
        </w:rPr>
        <w:t>2.提供供应商银行资信证明的，同时提供基本开户银行的开户许可证。</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格式十八：</w:t>
      </w:r>
      <w:bookmarkEnd w:id="32"/>
      <w:bookmarkEnd w:id="33"/>
      <w:bookmarkEnd w:id="34"/>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bookmarkStart w:id="35" w:name="_Toc482026557"/>
      <w:bookmarkStart w:id="36" w:name="_Toc438714733"/>
      <w:bookmarkStart w:id="37" w:name="_Toc438655703"/>
      <w:r>
        <w:rPr>
          <w:rFonts w:hint="eastAsia" w:ascii="宋体" w:hAnsi="宋体"/>
          <w:sz w:val="24"/>
          <w:szCs w:val="24"/>
        </w:rPr>
        <w:t>依法缴纳税收的凭据</w:t>
      </w:r>
    </w:p>
    <w:p>
      <w:pPr>
        <w:autoSpaceDE w:val="0"/>
        <w:autoSpaceDN w:val="0"/>
        <w:spacing w:line="360" w:lineRule="auto"/>
        <w:jc w:val="center"/>
        <w:rPr>
          <w:rFonts w:ascii="宋体" w:hAnsi="宋体"/>
          <w:b/>
          <w:sz w:val="24"/>
          <w:szCs w:val="24"/>
        </w:rPr>
      </w:pPr>
    </w:p>
    <w:p>
      <w:pPr>
        <w:autoSpaceDE w:val="0"/>
        <w:autoSpaceDN w:val="0"/>
        <w:spacing w:line="360" w:lineRule="auto"/>
        <w:ind w:firstLine="570"/>
        <w:jc w:val="left"/>
        <w:rPr>
          <w:rFonts w:ascii="宋体" w:hAnsi="宋体"/>
          <w:sz w:val="24"/>
          <w:szCs w:val="24"/>
        </w:rPr>
      </w:pPr>
      <w:r>
        <w:rPr>
          <w:rFonts w:hint="eastAsia" w:ascii="宋体" w:hAnsi="宋体"/>
          <w:sz w:val="24"/>
          <w:szCs w:val="24"/>
        </w:rPr>
        <w:t>提供递交响应文件截止之日前6个月内（至少一个月）的良好缴纳税收的相关凭据。</w:t>
      </w:r>
      <w:r>
        <w:rPr>
          <w:rFonts w:hint="eastAsia" w:ascii="宋体" w:hAnsi="宋体" w:cs="宋体"/>
          <w:sz w:val="24"/>
          <w:szCs w:val="24"/>
        </w:rPr>
        <w:t>（以税务机关提供的纳税凭据或银行入账单为准）</w:t>
      </w:r>
    </w:p>
    <w:p>
      <w:pPr>
        <w:autoSpaceDE w:val="0"/>
        <w:autoSpaceDN w:val="0"/>
        <w:spacing w:line="360" w:lineRule="auto"/>
        <w:rPr>
          <w:rFonts w:ascii="宋体" w:hAnsi="宋体"/>
          <w:b/>
          <w:sz w:val="24"/>
          <w:szCs w:val="24"/>
        </w:rPr>
      </w:pPr>
      <w:r>
        <w:rPr>
          <w:rFonts w:ascii="宋体" w:hAnsi="宋体"/>
          <w:b/>
          <w:sz w:val="24"/>
          <w:szCs w:val="24"/>
        </w:rPr>
        <w:br w:type="page"/>
      </w:r>
      <w:r>
        <w:rPr>
          <w:rFonts w:hint="eastAsia" w:ascii="宋体" w:hAnsi="宋体"/>
          <w:b/>
          <w:sz w:val="24"/>
          <w:szCs w:val="24"/>
        </w:rPr>
        <w:t>格式十九：</w:t>
      </w:r>
      <w:bookmarkEnd w:id="35"/>
      <w:bookmarkEnd w:id="36"/>
      <w:bookmarkEnd w:id="37"/>
      <w:r>
        <w:rPr>
          <w:rFonts w:hint="eastAsia" w:ascii="宋体" w:hAnsi="宋体"/>
          <w:b/>
          <w:sz w:val="24"/>
          <w:szCs w:val="24"/>
        </w:rPr>
        <w:t xml:space="preserve">            </w:t>
      </w:r>
    </w:p>
    <w:p>
      <w:pPr>
        <w:autoSpaceDE w:val="0"/>
        <w:autoSpaceDN w:val="0"/>
        <w:spacing w:line="360" w:lineRule="auto"/>
        <w:jc w:val="center"/>
        <w:rPr>
          <w:rFonts w:ascii="宋体" w:hAnsi="宋体"/>
          <w:sz w:val="24"/>
          <w:szCs w:val="24"/>
        </w:rPr>
      </w:pPr>
      <w:r>
        <w:rPr>
          <w:rFonts w:hint="eastAsia" w:ascii="宋体" w:hAnsi="宋体"/>
          <w:sz w:val="24"/>
          <w:szCs w:val="24"/>
        </w:rPr>
        <w:t>依法缴纳社会保险的凭据</w:t>
      </w:r>
    </w:p>
    <w:p>
      <w:pPr>
        <w:autoSpaceDE w:val="0"/>
        <w:autoSpaceDN w:val="0"/>
        <w:spacing w:line="360" w:lineRule="auto"/>
        <w:rPr>
          <w:rFonts w:ascii="宋体" w:hAnsi="宋体"/>
          <w:b/>
          <w:sz w:val="24"/>
          <w:szCs w:val="24"/>
        </w:rPr>
      </w:pPr>
    </w:p>
    <w:p>
      <w:pPr>
        <w:spacing w:line="360" w:lineRule="auto"/>
        <w:ind w:firstLine="480" w:firstLineChars="200"/>
        <w:rPr>
          <w:sz w:val="24"/>
          <w:szCs w:val="24"/>
        </w:rPr>
      </w:pPr>
      <w:r>
        <w:rPr>
          <w:rFonts w:hint="eastAsia" w:ascii="宋体" w:hAnsi="宋体"/>
          <w:sz w:val="24"/>
          <w:szCs w:val="24"/>
        </w:rPr>
        <w:t>提供递交响应文件截止之日前6月内（至少一个月）缴纳社会保险的凭证。（以社保机构出具的专用收据或社会保险缴纳清单为准）</w:t>
      </w:r>
    </w:p>
    <w:p>
      <w:pPr>
        <w:spacing w:line="360" w:lineRule="auto"/>
        <w:ind w:firstLine="480" w:firstLineChars="200"/>
        <w:rPr>
          <w:sz w:val="24"/>
          <w:szCs w:val="24"/>
        </w:rPr>
      </w:pPr>
    </w:p>
    <w:p>
      <w:pPr>
        <w:ind w:firstLine="480" w:firstLineChars="200"/>
        <w:rPr>
          <w:sz w:val="24"/>
          <w:szCs w:val="24"/>
        </w:rPr>
      </w:pPr>
      <w:r>
        <w:rPr>
          <w:sz w:val="24"/>
          <w:szCs w:val="24"/>
        </w:rPr>
        <w:br w:type="page"/>
      </w:r>
    </w:p>
    <w:p>
      <w:pPr>
        <w:spacing w:line="360" w:lineRule="auto"/>
        <w:rPr>
          <w:rFonts w:ascii="宋体" w:hAnsi="宋体"/>
          <w:b/>
          <w:sz w:val="24"/>
          <w:szCs w:val="24"/>
        </w:rPr>
      </w:pPr>
      <w:r>
        <w:rPr>
          <w:rFonts w:hint="eastAsia" w:ascii="宋体" w:hAnsi="宋体"/>
          <w:b/>
          <w:sz w:val="24"/>
          <w:szCs w:val="24"/>
        </w:rPr>
        <w:t>格式二十：</w:t>
      </w:r>
    </w:p>
    <w:p>
      <w:pPr>
        <w:rPr>
          <w:sz w:val="24"/>
          <w:szCs w:val="24"/>
        </w:rPr>
      </w:pPr>
    </w:p>
    <w:p>
      <w:pPr>
        <w:ind w:firstLine="1440" w:firstLineChars="600"/>
        <w:rPr>
          <w:rFonts w:ascii="宋体" w:hAnsi="宋体" w:cs="宋体"/>
          <w:kern w:val="0"/>
          <w:sz w:val="24"/>
          <w:szCs w:val="24"/>
        </w:rPr>
      </w:pPr>
      <w:r>
        <w:rPr>
          <w:rFonts w:hint="eastAsia" w:ascii="宋体" w:hAnsi="宋体" w:cs="宋体"/>
          <w:kern w:val="0"/>
          <w:sz w:val="24"/>
          <w:szCs w:val="24"/>
        </w:rPr>
        <w:t>参加政府采购前三年内在经营活动中无重大违法记录书面声明</w:t>
      </w:r>
    </w:p>
    <w:p>
      <w:pPr>
        <w:ind w:firstLine="1440" w:firstLineChars="600"/>
        <w:rPr>
          <w:rFonts w:ascii="宋体" w:hAnsi="宋体" w:cs="宋体"/>
          <w:kern w:val="0"/>
          <w:sz w:val="24"/>
          <w:szCs w:val="24"/>
        </w:rPr>
      </w:pPr>
    </w:p>
    <w:p>
      <w:pPr>
        <w:autoSpaceDE w:val="0"/>
        <w:autoSpaceDN w:val="0"/>
        <w:spacing w:line="360" w:lineRule="auto"/>
        <w:jc w:val="left"/>
        <w:rPr>
          <w:rFonts w:ascii="宋体" w:hAnsi="宋体" w:cs="宋体"/>
          <w:kern w:val="0"/>
          <w:sz w:val="24"/>
          <w:szCs w:val="24"/>
        </w:rPr>
      </w:pPr>
      <w:r>
        <w:rPr>
          <w:rFonts w:hint="eastAsia" w:ascii="宋体" w:hAnsi="宋体" w:cs="宋体"/>
          <w:kern w:val="0"/>
          <w:sz w:val="24"/>
          <w:szCs w:val="24"/>
        </w:rPr>
        <w:t>鄂尔多斯市杭锦旗公共资源交易中心：</w:t>
      </w:r>
    </w:p>
    <w:p>
      <w:pPr>
        <w:tabs>
          <w:tab w:val="left" w:pos="8820"/>
        </w:tabs>
        <w:autoSpaceDE w:val="0"/>
        <w:autoSpaceDN w:val="0"/>
        <w:spacing w:line="360" w:lineRule="auto"/>
        <w:ind w:firstLine="560"/>
        <w:rPr>
          <w:rFonts w:ascii="宋体" w:hAnsi="宋体" w:cs="宋体"/>
          <w:kern w:val="0"/>
          <w:sz w:val="24"/>
          <w:szCs w:val="24"/>
        </w:rPr>
      </w:pPr>
      <w:r>
        <w:rPr>
          <w:rFonts w:hint="eastAsia" w:ascii="宋体" w:hAnsi="宋体" w:cs="宋体"/>
          <w:kern w:val="0"/>
          <w:sz w:val="24"/>
          <w:szCs w:val="24"/>
        </w:rPr>
        <w:t>我公司自愿参加本次政府采购活动（项目名称</w:t>
      </w:r>
      <w:r>
        <w:rPr>
          <w:rFonts w:hint="eastAsia" w:ascii="宋体" w:hAnsi="宋体" w:cs="宋体"/>
          <w:kern w:val="0"/>
          <w:sz w:val="24"/>
          <w:szCs w:val="24"/>
          <w:u w:val="single"/>
        </w:rPr>
        <w:t xml:space="preserve">       </w:t>
      </w:r>
      <w:r>
        <w:rPr>
          <w:rFonts w:hint="eastAsia" w:ascii="宋体" w:hAnsi="宋体" w:cs="宋体"/>
          <w:kern w:val="0"/>
          <w:sz w:val="24"/>
          <w:szCs w:val="24"/>
        </w:rPr>
        <w:t>，项目编号：</w:t>
      </w:r>
      <w:r>
        <w:rPr>
          <w:rFonts w:hint="eastAsia" w:ascii="宋体" w:hAnsi="宋体" w:cs="宋体"/>
          <w:kern w:val="0"/>
          <w:sz w:val="24"/>
          <w:szCs w:val="24"/>
          <w:u w:val="single"/>
        </w:rPr>
        <w:t xml:space="preserve">        </w:t>
      </w:r>
      <w:r>
        <w:rPr>
          <w:rFonts w:hint="eastAsia" w:ascii="宋体" w:hAnsi="宋体" w:cs="宋体"/>
          <w:kern w:val="0"/>
          <w:sz w:val="24"/>
          <w:szCs w:val="24"/>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sz w:val="24"/>
          <w:szCs w:val="24"/>
        </w:rPr>
      </w:pPr>
      <w:r>
        <w:rPr>
          <w:rFonts w:hint="eastAsia" w:ascii="宋体" w:hAnsi="宋体" w:cs="宋体"/>
          <w:kern w:val="0"/>
          <w:sz w:val="24"/>
          <w:szCs w:val="24"/>
        </w:rPr>
        <w:t>在参加此次政府采购活动前3年内，本公司在经营活动中无重大违法记录，并在“信用中国”网站(</w:t>
      </w:r>
      <w:r>
        <w:fldChar w:fldCharType="begin"/>
      </w:r>
      <w:r>
        <w:instrText xml:space="preserve"> HYPERLINK "http://www.creditchina.gov.cn" </w:instrText>
      </w:r>
      <w:r>
        <w:fldChar w:fldCharType="separate"/>
      </w:r>
      <w:r>
        <w:rPr>
          <w:rStyle w:val="49"/>
          <w:rFonts w:hint="eastAsia" w:ascii="宋体" w:hAnsi="宋体" w:cs="宋体"/>
          <w:color w:val="auto"/>
          <w:kern w:val="0"/>
          <w:sz w:val="24"/>
          <w:szCs w:val="24"/>
        </w:rPr>
        <w:t>www.creditchina.gov.cn</w:t>
      </w:r>
      <w:r>
        <w:rPr>
          <w:rStyle w:val="49"/>
          <w:rFonts w:hint="eastAsia" w:ascii="宋体" w:hAnsi="宋体" w:cs="宋体"/>
          <w:color w:val="auto"/>
          <w:kern w:val="0"/>
          <w:sz w:val="24"/>
          <w:szCs w:val="24"/>
        </w:rPr>
        <w:fldChar w:fldCharType="end"/>
      </w:r>
      <w:r>
        <w:rPr>
          <w:rFonts w:hint="eastAsia" w:ascii="宋体" w:hAnsi="宋体" w:cs="宋体"/>
          <w:kern w:val="0"/>
          <w:sz w:val="24"/>
          <w:szCs w:val="24"/>
        </w:rPr>
        <w:t>)、“中国政府采购网”网站（</w:t>
      </w:r>
      <w:r>
        <w:rPr>
          <w:rStyle w:val="49"/>
          <w:rFonts w:hint="eastAsia" w:ascii="宋体" w:hAnsi="宋体"/>
          <w:color w:val="auto"/>
          <w:sz w:val="24"/>
          <w:szCs w:val="24"/>
        </w:rPr>
        <w:t>www.ccgp.gov.cn</w:t>
      </w:r>
      <w:r>
        <w:rPr>
          <w:rFonts w:hint="eastAsia" w:ascii="宋体" w:hAnsi="宋体" w:cs="宋体"/>
          <w:kern w:val="0"/>
          <w:sz w:val="24"/>
          <w:szCs w:val="24"/>
        </w:rPr>
        <w:t>）上均</w:t>
      </w:r>
      <w:r>
        <w:rPr>
          <w:rFonts w:hint="eastAsia" w:ascii="宋体" w:hAnsi="宋体"/>
          <w:sz w:val="24"/>
          <w:szCs w:val="24"/>
        </w:rPr>
        <w:t>无相关不良行为的纪录。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特此声明。</w:t>
      </w:r>
    </w:p>
    <w:p>
      <w:pPr>
        <w:tabs>
          <w:tab w:val="left" w:pos="8820"/>
        </w:tabs>
        <w:autoSpaceDE w:val="0"/>
        <w:autoSpaceDN w:val="0"/>
        <w:spacing w:line="360" w:lineRule="auto"/>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 xml:space="preserve">                                年  月  日</w:t>
      </w:r>
    </w:p>
    <w:p>
      <w:pPr>
        <w:spacing w:line="360" w:lineRule="auto"/>
        <w:rPr>
          <w:rFonts w:ascii="宋体" w:hAnsi="宋体"/>
          <w:sz w:val="24"/>
          <w:szCs w:val="24"/>
        </w:rPr>
      </w:pPr>
    </w:p>
    <w:p>
      <w:pPr>
        <w:spacing w:line="360" w:lineRule="auto"/>
        <w:ind w:firstLine="480" w:firstLineChars="200"/>
        <w:rPr>
          <w:rFonts w:ascii="宋体" w:hAnsi="宋体"/>
          <w:sz w:val="24"/>
          <w:szCs w:val="24"/>
          <w:u w:val="single"/>
        </w:rPr>
      </w:pPr>
      <w:r>
        <w:rPr>
          <w:rFonts w:hint="eastAsia" w:ascii="宋体" w:hAnsi="宋体"/>
          <w:sz w:val="24"/>
          <w:szCs w:val="24"/>
        </w:rPr>
        <w:t xml:space="preserve">                 供应商名称（公章）：</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u w:val="single"/>
        </w:rPr>
      </w:pPr>
      <w:r>
        <w:rPr>
          <w:rFonts w:hint="eastAsia" w:ascii="宋体" w:hAnsi="宋体"/>
          <w:sz w:val="24"/>
          <w:szCs w:val="24"/>
        </w:rPr>
        <w:t xml:space="preserve">                法定代表或其授权人（签字）：</w:t>
      </w:r>
      <w:r>
        <w:rPr>
          <w:rFonts w:hint="eastAsia" w:ascii="宋体" w:hAnsi="宋体"/>
          <w:sz w:val="24"/>
          <w:szCs w:val="24"/>
          <w:u w:val="single"/>
        </w:rPr>
        <w:t xml:space="preserve">                </w:t>
      </w: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注：</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1.信用记录查询渠道：通过“信用中国”网站（www.creditchina.gov.cn）、中国政府采购网（www.ccgp.gov.cn）查询信用记录。</w:t>
      </w:r>
    </w:p>
    <w:p>
      <w:pPr>
        <w:tabs>
          <w:tab w:val="left" w:pos="8820"/>
        </w:tabs>
        <w:autoSpaceDE w:val="0"/>
        <w:autoSpaceDN w:val="0"/>
        <w:spacing w:line="360" w:lineRule="auto"/>
        <w:ind w:firstLine="560"/>
        <w:rPr>
          <w:rFonts w:ascii="宋体" w:hAnsi="宋体"/>
          <w:sz w:val="24"/>
          <w:szCs w:val="24"/>
        </w:rPr>
      </w:pPr>
      <w:r>
        <w:rPr>
          <w:rFonts w:hint="eastAsia" w:ascii="宋体" w:hAnsi="宋体"/>
          <w:sz w:val="24"/>
          <w:szCs w:val="24"/>
        </w:rPr>
        <w:t>2.截图要求：</w:t>
      </w:r>
    </w:p>
    <w:p>
      <w:pPr>
        <w:tabs>
          <w:tab w:val="left" w:pos="8820"/>
        </w:tabs>
        <w:autoSpaceDE w:val="0"/>
        <w:autoSpaceDN w:val="0"/>
        <w:spacing w:line="360" w:lineRule="auto"/>
        <w:ind w:firstLine="360" w:firstLineChars="150"/>
        <w:rPr>
          <w:rFonts w:ascii="宋体" w:hAnsi="宋体"/>
          <w:sz w:val="24"/>
          <w:szCs w:val="24"/>
        </w:rPr>
      </w:pPr>
      <w:r>
        <w:rPr>
          <w:rFonts w:hint="eastAsia" w:ascii="宋体" w:hAnsi="宋体"/>
          <w:sz w:val="24"/>
          <w:szCs w:val="24"/>
        </w:rPr>
        <w:t>（1）登录“信用中国”网站，在搜索框中填写供应商全称，点击查询“下载信用报告”进行截图。</w:t>
      </w:r>
    </w:p>
    <w:p>
      <w:pPr>
        <w:rPr>
          <w:rFonts w:ascii="宋体" w:hAnsi="宋体"/>
          <w:sz w:val="24"/>
          <w:szCs w:val="24"/>
          <w:u w:val="single"/>
        </w:rPr>
      </w:pPr>
      <w:r>
        <w:rPr>
          <w:rFonts w:hint="eastAsia" w:ascii="宋体" w:hAnsi="宋体"/>
          <w:sz w:val="24"/>
          <w:szCs w:val="24"/>
        </w:rPr>
        <w:t>（2）登录“中国政府采购网”网站，点击“</w:t>
      </w:r>
      <w:r>
        <w:fldChar w:fldCharType="begin"/>
      </w:r>
      <w:r>
        <w:instrText xml:space="preserve"> HYPERLINK "http://www.ccgp.gov.cn/search/cr/" \o "政府采购严重违法失信行为记录名单" </w:instrText>
      </w:r>
      <w:r>
        <w:fldChar w:fldCharType="separate"/>
      </w:r>
      <w:r>
        <w:rPr>
          <w:rFonts w:ascii="宋体" w:hAnsi="宋体"/>
          <w:sz w:val="24"/>
          <w:szCs w:val="24"/>
        </w:rPr>
        <w:t>政府采购严重违法失信行为记录名单</w:t>
      </w:r>
      <w:r>
        <w:rPr>
          <w:rFonts w:ascii="宋体" w:hAnsi="宋体"/>
          <w:sz w:val="24"/>
          <w:szCs w:val="24"/>
        </w:rPr>
        <w:fldChar w:fldCharType="end"/>
      </w:r>
      <w:r>
        <w:rPr>
          <w:rFonts w:hint="eastAsia" w:ascii="宋体" w:hAnsi="宋体"/>
          <w:sz w:val="24"/>
          <w:szCs w:val="24"/>
        </w:rPr>
        <w:t>”，输入供应商全称点击查询，将整个页面进行截图。</w:t>
      </w:r>
    </w:p>
    <w:p>
      <w:pPr>
        <w:autoSpaceDE w:val="0"/>
        <w:autoSpaceDN w:val="0"/>
        <w:spacing w:line="360" w:lineRule="auto"/>
        <w:rPr>
          <w:rFonts w:ascii="宋体" w:hAnsi="宋体"/>
          <w:b/>
          <w:bCs/>
          <w:kern w:val="0"/>
          <w:sz w:val="24"/>
          <w:szCs w:val="24"/>
          <w:lang w:val="zh-CN"/>
        </w:rPr>
      </w:pPr>
      <w:r>
        <w:rPr>
          <w:rFonts w:ascii="宋体" w:hAnsi="宋体"/>
          <w:b/>
          <w:bCs/>
          <w:kern w:val="0"/>
          <w:sz w:val="24"/>
          <w:szCs w:val="24"/>
          <w:lang w:val="zh-CN"/>
        </w:rPr>
        <w:br w:type="page"/>
      </w:r>
    </w:p>
    <w:p>
      <w:pPr>
        <w:autoSpaceDE w:val="0"/>
        <w:autoSpaceDN w:val="0"/>
        <w:spacing w:line="360" w:lineRule="auto"/>
        <w:rPr>
          <w:rFonts w:ascii="宋体" w:hAnsi="宋体"/>
          <w:b/>
          <w:bCs/>
          <w:kern w:val="0"/>
          <w:sz w:val="24"/>
          <w:szCs w:val="24"/>
          <w:lang w:val="zh-CN"/>
        </w:rPr>
      </w:pPr>
      <w:r>
        <w:rPr>
          <w:rFonts w:hint="eastAsia" w:ascii="宋体" w:hAnsi="宋体"/>
          <w:b/>
          <w:bCs/>
          <w:kern w:val="0"/>
          <w:sz w:val="24"/>
          <w:szCs w:val="24"/>
          <w:lang w:val="zh-CN"/>
        </w:rPr>
        <w:t>格式二十一：</w:t>
      </w:r>
    </w:p>
    <w:p>
      <w:pPr>
        <w:autoSpaceDE w:val="0"/>
        <w:autoSpaceDN w:val="0"/>
        <w:spacing w:line="360" w:lineRule="auto"/>
        <w:jc w:val="center"/>
        <w:rPr>
          <w:rFonts w:ascii="宋体" w:hAnsi="宋体"/>
          <w:bCs/>
          <w:kern w:val="0"/>
          <w:sz w:val="24"/>
          <w:szCs w:val="24"/>
          <w:lang w:val="zh-CN"/>
        </w:rPr>
      </w:pPr>
      <w:r>
        <w:rPr>
          <w:rFonts w:hint="eastAsia" w:ascii="宋体" w:hAnsi="宋体"/>
          <w:sz w:val="21"/>
          <w:szCs w:val="21"/>
        </w:rPr>
        <w:t>政府采购政策情况表</w:t>
      </w:r>
    </w:p>
    <w:tbl>
      <w:tblPr>
        <w:tblStyle w:val="42"/>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7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shd w:val="clear" w:color="auto" w:fill="auto"/>
            <w:vAlign w:val="center"/>
          </w:tcPr>
          <w:p>
            <w:pPr>
              <w:pStyle w:val="224"/>
              <w:tabs>
                <w:tab w:val="left" w:pos="1260"/>
              </w:tabs>
              <w:spacing w:before="156" w:after="156"/>
              <w:rPr>
                <w:rFonts w:ascii="宋体" w:hAnsi="宋体" w:cs="宋体"/>
                <w:kern w:val="0"/>
                <w:sz w:val="24"/>
              </w:rPr>
            </w:pPr>
            <w:r>
              <w:rPr>
                <w:rFonts w:hint="eastAsia" w:ascii="宋体" w:hAnsi="宋体" w:cs="宋体"/>
                <w:kern w:val="0"/>
                <w:sz w:val="24"/>
              </w:rPr>
              <w:t>中小企业扶持政策</w:t>
            </w:r>
          </w:p>
        </w:tc>
        <w:tc>
          <w:tcPr>
            <w:tcW w:w="7898" w:type="dxa"/>
            <w:shd w:val="clear" w:color="auto" w:fill="auto"/>
            <w:vAlign w:val="center"/>
          </w:tcPr>
          <w:p>
            <w:pPr>
              <w:pStyle w:val="224"/>
              <w:tabs>
                <w:tab w:val="left" w:pos="1260"/>
              </w:tabs>
              <w:spacing w:before="40" w:after="40" w:line="360" w:lineRule="auto"/>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小微企业</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中小企业声明函</w:t>
            </w:r>
            <w:r>
              <w:rPr>
                <w:rFonts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rPr>
                <w:rFonts w:ascii="宋体" w:hAnsi="宋体" w:cs="宋体"/>
                <w:kern w:val="0"/>
                <w:sz w:val="24"/>
              </w:rPr>
            </w:pPr>
            <w:r>
              <w:rPr>
                <w:rFonts w:ascii="宋体" w:hAnsi="宋体" w:cs="宋体"/>
                <w:kern w:val="0"/>
                <w:sz w:val="24"/>
              </w:rPr>
              <w:t>监狱企业</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）我公司属于监狱企业，</w:t>
            </w:r>
            <w:r>
              <w:rPr>
                <w:rFonts w:hint="eastAsia" w:ascii="宋体" w:hAnsi="宋体" w:cs="宋体"/>
                <w:kern w:val="0"/>
                <w:sz w:val="24"/>
              </w:rPr>
              <w:t>并</w:t>
            </w:r>
            <w:r>
              <w:rPr>
                <w:rFonts w:ascii="宋体" w:hAnsi="宋体" w:cs="宋体"/>
                <w:kern w:val="0"/>
                <w:sz w:val="24"/>
              </w:rPr>
              <w:t>提供由监狱管理局、戒毒管理局（含新疆生产建设兵团）出具的属于监狱企业的证明文件。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60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156" w:after="156"/>
              <w:rPr>
                <w:rFonts w:ascii="宋体" w:hAnsi="宋体" w:cs="宋体"/>
                <w:kern w:val="0"/>
                <w:sz w:val="24"/>
              </w:rPr>
            </w:pPr>
            <w:r>
              <w:rPr>
                <w:rFonts w:hint="eastAsia" w:ascii="宋体" w:hAnsi="宋体" w:cs="宋体"/>
                <w:kern w:val="0"/>
                <w:sz w:val="24"/>
              </w:rPr>
              <w:t>残疾人福利性单位</w:t>
            </w:r>
          </w:p>
        </w:tc>
        <w:tc>
          <w:tcPr>
            <w:tcW w:w="78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24"/>
              <w:tabs>
                <w:tab w:val="left" w:pos="1260"/>
              </w:tabs>
              <w:spacing w:before="40" w:after="40"/>
              <w:rPr>
                <w:rFonts w:ascii="宋体" w:hAnsi="宋体" w:cs="宋体"/>
                <w:kern w:val="0"/>
                <w:sz w:val="24"/>
              </w:rPr>
            </w:pPr>
            <w:r>
              <w:rPr>
                <w:rFonts w:ascii="宋体" w:hAnsi="宋体" w:cs="宋体"/>
                <w:kern w:val="0"/>
                <w:sz w:val="24"/>
              </w:rPr>
              <w:t>（  ）我公司属于</w:t>
            </w:r>
            <w:r>
              <w:rPr>
                <w:rFonts w:hint="eastAsia" w:ascii="宋体" w:hAnsi="宋体" w:cs="宋体"/>
                <w:kern w:val="0"/>
                <w:sz w:val="24"/>
              </w:rPr>
              <w:t>残疾人福利性单位</w:t>
            </w:r>
            <w:r>
              <w:rPr>
                <w:rFonts w:ascii="宋体" w:hAnsi="宋体" w:cs="宋体"/>
                <w:kern w:val="0"/>
                <w:sz w:val="24"/>
              </w:rPr>
              <w:t>，</w:t>
            </w:r>
            <w:r>
              <w:rPr>
                <w:rFonts w:hint="eastAsia" w:ascii="宋体" w:hAnsi="宋体" w:cs="宋体"/>
                <w:kern w:val="0"/>
                <w:sz w:val="24"/>
              </w:rPr>
              <w:t>并</w:t>
            </w:r>
            <w:r>
              <w:rPr>
                <w:rFonts w:ascii="宋体" w:hAnsi="宋体" w:cs="宋体"/>
                <w:kern w:val="0"/>
                <w:sz w:val="24"/>
              </w:rPr>
              <w:t>提供</w:t>
            </w:r>
            <w:r>
              <w:rPr>
                <w:rFonts w:hint="eastAsia" w:ascii="宋体" w:hAnsi="宋体" w:cs="宋体"/>
                <w:kern w:val="0"/>
                <w:sz w:val="24"/>
              </w:rPr>
              <w:t>残疾人福利性单位声明函</w:t>
            </w:r>
            <w:r>
              <w:rPr>
                <w:rFonts w:ascii="宋体" w:hAnsi="宋体" w:cs="宋体"/>
                <w:kern w:val="0"/>
                <w:sz w:val="24"/>
              </w:rPr>
              <w:t>。</w:t>
            </w:r>
          </w:p>
        </w:tc>
      </w:tr>
    </w:tbl>
    <w:p>
      <w:pPr>
        <w:spacing w:line="360" w:lineRule="auto"/>
        <w:ind w:firstLine="480" w:firstLineChars="200"/>
        <w:rPr>
          <w:rFonts w:ascii="宋体" w:hAnsi="宋体" w:cs="宋体"/>
          <w:kern w:val="0"/>
          <w:sz w:val="24"/>
        </w:rPr>
      </w:pPr>
      <w:r>
        <w:rPr>
          <w:rFonts w:hint="eastAsia"/>
          <w:sz w:val="24"/>
        </w:rPr>
        <w:t>填报要求：</w:t>
      </w:r>
      <w:r>
        <w:rPr>
          <w:rFonts w:hint="eastAsia" w:ascii="宋体" w:hAnsi="宋体" w:cs="宋体"/>
          <w:kern w:val="0"/>
          <w:sz w:val="24"/>
        </w:rPr>
        <w:t>如属所列情形的，请在括号内打“√”</w:t>
      </w:r>
    </w:p>
    <w:p>
      <w:pPr>
        <w:spacing w:line="360" w:lineRule="auto"/>
        <w:ind w:firstLine="480" w:firstLineChars="200"/>
        <w:rPr>
          <w:sz w:val="24"/>
        </w:rPr>
      </w:pPr>
      <w:r>
        <w:rPr>
          <w:rFonts w:hint="eastAsia" w:ascii="宋体" w:hAnsi="宋体" w:cs="宋体"/>
          <w:kern w:val="0"/>
          <w:sz w:val="24"/>
        </w:rPr>
        <w:t>本表后附“</w:t>
      </w:r>
      <w:r>
        <w:rPr>
          <w:rFonts w:hint="eastAsia" w:ascii="宋体" w:hAnsi="宋体"/>
          <w:sz w:val="24"/>
          <w:szCs w:val="24"/>
        </w:rPr>
        <w:t>小微企业名录”（</w:t>
      </w:r>
      <w:r>
        <w:rPr>
          <w:rFonts w:ascii="宋体" w:hAnsi="宋体"/>
          <w:sz w:val="24"/>
          <w:szCs w:val="24"/>
        </w:rPr>
        <w:t>http://xwqy.gsxt.gov.cn/</w:t>
      </w:r>
      <w:r>
        <w:rPr>
          <w:rFonts w:hint="eastAsia" w:ascii="宋体" w:hAnsi="宋体"/>
          <w:sz w:val="24"/>
          <w:szCs w:val="24"/>
        </w:rPr>
        <w:t>）截图。</w:t>
      </w:r>
    </w:p>
    <w:p>
      <w:pPr>
        <w:autoSpaceDE w:val="0"/>
        <w:autoSpaceDN w:val="0"/>
        <w:spacing w:line="360" w:lineRule="auto"/>
        <w:ind w:firstLine="2168" w:firstLineChars="900"/>
        <w:rPr>
          <w:rFonts w:ascii="宋体" w:hAnsi="宋体"/>
          <w:b/>
          <w:bCs/>
          <w:kern w:val="0"/>
          <w:sz w:val="24"/>
          <w:szCs w:val="24"/>
        </w:rPr>
      </w:pPr>
      <w:r>
        <w:rPr>
          <w:rFonts w:ascii="宋体" w:hAnsi="宋体"/>
          <w:b/>
          <w:bCs/>
          <w:kern w:val="0"/>
          <w:sz w:val="24"/>
          <w:szCs w:val="24"/>
        </w:rPr>
        <w:br w:type="page"/>
      </w:r>
    </w:p>
    <w:p>
      <w:pPr>
        <w:autoSpaceDN w:val="0"/>
        <w:spacing w:line="360" w:lineRule="auto"/>
        <w:rPr>
          <w:b/>
          <w:bCs/>
          <w:sz w:val="24"/>
        </w:rPr>
      </w:pPr>
      <w:r>
        <w:rPr>
          <w:rFonts w:hint="eastAsia"/>
          <w:b/>
          <w:bCs/>
          <w:sz w:val="24"/>
        </w:rPr>
        <w:t>格式二十二：</w:t>
      </w:r>
    </w:p>
    <w:p>
      <w:pPr>
        <w:spacing w:line="588" w:lineRule="exact"/>
        <w:jc w:val="center"/>
        <w:rPr>
          <w:rFonts w:ascii="宋体" w:hAnsi="宋体" w:cs="宋体"/>
          <w:kern w:val="0"/>
          <w:sz w:val="24"/>
          <w:szCs w:val="24"/>
        </w:rPr>
      </w:pPr>
      <w:r>
        <w:rPr>
          <w:rFonts w:hint="eastAsia" w:ascii="宋体" w:hAnsi="宋体" w:cs="宋体"/>
          <w:kern w:val="0"/>
          <w:sz w:val="24"/>
          <w:szCs w:val="24"/>
        </w:rPr>
        <w:t>中小企业声明函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本公司郑重声明，根据《政府采购促进中小企业发展暂行办法》（财库[2011]181号）的规定，本公司为</w:t>
      </w:r>
      <w:bookmarkStart w:id="38" w:name="OLE_LINK2"/>
      <w:bookmarkStart w:id="39" w:name="OLE_LINK5"/>
      <w:r>
        <w:rPr>
          <w:rFonts w:hint="eastAsia" w:ascii="宋体" w:hAnsi="宋体" w:cs="宋体"/>
          <w:kern w:val="0"/>
          <w:sz w:val="24"/>
          <w:szCs w:val="24"/>
        </w:rPr>
        <w:t>______（请填写：中型、小型、微型）企业</w:t>
      </w:r>
      <w:bookmarkEnd w:id="38"/>
      <w:bookmarkEnd w:id="39"/>
      <w:r>
        <w:rPr>
          <w:rFonts w:hint="eastAsia" w:ascii="宋体" w:hAnsi="宋体" w:cs="宋体"/>
          <w:kern w:val="0"/>
          <w:sz w:val="24"/>
          <w:szCs w:val="24"/>
        </w:rPr>
        <w:t>。即，本公司同时满足以下条件：</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本公司对上述声明的真实性负责。如有虚假，将依法承担相应责任。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企业名称（盖章）： </w:t>
      </w:r>
    </w:p>
    <w:p>
      <w:pPr>
        <w:autoSpaceDE w:val="0"/>
        <w:autoSpaceDN w:val="0"/>
        <w:spacing w:line="360" w:lineRule="auto"/>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rPr>
          <w:rFonts w:ascii="宋体" w:hAnsi="宋体" w:cs="宋体"/>
          <w:kern w:val="0"/>
          <w:sz w:val="24"/>
          <w:szCs w:val="24"/>
        </w:rPr>
      </w:pPr>
      <w:r>
        <w:rPr>
          <w:rFonts w:ascii="宋体" w:hAnsi="宋体" w:cs="宋体"/>
          <w:kern w:val="0"/>
          <w:sz w:val="24"/>
          <w:szCs w:val="24"/>
        </w:rPr>
        <w:br w:type="page"/>
      </w:r>
    </w:p>
    <w:p>
      <w:pPr>
        <w:spacing w:line="588" w:lineRule="exact"/>
        <w:rPr>
          <w:rFonts w:ascii="宋体" w:hAnsi="宋体"/>
          <w:b/>
          <w:bCs/>
          <w:kern w:val="0"/>
          <w:sz w:val="24"/>
          <w:szCs w:val="24"/>
          <w:lang w:val="zh-CN"/>
        </w:rPr>
      </w:pPr>
      <w:r>
        <w:rPr>
          <w:rFonts w:hint="eastAsia" w:ascii="宋体" w:hAnsi="宋体"/>
          <w:b/>
          <w:bCs/>
          <w:kern w:val="0"/>
          <w:sz w:val="24"/>
          <w:szCs w:val="24"/>
          <w:lang w:val="zh-CN"/>
        </w:rPr>
        <w:t>格式二十三：</w:t>
      </w:r>
    </w:p>
    <w:p>
      <w:pPr>
        <w:spacing w:line="588" w:lineRule="exact"/>
        <w:ind w:firstLine="2760" w:firstLineChars="1150"/>
        <w:rPr>
          <w:rFonts w:ascii="宋体" w:hAnsi="宋体" w:cs="宋体"/>
          <w:kern w:val="0"/>
          <w:sz w:val="24"/>
          <w:szCs w:val="24"/>
        </w:rPr>
      </w:pPr>
      <w:r>
        <w:rPr>
          <w:rFonts w:hint="eastAsia" w:ascii="宋体" w:hAnsi="宋体" w:cs="宋体"/>
          <w:kern w:val="0"/>
          <w:sz w:val="24"/>
          <w:szCs w:val="24"/>
        </w:rPr>
        <w:t>残疾人福利性单位声明函</w:t>
      </w:r>
    </w:p>
    <w:p>
      <w:pPr>
        <w:spacing w:line="588" w:lineRule="exact"/>
        <w:rPr>
          <w:rFonts w:ascii="宋体" w:hAnsi="宋体" w:cs="宋体"/>
          <w:kern w:val="0"/>
          <w:sz w:val="24"/>
          <w:szCs w:val="24"/>
        </w:rPr>
      </w:pP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hAnsi="宋体" w:cs="宋体"/>
          <w:kern w:val="0"/>
          <w:sz w:val="24"/>
          <w:szCs w:val="24"/>
        </w:rPr>
      </w:pPr>
      <w:r>
        <w:rPr>
          <w:rFonts w:hint="eastAsia" w:ascii="宋体" w:hAnsi="宋体" w:cs="宋体"/>
          <w:kern w:val="0"/>
          <w:sz w:val="24"/>
          <w:szCs w:val="24"/>
        </w:rPr>
        <w:t>本单位对上述声明的真实性负责。如有虚假，将依法承担相应责任。</w:t>
      </w:r>
    </w:p>
    <w:p>
      <w:pPr>
        <w:spacing w:line="588" w:lineRule="exact"/>
        <w:ind w:firstLine="480" w:firstLineChars="200"/>
        <w:rPr>
          <w:rFonts w:ascii="宋体" w:hAnsi="宋体" w:cs="宋体"/>
          <w:kern w:val="0"/>
          <w:sz w:val="24"/>
          <w:szCs w:val="24"/>
        </w:rPr>
      </w:pPr>
    </w:p>
    <w:p>
      <w:pPr>
        <w:spacing w:line="588" w:lineRule="exact"/>
        <w:ind w:firstLine="480" w:firstLineChars="200"/>
        <w:rPr>
          <w:rFonts w:ascii="宋体" w:hAnsi="宋体" w:cs="宋体"/>
          <w:kern w:val="0"/>
          <w:sz w:val="24"/>
          <w:szCs w:val="24"/>
        </w:rPr>
      </w:pP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单位名称（盖章）：</w:t>
      </w:r>
    </w:p>
    <w:p>
      <w:pPr>
        <w:tabs>
          <w:tab w:val="left" w:pos="4860"/>
        </w:tabs>
        <w:spacing w:line="588" w:lineRule="exact"/>
        <w:ind w:right="1560" w:firstLine="480" w:firstLineChars="200"/>
        <w:jc w:val="center"/>
        <w:rPr>
          <w:rFonts w:ascii="宋体" w:hAnsi="宋体" w:cs="宋体"/>
          <w:kern w:val="0"/>
          <w:sz w:val="24"/>
          <w:szCs w:val="24"/>
        </w:rPr>
      </w:pPr>
      <w:r>
        <w:rPr>
          <w:rFonts w:hint="eastAsia" w:ascii="宋体" w:hAnsi="宋体" w:cs="宋体"/>
          <w:kern w:val="0"/>
          <w:sz w:val="24"/>
          <w:szCs w:val="24"/>
        </w:rPr>
        <w:t xml:space="preserve">       日  期：</w:t>
      </w:r>
    </w:p>
    <w:p>
      <w:pPr>
        <w:autoSpaceDE w:val="0"/>
        <w:autoSpaceDN w:val="0"/>
        <w:spacing w:line="360" w:lineRule="auto"/>
        <w:ind w:firstLine="480" w:firstLineChars="200"/>
        <w:rPr>
          <w:sz w:val="24"/>
        </w:rPr>
      </w:pPr>
      <w:r>
        <w:rPr>
          <w:sz w:val="24"/>
        </w:rPr>
        <w:br w:type="page"/>
      </w:r>
    </w:p>
    <w:p>
      <w:pPr>
        <w:autoSpaceDE w:val="0"/>
        <w:autoSpaceDN w:val="0"/>
        <w:spacing w:line="360" w:lineRule="auto"/>
        <w:ind w:left="3132" w:hanging="3132" w:hangingChars="1300"/>
        <w:rPr>
          <w:rFonts w:hint="eastAsia" w:ascii="宋体" w:hAnsi="宋体"/>
          <w:b/>
          <w:bCs/>
          <w:kern w:val="0"/>
          <w:sz w:val="24"/>
          <w:szCs w:val="24"/>
          <w:lang w:val="zh-CN"/>
        </w:rPr>
      </w:pPr>
      <w:r>
        <w:rPr>
          <w:rFonts w:hint="eastAsia" w:ascii="宋体" w:hAnsi="宋体"/>
          <w:b/>
          <w:bCs/>
          <w:kern w:val="0"/>
          <w:sz w:val="24"/>
          <w:szCs w:val="24"/>
          <w:lang w:val="zh-CN"/>
        </w:rPr>
        <w:t>格式二十四：</w:t>
      </w:r>
    </w:p>
    <w:p>
      <w:pPr>
        <w:autoSpaceDE w:val="0"/>
        <w:autoSpaceDN w:val="0"/>
        <w:spacing w:line="360" w:lineRule="auto"/>
        <w:ind w:left="3132" w:hanging="3120" w:hangingChars="1300"/>
        <w:rPr>
          <w:rFonts w:ascii="宋体" w:hAnsi="宋体"/>
          <w:sz w:val="24"/>
          <w:szCs w:val="24"/>
          <w:lang w:val="zh-CN"/>
        </w:rPr>
      </w:pPr>
      <w:r>
        <w:rPr>
          <w:rFonts w:hint="eastAsia" w:ascii="宋体" w:hAnsi="宋体"/>
          <w:sz w:val="24"/>
          <w:szCs w:val="24"/>
        </w:rPr>
        <w:t>各类</w:t>
      </w:r>
      <w:r>
        <w:rPr>
          <w:rFonts w:hint="eastAsia" w:ascii="宋体" w:hAnsi="宋体"/>
          <w:sz w:val="24"/>
          <w:szCs w:val="24"/>
          <w:lang w:val="zh-CN"/>
        </w:rPr>
        <w:t>证明材料</w:t>
      </w:r>
    </w:p>
    <w:p>
      <w:pPr>
        <w:spacing w:line="360" w:lineRule="auto"/>
        <w:rPr>
          <w:rFonts w:ascii="宋体" w:hAnsi="宋体"/>
          <w:sz w:val="24"/>
          <w:szCs w:val="24"/>
        </w:rPr>
      </w:pPr>
      <w:r>
        <w:rPr>
          <w:rFonts w:hint="eastAsia" w:ascii="宋体" w:hAnsi="宋体"/>
          <w:sz w:val="24"/>
          <w:szCs w:val="24"/>
        </w:rPr>
        <w:t>1.谈判文件要求提供的其他资料。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2650" w:firstLineChars="1100"/>
        <w:rPr>
          <w:rFonts w:ascii="宋体" w:hAnsi="宋体" w:eastAsia="宋体"/>
          <w:bCs w:val="0"/>
          <w:kern w:val="2"/>
          <w:sz w:val="24"/>
          <w:szCs w:val="24"/>
          <w:lang w:val="en-US"/>
        </w:rPr>
      </w:pPr>
      <w:r>
        <w:rPr>
          <w:rFonts w:ascii="宋体" w:hAnsi="宋体" w:eastAsia="宋体"/>
          <w:bCs w:val="0"/>
          <w:kern w:val="2"/>
          <w:sz w:val="24"/>
          <w:szCs w:val="24"/>
          <w:lang w:val="en-US"/>
        </w:rPr>
        <w:br w:type="page"/>
      </w:r>
    </w:p>
    <w:p>
      <w:pPr>
        <w:pStyle w:val="2"/>
        <w:keepNext w:val="0"/>
        <w:keepLines w:val="0"/>
        <w:spacing w:line="360" w:lineRule="auto"/>
        <w:rPr>
          <w:rFonts w:ascii="宋体" w:hAnsi="宋体"/>
          <w:sz w:val="24"/>
          <w:szCs w:val="24"/>
        </w:rPr>
      </w:pPr>
      <w:bookmarkStart w:id="40" w:name="_Toc497726585"/>
      <w:r>
        <w:rPr>
          <w:rFonts w:hint="eastAsia" w:ascii="宋体" w:hAnsi="宋体"/>
          <w:sz w:val="24"/>
          <w:szCs w:val="24"/>
        </w:rPr>
        <w:t>温馨提示</w:t>
      </w:r>
      <w:bookmarkEnd w:id="40"/>
    </w:p>
    <w:p>
      <w:pPr>
        <w:spacing w:line="360" w:lineRule="auto"/>
        <w:rPr>
          <w:rFonts w:ascii="宋体" w:hAnsi="宋体"/>
          <w:b/>
          <w:sz w:val="24"/>
          <w:szCs w:val="24"/>
          <w:lang w:val="zh-CN"/>
        </w:rPr>
      </w:pPr>
      <w:r>
        <w:rPr>
          <w:rFonts w:hint="eastAsia" w:ascii="宋体" w:hAnsi="宋体"/>
          <w:b/>
          <w:sz w:val="24"/>
          <w:szCs w:val="24"/>
          <w:lang w:val="zh-CN"/>
        </w:rPr>
        <w:t>各位供应商:</w:t>
      </w:r>
    </w:p>
    <w:p>
      <w:pPr>
        <w:spacing w:line="360" w:lineRule="auto"/>
        <w:rPr>
          <w:rFonts w:ascii="宋体" w:hAnsi="宋体"/>
          <w:b/>
          <w:sz w:val="24"/>
          <w:szCs w:val="24"/>
          <w:lang w:val="zh-CN"/>
        </w:rPr>
      </w:pPr>
    </w:p>
    <w:p>
      <w:pPr>
        <w:spacing w:line="360" w:lineRule="auto"/>
        <w:rPr>
          <w:rFonts w:ascii="宋体" w:hAnsi="宋体"/>
          <w:sz w:val="24"/>
          <w:szCs w:val="24"/>
        </w:rPr>
      </w:pPr>
      <w:r>
        <w:rPr>
          <w:rFonts w:hint="eastAsia" w:ascii="宋体" w:hAnsi="宋体"/>
          <w:sz w:val="24"/>
          <w:szCs w:val="24"/>
          <w:lang w:val="zh-CN"/>
        </w:rPr>
        <w:t xml:space="preserve">  </w:t>
      </w:r>
      <w:r>
        <w:rPr>
          <w:rFonts w:hint="eastAsia" w:ascii="宋体" w:hAnsi="宋体"/>
          <w:sz w:val="24"/>
          <w:szCs w:val="24"/>
        </w:rPr>
        <w:t xml:space="preserve">  请在编制响应文件前请认真阅读并理解谈判文件。现就容易导致废标或无效投标的条款特别提示如下：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及时查看投标项目的相关信息公告，如谈判公告、变更公告、废标公告等。</w:t>
      </w:r>
    </w:p>
    <w:p>
      <w:pPr>
        <w:tabs>
          <w:tab w:val="left" w:pos="851"/>
        </w:tabs>
        <w:spacing w:line="360" w:lineRule="auto"/>
        <w:rPr>
          <w:rFonts w:ascii="宋体" w:hAnsi="宋体"/>
          <w:sz w:val="24"/>
          <w:szCs w:val="24"/>
        </w:rPr>
      </w:pPr>
      <w:r>
        <w:rPr>
          <w:rFonts w:hint="eastAsia" w:ascii="宋体" w:hAnsi="宋体"/>
          <w:sz w:val="24"/>
          <w:szCs w:val="24"/>
        </w:rPr>
        <w:t>2. 认真填写报名信息，在递交响应文件截止时间前核对保证金缴纳情况，若报名成功、保证金缴纳之后，如保证金状态仍显示“未缴纳”，请及时与我单位联系。</w:t>
      </w:r>
    </w:p>
    <w:p>
      <w:pPr>
        <w:tabs>
          <w:tab w:val="left" w:pos="851"/>
        </w:tabs>
        <w:spacing w:line="360" w:lineRule="auto"/>
        <w:rPr>
          <w:rFonts w:ascii="宋体" w:hAnsi="宋体"/>
          <w:sz w:val="24"/>
          <w:szCs w:val="24"/>
        </w:rPr>
      </w:pPr>
      <w:r>
        <w:rPr>
          <w:rFonts w:hint="eastAsia" w:ascii="宋体" w:hAnsi="宋体"/>
          <w:sz w:val="24"/>
          <w:szCs w:val="24"/>
        </w:rPr>
        <w:t>3.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4.按照谈判文件规定的时间、地点，提前到达并递交响应文件。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5.注意响应文件中相关证明材料的完整性及有效期限。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4" w:type="first"/>
          <w:headerReference r:id="rId3" w:type="default"/>
          <w:footerReference r:id="rId5" w:type="default"/>
          <w:pgSz w:w="11906" w:h="16838"/>
          <w:pgMar w:top="284" w:right="1247" w:bottom="340" w:left="624"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kern w:val="2"/>
          <w:sz w:val="24"/>
          <w:szCs w:val="24"/>
          <w:lang w:val="en-US"/>
        </w:rPr>
      </w:pPr>
    </w:p>
    <w:sectPr>
      <w:headerReference r:id="rId6" w:type="default"/>
      <w:footerReference r:id="rId7" w:type="default"/>
      <w:footerReference r:id="rId8" w:type="even"/>
      <w:pgSz w:w="11907" w:h="16840"/>
      <w:pgMar w:top="284" w:right="1134" w:bottom="340" w:left="62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楷体简体">
    <w:altName w:val="宋体"/>
    <w:panose1 w:val="00000000000000000000"/>
    <w:charset w:val="86"/>
    <w:family w:val="script"/>
    <w:pitch w:val="default"/>
    <w:sig w:usb0="00000000" w:usb1="00000000" w:usb2="00000010" w:usb3="00000000" w:csb0="00040000" w:csb1="00000000"/>
  </w:font>
  <w:font w:name="方正大黑简体">
    <w:altName w:val="黑体"/>
    <w:panose1 w:val="00000000000000000000"/>
    <w:charset w:val="86"/>
    <w:family w:val="auto"/>
    <w:pitch w:val="default"/>
    <w:sig w:usb0="00000000" w:usb1="00000000" w:usb2="0000000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楷体_GB2312">
    <w:altName w:val="楷体"/>
    <w:panose1 w:val="02010609030101010101"/>
    <w:charset w:val="86"/>
    <w:family w:val="roma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Align="top"/>
    </w:pPr>
    <w:r>
      <w:fldChar w:fldCharType="begin"/>
    </w:r>
    <w:r>
      <w:rPr>
        <w:rStyle w:val="46"/>
      </w:rPr>
      <w:instrText xml:space="preserve"> PAGE  </w:instrText>
    </w:r>
    <w:r>
      <w:fldChar w:fldCharType="separate"/>
    </w:r>
    <w:r>
      <w:rPr>
        <w:rStyle w:val="46"/>
      </w:rPr>
      <w:t>41</w:t>
    </w:r>
    <w:r>
      <w:fldChar w:fldCharType="end"/>
    </w:r>
  </w:p>
  <w:p>
    <w:pPr>
      <w:pStyle w:val="2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rPr>
    </w:pPr>
  </w:p>
  <w:p>
    <w:pPr>
      <w:pStyle w:val="27"/>
      <w:tabs>
        <w:tab w:val="right" w:pos="8485"/>
        <w:tab w:val="clear" w:pos="4153"/>
        <w:tab w:val="clear" w:pos="8306"/>
      </w:tabs>
      <w:ind w:right="360"/>
      <w:rPr>
        <w:rFonts w:ascii="宋体" w:hAnsi="宋体"/>
        <w:bCs/>
        <w:sz w:val="21"/>
        <w:szCs w:val="21"/>
      </w:rPr>
    </w:pPr>
    <w:r>
      <w:rPr>
        <w:rFonts w:ascii="宋体" w:hAnsi="宋体"/>
        <w:bCs/>
        <w:sz w:val="21"/>
        <w:szCs w:val="21"/>
      </w:rPr>
      <w:pict>
        <v:line id="_x0000_s1026" o:spid="_x0000_s1026" o:spt="20" style="position:absolute;left:0pt;flip:y;margin-left:2.6pt;margin-top:-0.05pt;height:0pt;width:387pt;z-index:251660288;mso-width-relative:page;mso-height-relative:page;"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IsMYwDSAAAABQEAAA8AAAAAAAAAAQAgAAAAIgAA&#10;AGRycy9kb3ducmV2LnhtbFBLAQIUABQAAAAIAIdO4kB5AiBo1QEAAHQDAAAOAAAAAAAAAAEAIAAA&#10;ACEBAABkcnMvZTJvRG9jLnhtbFBLBQYAAAAABgAGAFkBAABoBQAAAAA=&#10;">
          <v:path arrowok="t"/>
          <v:fill focussize="0,0"/>
          <v:stroke/>
          <v:imagedata o:title=""/>
          <o:lock v:ext="edit"/>
        </v:line>
      </w:pict>
    </w:r>
    <w:r>
      <w:rPr>
        <w:rFonts w:ascii="宋体" w:hAnsi="宋体"/>
        <w:bCs/>
        <w:sz w:val="21"/>
        <w:szCs w:val="21"/>
      </w:rPr>
      <w:pict>
        <v:line id="_x0000_s1027" o:spid="_x0000_s1027" o:spt="20" style="position:absolute;left:0pt;margin-left:315pt;margin-top:234.85pt;height:0pt;width:414pt;z-index:251659264;mso-width-relative:page;mso-height-relative:page;"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TGUda2QAAAAwBAAAPAAAAAAAAAAEAIAAAACIAAABk&#10;cnMvZG93bnJldi54bWxQSwECFAAUAAAACACHTuJA3MfypswBAABqAwAADgAAAAAAAAABACAAAAAo&#10;AQAAZHJzL2Uyb0RvYy54bWxQSwUGAAAAAAYABgBZAQAAZgUAAAAA&#10;">
          <v:path arrowok="t"/>
          <v:fill focussize="0,0"/>
          <v:stroke/>
          <v:imagedata o:title=""/>
          <o:lock v:ext="edit"/>
        </v:lin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right" w:y="1"/>
      <w:rPr>
        <w:rStyle w:val="46"/>
        <w:sz w:val="17"/>
        <w:szCs w:val="17"/>
      </w:rPr>
    </w:pPr>
    <w:r>
      <w:rPr>
        <w:rStyle w:val="46"/>
        <w:sz w:val="17"/>
        <w:szCs w:val="17"/>
      </w:rPr>
      <w:fldChar w:fldCharType="begin"/>
    </w:r>
    <w:r>
      <w:rPr>
        <w:rStyle w:val="46"/>
        <w:sz w:val="17"/>
        <w:szCs w:val="17"/>
      </w:rPr>
      <w:instrText xml:space="preserve">PAGE  </w:instrText>
    </w:r>
    <w:r>
      <w:rPr>
        <w:rStyle w:val="46"/>
        <w:sz w:val="17"/>
        <w:szCs w:val="17"/>
      </w:rPr>
      <w:fldChar w:fldCharType="end"/>
    </w:r>
  </w:p>
  <w:p>
    <w:pPr>
      <w:pStyle w:val="27"/>
      <w:ind w:right="360" w:firstLine="360"/>
      <w:rPr>
        <w:sz w:val="17"/>
        <w:szCs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pStyle w:val="174"/>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7"/>
      <w:suff w:val="nothing"/>
      <w:lvlText w:val="%1%2.%3.%4　"/>
      <w:lvlJc w:val="left"/>
      <w:pPr>
        <w:ind w:left="0" w:firstLine="0"/>
      </w:pPr>
      <w:rPr>
        <w:rFonts w:hint="eastAsia" w:ascii="黑体" w:hAnsi="Times New Roman" w:eastAsia="黑体"/>
        <w:b w:val="0"/>
        <w:i w:val="0"/>
        <w:sz w:val="21"/>
      </w:rPr>
    </w:lvl>
    <w:lvl w:ilvl="4" w:tentative="0">
      <w:start w:val="1"/>
      <w:numFmt w:val="decimal"/>
      <w:pStyle w:val="18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19"/>
      <w:lvlText w:val="%3."/>
      <w:lvlJc w:val="right"/>
      <w:pPr>
        <w:tabs>
          <w:tab w:val="left" w:pos="1809"/>
        </w:tabs>
        <w:ind w:left="1809" w:hanging="420"/>
      </w:pPr>
    </w:lvl>
    <w:lvl w:ilvl="3" w:tentative="0">
      <w:start w:val="1"/>
      <w:numFmt w:val="decimal"/>
      <w:pStyle w:val="222"/>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C"/>
    <w:multiLevelType w:val="multilevel"/>
    <w:tmpl w:val="0000000C"/>
    <w:lvl w:ilvl="0" w:tentative="0">
      <w:start w:val="1"/>
      <w:numFmt w:val="none"/>
      <w:suff w:val="nothing"/>
      <w:lvlText w:val=""/>
      <w:lvlJc w:val="left"/>
      <w:pPr>
        <w:tabs>
          <w:tab w:val="left" w:pos="0"/>
        </w:tabs>
        <w:ind w:left="432" w:hanging="432"/>
      </w:pPr>
    </w:lvl>
    <w:lvl w:ilvl="1" w:tentative="0">
      <w:start w:val="1"/>
      <w:numFmt w:val="none"/>
      <w:suff w:val="nothing"/>
      <w:lvlText w:val=""/>
      <w:lvlJc w:val="left"/>
      <w:pPr>
        <w:tabs>
          <w:tab w:val="left" w:pos="0"/>
        </w:tabs>
        <w:ind w:left="576" w:hanging="576"/>
      </w:pPr>
    </w:lvl>
    <w:lvl w:ilvl="2" w:tentative="0">
      <w:start w:val="1"/>
      <w:numFmt w:val="none"/>
      <w:suff w:val="nothing"/>
      <w:lvlText w:val=""/>
      <w:lvlJc w:val="left"/>
      <w:pPr>
        <w:tabs>
          <w:tab w:val="left" w:pos="0"/>
        </w:tabs>
        <w:ind w:left="720" w:hanging="720"/>
      </w:pPr>
    </w:lvl>
    <w:lvl w:ilvl="3" w:tentative="0">
      <w:start w:val="1"/>
      <w:numFmt w:val="none"/>
      <w:suff w:val="nothing"/>
      <w:lvlText w:val=""/>
      <w:lvlJc w:val="left"/>
      <w:pPr>
        <w:tabs>
          <w:tab w:val="left" w:pos="0"/>
        </w:tabs>
        <w:ind w:left="864" w:hanging="864"/>
      </w:pPr>
    </w:lvl>
    <w:lvl w:ilvl="4" w:tentative="0">
      <w:start w:val="1"/>
      <w:numFmt w:val="none"/>
      <w:suff w:val="nothing"/>
      <w:lvlText w:val=""/>
      <w:lvlJc w:val="left"/>
      <w:pPr>
        <w:tabs>
          <w:tab w:val="left" w:pos="0"/>
        </w:tabs>
        <w:ind w:left="1008" w:hanging="1008"/>
      </w:pPr>
    </w:lvl>
    <w:lvl w:ilvl="5" w:tentative="0">
      <w:start w:val="1"/>
      <w:numFmt w:val="none"/>
      <w:suff w:val="nothing"/>
      <w:lvlText w:val=""/>
      <w:lvlJc w:val="left"/>
      <w:pPr>
        <w:tabs>
          <w:tab w:val="left" w:pos="0"/>
        </w:tabs>
        <w:ind w:left="1152" w:hanging="1152"/>
      </w:pPr>
    </w:lvl>
    <w:lvl w:ilvl="6" w:tentative="0">
      <w:start w:val="1"/>
      <w:numFmt w:val="none"/>
      <w:suff w:val="nothing"/>
      <w:lvlText w:val=""/>
      <w:lvlJc w:val="left"/>
      <w:pPr>
        <w:tabs>
          <w:tab w:val="left" w:pos="0"/>
        </w:tabs>
        <w:ind w:left="1296" w:hanging="1296"/>
      </w:pPr>
    </w:lvl>
    <w:lvl w:ilvl="7" w:tentative="0">
      <w:start w:val="1"/>
      <w:numFmt w:val="none"/>
      <w:suff w:val="nothing"/>
      <w:lvlText w:val=""/>
      <w:lvlJc w:val="left"/>
      <w:pPr>
        <w:tabs>
          <w:tab w:val="left" w:pos="0"/>
        </w:tabs>
        <w:ind w:left="1440" w:hanging="1440"/>
      </w:pPr>
    </w:lvl>
    <w:lvl w:ilvl="8" w:tentative="0">
      <w:start w:val="1"/>
      <w:numFmt w:val="none"/>
      <w:suff w:val="nothing"/>
      <w:lvlText w:val=""/>
      <w:lvlJc w:val="left"/>
      <w:pPr>
        <w:tabs>
          <w:tab w:val="left" w:pos="0"/>
        </w:tabs>
        <w:ind w:left="1584" w:hanging="1584"/>
      </w:pPr>
    </w:lvl>
  </w:abstractNum>
  <w:abstractNum w:abstractNumId="4">
    <w:nsid w:val="0000000E"/>
    <w:multiLevelType w:val="multilevel"/>
    <w:tmpl w:val="0000000E"/>
    <w:lvl w:ilvl="0" w:tentative="0">
      <w:start w:val="1"/>
      <w:numFmt w:val="bullet"/>
      <w:pStyle w:val="93"/>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5">
    <w:nsid w:val="60B55DC2"/>
    <w:multiLevelType w:val="multilevel"/>
    <w:tmpl w:val="60B55DC2"/>
    <w:lvl w:ilvl="0" w:tentative="0">
      <w:start w:val="1"/>
      <w:numFmt w:val="upperLetter"/>
      <w:pStyle w:val="220"/>
      <w:lvlText w:val="%1"/>
      <w:lvlJc w:val="left"/>
      <w:pPr>
        <w:tabs>
          <w:tab w:val="left" w:pos="0"/>
        </w:tabs>
        <w:ind w:left="0" w:hanging="425"/>
      </w:pPr>
    </w:lvl>
    <w:lvl w:ilvl="1" w:tentative="0">
      <w:start w:val="1"/>
      <w:numFmt w:val="decimal"/>
      <w:pStyle w:val="221"/>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4"/>
  </w:num>
  <w:num w:numId="3">
    <w:abstractNumId w:val="0"/>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gyM2ZjNDFkNGZmMWU3NTM4NjVmMWVmZTQ1NjhhMWQifQ=="/>
  </w:docVars>
  <w:rsids>
    <w:rsidRoot w:val="00B30D85"/>
    <w:rsid w:val="000019B5"/>
    <w:rsid w:val="00001E33"/>
    <w:rsid w:val="000037F2"/>
    <w:rsid w:val="00005FCE"/>
    <w:rsid w:val="000064F9"/>
    <w:rsid w:val="00011512"/>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9A"/>
    <w:rsid w:val="00042767"/>
    <w:rsid w:val="00043181"/>
    <w:rsid w:val="00044995"/>
    <w:rsid w:val="00044B0F"/>
    <w:rsid w:val="000471DF"/>
    <w:rsid w:val="000521B0"/>
    <w:rsid w:val="000549EA"/>
    <w:rsid w:val="0005504F"/>
    <w:rsid w:val="000554EC"/>
    <w:rsid w:val="000558A5"/>
    <w:rsid w:val="00055F26"/>
    <w:rsid w:val="00060357"/>
    <w:rsid w:val="00061021"/>
    <w:rsid w:val="00061212"/>
    <w:rsid w:val="000629DD"/>
    <w:rsid w:val="00063168"/>
    <w:rsid w:val="0006359A"/>
    <w:rsid w:val="0006391F"/>
    <w:rsid w:val="0007091D"/>
    <w:rsid w:val="00071A78"/>
    <w:rsid w:val="000737FC"/>
    <w:rsid w:val="00073FAA"/>
    <w:rsid w:val="000750A4"/>
    <w:rsid w:val="00075906"/>
    <w:rsid w:val="00076D91"/>
    <w:rsid w:val="00077EEC"/>
    <w:rsid w:val="00080598"/>
    <w:rsid w:val="00082D2C"/>
    <w:rsid w:val="000832FD"/>
    <w:rsid w:val="0008435E"/>
    <w:rsid w:val="00086144"/>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51"/>
    <w:rsid w:val="000B7161"/>
    <w:rsid w:val="000B7365"/>
    <w:rsid w:val="000B7B3B"/>
    <w:rsid w:val="000C5C82"/>
    <w:rsid w:val="000C612E"/>
    <w:rsid w:val="000C6D84"/>
    <w:rsid w:val="000D02AA"/>
    <w:rsid w:val="000D0A17"/>
    <w:rsid w:val="000D17C6"/>
    <w:rsid w:val="000D390B"/>
    <w:rsid w:val="000D515C"/>
    <w:rsid w:val="000D5C01"/>
    <w:rsid w:val="000E14E0"/>
    <w:rsid w:val="000E15BD"/>
    <w:rsid w:val="000E550B"/>
    <w:rsid w:val="000E6319"/>
    <w:rsid w:val="000E78F9"/>
    <w:rsid w:val="000F082D"/>
    <w:rsid w:val="000F297F"/>
    <w:rsid w:val="000F333E"/>
    <w:rsid w:val="000F3963"/>
    <w:rsid w:val="000F422E"/>
    <w:rsid w:val="000F6D0F"/>
    <w:rsid w:val="001016F2"/>
    <w:rsid w:val="00103E0C"/>
    <w:rsid w:val="00104530"/>
    <w:rsid w:val="00105203"/>
    <w:rsid w:val="001066A5"/>
    <w:rsid w:val="00106730"/>
    <w:rsid w:val="0010792E"/>
    <w:rsid w:val="001117FE"/>
    <w:rsid w:val="00111FA5"/>
    <w:rsid w:val="00117038"/>
    <w:rsid w:val="0011793A"/>
    <w:rsid w:val="00117F1A"/>
    <w:rsid w:val="00120A63"/>
    <w:rsid w:val="00120B60"/>
    <w:rsid w:val="001246B6"/>
    <w:rsid w:val="001247E2"/>
    <w:rsid w:val="00127E2F"/>
    <w:rsid w:val="00130354"/>
    <w:rsid w:val="00130A26"/>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7C1F"/>
    <w:rsid w:val="00160171"/>
    <w:rsid w:val="00160C4C"/>
    <w:rsid w:val="00161123"/>
    <w:rsid w:val="001611B8"/>
    <w:rsid w:val="00161331"/>
    <w:rsid w:val="00162B44"/>
    <w:rsid w:val="00162E10"/>
    <w:rsid w:val="00163D19"/>
    <w:rsid w:val="00165EB9"/>
    <w:rsid w:val="00166437"/>
    <w:rsid w:val="00170333"/>
    <w:rsid w:val="00171AA8"/>
    <w:rsid w:val="00176355"/>
    <w:rsid w:val="00177528"/>
    <w:rsid w:val="00180D8E"/>
    <w:rsid w:val="0018304A"/>
    <w:rsid w:val="00183F40"/>
    <w:rsid w:val="00186AFA"/>
    <w:rsid w:val="00190BA3"/>
    <w:rsid w:val="001947D0"/>
    <w:rsid w:val="00195136"/>
    <w:rsid w:val="00196D7D"/>
    <w:rsid w:val="001A0B92"/>
    <w:rsid w:val="001A22C1"/>
    <w:rsid w:val="001A288D"/>
    <w:rsid w:val="001A3186"/>
    <w:rsid w:val="001A3257"/>
    <w:rsid w:val="001A4ADD"/>
    <w:rsid w:val="001A5910"/>
    <w:rsid w:val="001A6850"/>
    <w:rsid w:val="001B0A52"/>
    <w:rsid w:val="001B2547"/>
    <w:rsid w:val="001B47A9"/>
    <w:rsid w:val="001B4ECB"/>
    <w:rsid w:val="001B5A16"/>
    <w:rsid w:val="001B631D"/>
    <w:rsid w:val="001C120E"/>
    <w:rsid w:val="001C2945"/>
    <w:rsid w:val="001C30F5"/>
    <w:rsid w:val="001C4C6E"/>
    <w:rsid w:val="001C66C5"/>
    <w:rsid w:val="001C6E35"/>
    <w:rsid w:val="001C7085"/>
    <w:rsid w:val="001C780A"/>
    <w:rsid w:val="001C7988"/>
    <w:rsid w:val="001D1224"/>
    <w:rsid w:val="001D128E"/>
    <w:rsid w:val="001D44B5"/>
    <w:rsid w:val="001D470F"/>
    <w:rsid w:val="001D7C35"/>
    <w:rsid w:val="001E146C"/>
    <w:rsid w:val="001E2F8C"/>
    <w:rsid w:val="001E35A6"/>
    <w:rsid w:val="001E6B2B"/>
    <w:rsid w:val="001F3324"/>
    <w:rsid w:val="001F38E6"/>
    <w:rsid w:val="001F46E4"/>
    <w:rsid w:val="001F50D5"/>
    <w:rsid w:val="00200682"/>
    <w:rsid w:val="00200C69"/>
    <w:rsid w:val="002024F8"/>
    <w:rsid w:val="00203A97"/>
    <w:rsid w:val="00203C57"/>
    <w:rsid w:val="00204D35"/>
    <w:rsid w:val="00205A07"/>
    <w:rsid w:val="00206F25"/>
    <w:rsid w:val="002118F5"/>
    <w:rsid w:val="002138E0"/>
    <w:rsid w:val="002141C4"/>
    <w:rsid w:val="002147FE"/>
    <w:rsid w:val="0021704B"/>
    <w:rsid w:val="00217885"/>
    <w:rsid w:val="00217F36"/>
    <w:rsid w:val="002216D2"/>
    <w:rsid w:val="002309C7"/>
    <w:rsid w:val="002323CA"/>
    <w:rsid w:val="002349C2"/>
    <w:rsid w:val="002359DD"/>
    <w:rsid w:val="00235E8C"/>
    <w:rsid w:val="00236BF6"/>
    <w:rsid w:val="00236FE0"/>
    <w:rsid w:val="00245C70"/>
    <w:rsid w:val="00246923"/>
    <w:rsid w:val="00247981"/>
    <w:rsid w:val="00247D3C"/>
    <w:rsid w:val="00252A85"/>
    <w:rsid w:val="00252E75"/>
    <w:rsid w:val="002531F7"/>
    <w:rsid w:val="00260914"/>
    <w:rsid w:val="002618B9"/>
    <w:rsid w:val="00262286"/>
    <w:rsid w:val="00262C1B"/>
    <w:rsid w:val="00267255"/>
    <w:rsid w:val="002677C5"/>
    <w:rsid w:val="0026789F"/>
    <w:rsid w:val="0027098A"/>
    <w:rsid w:val="0027421A"/>
    <w:rsid w:val="00274A75"/>
    <w:rsid w:val="002758D1"/>
    <w:rsid w:val="00275B60"/>
    <w:rsid w:val="00276325"/>
    <w:rsid w:val="00276D08"/>
    <w:rsid w:val="002770D7"/>
    <w:rsid w:val="00277A59"/>
    <w:rsid w:val="00280DF6"/>
    <w:rsid w:val="002813D5"/>
    <w:rsid w:val="002833E4"/>
    <w:rsid w:val="002835A3"/>
    <w:rsid w:val="002847EC"/>
    <w:rsid w:val="00285F7D"/>
    <w:rsid w:val="00286176"/>
    <w:rsid w:val="002900C6"/>
    <w:rsid w:val="00290210"/>
    <w:rsid w:val="00290AF1"/>
    <w:rsid w:val="00290EA5"/>
    <w:rsid w:val="0029262E"/>
    <w:rsid w:val="00292903"/>
    <w:rsid w:val="00292DEA"/>
    <w:rsid w:val="00293351"/>
    <w:rsid w:val="00294C80"/>
    <w:rsid w:val="002954F1"/>
    <w:rsid w:val="00297645"/>
    <w:rsid w:val="002A1E57"/>
    <w:rsid w:val="002A2412"/>
    <w:rsid w:val="002A3538"/>
    <w:rsid w:val="002A5FA3"/>
    <w:rsid w:val="002B07D2"/>
    <w:rsid w:val="002B086D"/>
    <w:rsid w:val="002B45CD"/>
    <w:rsid w:val="002B46C2"/>
    <w:rsid w:val="002B6555"/>
    <w:rsid w:val="002B6ACB"/>
    <w:rsid w:val="002C0752"/>
    <w:rsid w:val="002C1118"/>
    <w:rsid w:val="002C1AB6"/>
    <w:rsid w:val="002C2541"/>
    <w:rsid w:val="002C5CB7"/>
    <w:rsid w:val="002C5EBE"/>
    <w:rsid w:val="002C7284"/>
    <w:rsid w:val="002D0015"/>
    <w:rsid w:val="002D274A"/>
    <w:rsid w:val="002D2ABF"/>
    <w:rsid w:val="002D3A79"/>
    <w:rsid w:val="002D3B81"/>
    <w:rsid w:val="002D565D"/>
    <w:rsid w:val="002D5A33"/>
    <w:rsid w:val="002D5B54"/>
    <w:rsid w:val="002E26CE"/>
    <w:rsid w:val="002E335C"/>
    <w:rsid w:val="002E3D50"/>
    <w:rsid w:val="002E5B7A"/>
    <w:rsid w:val="002E5EAB"/>
    <w:rsid w:val="002E5EDD"/>
    <w:rsid w:val="002E6E32"/>
    <w:rsid w:val="002E7AC9"/>
    <w:rsid w:val="002F139E"/>
    <w:rsid w:val="002F14A2"/>
    <w:rsid w:val="002F4D72"/>
    <w:rsid w:val="002F4ECE"/>
    <w:rsid w:val="002F5648"/>
    <w:rsid w:val="002F7057"/>
    <w:rsid w:val="002F7ADE"/>
    <w:rsid w:val="003028A1"/>
    <w:rsid w:val="00305086"/>
    <w:rsid w:val="0030511C"/>
    <w:rsid w:val="00305EF3"/>
    <w:rsid w:val="00307C6D"/>
    <w:rsid w:val="0031146F"/>
    <w:rsid w:val="003166E1"/>
    <w:rsid w:val="003167BB"/>
    <w:rsid w:val="003175DD"/>
    <w:rsid w:val="00317A60"/>
    <w:rsid w:val="00321647"/>
    <w:rsid w:val="0032346F"/>
    <w:rsid w:val="00323744"/>
    <w:rsid w:val="003252DF"/>
    <w:rsid w:val="00330FBC"/>
    <w:rsid w:val="00331EF4"/>
    <w:rsid w:val="0033413C"/>
    <w:rsid w:val="00337D17"/>
    <w:rsid w:val="0034009B"/>
    <w:rsid w:val="00340152"/>
    <w:rsid w:val="00343DE1"/>
    <w:rsid w:val="00343EF5"/>
    <w:rsid w:val="003453A3"/>
    <w:rsid w:val="003456D5"/>
    <w:rsid w:val="00346797"/>
    <w:rsid w:val="00350415"/>
    <w:rsid w:val="00351A42"/>
    <w:rsid w:val="00354113"/>
    <w:rsid w:val="00354D79"/>
    <w:rsid w:val="00355D59"/>
    <w:rsid w:val="003562A9"/>
    <w:rsid w:val="0035724C"/>
    <w:rsid w:val="003573FD"/>
    <w:rsid w:val="00357BB1"/>
    <w:rsid w:val="003601BC"/>
    <w:rsid w:val="003605DA"/>
    <w:rsid w:val="00361E13"/>
    <w:rsid w:val="00361E84"/>
    <w:rsid w:val="003620B6"/>
    <w:rsid w:val="00363A25"/>
    <w:rsid w:val="00363FBE"/>
    <w:rsid w:val="0036589D"/>
    <w:rsid w:val="0036646C"/>
    <w:rsid w:val="00366DF7"/>
    <w:rsid w:val="00366FF7"/>
    <w:rsid w:val="00367583"/>
    <w:rsid w:val="00372CDD"/>
    <w:rsid w:val="00373C4E"/>
    <w:rsid w:val="00374800"/>
    <w:rsid w:val="0037604A"/>
    <w:rsid w:val="0037796F"/>
    <w:rsid w:val="003850C1"/>
    <w:rsid w:val="00386C41"/>
    <w:rsid w:val="00386F2E"/>
    <w:rsid w:val="00387C9F"/>
    <w:rsid w:val="00391691"/>
    <w:rsid w:val="0039586D"/>
    <w:rsid w:val="0039754F"/>
    <w:rsid w:val="003978E6"/>
    <w:rsid w:val="003A0038"/>
    <w:rsid w:val="003A059F"/>
    <w:rsid w:val="003A231E"/>
    <w:rsid w:val="003A3C16"/>
    <w:rsid w:val="003A585F"/>
    <w:rsid w:val="003A60CE"/>
    <w:rsid w:val="003A7970"/>
    <w:rsid w:val="003A7DC4"/>
    <w:rsid w:val="003A7FDC"/>
    <w:rsid w:val="003B19AF"/>
    <w:rsid w:val="003B5C3F"/>
    <w:rsid w:val="003C2EE8"/>
    <w:rsid w:val="003C4C9F"/>
    <w:rsid w:val="003C57A9"/>
    <w:rsid w:val="003C62D0"/>
    <w:rsid w:val="003D1646"/>
    <w:rsid w:val="003D1807"/>
    <w:rsid w:val="003D198A"/>
    <w:rsid w:val="003D305F"/>
    <w:rsid w:val="003D3113"/>
    <w:rsid w:val="003D3190"/>
    <w:rsid w:val="003D7194"/>
    <w:rsid w:val="003D73A0"/>
    <w:rsid w:val="003E0287"/>
    <w:rsid w:val="003E1992"/>
    <w:rsid w:val="003E24CF"/>
    <w:rsid w:val="003E303A"/>
    <w:rsid w:val="003E309A"/>
    <w:rsid w:val="003E4CA7"/>
    <w:rsid w:val="003E53CD"/>
    <w:rsid w:val="003E61FE"/>
    <w:rsid w:val="003E6776"/>
    <w:rsid w:val="003E6B9C"/>
    <w:rsid w:val="003E7A65"/>
    <w:rsid w:val="003F1BED"/>
    <w:rsid w:val="003F43DD"/>
    <w:rsid w:val="003F6293"/>
    <w:rsid w:val="003F68FC"/>
    <w:rsid w:val="0040058C"/>
    <w:rsid w:val="004010B1"/>
    <w:rsid w:val="0040126E"/>
    <w:rsid w:val="004023C0"/>
    <w:rsid w:val="00404152"/>
    <w:rsid w:val="00406E46"/>
    <w:rsid w:val="0040743F"/>
    <w:rsid w:val="00410B0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349B"/>
    <w:rsid w:val="004345D9"/>
    <w:rsid w:val="004352F5"/>
    <w:rsid w:val="00435D31"/>
    <w:rsid w:val="00435D5B"/>
    <w:rsid w:val="004374BE"/>
    <w:rsid w:val="00440E33"/>
    <w:rsid w:val="00441B61"/>
    <w:rsid w:val="00441CA8"/>
    <w:rsid w:val="004431F8"/>
    <w:rsid w:val="00443247"/>
    <w:rsid w:val="00445BD5"/>
    <w:rsid w:val="00447B3B"/>
    <w:rsid w:val="0045125A"/>
    <w:rsid w:val="00452F0B"/>
    <w:rsid w:val="0045391D"/>
    <w:rsid w:val="00456764"/>
    <w:rsid w:val="004575B1"/>
    <w:rsid w:val="0046293D"/>
    <w:rsid w:val="0046308F"/>
    <w:rsid w:val="00473067"/>
    <w:rsid w:val="004755C8"/>
    <w:rsid w:val="004771B0"/>
    <w:rsid w:val="00477518"/>
    <w:rsid w:val="00481182"/>
    <w:rsid w:val="00481B1C"/>
    <w:rsid w:val="004825C2"/>
    <w:rsid w:val="004827A6"/>
    <w:rsid w:val="00482AEC"/>
    <w:rsid w:val="00482DE0"/>
    <w:rsid w:val="00483816"/>
    <w:rsid w:val="00486BCF"/>
    <w:rsid w:val="0049094E"/>
    <w:rsid w:val="00491598"/>
    <w:rsid w:val="00493B4C"/>
    <w:rsid w:val="00493C31"/>
    <w:rsid w:val="0049481A"/>
    <w:rsid w:val="00496D4A"/>
    <w:rsid w:val="004A17D2"/>
    <w:rsid w:val="004A2179"/>
    <w:rsid w:val="004A32E9"/>
    <w:rsid w:val="004A34E2"/>
    <w:rsid w:val="004A6F4D"/>
    <w:rsid w:val="004A7401"/>
    <w:rsid w:val="004B1CE0"/>
    <w:rsid w:val="004B22B2"/>
    <w:rsid w:val="004B565B"/>
    <w:rsid w:val="004B6BB2"/>
    <w:rsid w:val="004C2018"/>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4C72"/>
    <w:rsid w:val="004D54F3"/>
    <w:rsid w:val="004D57AF"/>
    <w:rsid w:val="004D5A44"/>
    <w:rsid w:val="004D6BA9"/>
    <w:rsid w:val="004E0D0E"/>
    <w:rsid w:val="004E19E1"/>
    <w:rsid w:val="004E1A68"/>
    <w:rsid w:val="004E1B29"/>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4BF"/>
    <w:rsid w:val="0052071C"/>
    <w:rsid w:val="00520A53"/>
    <w:rsid w:val="005214EC"/>
    <w:rsid w:val="0052378F"/>
    <w:rsid w:val="00523827"/>
    <w:rsid w:val="00523AF4"/>
    <w:rsid w:val="00525AC6"/>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3DF3"/>
    <w:rsid w:val="00544F6C"/>
    <w:rsid w:val="00545552"/>
    <w:rsid w:val="00552AF4"/>
    <w:rsid w:val="00552C27"/>
    <w:rsid w:val="00556CAB"/>
    <w:rsid w:val="00557212"/>
    <w:rsid w:val="005611C9"/>
    <w:rsid w:val="005655C3"/>
    <w:rsid w:val="0056676F"/>
    <w:rsid w:val="00566C3D"/>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742"/>
    <w:rsid w:val="0059698F"/>
    <w:rsid w:val="00597732"/>
    <w:rsid w:val="005A238D"/>
    <w:rsid w:val="005A30D6"/>
    <w:rsid w:val="005A45E1"/>
    <w:rsid w:val="005A5BF4"/>
    <w:rsid w:val="005A63BF"/>
    <w:rsid w:val="005A721E"/>
    <w:rsid w:val="005A75B9"/>
    <w:rsid w:val="005A75C8"/>
    <w:rsid w:val="005B09D5"/>
    <w:rsid w:val="005B0FD6"/>
    <w:rsid w:val="005B275E"/>
    <w:rsid w:val="005B37A7"/>
    <w:rsid w:val="005B72CA"/>
    <w:rsid w:val="005C0AAB"/>
    <w:rsid w:val="005C24D1"/>
    <w:rsid w:val="005C393D"/>
    <w:rsid w:val="005C46EF"/>
    <w:rsid w:val="005C7788"/>
    <w:rsid w:val="005D0F26"/>
    <w:rsid w:val="005D1575"/>
    <w:rsid w:val="005D18E5"/>
    <w:rsid w:val="005D20F2"/>
    <w:rsid w:val="005D450D"/>
    <w:rsid w:val="005D49D6"/>
    <w:rsid w:val="005D5251"/>
    <w:rsid w:val="005D7B0E"/>
    <w:rsid w:val="005E0C34"/>
    <w:rsid w:val="005E1613"/>
    <w:rsid w:val="005E1B00"/>
    <w:rsid w:val="005E1E22"/>
    <w:rsid w:val="005E28DB"/>
    <w:rsid w:val="005E31CC"/>
    <w:rsid w:val="005E3207"/>
    <w:rsid w:val="005E3EC1"/>
    <w:rsid w:val="005E4F1E"/>
    <w:rsid w:val="005E7046"/>
    <w:rsid w:val="005E7B84"/>
    <w:rsid w:val="005F01D8"/>
    <w:rsid w:val="005F04AE"/>
    <w:rsid w:val="005F1AFD"/>
    <w:rsid w:val="005F221E"/>
    <w:rsid w:val="005F461F"/>
    <w:rsid w:val="005F4751"/>
    <w:rsid w:val="005F5051"/>
    <w:rsid w:val="005F62DF"/>
    <w:rsid w:val="005F639F"/>
    <w:rsid w:val="005F6C1D"/>
    <w:rsid w:val="005F6C97"/>
    <w:rsid w:val="005F72B5"/>
    <w:rsid w:val="005F7FEA"/>
    <w:rsid w:val="006022DF"/>
    <w:rsid w:val="006033B9"/>
    <w:rsid w:val="00603405"/>
    <w:rsid w:val="00603E7F"/>
    <w:rsid w:val="00604E2D"/>
    <w:rsid w:val="00606D92"/>
    <w:rsid w:val="0061529A"/>
    <w:rsid w:val="00615A8D"/>
    <w:rsid w:val="00616A52"/>
    <w:rsid w:val="00620026"/>
    <w:rsid w:val="00620B2E"/>
    <w:rsid w:val="00624825"/>
    <w:rsid w:val="00624BAD"/>
    <w:rsid w:val="0062530A"/>
    <w:rsid w:val="00625939"/>
    <w:rsid w:val="006370B3"/>
    <w:rsid w:val="006378FD"/>
    <w:rsid w:val="00637903"/>
    <w:rsid w:val="00637E93"/>
    <w:rsid w:val="00637F2E"/>
    <w:rsid w:val="00641217"/>
    <w:rsid w:val="0064782F"/>
    <w:rsid w:val="00650FB0"/>
    <w:rsid w:val="0065161B"/>
    <w:rsid w:val="006530CE"/>
    <w:rsid w:val="0065625F"/>
    <w:rsid w:val="0065785E"/>
    <w:rsid w:val="00657D10"/>
    <w:rsid w:val="006604AC"/>
    <w:rsid w:val="00661376"/>
    <w:rsid w:val="006615E5"/>
    <w:rsid w:val="00663483"/>
    <w:rsid w:val="00663B6F"/>
    <w:rsid w:val="00663DD3"/>
    <w:rsid w:val="0066477C"/>
    <w:rsid w:val="00666A3E"/>
    <w:rsid w:val="00670B76"/>
    <w:rsid w:val="00670FAA"/>
    <w:rsid w:val="006718B0"/>
    <w:rsid w:val="006719FE"/>
    <w:rsid w:val="0067569A"/>
    <w:rsid w:val="006819AB"/>
    <w:rsid w:val="006820F4"/>
    <w:rsid w:val="00685872"/>
    <w:rsid w:val="006869C4"/>
    <w:rsid w:val="0068719C"/>
    <w:rsid w:val="00687D18"/>
    <w:rsid w:val="0069019B"/>
    <w:rsid w:val="0069227D"/>
    <w:rsid w:val="006974C8"/>
    <w:rsid w:val="00697B24"/>
    <w:rsid w:val="00697EA9"/>
    <w:rsid w:val="006A06EE"/>
    <w:rsid w:val="006A25CE"/>
    <w:rsid w:val="006A266C"/>
    <w:rsid w:val="006A3281"/>
    <w:rsid w:val="006A4BA2"/>
    <w:rsid w:val="006A66B9"/>
    <w:rsid w:val="006A7FBB"/>
    <w:rsid w:val="006B0D3C"/>
    <w:rsid w:val="006B0E96"/>
    <w:rsid w:val="006B1ADB"/>
    <w:rsid w:val="006B28B1"/>
    <w:rsid w:val="006B3C71"/>
    <w:rsid w:val="006B4351"/>
    <w:rsid w:val="006B6D1C"/>
    <w:rsid w:val="006C2009"/>
    <w:rsid w:val="006C227A"/>
    <w:rsid w:val="006C287A"/>
    <w:rsid w:val="006C344B"/>
    <w:rsid w:val="006C3D88"/>
    <w:rsid w:val="006D1273"/>
    <w:rsid w:val="006D2A32"/>
    <w:rsid w:val="006D30BE"/>
    <w:rsid w:val="006D567A"/>
    <w:rsid w:val="006D58D2"/>
    <w:rsid w:val="006D5943"/>
    <w:rsid w:val="006E010B"/>
    <w:rsid w:val="006E16A8"/>
    <w:rsid w:val="006E382F"/>
    <w:rsid w:val="006E57A0"/>
    <w:rsid w:val="006E6765"/>
    <w:rsid w:val="006E6953"/>
    <w:rsid w:val="006F1AAC"/>
    <w:rsid w:val="006F2097"/>
    <w:rsid w:val="006F344D"/>
    <w:rsid w:val="006F5052"/>
    <w:rsid w:val="006F5F1F"/>
    <w:rsid w:val="006F63B1"/>
    <w:rsid w:val="006F6462"/>
    <w:rsid w:val="006F7AC7"/>
    <w:rsid w:val="00700CD9"/>
    <w:rsid w:val="00701BA9"/>
    <w:rsid w:val="007020B5"/>
    <w:rsid w:val="007029E6"/>
    <w:rsid w:val="00703008"/>
    <w:rsid w:val="007055F3"/>
    <w:rsid w:val="00706DA6"/>
    <w:rsid w:val="007071EB"/>
    <w:rsid w:val="00710463"/>
    <w:rsid w:val="00710837"/>
    <w:rsid w:val="00710B71"/>
    <w:rsid w:val="00712A21"/>
    <w:rsid w:val="00714859"/>
    <w:rsid w:val="00714F92"/>
    <w:rsid w:val="0071524A"/>
    <w:rsid w:val="00717FD3"/>
    <w:rsid w:val="00720C41"/>
    <w:rsid w:val="00722FBA"/>
    <w:rsid w:val="0072313F"/>
    <w:rsid w:val="00727F36"/>
    <w:rsid w:val="0073012D"/>
    <w:rsid w:val="00732742"/>
    <w:rsid w:val="0073370C"/>
    <w:rsid w:val="00733A3B"/>
    <w:rsid w:val="00744479"/>
    <w:rsid w:val="00744FCC"/>
    <w:rsid w:val="00746143"/>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272"/>
    <w:rsid w:val="007969EF"/>
    <w:rsid w:val="007A0737"/>
    <w:rsid w:val="007A1182"/>
    <w:rsid w:val="007A341B"/>
    <w:rsid w:val="007A5951"/>
    <w:rsid w:val="007A6419"/>
    <w:rsid w:val="007A7335"/>
    <w:rsid w:val="007B06C6"/>
    <w:rsid w:val="007B16B5"/>
    <w:rsid w:val="007B4372"/>
    <w:rsid w:val="007B4578"/>
    <w:rsid w:val="007B50EE"/>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214E"/>
    <w:rsid w:val="007E4109"/>
    <w:rsid w:val="007E47D8"/>
    <w:rsid w:val="007E4E2B"/>
    <w:rsid w:val="007E6083"/>
    <w:rsid w:val="007E7F1E"/>
    <w:rsid w:val="007F13EE"/>
    <w:rsid w:val="007F425A"/>
    <w:rsid w:val="007F5F08"/>
    <w:rsid w:val="007F5FD5"/>
    <w:rsid w:val="007F6127"/>
    <w:rsid w:val="007F6812"/>
    <w:rsid w:val="007F7A75"/>
    <w:rsid w:val="00803208"/>
    <w:rsid w:val="00803284"/>
    <w:rsid w:val="00807358"/>
    <w:rsid w:val="00810769"/>
    <w:rsid w:val="00811CCC"/>
    <w:rsid w:val="00812080"/>
    <w:rsid w:val="008151FE"/>
    <w:rsid w:val="008160B8"/>
    <w:rsid w:val="00816D72"/>
    <w:rsid w:val="0082080B"/>
    <w:rsid w:val="008209C0"/>
    <w:rsid w:val="0082268F"/>
    <w:rsid w:val="008237E0"/>
    <w:rsid w:val="00823D48"/>
    <w:rsid w:val="008244AF"/>
    <w:rsid w:val="00825E02"/>
    <w:rsid w:val="008261CD"/>
    <w:rsid w:val="00827211"/>
    <w:rsid w:val="00827C96"/>
    <w:rsid w:val="008314C9"/>
    <w:rsid w:val="00831F79"/>
    <w:rsid w:val="008342B6"/>
    <w:rsid w:val="0083503B"/>
    <w:rsid w:val="0083719D"/>
    <w:rsid w:val="008372F3"/>
    <w:rsid w:val="00837C3F"/>
    <w:rsid w:val="0084086F"/>
    <w:rsid w:val="00840E26"/>
    <w:rsid w:val="00841F9C"/>
    <w:rsid w:val="00842037"/>
    <w:rsid w:val="00842A8E"/>
    <w:rsid w:val="00845391"/>
    <w:rsid w:val="00846755"/>
    <w:rsid w:val="008468C8"/>
    <w:rsid w:val="00847B72"/>
    <w:rsid w:val="00847D49"/>
    <w:rsid w:val="00851EF0"/>
    <w:rsid w:val="0085285F"/>
    <w:rsid w:val="00852B2F"/>
    <w:rsid w:val="00853159"/>
    <w:rsid w:val="0085576F"/>
    <w:rsid w:val="00855E59"/>
    <w:rsid w:val="00857D31"/>
    <w:rsid w:val="00860870"/>
    <w:rsid w:val="0086264D"/>
    <w:rsid w:val="00863D3F"/>
    <w:rsid w:val="008640A9"/>
    <w:rsid w:val="00865130"/>
    <w:rsid w:val="008651B5"/>
    <w:rsid w:val="0086561A"/>
    <w:rsid w:val="00866326"/>
    <w:rsid w:val="00867A66"/>
    <w:rsid w:val="00867D40"/>
    <w:rsid w:val="00871360"/>
    <w:rsid w:val="008714CE"/>
    <w:rsid w:val="00872F54"/>
    <w:rsid w:val="00874F1E"/>
    <w:rsid w:val="00874F94"/>
    <w:rsid w:val="008759F2"/>
    <w:rsid w:val="00875C20"/>
    <w:rsid w:val="00876D6E"/>
    <w:rsid w:val="00881C7A"/>
    <w:rsid w:val="00881CC4"/>
    <w:rsid w:val="008820EB"/>
    <w:rsid w:val="00882C8C"/>
    <w:rsid w:val="0088395D"/>
    <w:rsid w:val="0088652E"/>
    <w:rsid w:val="00887695"/>
    <w:rsid w:val="00887B1A"/>
    <w:rsid w:val="008920CE"/>
    <w:rsid w:val="00896BE8"/>
    <w:rsid w:val="0089756D"/>
    <w:rsid w:val="008A090F"/>
    <w:rsid w:val="008A3B24"/>
    <w:rsid w:val="008A3F3D"/>
    <w:rsid w:val="008B2560"/>
    <w:rsid w:val="008B4F77"/>
    <w:rsid w:val="008B58CB"/>
    <w:rsid w:val="008B6131"/>
    <w:rsid w:val="008B773A"/>
    <w:rsid w:val="008B7C2B"/>
    <w:rsid w:val="008C0BB8"/>
    <w:rsid w:val="008C141C"/>
    <w:rsid w:val="008C2460"/>
    <w:rsid w:val="008C4018"/>
    <w:rsid w:val="008C61E1"/>
    <w:rsid w:val="008D03BD"/>
    <w:rsid w:val="008D1CB0"/>
    <w:rsid w:val="008D4B46"/>
    <w:rsid w:val="008D51C7"/>
    <w:rsid w:val="008D6598"/>
    <w:rsid w:val="008D6D39"/>
    <w:rsid w:val="008D6E21"/>
    <w:rsid w:val="008D7F22"/>
    <w:rsid w:val="008E3AA7"/>
    <w:rsid w:val="008E5FD0"/>
    <w:rsid w:val="008E64B5"/>
    <w:rsid w:val="008F1E56"/>
    <w:rsid w:val="008F28E7"/>
    <w:rsid w:val="008F6418"/>
    <w:rsid w:val="008F66F4"/>
    <w:rsid w:val="008F7C65"/>
    <w:rsid w:val="00900237"/>
    <w:rsid w:val="00900C9C"/>
    <w:rsid w:val="009023CD"/>
    <w:rsid w:val="00903251"/>
    <w:rsid w:val="009035CB"/>
    <w:rsid w:val="00904F9C"/>
    <w:rsid w:val="00907078"/>
    <w:rsid w:val="00907B49"/>
    <w:rsid w:val="009101B9"/>
    <w:rsid w:val="0091105D"/>
    <w:rsid w:val="009132A8"/>
    <w:rsid w:val="00913D23"/>
    <w:rsid w:val="00913E32"/>
    <w:rsid w:val="00913F0D"/>
    <w:rsid w:val="009149DE"/>
    <w:rsid w:val="0091581B"/>
    <w:rsid w:val="009169B4"/>
    <w:rsid w:val="0091754C"/>
    <w:rsid w:val="009175DE"/>
    <w:rsid w:val="00920046"/>
    <w:rsid w:val="00920A46"/>
    <w:rsid w:val="00924D6A"/>
    <w:rsid w:val="00925EC5"/>
    <w:rsid w:val="0092709F"/>
    <w:rsid w:val="009306F8"/>
    <w:rsid w:val="0093237F"/>
    <w:rsid w:val="00934288"/>
    <w:rsid w:val="00936F6C"/>
    <w:rsid w:val="0093717B"/>
    <w:rsid w:val="00937855"/>
    <w:rsid w:val="00945EC2"/>
    <w:rsid w:val="009464E6"/>
    <w:rsid w:val="00950A42"/>
    <w:rsid w:val="00950F8C"/>
    <w:rsid w:val="009510CA"/>
    <w:rsid w:val="00953E7B"/>
    <w:rsid w:val="00954B1F"/>
    <w:rsid w:val="00957FDA"/>
    <w:rsid w:val="009620D8"/>
    <w:rsid w:val="0096261B"/>
    <w:rsid w:val="009638A0"/>
    <w:rsid w:val="00964157"/>
    <w:rsid w:val="009654D6"/>
    <w:rsid w:val="00965FC4"/>
    <w:rsid w:val="0097254D"/>
    <w:rsid w:val="00972E53"/>
    <w:rsid w:val="00974D6B"/>
    <w:rsid w:val="00975CFC"/>
    <w:rsid w:val="00977590"/>
    <w:rsid w:val="00977707"/>
    <w:rsid w:val="0098033C"/>
    <w:rsid w:val="0098116C"/>
    <w:rsid w:val="009836C4"/>
    <w:rsid w:val="00985035"/>
    <w:rsid w:val="009854E2"/>
    <w:rsid w:val="00985FAC"/>
    <w:rsid w:val="00986A6C"/>
    <w:rsid w:val="00991D87"/>
    <w:rsid w:val="00992DCA"/>
    <w:rsid w:val="009939F1"/>
    <w:rsid w:val="00994A54"/>
    <w:rsid w:val="00996755"/>
    <w:rsid w:val="00997359"/>
    <w:rsid w:val="009A0BCB"/>
    <w:rsid w:val="009A53E3"/>
    <w:rsid w:val="009B3A88"/>
    <w:rsid w:val="009C2E57"/>
    <w:rsid w:val="009C32DA"/>
    <w:rsid w:val="009C401C"/>
    <w:rsid w:val="009D1A5A"/>
    <w:rsid w:val="009D37AC"/>
    <w:rsid w:val="009D3EA9"/>
    <w:rsid w:val="009D54CB"/>
    <w:rsid w:val="009D799E"/>
    <w:rsid w:val="009E0628"/>
    <w:rsid w:val="009E1506"/>
    <w:rsid w:val="009E391F"/>
    <w:rsid w:val="009E4F61"/>
    <w:rsid w:val="009E55D8"/>
    <w:rsid w:val="009F074C"/>
    <w:rsid w:val="009F204C"/>
    <w:rsid w:val="009F31F8"/>
    <w:rsid w:val="009F354C"/>
    <w:rsid w:val="009F4F17"/>
    <w:rsid w:val="00A031CD"/>
    <w:rsid w:val="00A03B8F"/>
    <w:rsid w:val="00A0415A"/>
    <w:rsid w:val="00A04F9A"/>
    <w:rsid w:val="00A05DF3"/>
    <w:rsid w:val="00A06478"/>
    <w:rsid w:val="00A10757"/>
    <w:rsid w:val="00A10B3D"/>
    <w:rsid w:val="00A13C8B"/>
    <w:rsid w:val="00A153E9"/>
    <w:rsid w:val="00A177BC"/>
    <w:rsid w:val="00A17933"/>
    <w:rsid w:val="00A2176D"/>
    <w:rsid w:val="00A21819"/>
    <w:rsid w:val="00A22B5C"/>
    <w:rsid w:val="00A22C5E"/>
    <w:rsid w:val="00A277B8"/>
    <w:rsid w:val="00A27998"/>
    <w:rsid w:val="00A32952"/>
    <w:rsid w:val="00A32E23"/>
    <w:rsid w:val="00A342F7"/>
    <w:rsid w:val="00A34CA2"/>
    <w:rsid w:val="00A3579C"/>
    <w:rsid w:val="00A35E73"/>
    <w:rsid w:val="00A3653F"/>
    <w:rsid w:val="00A36877"/>
    <w:rsid w:val="00A36C65"/>
    <w:rsid w:val="00A41B11"/>
    <w:rsid w:val="00A4479C"/>
    <w:rsid w:val="00A463C5"/>
    <w:rsid w:val="00A46519"/>
    <w:rsid w:val="00A467CB"/>
    <w:rsid w:val="00A472B6"/>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64EBF"/>
    <w:rsid w:val="00A70302"/>
    <w:rsid w:val="00A70F46"/>
    <w:rsid w:val="00A7112C"/>
    <w:rsid w:val="00A71C5A"/>
    <w:rsid w:val="00A744A6"/>
    <w:rsid w:val="00A75A4D"/>
    <w:rsid w:val="00A770AD"/>
    <w:rsid w:val="00A80FAB"/>
    <w:rsid w:val="00A82D1B"/>
    <w:rsid w:val="00A84092"/>
    <w:rsid w:val="00A847DE"/>
    <w:rsid w:val="00A84B75"/>
    <w:rsid w:val="00A8522A"/>
    <w:rsid w:val="00A85806"/>
    <w:rsid w:val="00A90680"/>
    <w:rsid w:val="00A90976"/>
    <w:rsid w:val="00A90D02"/>
    <w:rsid w:val="00A93EE5"/>
    <w:rsid w:val="00A958A5"/>
    <w:rsid w:val="00AA02D4"/>
    <w:rsid w:val="00AA1B71"/>
    <w:rsid w:val="00AA2404"/>
    <w:rsid w:val="00AA31B0"/>
    <w:rsid w:val="00AA4062"/>
    <w:rsid w:val="00AA56A4"/>
    <w:rsid w:val="00AA6463"/>
    <w:rsid w:val="00AA668E"/>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733"/>
    <w:rsid w:val="00AE7FD2"/>
    <w:rsid w:val="00AF0EC5"/>
    <w:rsid w:val="00AF15E2"/>
    <w:rsid w:val="00AF1E0E"/>
    <w:rsid w:val="00AF23DE"/>
    <w:rsid w:val="00AF3A3E"/>
    <w:rsid w:val="00AF45AC"/>
    <w:rsid w:val="00AF594A"/>
    <w:rsid w:val="00AF6637"/>
    <w:rsid w:val="00AF7763"/>
    <w:rsid w:val="00B035D1"/>
    <w:rsid w:val="00B06E77"/>
    <w:rsid w:val="00B07498"/>
    <w:rsid w:val="00B075FF"/>
    <w:rsid w:val="00B10A94"/>
    <w:rsid w:val="00B1130E"/>
    <w:rsid w:val="00B1143D"/>
    <w:rsid w:val="00B11984"/>
    <w:rsid w:val="00B11D81"/>
    <w:rsid w:val="00B1296E"/>
    <w:rsid w:val="00B12A12"/>
    <w:rsid w:val="00B1362E"/>
    <w:rsid w:val="00B15F39"/>
    <w:rsid w:val="00B16ACB"/>
    <w:rsid w:val="00B1742A"/>
    <w:rsid w:val="00B204A1"/>
    <w:rsid w:val="00B219AE"/>
    <w:rsid w:val="00B22E25"/>
    <w:rsid w:val="00B2713A"/>
    <w:rsid w:val="00B27C5F"/>
    <w:rsid w:val="00B30D85"/>
    <w:rsid w:val="00B31F5D"/>
    <w:rsid w:val="00B32CDD"/>
    <w:rsid w:val="00B33034"/>
    <w:rsid w:val="00B33BD3"/>
    <w:rsid w:val="00B34FEA"/>
    <w:rsid w:val="00B353D5"/>
    <w:rsid w:val="00B36755"/>
    <w:rsid w:val="00B401C4"/>
    <w:rsid w:val="00B401E8"/>
    <w:rsid w:val="00B402A9"/>
    <w:rsid w:val="00B40E60"/>
    <w:rsid w:val="00B41184"/>
    <w:rsid w:val="00B4234F"/>
    <w:rsid w:val="00B423FA"/>
    <w:rsid w:val="00B425EB"/>
    <w:rsid w:val="00B4289E"/>
    <w:rsid w:val="00B434A7"/>
    <w:rsid w:val="00B44434"/>
    <w:rsid w:val="00B44FDA"/>
    <w:rsid w:val="00B452D0"/>
    <w:rsid w:val="00B46FB3"/>
    <w:rsid w:val="00B50744"/>
    <w:rsid w:val="00B51355"/>
    <w:rsid w:val="00B51D74"/>
    <w:rsid w:val="00B54ADE"/>
    <w:rsid w:val="00B55420"/>
    <w:rsid w:val="00B55C34"/>
    <w:rsid w:val="00B57F03"/>
    <w:rsid w:val="00B57F04"/>
    <w:rsid w:val="00B63244"/>
    <w:rsid w:val="00B636AC"/>
    <w:rsid w:val="00B63BD8"/>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4CE3"/>
    <w:rsid w:val="00B95A1E"/>
    <w:rsid w:val="00B97AC6"/>
    <w:rsid w:val="00BA00C4"/>
    <w:rsid w:val="00BA2FF0"/>
    <w:rsid w:val="00BA31BE"/>
    <w:rsid w:val="00BA3428"/>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3FE6"/>
    <w:rsid w:val="00BD404C"/>
    <w:rsid w:val="00BD4981"/>
    <w:rsid w:val="00BD5066"/>
    <w:rsid w:val="00BD7D7A"/>
    <w:rsid w:val="00BE2A8C"/>
    <w:rsid w:val="00BE328A"/>
    <w:rsid w:val="00BE3FD8"/>
    <w:rsid w:val="00BE64FC"/>
    <w:rsid w:val="00BE6ED2"/>
    <w:rsid w:val="00BE749F"/>
    <w:rsid w:val="00BE7999"/>
    <w:rsid w:val="00BF2325"/>
    <w:rsid w:val="00BF2A4B"/>
    <w:rsid w:val="00BF31CC"/>
    <w:rsid w:val="00BF379A"/>
    <w:rsid w:val="00BF635E"/>
    <w:rsid w:val="00BF7B2E"/>
    <w:rsid w:val="00C025F2"/>
    <w:rsid w:val="00C06133"/>
    <w:rsid w:val="00C06595"/>
    <w:rsid w:val="00C10324"/>
    <w:rsid w:val="00C1035C"/>
    <w:rsid w:val="00C105D7"/>
    <w:rsid w:val="00C107EE"/>
    <w:rsid w:val="00C11493"/>
    <w:rsid w:val="00C14B78"/>
    <w:rsid w:val="00C20838"/>
    <w:rsid w:val="00C21DAA"/>
    <w:rsid w:val="00C23E02"/>
    <w:rsid w:val="00C24386"/>
    <w:rsid w:val="00C25776"/>
    <w:rsid w:val="00C27AE9"/>
    <w:rsid w:val="00C27E3E"/>
    <w:rsid w:val="00C32B03"/>
    <w:rsid w:val="00C3556B"/>
    <w:rsid w:val="00C3609F"/>
    <w:rsid w:val="00C36118"/>
    <w:rsid w:val="00C36337"/>
    <w:rsid w:val="00C3696F"/>
    <w:rsid w:val="00C37ADA"/>
    <w:rsid w:val="00C37D9B"/>
    <w:rsid w:val="00C413E4"/>
    <w:rsid w:val="00C41917"/>
    <w:rsid w:val="00C42332"/>
    <w:rsid w:val="00C426E9"/>
    <w:rsid w:val="00C445A9"/>
    <w:rsid w:val="00C44848"/>
    <w:rsid w:val="00C4548B"/>
    <w:rsid w:val="00C51ABB"/>
    <w:rsid w:val="00C53BB6"/>
    <w:rsid w:val="00C57BDD"/>
    <w:rsid w:val="00C57DD5"/>
    <w:rsid w:val="00C60605"/>
    <w:rsid w:val="00C60D33"/>
    <w:rsid w:val="00C61E6E"/>
    <w:rsid w:val="00C64F93"/>
    <w:rsid w:val="00C65E47"/>
    <w:rsid w:val="00C66124"/>
    <w:rsid w:val="00C667AE"/>
    <w:rsid w:val="00C70C7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1D2"/>
    <w:rsid w:val="00CA58E1"/>
    <w:rsid w:val="00CA5ADB"/>
    <w:rsid w:val="00CA68E7"/>
    <w:rsid w:val="00CB0B3F"/>
    <w:rsid w:val="00CB513A"/>
    <w:rsid w:val="00CB53F8"/>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C81"/>
    <w:rsid w:val="00CD6E31"/>
    <w:rsid w:val="00CD6EC2"/>
    <w:rsid w:val="00CD75C7"/>
    <w:rsid w:val="00CD7B8A"/>
    <w:rsid w:val="00CE19FA"/>
    <w:rsid w:val="00CE1B16"/>
    <w:rsid w:val="00CE1E0A"/>
    <w:rsid w:val="00CE24FB"/>
    <w:rsid w:val="00CE46DA"/>
    <w:rsid w:val="00CE75AC"/>
    <w:rsid w:val="00CF0668"/>
    <w:rsid w:val="00CF1ABC"/>
    <w:rsid w:val="00CF21D8"/>
    <w:rsid w:val="00CF31B8"/>
    <w:rsid w:val="00CF37A4"/>
    <w:rsid w:val="00CF3AA6"/>
    <w:rsid w:val="00CF3B7F"/>
    <w:rsid w:val="00CF4FC4"/>
    <w:rsid w:val="00CF5117"/>
    <w:rsid w:val="00CF5ECB"/>
    <w:rsid w:val="00CF653E"/>
    <w:rsid w:val="00CF6F9E"/>
    <w:rsid w:val="00CF7BE0"/>
    <w:rsid w:val="00D02BE8"/>
    <w:rsid w:val="00D04195"/>
    <w:rsid w:val="00D05CEF"/>
    <w:rsid w:val="00D10303"/>
    <w:rsid w:val="00D11716"/>
    <w:rsid w:val="00D12282"/>
    <w:rsid w:val="00D13446"/>
    <w:rsid w:val="00D135DA"/>
    <w:rsid w:val="00D13817"/>
    <w:rsid w:val="00D13A24"/>
    <w:rsid w:val="00D14E63"/>
    <w:rsid w:val="00D15A4A"/>
    <w:rsid w:val="00D201DA"/>
    <w:rsid w:val="00D215CB"/>
    <w:rsid w:val="00D22056"/>
    <w:rsid w:val="00D222A1"/>
    <w:rsid w:val="00D243A5"/>
    <w:rsid w:val="00D2526B"/>
    <w:rsid w:val="00D264BE"/>
    <w:rsid w:val="00D2726D"/>
    <w:rsid w:val="00D2745B"/>
    <w:rsid w:val="00D274DC"/>
    <w:rsid w:val="00D27F14"/>
    <w:rsid w:val="00D30BF3"/>
    <w:rsid w:val="00D30C6B"/>
    <w:rsid w:val="00D31203"/>
    <w:rsid w:val="00D31B6C"/>
    <w:rsid w:val="00D33F5B"/>
    <w:rsid w:val="00D3651B"/>
    <w:rsid w:val="00D3768D"/>
    <w:rsid w:val="00D37A5C"/>
    <w:rsid w:val="00D4093A"/>
    <w:rsid w:val="00D426BF"/>
    <w:rsid w:val="00D4281E"/>
    <w:rsid w:val="00D42EB4"/>
    <w:rsid w:val="00D4489A"/>
    <w:rsid w:val="00D4525A"/>
    <w:rsid w:val="00D46A66"/>
    <w:rsid w:val="00D50608"/>
    <w:rsid w:val="00D506E9"/>
    <w:rsid w:val="00D519D1"/>
    <w:rsid w:val="00D5774E"/>
    <w:rsid w:val="00D62D47"/>
    <w:rsid w:val="00D646A0"/>
    <w:rsid w:val="00D64FD0"/>
    <w:rsid w:val="00D66013"/>
    <w:rsid w:val="00D66EE4"/>
    <w:rsid w:val="00D67284"/>
    <w:rsid w:val="00D67679"/>
    <w:rsid w:val="00D67C8B"/>
    <w:rsid w:val="00D70AA6"/>
    <w:rsid w:val="00D7189B"/>
    <w:rsid w:val="00D72E41"/>
    <w:rsid w:val="00D740A7"/>
    <w:rsid w:val="00D7423C"/>
    <w:rsid w:val="00D74E38"/>
    <w:rsid w:val="00D75307"/>
    <w:rsid w:val="00D758EC"/>
    <w:rsid w:val="00D76B5D"/>
    <w:rsid w:val="00D773D8"/>
    <w:rsid w:val="00D77699"/>
    <w:rsid w:val="00D77A17"/>
    <w:rsid w:val="00D77B3F"/>
    <w:rsid w:val="00D80224"/>
    <w:rsid w:val="00D82A8B"/>
    <w:rsid w:val="00D83AF5"/>
    <w:rsid w:val="00D84CDF"/>
    <w:rsid w:val="00D84F53"/>
    <w:rsid w:val="00D85D82"/>
    <w:rsid w:val="00D865BB"/>
    <w:rsid w:val="00D9048A"/>
    <w:rsid w:val="00D92142"/>
    <w:rsid w:val="00D95D5D"/>
    <w:rsid w:val="00DA1FCB"/>
    <w:rsid w:val="00DA397E"/>
    <w:rsid w:val="00DA4E92"/>
    <w:rsid w:val="00DB5509"/>
    <w:rsid w:val="00DB7528"/>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F8"/>
    <w:rsid w:val="00DE2DEA"/>
    <w:rsid w:val="00DE2E52"/>
    <w:rsid w:val="00DE5B7E"/>
    <w:rsid w:val="00DE61A4"/>
    <w:rsid w:val="00DE6E2C"/>
    <w:rsid w:val="00DE74E0"/>
    <w:rsid w:val="00DF2C90"/>
    <w:rsid w:val="00DF41AE"/>
    <w:rsid w:val="00DF42DE"/>
    <w:rsid w:val="00DF47E7"/>
    <w:rsid w:val="00DF49C8"/>
    <w:rsid w:val="00DF53E5"/>
    <w:rsid w:val="00DF56B0"/>
    <w:rsid w:val="00DF6240"/>
    <w:rsid w:val="00DF6F9F"/>
    <w:rsid w:val="00E00781"/>
    <w:rsid w:val="00E01BC1"/>
    <w:rsid w:val="00E01BEC"/>
    <w:rsid w:val="00E026DC"/>
    <w:rsid w:val="00E02E0C"/>
    <w:rsid w:val="00E032F1"/>
    <w:rsid w:val="00E036B1"/>
    <w:rsid w:val="00E04FDA"/>
    <w:rsid w:val="00E06326"/>
    <w:rsid w:val="00E06C1A"/>
    <w:rsid w:val="00E06F24"/>
    <w:rsid w:val="00E12949"/>
    <w:rsid w:val="00E13B0E"/>
    <w:rsid w:val="00E15C59"/>
    <w:rsid w:val="00E16261"/>
    <w:rsid w:val="00E2007A"/>
    <w:rsid w:val="00E20312"/>
    <w:rsid w:val="00E20403"/>
    <w:rsid w:val="00E209B5"/>
    <w:rsid w:val="00E20DB7"/>
    <w:rsid w:val="00E2232F"/>
    <w:rsid w:val="00E258F6"/>
    <w:rsid w:val="00E25AB5"/>
    <w:rsid w:val="00E302BE"/>
    <w:rsid w:val="00E3075F"/>
    <w:rsid w:val="00E31F3F"/>
    <w:rsid w:val="00E321C8"/>
    <w:rsid w:val="00E32815"/>
    <w:rsid w:val="00E40203"/>
    <w:rsid w:val="00E41A31"/>
    <w:rsid w:val="00E443DE"/>
    <w:rsid w:val="00E46A38"/>
    <w:rsid w:val="00E52314"/>
    <w:rsid w:val="00E52942"/>
    <w:rsid w:val="00E52AE4"/>
    <w:rsid w:val="00E638CF"/>
    <w:rsid w:val="00E64814"/>
    <w:rsid w:val="00E64DBF"/>
    <w:rsid w:val="00E66D37"/>
    <w:rsid w:val="00E71663"/>
    <w:rsid w:val="00E71E2A"/>
    <w:rsid w:val="00E72050"/>
    <w:rsid w:val="00E7366F"/>
    <w:rsid w:val="00E74A9C"/>
    <w:rsid w:val="00E74CD6"/>
    <w:rsid w:val="00E751D0"/>
    <w:rsid w:val="00E8218C"/>
    <w:rsid w:val="00E8244F"/>
    <w:rsid w:val="00E8295B"/>
    <w:rsid w:val="00E83A0B"/>
    <w:rsid w:val="00E83B6C"/>
    <w:rsid w:val="00E83C20"/>
    <w:rsid w:val="00E87BF0"/>
    <w:rsid w:val="00E902F4"/>
    <w:rsid w:val="00E91081"/>
    <w:rsid w:val="00E91FB2"/>
    <w:rsid w:val="00E9217E"/>
    <w:rsid w:val="00E93B3E"/>
    <w:rsid w:val="00E93C4D"/>
    <w:rsid w:val="00E93F42"/>
    <w:rsid w:val="00E9604D"/>
    <w:rsid w:val="00E966AC"/>
    <w:rsid w:val="00E96B0E"/>
    <w:rsid w:val="00E96F9A"/>
    <w:rsid w:val="00E970E3"/>
    <w:rsid w:val="00E97B7D"/>
    <w:rsid w:val="00EA076E"/>
    <w:rsid w:val="00EA16B2"/>
    <w:rsid w:val="00EA3CB8"/>
    <w:rsid w:val="00EA4914"/>
    <w:rsid w:val="00EA7E87"/>
    <w:rsid w:val="00EB0871"/>
    <w:rsid w:val="00EB0B22"/>
    <w:rsid w:val="00EB1045"/>
    <w:rsid w:val="00EB18D5"/>
    <w:rsid w:val="00EB1ADC"/>
    <w:rsid w:val="00EB36C9"/>
    <w:rsid w:val="00EB6A35"/>
    <w:rsid w:val="00EC30C5"/>
    <w:rsid w:val="00EC47C9"/>
    <w:rsid w:val="00EC6461"/>
    <w:rsid w:val="00EC6A69"/>
    <w:rsid w:val="00ED0367"/>
    <w:rsid w:val="00ED19C8"/>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12D43"/>
    <w:rsid w:val="00F13062"/>
    <w:rsid w:val="00F14CA1"/>
    <w:rsid w:val="00F14EC6"/>
    <w:rsid w:val="00F1665D"/>
    <w:rsid w:val="00F17582"/>
    <w:rsid w:val="00F20CD4"/>
    <w:rsid w:val="00F26503"/>
    <w:rsid w:val="00F26B75"/>
    <w:rsid w:val="00F278D2"/>
    <w:rsid w:val="00F31131"/>
    <w:rsid w:val="00F313D5"/>
    <w:rsid w:val="00F31E1E"/>
    <w:rsid w:val="00F348AE"/>
    <w:rsid w:val="00F34992"/>
    <w:rsid w:val="00F3543A"/>
    <w:rsid w:val="00F35761"/>
    <w:rsid w:val="00F36056"/>
    <w:rsid w:val="00F367CC"/>
    <w:rsid w:val="00F40690"/>
    <w:rsid w:val="00F44352"/>
    <w:rsid w:val="00F44AF7"/>
    <w:rsid w:val="00F44E60"/>
    <w:rsid w:val="00F46A1D"/>
    <w:rsid w:val="00F511C1"/>
    <w:rsid w:val="00F52D81"/>
    <w:rsid w:val="00F54D93"/>
    <w:rsid w:val="00F56BC9"/>
    <w:rsid w:val="00F56C79"/>
    <w:rsid w:val="00F57C43"/>
    <w:rsid w:val="00F61401"/>
    <w:rsid w:val="00F618D9"/>
    <w:rsid w:val="00F6248E"/>
    <w:rsid w:val="00F63C33"/>
    <w:rsid w:val="00F63F80"/>
    <w:rsid w:val="00F64178"/>
    <w:rsid w:val="00F64437"/>
    <w:rsid w:val="00F64578"/>
    <w:rsid w:val="00F64AF9"/>
    <w:rsid w:val="00F64B41"/>
    <w:rsid w:val="00F64E90"/>
    <w:rsid w:val="00F64FA6"/>
    <w:rsid w:val="00F65EB3"/>
    <w:rsid w:val="00F65EEF"/>
    <w:rsid w:val="00F664EB"/>
    <w:rsid w:val="00F665F5"/>
    <w:rsid w:val="00F70136"/>
    <w:rsid w:val="00F703A6"/>
    <w:rsid w:val="00F70E7C"/>
    <w:rsid w:val="00F71348"/>
    <w:rsid w:val="00F724A8"/>
    <w:rsid w:val="00F73151"/>
    <w:rsid w:val="00F734E3"/>
    <w:rsid w:val="00F737D0"/>
    <w:rsid w:val="00F74504"/>
    <w:rsid w:val="00F765FE"/>
    <w:rsid w:val="00F76F26"/>
    <w:rsid w:val="00F77442"/>
    <w:rsid w:val="00F77737"/>
    <w:rsid w:val="00F826FF"/>
    <w:rsid w:val="00F82BC4"/>
    <w:rsid w:val="00F85BC6"/>
    <w:rsid w:val="00F8666A"/>
    <w:rsid w:val="00F86E63"/>
    <w:rsid w:val="00F90A2B"/>
    <w:rsid w:val="00F93CC9"/>
    <w:rsid w:val="00F964B8"/>
    <w:rsid w:val="00FA0B1C"/>
    <w:rsid w:val="00FA2730"/>
    <w:rsid w:val="00FA477A"/>
    <w:rsid w:val="00FA4E3B"/>
    <w:rsid w:val="00FA6128"/>
    <w:rsid w:val="00FA691C"/>
    <w:rsid w:val="00FA7683"/>
    <w:rsid w:val="00FB380D"/>
    <w:rsid w:val="00FB3965"/>
    <w:rsid w:val="00FC08BE"/>
    <w:rsid w:val="00FC0E48"/>
    <w:rsid w:val="00FC375D"/>
    <w:rsid w:val="00FC5551"/>
    <w:rsid w:val="00FC55FF"/>
    <w:rsid w:val="00FC5D48"/>
    <w:rsid w:val="00FC751A"/>
    <w:rsid w:val="00FD0A07"/>
    <w:rsid w:val="00FD0F69"/>
    <w:rsid w:val="00FD1490"/>
    <w:rsid w:val="00FD6052"/>
    <w:rsid w:val="00FD71B1"/>
    <w:rsid w:val="00FE04C4"/>
    <w:rsid w:val="00FE0938"/>
    <w:rsid w:val="00FE22B0"/>
    <w:rsid w:val="00FE2B9B"/>
    <w:rsid w:val="00FE6E59"/>
    <w:rsid w:val="00FE6E67"/>
    <w:rsid w:val="00FF1D02"/>
    <w:rsid w:val="00FF2A96"/>
    <w:rsid w:val="00FF306B"/>
    <w:rsid w:val="00FF4262"/>
    <w:rsid w:val="00FF55DE"/>
    <w:rsid w:val="00FF64D3"/>
    <w:rsid w:val="00FF6919"/>
    <w:rsid w:val="00FF71FD"/>
    <w:rsid w:val="0CE12542"/>
    <w:rsid w:val="106413A6"/>
    <w:rsid w:val="23631D63"/>
    <w:rsid w:val="24C85929"/>
    <w:rsid w:val="26BE76BF"/>
    <w:rsid w:val="283A4CED"/>
    <w:rsid w:val="36B540B1"/>
    <w:rsid w:val="3F19317E"/>
    <w:rsid w:val="3F987025"/>
    <w:rsid w:val="43FB6A50"/>
    <w:rsid w:val="457262CF"/>
    <w:rsid w:val="4A7E2D44"/>
    <w:rsid w:val="51745ABC"/>
    <w:rsid w:val="52C709FA"/>
    <w:rsid w:val="564817B7"/>
    <w:rsid w:val="577D6F16"/>
    <w:rsid w:val="57EC58B3"/>
    <w:rsid w:val="58D70878"/>
    <w:rsid w:val="5A350865"/>
    <w:rsid w:val="5E057672"/>
    <w:rsid w:val="64ED4CA5"/>
    <w:rsid w:val="653E09DB"/>
    <w:rsid w:val="7D1B2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2"/>
    <w:qFormat/>
    <w:uiPriority w:val="0"/>
    <w:pPr>
      <w:keepNext/>
      <w:keepLines/>
      <w:spacing w:before="340" w:after="330" w:line="576" w:lineRule="auto"/>
      <w:jc w:val="center"/>
      <w:outlineLvl w:val="0"/>
    </w:pPr>
    <w:rPr>
      <w:b/>
      <w:bCs/>
      <w:kern w:val="44"/>
      <w:sz w:val="36"/>
      <w:szCs w:val="44"/>
      <w:lang w:val="zh-CN"/>
    </w:rPr>
  </w:style>
  <w:style w:type="paragraph" w:styleId="3">
    <w:name w:val="heading 2"/>
    <w:basedOn w:val="1"/>
    <w:next w:val="1"/>
    <w:link w:val="53"/>
    <w:qFormat/>
    <w:uiPriority w:val="0"/>
    <w:pPr>
      <w:keepNext/>
      <w:keepLines/>
      <w:spacing w:before="260" w:after="260" w:line="413" w:lineRule="auto"/>
      <w:outlineLvl w:val="1"/>
    </w:pPr>
    <w:rPr>
      <w:rFonts w:ascii="Arial" w:hAnsi="Arial" w:eastAsia="黑体"/>
      <w:b/>
      <w:bCs/>
      <w:kern w:val="0"/>
      <w:sz w:val="32"/>
      <w:szCs w:val="32"/>
      <w:lang w:val="zh-CN"/>
    </w:rPr>
  </w:style>
  <w:style w:type="paragraph" w:styleId="4">
    <w:name w:val="heading 3"/>
    <w:basedOn w:val="1"/>
    <w:next w:val="1"/>
    <w:link w:val="54"/>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55"/>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6"/>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7"/>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8"/>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59"/>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0"/>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qFormat/>
    <w:uiPriority w:val="39"/>
    <w:pPr>
      <w:suppressLineNumbers w:val="0"/>
      <w:ind w:left="1260"/>
      <w:jc w:val="left"/>
    </w:pPr>
    <w:rPr>
      <w:rFonts w:ascii="Times New Roman" w:hAnsi="Times New Roman"/>
      <w:sz w:val="18"/>
    </w:rPr>
  </w:style>
  <w:style w:type="paragraph" w:customStyle="1" w:styleId="12">
    <w:name w:val="目录"/>
    <w:basedOn w:val="1"/>
    <w:qFormat/>
    <w:uiPriority w:val="0"/>
    <w:pPr>
      <w:suppressLineNumbers/>
      <w:suppressAutoHyphens/>
    </w:pPr>
    <w:rPr>
      <w:rFonts w:ascii="宋体" w:hAnsi="宋体"/>
      <w:kern w:val="21"/>
      <w:lang w:eastAsia="ar-SA"/>
    </w:rPr>
  </w:style>
  <w:style w:type="paragraph" w:styleId="13">
    <w:name w:val="Normal Indent"/>
    <w:basedOn w:val="1"/>
    <w:qFormat/>
    <w:uiPriority w:val="0"/>
    <w:pPr>
      <w:ind w:firstLine="420"/>
    </w:pPr>
  </w:style>
  <w:style w:type="paragraph" w:styleId="14">
    <w:name w:val="Document Map"/>
    <w:basedOn w:val="1"/>
    <w:link w:val="203"/>
    <w:qFormat/>
    <w:uiPriority w:val="0"/>
    <w:pPr>
      <w:shd w:val="clear" w:color="auto" w:fill="000080"/>
      <w:suppressAutoHyphens/>
    </w:pPr>
    <w:rPr>
      <w:rFonts w:ascii="宋体" w:hAnsi="宋体"/>
      <w:kern w:val="21"/>
      <w:lang w:eastAsia="ar-SA"/>
    </w:rPr>
  </w:style>
  <w:style w:type="paragraph" w:styleId="15">
    <w:name w:val="annotation text"/>
    <w:basedOn w:val="1"/>
    <w:link w:val="190"/>
    <w:qFormat/>
    <w:uiPriority w:val="0"/>
    <w:pPr>
      <w:jc w:val="left"/>
    </w:pPr>
  </w:style>
  <w:style w:type="paragraph" w:styleId="16">
    <w:name w:val="Body Text 3"/>
    <w:basedOn w:val="1"/>
    <w:link w:val="122"/>
    <w:qFormat/>
    <w:uiPriority w:val="0"/>
    <w:rPr>
      <w:rFonts w:ascii="黑体" w:hAnsi="Arial" w:eastAsia="黑体"/>
      <w:b/>
      <w:kern w:val="0"/>
    </w:rPr>
  </w:style>
  <w:style w:type="paragraph" w:styleId="17">
    <w:name w:val="Body Text"/>
    <w:basedOn w:val="1"/>
    <w:link w:val="80"/>
    <w:qFormat/>
    <w:uiPriority w:val="0"/>
    <w:pPr>
      <w:spacing w:after="120"/>
    </w:pPr>
    <w:rPr>
      <w:kern w:val="0"/>
      <w:sz w:val="20"/>
      <w:szCs w:val="24"/>
    </w:rPr>
  </w:style>
  <w:style w:type="paragraph" w:styleId="18">
    <w:name w:val="Body Text Indent"/>
    <w:basedOn w:val="1"/>
    <w:link w:val="113"/>
    <w:qFormat/>
    <w:uiPriority w:val="0"/>
    <w:pPr>
      <w:ind w:firstLine="830" w:firstLineChars="352"/>
    </w:pPr>
    <w:rPr>
      <w:rFonts w:ascii="仿宋_GB2312" w:eastAsia="仿宋_GB2312"/>
      <w:kern w:val="0"/>
      <w:sz w:val="32"/>
    </w:rPr>
  </w:style>
  <w:style w:type="paragraph" w:styleId="19">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0">
    <w:name w:val="toc 5"/>
    <w:basedOn w:val="12"/>
    <w:next w:val="1"/>
    <w:qFormat/>
    <w:uiPriority w:val="39"/>
    <w:pPr>
      <w:suppressLineNumbers w:val="0"/>
      <w:ind w:left="840"/>
      <w:jc w:val="left"/>
    </w:pPr>
    <w:rPr>
      <w:rFonts w:ascii="Times New Roman" w:hAnsi="Times New Roman"/>
      <w:sz w:val="18"/>
    </w:rPr>
  </w:style>
  <w:style w:type="paragraph" w:styleId="21">
    <w:name w:val="toc 3"/>
    <w:basedOn w:val="1"/>
    <w:next w:val="1"/>
    <w:qFormat/>
    <w:uiPriority w:val="39"/>
    <w:pPr>
      <w:ind w:left="840" w:leftChars="400"/>
    </w:pPr>
  </w:style>
  <w:style w:type="paragraph" w:styleId="22">
    <w:name w:val="Plain Text"/>
    <w:basedOn w:val="1"/>
    <w:link w:val="63"/>
    <w:qFormat/>
    <w:uiPriority w:val="0"/>
    <w:rPr>
      <w:rFonts w:ascii="宋体" w:hAnsi="Courier New" w:cs="Courier New"/>
      <w:kern w:val="0"/>
      <w:sz w:val="20"/>
      <w:szCs w:val="21"/>
    </w:rPr>
  </w:style>
  <w:style w:type="paragraph" w:styleId="23">
    <w:name w:val="toc 8"/>
    <w:basedOn w:val="12"/>
    <w:next w:val="1"/>
    <w:qFormat/>
    <w:uiPriority w:val="39"/>
    <w:pPr>
      <w:suppressLineNumbers w:val="0"/>
      <w:ind w:left="1470"/>
      <w:jc w:val="left"/>
    </w:pPr>
    <w:rPr>
      <w:rFonts w:ascii="Times New Roman" w:hAnsi="Times New Roman"/>
      <w:sz w:val="18"/>
    </w:rPr>
  </w:style>
  <w:style w:type="paragraph" w:styleId="24">
    <w:name w:val="Date"/>
    <w:basedOn w:val="1"/>
    <w:next w:val="1"/>
    <w:link w:val="115"/>
    <w:qFormat/>
    <w:uiPriority w:val="0"/>
    <w:pPr>
      <w:ind w:left="100" w:leftChars="2500"/>
    </w:pPr>
    <w:rPr>
      <w:rFonts w:ascii="宋体" w:hAnsi="Courier New" w:cs="Courier New"/>
      <w:kern w:val="0"/>
      <w:sz w:val="20"/>
      <w:szCs w:val="21"/>
    </w:rPr>
  </w:style>
  <w:style w:type="paragraph" w:styleId="25">
    <w:name w:val="Body Text Indent 2"/>
    <w:basedOn w:val="1"/>
    <w:link w:val="108"/>
    <w:qFormat/>
    <w:uiPriority w:val="0"/>
    <w:pPr>
      <w:spacing w:after="120" w:line="480" w:lineRule="auto"/>
      <w:ind w:left="420" w:leftChars="200"/>
    </w:pPr>
    <w:rPr>
      <w:kern w:val="0"/>
      <w:sz w:val="20"/>
      <w:szCs w:val="24"/>
    </w:rPr>
  </w:style>
  <w:style w:type="paragraph" w:styleId="26">
    <w:name w:val="Balloon Text"/>
    <w:basedOn w:val="1"/>
    <w:link w:val="104"/>
    <w:qFormat/>
    <w:uiPriority w:val="0"/>
    <w:rPr>
      <w:kern w:val="0"/>
      <w:sz w:val="18"/>
      <w:szCs w:val="18"/>
    </w:rPr>
  </w:style>
  <w:style w:type="paragraph" w:styleId="27">
    <w:name w:val="footer"/>
    <w:basedOn w:val="1"/>
    <w:link w:val="127"/>
    <w:qFormat/>
    <w:uiPriority w:val="0"/>
    <w:pPr>
      <w:tabs>
        <w:tab w:val="center" w:pos="4153"/>
        <w:tab w:val="right" w:pos="8306"/>
      </w:tabs>
      <w:snapToGrid w:val="0"/>
      <w:jc w:val="left"/>
    </w:pPr>
    <w:rPr>
      <w:kern w:val="0"/>
      <w:sz w:val="18"/>
      <w:szCs w:val="18"/>
    </w:rPr>
  </w:style>
  <w:style w:type="paragraph" w:styleId="28">
    <w:name w:val="header"/>
    <w:basedOn w:val="1"/>
    <w:link w:val="69"/>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spacing w:before="120" w:after="120"/>
      <w:jc w:val="left"/>
    </w:pPr>
    <w:rPr>
      <w:b/>
      <w:bCs/>
      <w:caps/>
    </w:rPr>
  </w:style>
  <w:style w:type="paragraph" w:styleId="30">
    <w:name w:val="toc 4"/>
    <w:basedOn w:val="1"/>
    <w:next w:val="1"/>
    <w:qFormat/>
    <w:uiPriority w:val="39"/>
    <w:pPr>
      <w:ind w:left="1260" w:leftChars="600"/>
    </w:pPr>
    <w:rPr>
      <w:szCs w:val="24"/>
    </w:rPr>
  </w:style>
  <w:style w:type="paragraph" w:styleId="31">
    <w:name w:val="Subtitle"/>
    <w:basedOn w:val="1"/>
    <w:next w:val="1"/>
    <w:link w:val="62"/>
    <w:qFormat/>
    <w:uiPriority w:val="0"/>
    <w:pPr>
      <w:spacing w:before="240" w:after="60" w:line="312" w:lineRule="auto"/>
      <w:jc w:val="center"/>
      <w:outlineLvl w:val="1"/>
    </w:pPr>
    <w:rPr>
      <w:rFonts w:ascii="Cambria" w:hAnsi="Cambria" w:eastAsia="方正楷体简体"/>
      <w:bCs/>
      <w:kern w:val="28"/>
      <w:sz w:val="20"/>
      <w:szCs w:val="32"/>
    </w:rPr>
  </w:style>
  <w:style w:type="paragraph" w:styleId="32">
    <w:name w:val="List"/>
    <w:basedOn w:val="17"/>
    <w:qFormat/>
    <w:uiPriority w:val="0"/>
    <w:pPr>
      <w:suppressAutoHyphens/>
    </w:pPr>
    <w:rPr>
      <w:rFonts w:hint="eastAsia" w:ascii="方正大黑简体" w:hAnsi="宋体"/>
      <w:kern w:val="44"/>
      <w:position w:val="6"/>
      <w:sz w:val="30"/>
      <w:szCs w:val="20"/>
    </w:rPr>
  </w:style>
  <w:style w:type="paragraph" w:styleId="33">
    <w:name w:val="toc 6"/>
    <w:basedOn w:val="12"/>
    <w:next w:val="1"/>
    <w:qFormat/>
    <w:uiPriority w:val="39"/>
    <w:pPr>
      <w:suppressLineNumbers w:val="0"/>
      <w:ind w:left="1050"/>
      <w:jc w:val="left"/>
    </w:pPr>
    <w:rPr>
      <w:rFonts w:ascii="Times New Roman" w:hAnsi="Times New Roman"/>
      <w:sz w:val="18"/>
    </w:rPr>
  </w:style>
  <w:style w:type="paragraph" w:styleId="34">
    <w:name w:val="Body Text Indent 3"/>
    <w:basedOn w:val="1"/>
    <w:link w:val="91"/>
    <w:qFormat/>
    <w:uiPriority w:val="0"/>
    <w:pPr>
      <w:spacing w:after="120"/>
      <w:ind w:left="420" w:leftChars="200"/>
    </w:pPr>
    <w:rPr>
      <w:kern w:val="0"/>
      <w:sz w:val="16"/>
      <w:szCs w:val="16"/>
    </w:rPr>
  </w:style>
  <w:style w:type="paragraph" w:styleId="35">
    <w:name w:val="toc 2"/>
    <w:basedOn w:val="1"/>
    <w:next w:val="1"/>
    <w:qFormat/>
    <w:uiPriority w:val="39"/>
    <w:pPr>
      <w:ind w:left="420" w:leftChars="200"/>
    </w:pPr>
    <w:rPr>
      <w:sz w:val="24"/>
    </w:rPr>
  </w:style>
  <w:style w:type="paragraph" w:styleId="36">
    <w:name w:val="toc 9"/>
    <w:basedOn w:val="12"/>
    <w:next w:val="1"/>
    <w:qFormat/>
    <w:uiPriority w:val="39"/>
    <w:pPr>
      <w:suppressLineNumbers w:val="0"/>
      <w:ind w:left="1680"/>
      <w:jc w:val="left"/>
    </w:pPr>
    <w:rPr>
      <w:rFonts w:ascii="Times New Roman" w:hAnsi="Times New Roman"/>
      <w:sz w:val="18"/>
    </w:rPr>
  </w:style>
  <w:style w:type="paragraph" w:styleId="37">
    <w:name w:val="HTML Preformatted"/>
    <w:basedOn w:val="1"/>
    <w:link w:val="19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8">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39">
    <w:name w:val="Title"/>
    <w:basedOn w:val="1"/>
    <w:next w:val="1"/>
    <w:link w:val="61"/>
    <w:qFormat/>
    <w:uiPriority w:val="99"/>
    <w:pPr>
      <w:spacing w:before="240" w:after="60"/>
      <w:jc w:val="center"/>
      <w:outlineLvl w:val="0"/>
    </w:pPr>
    <w:rPr>
      <w:rFonts w:ascii="Cambria" w:hAnsi="Cambria" w:eastAsia="方正小标宋简体"/>
      <w:b/>
      <w:bCs/>
      <w:kern w:val="0"/>
      <w:sz w:val="44"/>
      <w:szCs w:val="32"/>
    </w:rPr>
  </w:style>
  <w:style w:type="paragraph" w:styleId="40">
    <w:name w:val="annotation subject"/>
    <w:basedOn w:val="15"/>
    <w:next w:val="15"/>
    <w:link w:val="191"/>
    <w:qFormat/>
    <w:uiPriority w:val="0"/>
    <w:pPr>
      <w:suppressAutoHyphens/>
    </w:pPr>
    <w:rPr>
      <w:rFonts w:ascii="宋体" w:hAnsi="宋体"/>
      <w:b/>
      <w:kern w:val="21"/>
      <w:lang w:eastAsia="ar-SA"/>
    </w:rPr>
  </w:style>
  <w:style w:type="paragraph" w:styleId="41">
    <w:name w:val="Body Text First Indent"/>
    <w:basedOn w:val="17"/>
    <w:link w:val="212"/>
    <w:qFormat/>
    <w:uiPriority w:val="0"/>
    <w:pPr>
      <w:ind w:firstLine="420" w:firstLineChars="100"/>
    </w:pPr>
    <w:rPr>
      <w:kern w:val="2"/>
      <w:sz w:val="28"/>
    </w:rPr>
  </w:style>
  <w:style w:type="table" w:styleId="43">
    <w:name w:val="Table Grid"/>
    <w:basedOn w:val="4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99"/>
    <w:rPr>
      <w:b/>
    </w:rPr>
  </w:style>
  <w:style w:type="character" w:styleId="46">
    <w:name w:val="page number"/>
    <w:basedOn w:val="44"/>
    <w:qFormat/>
    <w:uiPriority w:val="0"/>
  </w:style>
  <w:style w:type="character" w:styleId="47">
    <w:name w:val="FollowedHyperlink"/>
    <w:qFormat/>
    <w:uiPriority w:val="0"/>
    <w:rPr>
      <w:color w:val="800080"/>
      <w:u w:val="single"/>
    </w:rPr>
  </w:style>
  <w:style w:type="character" w:styleId="48">
    <w:name w:val="Emphasis"/>
    <w:qFormat/>
    <w:uiPriority w:val="0"/>
    <w:rPr>
      <w:rFonts w:hint="default" w:ascii="Times New Roman" w:hAnsi="Times New Roman" w:cs="Times New Roman"/>
    </w:rPr>
  </w:style>
  <w:style w:type="character" w:styleId="49">
    <w:name w:val="Hyperlink"/>
    <w:qFormat/>
    <w:uiPriority w:val="99"/>
    <w:rPr>
      <w:color w:val="0000FF"/>
      <w:u w:val="single"/>
    </w:rPr>
  </w:style>
  <w:style w:type="character" w:styleId="50">
    <w:name w:val="annotation reference"/>
    <w:qFormat/>
    <w:uiPriority w:val="0"/>
    <w:rPr>
      <w:sz w:val="21"/>
    </w:rPr>
  </w:style>
  <w:style w:type="paragraph" w:customStyle="1" w:styleId="51">
    <w:name w:val="列出段落1"/>
    <w:basedOn w:val="1"/>
    <w:qFormat/>
    <w:uiPriority w:val="34"/>
    <w:pPr>
      <w:ind w:firstLine="420" w:firstLineChars="200"/>
    </w:pPr>
    <w:rPr>
      <w:rFonts w:ascii="Calibri" w:hAnsi="Calibri"/>
      <w:szCs w:val="22"/>
    </w:rPr>
  </w:style>
  <w:style w:type="character" w:customStyle="1" w:styleId="52">
    <w:name w:val="标题 1 Char"/>
    <w:link w:val="2"/>
    <w:qFormat/>
    <w:uiPriority w:val="0"/>
    <w:rPr>
      <w:rFonts w:ascii="Times New Roman" w:hAnsi="Times New Roman"/>
      <w:b/>
      <w:bCs/>
      <w:kern w:val="44"/>
      <w:sz w:val="36"/>
      <w:szCs w:val="44"/>
      <w:lang w:val="zh-CN" w:eastAsia="zh-CN"/>
    </w:rPr>
  </w:style>
  <w:style w:type="character" w:customStyle="1" w:styleId="53">
    <w:name w:val="标题 2 Char"/>
    <w:link w:val="3"/>
    <w:qFormat/>
    <w:uiPriority w:val="0"/>
    <w:rPr>
      <w:rFonts w:ascii="Arial" w:hAnsi="Arial" w:eastAsia="黑体"/>
      <w:b/>
      <w:bCs/>
      <w:sz w:val="32"/>
      <w:szCs w:val="32"/>
      <w:lang w:val="zh-CN" w:eastAsia="zh-CN"/>
    </w:rPr>
  </w:style>
  <w:style w:type="character" w:customStyle="1" w:styleId="54">
    <w:name w:val="标题 3 Char"/>
    <w:link w:val="4"/>
    <w:qFormat/>
    <w:uiPriority w:val="0"/>
    <w:rPr>
      <w:rFonts w:ascii="Times New Roman" w:hAnsi="Times New Roman"/>
      <w:b/>
      <w:bCs/>
      <w:sz w:val="32"/>
      <w:szCs w:val="32"/>
    </w:rPr>
  </w:style>
  <w:style w:type="character" w:customStyle="1" w:styleId="55">
    <w:name w:val="标题 4 Char"/>
    <w:link w:val="5"/>
    <w:qFormat/>
    <w:uiPriority w:val="0"/>
    <w:rPr>
      <w:rFonts w:ascii="仿宋_GB2312" w:hAnsi="Times New Roman" w:eastAsia="仿宋_GB2312"/>
      <w:sz w:val="28"/>
      <w:szCs w:val="24"/>
    </w:rPr>
  </w:style>
  <w:style w:type="character" w:customStyle="1" w:styleId="56">
    <w:name w:val="标题 5 Char"/>
    <w:link w:val="6"/>
    <w:qFormat/>
    <w:uiPriority w:val="0"/>
    <w:rPr>
      <w:rFonts w:ascii="宋体" w:hAnsi="宋体"/>
      <w:b/>
      <w:kern w:val="21"/>
      <w:sz w:val="28"/>
      <w:lang w:eastAsia="ar-SA"/>
    </w:rPr>
  </w:style>
  <w:style w:type="character" w:customStyle="1" w:styleId="57">
    <w:name w:val="标题 6 Char"/>
    <w:link w:val="7"/>
    <w:qFormat/>
    <w:uiPriority w:val="0"/>
    <w:rPr>
      <w:rFonts w:ascii="Arial" w:hAnsi="Arial" w:eastAsia="黑体"/>
      <w:b/>
      <w:kern w:val="21"/>
      <w:sz w:val="24"/>
      <w:lang w:eastAsia="ar-SA"/>
    </w:rPr>
  </w:style>
  <w:style w:type="character" w:customStyle="1" w:styleId="58">
    <w:name w:val="标题 7 Char"/>
    <w:link w:val="8"/>
    <w:qFormat/>
    <w:uiPriority w:val="0"/>
    <w:rPr>
      <w:rFonts w:ascii="宋体" w:hAnsi="宋体"/>
      <w:b/>
      <w:kern w:val="21"/>
      <w:sz w:val="24"/>
      <w:lang w:eastAsia="ar-SA"/>
    </w:rPr>
  </w:style>
  <w:style w:type="character" w:customStyle="1" w:styleId="59">
    <w:name w:val="标题 8 Char"/>
    <w:link w:val="9"/>
    <w:qFormat/>
    <w:uiPriority w:val="0"/>
    <w:rPr>
      <w:rFonts w:ascii="Arial" w:hAnsi="Arial" w:eastAsia="黑体"/>
      <w:kern w:val="21"/>
      <w:sz w:val="24"/>
      <w:lang w:eastAsia="ar-SA"/>
    </w:rPr>
  </w:style>
  <w:style w:type="character" w:customStyle="1" w:styleId="60">
    <w:name w:val="标题 9 Char"/>
    <w:link w:val="10"/>
    <w:qFormat/>
    <w:uiPriority w:val="0"/>
    <w:rPr>
      <w:rFonts w:ascii="Arial" w:hAnsi="Arial" w:eastAsia="黑体"/>
      <w:kern w:val="21"/>
      <w:sz w:val="21"/>
      <w:lang w:eastAsia="ar-SA"/>
    </w:rPr>
  </w:style>
  <w:style w:type="character" w:customStyle="1" w:styleId="61">
    <w:name w:val="标题 Char"/>
    <w:link w:val="39"/>
    <w:qFormat/>
    <w:uiPriority w:val="99"/>
    <w:rPr>
      <w:rFonts w:ascii="Cambria" w:hAnsi="Cambria" w:eastAsia="方正小标宋简体"/>
      <w:b/>
      <w:bCs/>
      <w:sz w:val="44"/>
      <w:szCs w:val="32"/>
    </w:rPr>
  </w:style>
  <w:style w:type="character" w:customStyle="1" w:styleId="62">
    <w:name w:val="副标题 Char"/>
    <w:link w:val="31"/>
    <w:qFormat/>
    <w:uiPriority w:val="0"/>
    <w:rPr>
      <w:rFonts w:ascii="Cambria" w:hAnsi="Cambria" w:eastAsia="方正楷体简体"/>
      <w:bCs/>
      <w:kern w:val="28"/>
      <w:szCs w:val="32"/>
    </w:rPr>
  </w:style>
  <w:style w:type="character" w:customStyle="1" w:styleId="63">
    <w:name w:val="纯文本 Char"/>
    <w:link w:val="22"/>
    <w:qFormat/>
    <w:uiPriority w:val="0"/>
    <w:rPr>
      <w:rFonts w:ascii="宋体" w:hAnsi="Courier New" w:cs="Courier New"/>
      <w:szCs w:val="21"/>
    </w:rPr>
  </w:style>
  <w:style w:type="paragraph" w:styleId="64">
    <w:name w:val="No Spacing"/>
    <w:link w:val="65"/>
    <w:qFormat/>
    <w:uiPriority w:val="1"/>
    <w:rPr>
      <w:rFonts w:ascii="Calibri" w:hAnsi="Calibri" w:eastAsia="宋体" w:cs="Times New Roman"/>
      <w:sz w:val="22"/>
      <w:lang w:val="en-US" w:eastAsia="zh-CN" w:bidi="ar-SA"/>
    </w:rPr>
  </w:style>
  <w:style w:type="character" w:customStyle="1" w:styleId="65">
    <w:name w:val="无间隔 Char"/>
    <w:link w:val="64"/>
    <w:qFormat/>
    <w:uiPriority w:val="1"/>
    <w:rPr>
      <w:sz w:val="22"/>
    </w:rPr>
  </w:style>
  <w:style w:type="paragraph" w:styleId="66">
    <w:name w:val="List Paragraph"/>
    <w:basedOn w:val="1"/>
    <w:link w:val="225"/>
    <w:qFormat/>
    <w:uiPriority w:val="34"/>
    <w:pPr>
      <w:ind w:firstLine="420" w:firstLineChars="200"/>
    </w:pPr>
    <w:rPr>
      <w:szCs w:val="21"/>
    </w:rPr>
  </w:style>
  <w:style w:type="paragraph" w:customStyle="1" w:styleId="67">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8">
    <w:name w:val="fontheight2"/>
    <w:qFormat/>
    <w:uiPriority w:val="0"/>
    <w:rPr>
      <w:sz w:val="20"/>
      <w:szCs w:val="20"/>
      <w:u w:val="none"/>
    </w:rPr>
  </w:style>
  <w:style w:type="character" w:customStyle="1" w:styleId="69">
    <w:name w:val="页眉 Char"/>
    <w:link w:val="28"/>
    <w:qFormat/>
    <w:uiPriority w:val="0"/>
    <w:rPr>
      <w:rFonts w:ascii="Times New Roman" w:hAnsi="Times New Roman"/>
      <w:sz w:val="18"/>
      <w:szCs w:val="18"/>
    </w:rPr>
  </w:style>
  <w:style w:type="character" w:customStyle="1" w:styleId="70">
    <w:name w:val="WW8Num1z3"/>
    <w:qFormat/>
    <w:uiPriority w:val="0"/>
    <w:rPr>
      <w:rFonts w:ascii="Arial" w:hAnsi="Arial"/>
      <w:color w:val="auto"/>
      <w:position w:val="0"/>
      <w:sz w:val="21"/>
      <w:vertAlign w:val="baseline"/>
    </w:rPr>
  </w:style>
  <w:style w:type="character" w:customStyle="1" w:styleId="71">
    <w:name w:val="WW8Num1z2"/>
    <w:qFormat/>
    <w:uiPriority w:val="0"/>
    <w:rPr>
      <w:b/>
      <w:sz w:val="28"/>
    </w:rPr>
  </w:style>
  <w:style w:type="character" w:customStyle="1" w:styleId="72">
    <w:name w:val="H3 Char"/>
    <w:qFormat/>
    <w:uiPriority w:val="0"/>
    <w:rPr>
      <w:rFonts w:eastAsia="宋体"/>
      <w:b/>
      <w:bCs/>
      <w:sz w:val="32"/>
      <w:szCs w:val="32"/>
      <w:lang w:val="en-US" w:eastAsia="zh-CN" w:bidi="ar-SA"/>
    </w:rPr>
  </w:style>
  <w:style w:type="character" w:customStyle="1" w:styleId="73">
    <w:name w:val="text91"/>
    <w:qFormat/>
    <w:uiPriority w:val="0"/>
    <w:rPr>
      <w:sz w:val="18"/>
      <w:u w:val="none"/>
    </w:rPr>
  </w:style>
  <w:style w:type="character" w:customStyle="1" w:styleId="74">
    <w:name w:val="ca-6"/>
    <w:basedOn w:val="44"/>
    <w:qFormat/>
    <w:uiPriority w:val="0"/>
  </w:style>
  <w:style w:type="character" w:customStyle="1" w:styleId="75">
    <w:name w:val="Char Char10"/>
    <w:qFormat/>
    <w:uiPriority w:val="0"/>
    <w:rPr>
      <w:rFonts w:hint="eastAsia" w:ascii="宋体" w:hAnsi="Courier New" w:eastAsia="宋体" w:cs="Times New Roman"/>
      <w:sz w:val="18"/>
      <w:szCs w:val="20"/>
    </w:rPr>
  </w:style>
  <w:style w:type="character" w:customStyle="1" w:styleId="76">
    <w:name w:val="faq"/>
    <w:basedOn w:val="44"/>
    <w:qFormat/>
    <w:uiPriority w:val="0"/>
  </w:style>
  <w:style w:type="character" w:customStyle="1" w:styleId="77">
    <w:name w:val="WW8Num15z6"/>
    <w:qFormat/>
    <w:uiPriority w:val="0"/>
    <w:rPr>
      <w:rFonts w:ascii="Times New Roman" w:hAnsi="Times New Roman"/>
    </w:rPr>
  </w:style>
  <w:style w:type="character" w:customStyle="1" w:styleId="78">
    <w:name w:val="Char Char"/>
    <w:qFormat/>
    <w:uiPriority w:val="0"/>
    <w:rPr>
      <w:rFonts w:ascii="Times New Roman" w:hAnsi="Times New Roman"/>
      <w:sz w:val="21"/>
      <w:szCs w:val="24"/>
    </w:rPr>
  </w:style>
  <w:style w:type="character" w:customStyle="1" w:styleId="79">
    <w:name w:val="WW8Num1z0"/>
    <w:qFormat/>
    <w:uiPriority w:val="0"/>
    <w:rPr>
      <w:rFonts w:ascii="Arial" w:hAnsi="Arial"/>
      <w:b/>
      <w:color w:val="000000"/>
      <w:position w:val="0"/>
      <w:sz w:val="36"/>
      <w:vertAlign w:val="baseline"/>
    </w:rPr>
  </w:style>
  <w:style w:type="character" w:customStyle="1" w:styleId="80">
    <w:name w:val="正文文本 Char"/>
    <w:link w:val="17"/>
    <w:qFormat/>
    <w:uiPriority w:val="0"/>
    <w:rPr>
      <w:rFonts w:ascii="Times New Roman" w:hAnsi="Times New Roman"/>
      <w:szCs w:val="24"/>
    </w:rPr>
  </w:style>
  <w:style w:type="character" w:customStyle="1" w:styleId="81">
    <w:name w:val="首行缩进:  0.85 厘米 Char Char"/>
    <w:link w:val="82"/>
    <w:qFormat/>
    <w:uiPriority w:val="0"/>
    <w:rPr>
      <w:rFonts w:eastAsia="昆仑黑体" w:cs="Arial Unicode MS"/>
      <w:sz w:val="28"/>
      <w:lang w:eastAsia="en-US" w:bidi="en-US"/>
    </w:rPr>
  </w:style>
  <w:style w:type="paragraph" w:customStyle="1" w:styleId="82">
    <w:name w:val="首行缩进:  0.85 厘米"/>
    <w:basedOn w:val="1"/>
    <w:link w:val="81"/>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3">
    <w:name w:val="0921 Char"/>
    <w:qFormat/>
    <w:uiPriority w:val="0"/>
    <w:rPr>
      <w:rFonts w:ascii="宋体" w:hAnsi="Courier New" w:cs="宋体"/>
      <w:kern w:val="2"/>
      <w:sz w:val="21"/>
      <w:szCs w:val="21"/>
    </w:rPr>
  </w:style>
  <w:style w:type="character" w:customStyle="1" w:styleId="84">
    <w:name w:val="paramname2"/>
    <w:qFormat/>
    <w:uiPriority w:val="0"/>
    <w:rPr>
      <w:color w:val="999999"/>
    </w:rPr>
  </w:style>
  <w:style w:type="character" w:customStyle="1" w:styleId="85">
    <w:name w:val="WW8Num2z3"/>
    <w:qFormat/>
    <w:uiPriority w:val="0"/>
    <w:rPr>
      <w:rFonts w:ascii="Arial" w:hAnsi="Arial"/>
      <w:color w:val="auto"/>
      <w:position w:val="0"/>
      <w:sz w:val="21"/>
      <w:vertAlign w:val="baseline"/>
    </w:rPr>
  </w:style>
  <w:style w:type="character" w:customStyle="1" w:styleId="86">
    <w:name w:val="默认段落字体1"/>
    <w:qFormat/>
    <w:uiPriority w:val="0"/>
  </w:style>
  <w:style w:type="character" w:customStyle="1" w:styleId="87">
    <w:name w:val="WW8Num17z0"/>
    <w:qFormat/>
    <w:uiPriority w:val="0"/>
    <w:rPr>
      <w:rFonts w:ascii="Wingdings" w:hAnsi="Wingdings"/>
    </w:rPr>
  </w:style>
  <w:style w:type="character" w:customStyle="1" w:styleId="88">
    <w:name w:val="WW-Absatz-Standardschriftart"/>
    <w:qFormat/>
    <w:uiPriority w:val="0"/>
  </w:style>
  <w:style w:type="character" w:customStyle="1" w:styleId="89">
    <w:name w:val="WW8Num22z1"/>
    <w:qFormat/>
    <w:uiPriority w:val="0"/>
    <w:rPr>
      <w:rFonts w:ascii="Wingdings" w:hAnsi="Wingdings"/>
    </w:rPr>
  </w:style>
  <w:style w:type="character" w:customStyle="1" w:styleId="90">
    <w:name w:val="WW8Num2z2"/>
    <w:qFormat/>
    <w:uiPriority w:val="0"/>
    <w:rPr>
      <w:rFonts w:ascii="Arial" w:hAnsi="Arial"/>
      <w:color w:val="000000"/>
      <w:position w:val="0"/>
      <w:sz w:val="24"/>
      <w:vertAlign w:val="baseline"/>
    </w:rPr>
  </w:style>
  <w:style w:type="character" w:customStyle="1" w:styleId="91">
    <w:name w:val="正文文本缩进 3 Char"/>
    <w:link w:val="34"/>
    <w:qFormat/>
    <w:uiPriority w:val="0"/>
    <w:rPr>
      <w:rFonts w:ascii="Times New Roman" w:hAnsi="Times New Roman"/>
      <w:sz w:val="16"/>
      <w:szCs w:val="16"/>
    </w:rPr>
  </w:style>
  <w:style w:type="character" w:customStyle="1" w:styleId="92">
    <w:name w:val="正文要点 Char Char"/>
    <w:link w:val="93"/>
    <w:qFormat/>
    <w:uiPriority w:val="0"/>
    <w:rPr>
      <w:kern w:val="2"/>
      <w:sz w:val="21"/>
      <w:szCs w:val="24"/>
    </w:rPr>
  </w:style>
  <w:style w:type="paragraph" w:customStyle="1" w:styleId="93">
    <w:name w:val="正文要点"/>
    <w:basedOn w:val="1"/>
    <w:next w:val="94"/>
    <w:link w:val="92"/>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4">
    <w:name w:val="正文要点内容"/>
    <w:basedOn w:val="93"/>
    <w:link w:val="114"/>
    <w:qFormat/>
    <w:uiPriority w:val="0"/>
    <w:pPr>
      <w:numPr>
        <w:numId w:val="0"/>
      </w:numPr>
      <w:ind w:left="400" w:leftChars="400" w:firstLine="200" w:firstLineChars="200"/>
    </w:pPr>
    <w:rPr>
      <w:rFonts w:ascii="Times New Roman" w:hAnsi="Times New Roman"/>
      <w:kern w:val="0"/>
      <w:sz w:val="20"/>
    </w:rPr>
  </w:style>
  <w:style w:type="character" w:customStyle="1" w:styleId="95">
    <w:name w:val="WW8Num19z0"/>
    <w:qFormat/>
    <w:uiPriority w:val="0"/>
    <w:rPr>
      <w:rFonts w:ascii="Wingdings" w:hAnsi="Wingdings"/>
    </w:rPr>
  </w:style>
  <w:style w:type="character" w:customStyle="1" w:styleId="96">
    <w:name w:val="case31"/>
    <w:qFormat/>
    <w:uiPriority w:val="0"/>
    <w:rPr>
      <w:rFonts w:hint="default"/>
      <w:spacing w:val="390"/>
      <w:sz w:val="21"/>
      <w:szCs w:val="21"/>
    </w:rPr>
  </w:style>
  <w:style w:type="character" w:customStyle="1" w:styleId="97">
    <w:name w:val="mark4"/>
    <w:qFormat/>
    <w:uiPriority w:val="0"/>
  </w:style>
  <w:style w:type="character" w:customStyle="1" w:styleId="98">
    <w:name w:val="WW8Num9z0"/>
    <w:qFormat/>
    <w:uiPriority w:val="0"/>
    <w:rPr>
      <w:b/>
    </w:rPr>
  </w:style>
  <w:style w:type="character" w:customStyle="1" w:styleId="99">
    <w:name w:val="apple-style-span"/>
    <w:basedOn w:val="44"/>
    <w:qFormat/>
    <w:uiPriority w:val="0"/>
  </w:style>
  <w:style w:type="character" w:customStyle="1" w:styleId="100">
    <w:name w:val="WW8Num31z1"/>
    <w:qFormat/>
    <w:uiPriority w:val="0"/>
    <w:rPr>
      <w:b/>
      <w:color w:val="000000"/>
    </w:rPr>
  </w:style>
  <w:style w:type="character" w:customStyle="1" w:styleId="101">
    <w:name w:val="Char Char4"/>
    <w:qFormat/>
    <w:uiPriority w:val="0"/>
    <w:rPr>
      <w:rFonts w:eastAsia="宋体"/>
      <w:b/>
      <w:bCs/>
      <w:kern w:val="44"/>
      <w:sz w:val="44"/>
      <w:szCs w:val="44"/>
      <w:lang w:val="en-US" w:eastAsia="zh-CN" w:bidi="ar-SA"/>
    </w:rPr>
  </w:style>
  <w:style w:type="character" w:customStyle="1" w:styleId="102">
    <w:name w:val="WW8Num2z0"/>
    <w:qFormat/>
    <w:uiPriority w:val="0"/>
    <w:rPr>
      <w:rFonts w:ascii="Arial" w:hAnsi="Arial"/>
      <w:b/>
      <w:color w:val="000000"/>
      <w:position w:val="0"/>
      <w:sz w:val="36"/>
      <w:vertAlign w:val="baseline"/>
    </w:rPr>
  </w:style>
  <w:style w:type="character" w:customStyle="1" w:styleId="103">
    <w:name w:val="WW8Num27z0"/>
    <w:qFormat/>
    <w:uiPriority w:val="0"/>
    <w:rPr>
      <w:b/>
    </w:rPr>
  </w:style>
  <w:style w:type="character" w:customStyle="1" w:styleId="104">
    <w:name w:val="批注框文本 Char"/>
    <w:link w:val="26"/>
    <w:qFormat/>
    <w:uiPriority w:val="0"/>
    <w:rPr>
      <w:rFonts w:ascii="Times New Roman" w:hAnsi="Times New Roman"/>
      <w:sz w:val="18"/>
      <w:szCs w:val="18"/>
    </w:rPr>
  </w:style>
  <w:style w:type="character" w:customStyle="1" w:styleId="105">
    <w:name w:val="WW-Absatz-Standardschriftart1"/>
    <w:qFormat/>
    <w:uiPriority w:val="0"/>
  </w:style>
  <w:style w:type="character" w:customStyle="1" w:styleId="106">
    <w:name w:val="WW8Num8z0"/>
    <w:qFormat/>
    <w:uiPriority w:val="0"/>
    <w:rPr>
      <w:b/>
    </w:rPr>
  </w:style>
  <w:style w:type="character" w:customStyle="1" w:styleId="107">
    <w:name w:val="jk"/>
    <w:qFormat/>
    <w:uiPriority w:val="0"/>
  </w:style>
  <w:style w:type="character" w:customStyle="1" w:styleId="108">
    <w:name w:val="正文文本缩进 2 Char"/>
    <w:link w:val="25"/>
    <w:qFormat/>
    <w:uiPriority w:val="0"/>
    <w:rPr>
      <w:rFonts w:ascii="Times New Roman" w:hAnsi="Times New Roman"/>
      <w:szCs w:val="24"/>
    </w:rPr>
  </w:style>
  <w:style w:type="character" w:customStyle="1" w:styleId="109">
    <w:name w:val="font131"/>
    <w:qFormat/>
    <w:uiPriority w:val="0"/>
    <w:rPr>
      <w:sz w:val="20"/>
      <w:szCs w:val="20"/>
    </w:rPr>
  </w:style>
  <w:style w:type="character" w:customStyle="1" w:styleId="110">
    <w:name w:val="Absatz-Standardschriftart"/>
    <w:qFormat/>
    <w:uiPriority w:val="0"/>
  </w:style>
  <w:style w:type="character" w:customStyle="1" w:styleId="111">
    <w:name w:val="WW8Num1z1"/>
    <w:qFormat/>
    <w:uiPriority w:val="0"/>
    <w:rPr>
      <w:b/>
      <w:sz w:val="28"/>
    </w:rPr>
  </w:style>
  <w:style w:type="character" w:customStyle="1" w:styleId="112">
    <w:name w:val="ca-2"/>
    <w:basedOn w:val="44"/>
    <w:qFormat/>
    <w:uiPriority w:val="0"/>
  </w:style>
  <w:style w:type="character" w:customStyle="1" w:styleId="113">
    <w:name w:val="正文文本缩进 Char"/>
    <w:link w:val="18"/>
    <w:qFormat/>
    <w:uiPriority w:val="0"/>
    <w:rPr>
      <w:rFonts w:ascii="仿宋_GB2312" w:hAnsi="Times New Roman" w:eastAsia="仿宋_GB2312"/>
      <w:sz w:val="32"/>
    </w:rPr>
  </w:style>
  <w:style w:type="character" w:customStyle="1" w:styleId="114">
    <w:name w:val="正文要点内容 Char Char"/>
    <w:link w:val="94"/>
    <w:qFormat/>
    <w:uiPriority w:val="0"/>
    <w:rPr>
      <w:rFonts w:ascii="Times New Roman" w:hAnsi="Times New Roman"/>
      <w:szCs w:val="24"/>
    </w:rPr>
  </w:style>
  <w:style w:type="character" w:customStyle="1" w:styleId="115">
    <w:name w:val="日期 Char"/>
    <w:link w:val="24"/>
    <w:qFormat/>
    <w:uiPriority w:val="0"/>
    <w:rPr>
      <w:rFonts w:ascii="宋体" w:hAnsi="Courier New" w:cs="Courier New"/>
      <w:szCs w:val="21"/>
    </w:rPr>
  </w:style>
  <w:style w:type="character" w:customStyle="1" w:styleId="116">
    <w:name w:val="a14_red_bold1"/>
    <w:qFormat/>
    <w:uiPriority w:val="0"/>
    <w:rPr>
      <w:rFonts w:ascii="Arial" w:hAnsi="Arial" w:cs="Arial"/>
      <w:b/>
      <w:bCs/>
      <w:color w:val="auto"/>
      <w:sz w:val="21"/>
      <w:szCs w:val="21"/>
      <w:u w:val="none"/>
    </w:rPr>
  </w:style>
  <w:style w:type="character" w:customStyle="1" w:styleId="117">
    <w:name w:val="样式 标题 2第一层条论文标题 1正文二级标题heading 2 + Indent: Left 0.25 inh2h...1 Char Char"/>
    <w:link w:val="118"/>
    <w:qFormat/>
    <w:uiPriority w:val="0"/>
    <w:rPr>
      <w:rFonts w:ascii="新宋体" w:hAnsi="新宋体" w:eastAsia="新宋体" w:cs="宋体"/>
      <w:b/>
      <w:bCs/>
      <w:kern w:val="2"/>
      <w:sz w:val="28"/>
    </w:rPr>
  </w:style>
  <w:style w:type="paragraph" w:customStyle="1" w:styleId="118">
    <w:name w:val="样式 标题 2第一层条论文标题 1正文二级标题heading 2 + Indent: Left 0.25 inh2h...1"/>
    <w:basedOn w:val="3"/>
    <w:link w:val="117"/>
    <w:qFormat/>
    <w:uiPriority w:val="0"/>
    <w:pPr>
      <w:keepNext w:val="0"/>
      <w:keepLines w:val="0"/>
      <w:spacing w:before="0" w:after="156" w:line="360" w:lineRule="auto"/>
    </w:pPr>
    <w:rPr>
      <w:rFonts w:ascii="新宋体" w:hAnsi="新宋体" w:eastAsia="新宋体" w:cs="宋体"/>
      <w:kern w:val="2"/>
      <w:sz w:val="28"/>
      <w:szCs w:val="20"/>
      <w:lang w:val="en-US"/>
    </w:rPr>
  </w:style>
  <w:style w:type="character" w:customStyle="1" w:styleId="119">
    <w:name w:val="WW8Num2z1"/>
    <w:qFormat/>
    <w:uiPriority w:val="0"/>
    <w:rPr>
      <w:rFonts w:ascii="Arial" w:hAnsi="Arial"/>
      <w:color w:val="000000"/>
      <w:position w:val="0"/>
      <w:sz w:val="30"/>
      <w:vertAlign w:val="baseline"/>
    </w:rPr>
  </w:style>
  <w:style w:type="character" w:customStyle="1" w:styleId="120">
    <w:name w:val="WW8Num13z0"/>
    <w:qFormat/>
    <w:uiPriority w:val="0"/>
    <w:rPr>
      <w:rFonts w:ascii="Wingdings" w:hAnsi="Wingdings"/>
    </w:rPr>
  </w:style>
  <w:style w:type="character" w:customStyle="1" w:styleId="121">
    <w:name w:val="huei12b1"/>
    <w:qFormat/>
    <w:uiPriority w:val="0"/>
    <w:rPr>
      <w:b/>
      <w:color w:val="333333"/>
      <w:sz w:val="18"/>
    </w:rPr>
  </w:style>
  <w:style w:type="character" w:customStyle="1" w:styleId="122">
    <w:name w:val="正文文本 3 Char"/>
    <w:link w:val="16"/>
    <w:qFormat/>
    <w:uiPriority w:val="0"/>
    <w:rPr>
      <w:rFonts w:ascii="黑体" w:hAnsi="Arial" w:eastAsia="黑体"/>
      <w:b/>
      <w:sz w:val="28"/>
    </w:rPr>
  </w:style>
  <w:style w:type="character" w:customStyle="1" w:styleId="123">
    <w:name w:val="h4 Char"/>
    <w:qFormat/>
    <w:uiPriority w:val="0"/>
    <w:rPr>
      <w:rFonts w:ascii="Arial" w:hAnsi="Arial" w:eastAsia="黑体" w:cs="Arial"/>
      <w:b/>
      <w:bCs/>
      <w:sz w:val="28"/>
      <w:szCs w:val="28"/>
      <w:lang w:val="en-US" w:eastAsia="zh-CN" w:bidi="ar-SA"/>
    </w:rPr>
  </w:style>
  <w:style w:type="character" w:customStyle="1" w:styleId="124">
    <w:name w:val="WW8Num12z6"/>
    <w:qFormat/>
    <w:uiPriority w:val="0"/>
    <w:rPr>
      <w:rFonts w:ascii="Times New Roman" w:hAnsi="Times New Roman"/>
    </w:rPr>
  </w:style>
  <w:style w:type="character" w:customStyle="1" w:styleId="125">
    <w:name w:val="ca-3"/>
    <w:basedOn w:val="44"/>
    <w:qFormat/>
    <w:uiPriority w:val="0"/>
  </w:style>
  <w:style w:type="character" w:customStyle="1" w:styleId="126">
    <w:name w:val="WW8Num18z0"/>
    <w:qFormat/>
    <w:uiPriority w:val="0"/>
    <w:rPr>
      <w:b/>
    </w:rPr>
  </w:style>
  <w:style w:type="character" w:customStyle="1" w:styleId="127">
    <w:name w:val="页脚 Char"/>
    <w:link w:val="27"/>
    <w:qFormat/>
    <w:uiPriority w:val="0"/>
    <w:rPr>
      <w:rFonts w:ascii="Times New Roman" w:hAnsi="Times New Roman"/>
      <w:sz w:val="18"/>
      <w:szCs w:val="18"/>
    </w:rPr>
  </w:style>
  <w:style w:type="character" w:customStyle="1" w:styleId="128">
    <w:name w:val="WW8Num31z2"/>
    <w:qFormat/>
    <w:uiPriority w:val="0"/>
    <w:rPr>
      <w:b/>
    </w:rPr>
  </w:style>
  <w:style w:type="character" w:customStyle="1" w:styleId="129">
    <w:name w:val="WW8Num14z0"/>
    <w:qFormat/>
    <w:uiPriority w:val="0"/>
    <w:rPr>
      <w:b/>
    </w:rPr>
  </w:style>
  <w:style w:type="character" w:customStyle="1" w:styleId="130">
    <w:name w:val="WW8Num16z0"/>
    <w:qFormat/>
    <w:uiPriority w:val="0"/>
    <w:rPr>
      <w:b/>
    </w:rPr>
  </w:style>
  <w:style w:type="character" w:customStyle="1" w:styleId="131">
    <w:name w:val="WW8Num16z1"/>
    <w:qFormat/>
    <w:uiPriority w:val="0"/>
    <w:rPr>
      <w:rFonts w:ascii="Wingdings" w:hAnsi="Wingdings"/>
    </w:rPr>
  </w:style>
  <w:style w:type="character" w:customStyle="1" w:styleId="132">
    <w:name w:val="WW8Num23z0"/>
    <w:qFormat/>
    <w:uiPriority w:val="0"/>
    <w:rPr>
      <w:rFonts w:ascii="Wingdings" w:hAnsi="Wingdings"/>
    </w:rPr>
  </w:style>
  <w:style w:type="character" w:customStyle="1" w:styleId="133">
    <w:name w:val="正文段落 Char Char"/>
    <w:link w:val="134"/>
    <w:qFormat/>
    <w:uiPriority w:val="0"/>
    <w:rPr>
      <w:rFonts w:ascii="宋体" w:hAnsi="宋体"/>
      <w:kern w:val="2"/>
      <w:sz w:val="28"/>
      <w:szCs w:val="22"/>
    </w:rPr>
  </w:style>
  <w:style w:type="paragraph" w:customStyle="1" w:styleId="134">
    <w:name w:val="正文段落"/>
    <w:basedOn w:val="1"/>
    <w:link w:val="133"/>
    <w:qFormat/>
    <w:uiPriority w:val="0"/>
    <w:pPr>
      <w:ind w:firstLine="560" w:firstLineChars="200"/>
    </w:pPr>
    <w:rPr>
      <w:rFonts w:ascii="宋体" w:hAnsi="宋体"/>
      <w:szCs w:val="22"/>
    </w:rPr>
  </w:style>
  <w:style w:type="paragraph" w:customStyle="1" w:styleId="135">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6">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7">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8">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3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0">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1">
    <w:name w:val="内容目录 10"/>
    <w:basedOn w:val="12"/>
    <w:qFormat/>
    <w:uiPriority w:val="0"/>
    <w:pPr>
      <w:tabs>
        <w:tab w:val="right" w:leader="dot" w:pos="9637"/>
      </w:tabs>
      <w:ind w:left="2547"/>
    </w:pPr>
  </w:style>
  <w:style w:type="paragraph" w:customStyle="1" w:styleId="142">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3">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4">
    <w:name w:val="框内容"/>
    <w:basedOn w:val="17"/>
    <w:qFormat/>
    <w:uiPriority w:val="0"/>
    <w:pPr>
      <w:suppressAutoHyphens/>
    </w:pPr>
    <w:rPr>
      <w:rFonts w:hint="eastAsia" w:ascii="方正大黑简体" w:hAnsi="宋体" w:eastAsia="方正大黑简体"/>
      <w:kern w:val="44"/>
      <w:position w:val="6"/>
      <w:sz w:val="30"/>
      <w:szCs w:val="20"/>
    </w:rPr>
  </w:style>
  <w:style w:type="paragraph" w:customStyle="1" w:styleId="145">
    <w:name w:val="pa-2"/>
    <w:basedOn w:val="1"/>
    <w:qFormat/>
    <w:uiPriority w:val="0"/>
    <w:pPr>
      <w:widowControl/>
      <w:spacing w:line="360" w:lineRule="atLeast"/>
      <w:ind w:firstLine="480"/>
    </w:pPr>
    <w:rPr>
      <w:rFonts w:ascii="宋体" w:hAnsi="宋体" w:cs="宋体"/>
      <w:kern w:val="0"/>
      <w:sz w:val="24"/>
      <w:szCs w:val="24"/>
    </w:rPr>
  </w:style>
  <w:style w:type="paragraph" w:customStyle="1" w:styleId="14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7">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8">
    <w:name w:val="默认段落字体 Para Char"/>
    <w:basedOn w:val="1"/>
    <w:qFormat/>
    <w:uiPriority w:val="0"/>
    <w:rPr>
      <w:szCs w:val="21"/>
    </w:rPr>
  </w:style>
  <w:style w:type="paragraph" w:customStyle="1" w:styleId="149">
    <w:name w:val="表格标题"/>
    <w:basedOn w:val="150"/>
    <w:qFormat/>
    <w:uiPriority w:val="0"/>
    <w:pPr>
      <w:jc w:val="center"/>
    </w:pPr>
    <w:rPr>
      <w:b/>
    </w:rPr>
  </w:style>
  <w:style w:type="paragraph" w:customStyle="1" w:styleId="150">
    <w:name w:val="表格内容"/>
    <w:basedOn w:val="1"/>
    <w:qFormat/>
    <w:uiPriority w:val="0"/>
    <w:pPr>
      <w:suppressLineNumbers/>
      <w:suppressAutoHyphens/>
    </w:pPr>
    <w:rPr>
      <w:rFonts w:ascii="宋体" w:hAnsi="宋体"/>
      <w:kern w:val="1"/>
      <w:lang w:eastAsia="ar-SA"/>
    </w:rPr>
  </w:style>
  <w:style w:type="paragraph" w:customStyle="1" w:styleId="151">
    <w:name w:val="批注框文本 Char Char"/>
    <w:basedOn w:val="1"/>
    <w:qFormat/>
    <w:uiPriority w:val="0"/>
    <w:rPr>
      <w:sz w:val="18"/>
      <w:szCs w:val="18"/>
    </w:rPr>
  </w:style>
  <w:style w:type="paragraph" w:customStyle="1" w:styleId="152">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3">
    <w:name w:val="CSS1级正文"/>
    <w:basedOn w:val="17"/>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4">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5">
    <w:name w:val="D&amp;L"/>
    <w:basedOn w:val="28"/>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6">
    <w:name w:val="论文标题1"/>
    <w:basedOn w:val="2"/>
    <w:qFormat/>
    <w:uiPriority w:val="0"/>
    <w:pPr>
      <w:tabs>
        <w:tab w:val="left" w:pos="747"/>
      </w:tabs>
      <w:adjustRightInd w:val="0"/>
      <w:spacing w:line="240" w:lineRule="auto"/>
      <w:ind w:left="747" w:hanging="567"/>
      <w:textAlignment w:val="baseline"/>
    </w:pPr>
  </w:style>
  <w:style w:type="paragraph" w:customStyle="1" w:styleId="157">
    <w:name w:val="我的正文"/>
    <w:basedOn w:val="1"/>
    <w:qFormat/>
    <w:uiPriority w:val="0"/>
    <w:pPr>
      <w:ind w:firstLine="200" w:firstLineChars="200"/>
    </w:pPr>
    <w:rPr>
      <w:rFonts w:ascii="宋体" w:hAnsi="宋体"/>
      <w:sz w:val="24"/>
    </w:rPr>
  </w:style>
  <w:style w:type="paragraph" w:customStyle="1" w:styleId="158">
    <w:name w:val="表格"/>
    <w:basedOn w:val="159"/>
    <w:qFormat/>
    <w:uiPriority w:val="0"/>
    <w:pPr>
      <w:spacing w:line="240" w:lineRule="atLeast"/>
      <w:ind w:firstLine="0" w:firstLineChars="0"/>
      <w:jc w:val="center"/>
    </w:pPr>
    <w:rPr>
      <w:rFonts w:ascii="Arial" w:hAnsi="Arial" w:eastAsia="宋体"/>
      <w:sz w:val="21"/>
    </w:rPr>
  </w:style>
  <w:style w:type="paragraph" w:customStyle="1" w:styleId="159">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0">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2">
    <w:name w:val="Char"/>
    <w:basedOn w:val="1"/>
    <w:qFormat/>
    <w:uiPriority w:val="0"/>
    <w:rPr>
      <w:szCs w:val="24"/>
    </w:rPr>
  </w:style>
  <w:style w:type="paragraph" w:customStyle="1" w:styleId="163">
    <w:name w:val="正文内容"/>
    <w:basedOn w:val="1"/>
    <w:qFormat/>
    <w:uiPriority w:val="0"/>
    <w:pPr>
      <w:suppressAutoHyphens/>
    </w:pPr>
    <w:rPr>
      <w:rFonts w:ascii="Arial" w:hAnsi="Arial"/>
      <w:spacing w:val="-12"/>
      <w:kern w:val="21"/>
      <w:lang w:eastAsia="ar-SA"/>
    </w:rPr>
  </w:style>
  <w:style w:type="paragraph" w:customStyle="1" w:styleId="164">
    <w:name w:val="Char1 Char Char Char Char Char Char"/>
    <w:basedOn w:val="1"/>
    <w:qFormat/>
    <w:uiPriority w:val="0"/>
    <w:rPr>
      <w:rFonts w:ascii="Tahoma" w:hAnsi="Tahoma"/>
      <w:sz w:val="24"/>
    </w:rPr>
  </w:style>
  <w:style w:type="paragraph" w:customStyle="1" w:styleId="165">
    <w:name w:val="标准正文"/>
    <w:basedOn w:val="1"/>
    <w:qFormat/>
    <w:uiPriority w:val="0"/>
    <w:pPr>
      <w:spacing w:line="360" w:lineRule="auto"/>
      <w:ind w:firstLine="420" w:firstLineChars="200"/>
    </w:pPr>
    <w:rPr>
      <w:rFonts w:ascii="Calibri" w:hAnsi="Calibri"/>
    </w:rPr>
  </w:style>
  <w:style w:type="paragraph" w:customStyle="1" w:styleId="166">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7">
    <w:name w:val="Normal1"/>
    <w:basedOn w:val="1"/>
    <w:qFormat/>
    <w:uiPriority w:val="0"/>
    <w:pPr>
      <w:suppressAutoHyphens/>
      <w:spacing w:line="360" w:lineRule="auto"/>
    </w:pPr>
    <w:rPr>
      <w:rFonts w:ascii="宋体" w:hAnsi="宋体"/>
      <w:kern w:val="1"/>
      <w:lang w:eastAsia="ar-SA"/>
    </w:rPr>
  </w:style>
  <w:style w:type="paragraph" w:customStyle="1" w:styleId="168">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69">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0">
    <w:name w:val="默认段落字体 Para Char Char Char Char"/>
    <w:basedOn w:val="1"/>
    <w:qFormat/>
    <w:uiPriority w:val="0"/>
    <w:rPr>
      <w:szCs w:val="24"/>
    </w:rPr>
  </w:style>
  <w:style w:type="paragraph" w:customStyle="1" w:styleId="171">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rPr>
  </w:style>
  <w:style w:type="paragraph" w:customStyle="1" w:styleId="172">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3">
    <w:name w:val="Table Description"/>
    <w:basedOn w:val="1"/>
    <w:qFormat/>
    <w:uiPriority w:val="0"/>
    <w:pPr>
      <w:suppressAutoHyphens/>
    </w:pPr>
    <w:rPr>
      <w:rFonts w:ascii="宋体" w:hAnsi="宋体"/>
      <w:kern w:val="1"/>
      <w:lang w:eastAsia="ar-SA"/>
    </w:rPr>
  </w:style>
  <w:style w:type="paragraph" w:customStyle="1" w:styleId="174">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5">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6">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7">
    <w:name w:val="WPS Plain"/>
    <w:qFormat/>
    <w:uiPriority w:val="0"/>
    <w:rPr>
      <w:rFonts w:ascii="Times New Roman" w:hAnsi="Times New Roman" w:eastAsia="宋体" w:cs="Times New Roman"/>
      <w:lang w:val="en-US" w:eastAsia="zh-CN" w:bidi="ar-SA"/>
    </w:rPr>
  </w:style>
  <w:style w:type="paragraph" w:customStyle="1" w:styleId="178">
    <w:name w:val="Char1 Char Char Char"/>
    <w:basedOn w:val="1"/>
    <w:qFormat/>
    <w:uiPriority w:val="0"/>
    <w:pPr>
      <w:suppressAutoHyphens/>
    </w:pPr>
    <w:rPr>
      <w:rFonts w:ascii="宋体" w:hAnsi="宋体"/>
      <w:kern w:val="1"/>
      <w:sz w:val="24"/>
      <w:lang w:eastAsia="ar-SA"/>
    </w:rPr>
  </w:style>
  <w:style w:type="paragraph" w:customStyle="1" w:styleId="179">
    <w:name w:val="Figure Description"/>
    <w:basedOn w:val="1"/>
    <w:qFormat/>
    <w:uiPriority w:val="0"/>
    <w:pPr>
      <w:suppressAutoHyphens/>
    </w:pPr>
    <w:rPr>
      <w:rFonts w:ascii="宋体" w:hAnsi="宋体"/>
      <w:kern w:val="1"/>
      <w:lang w:eastAsia="ar-SA"/>
    </w:rPr>
  </w:style>
  <w:style w:type="paragraph" w:customStyle="1" w:styleId="180">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1">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2">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3">
    <w:name w:val="Char Char Char Char Char Char Char1 Char"/>
    <w:basedOn w:val="1"/>
    <w:qFormat/>
    <w:uiPriority w:val="0"/>
    <w:rPr>
      <w:rFonts w:ascii="Tahoma" w:hAnsi="Tahoma"/>
      <w:sz w:val="24"/>
    </w:rPr>
  </w:style>
  <w:style w:type="paragraph" w:customStyle="1" w:styleId="18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5">
    <w:name w:val="Char1"/>
    <w:basedOn w:val="1"/>
    <w:qFormat/>
    <w:uiPriority w:val="0"/>
    <w:pPr>
      <w:suppressAutoHyphens/>
    </w:pPr>
    <w:rPr>
      <w:rFonts w:ascii="宋体" w:hAnsi="宋体"/>
      <w:kern w:val="1"/>
      <w:sz w:val="24"/>
      <w:lang w:eastAsia="ar-SA"/>
    </w:rPr>
  </w:style>
  <w:style w:type="paragraph" w:customStyle="1" w:styleId="186">
    <w:name w:val="三级条标题"/>
    <w:basedOn w:val="187"/>
    <w:next w:val="1"/>
    <w:qFormat/>
    <w:uiPriority w:val="0"/>
    <w:pPr>
      <w:numPr>
        <w:ilvl w:val="4"/>
      </w:numPr>
      <w:tabs>
        <w:tab w:val="left" w:pos="360"/>
      </w:tabs>
      <w:outlineLvl w:val="4"/>
    </w:pPr>
  </w:style>
  <w:style w:type="paragraph" w:customStyle="1" w:styleId="187">
    <w:name w:val="二级条标题"/>
    <w:basedOn w:val="1"/>
    <w:next w:val="1"/>
    <w:qFormat/>
    <w:uiPriority w:val="0"/>
    <w:pPr>
      <w:widowControl/>
      <w:numPr>
        <w:ilvl w:val="3"/>
        <w:numId w:val="4"/>
      </w:numPr>
      <w:jc w:val="left"/>
      <w:outlineLvl w:val="3"/>
    </w:pPr>
    <w:rPr>
      <w:rFonts w:eastAsia="黑体"/>
      <w:kern w:val="0"/>
    </w:rPr>
  </w:style>
  <w:style w:type="paragraph" w:customStyle="1" w:styleId="188">
    <w:name w:val="p0"/>
    <w:basedOn w:val="1"/>
    <w:qFormat/>
    <w:uiPriority w:val="0"/>
    <w:pPr>
      <w:widowControl/>
    </w:pPr>
    <w:rPr>
      <w:kern w:val="0"/>
      <w:szCs w:val="21"/>
    </w:rPr>
  </w:style>
  <w:style w:type="character" w:customStyle="1" w:styleId="189">
    <w:name w:val="正文文本缩进 2 Char1"/>
    <w:basedOn w:val="44"/>
    <w:semiHidden/>
    <w:uiPriority w:val="99"/>
    <w:rPr>
      <w:rFonts w:ascii="Times New Roman" w:hAnsi="Times New Roman"/>
      <w:kern w:val="2"/>
      <w:sz w:val="28"/>
    </w:rPr>
  </w:style>
  <w:style w:type="character" w:customStyle="1" w:styleId="190">
    <w:name w:val="批注文字 Char"/>
    <w:basedOn w:val="44"/>
    <w:link w:val="15"/>
    <w:qFormat/>
    <w:uiPriority w:val="0"/>
    <w:rPr>
      <w:rFonts w:ascii="Times New Roman" w:hAnsi="Times New Roman"/>
      <w:kern w:val="2"/>
      <w:sz w:val="28"/>
    </w:rPr>
  </w:style>
  <w:style w:type="character" w:customStyle="1" w:styleId="191">
    <w:name w:val="批注主题 Char"/>
    <w:basedOn w:val="190"/>
    <w:link w:val="40"/>
    <w:qFormat/>
    <w:uiPriority w:val="0"/>
    <w:rPr>
      <w:rFonts w:ascii="宋体" w:hAnsi="宋体"/>
      <w:b/>
      <w:kern w:val="21"/>
      <w:sz w:val="28"/>
      <w:lang w:eastAsia="ar-SA"/>
    </w:rPr>
  </w:style>
  <w:style w:type="character" w:customStyle="1" w:styleId="192">
    <w:name w:val="HTML 预设格式 Char"/>
    <w:basedOn w:val="44"/>
    <w:link w:val="37"/>
    <w:qFormat/>
    <w:uiPriority w:val="0"/>
    <w:rPr>
      <w:rFonts w:ascii="Arial" w:hAnsi="Arial" w:cs="Arial"/>
      <w:sz w:val="24"/>
    </w:rPr>
  </w:style>
  <w:style w:type="character" w:customStyle="1" w:styleId="193">
    <w:name w:val="批注框文本 Char1"/>
    <w:basedOn w:val="44"/>
    <w:semiHidden/>
    <w:qFormat/>
    <w:uiPriority w:val="99"/>
    <w:rPr>
      <w:rFonts w:ascii="Times New Roman" w:hAnsi="Times New Roman"/>
      <w:kern w:val="2"/>
      <w:sz w:val="18"/>
      <w:szCs w:val="18"/>
    </w:rPr>
  </w:style>
  <w:style w:type="character" w:customStyle="1" w:styleId="194">
    <w:name w:val="正文文本 Char1"/>
    <w:basedOn w:val="44"/>
    <w:semiHidden/>
    <w:qFormat/>
    <w:uiPriority w:val="99"/>
    <w:rPr>
      <w:rFonts w:ascii="Times New Roman" w:hAnsi="Times New Roman"/>
      <w:kern w:val="2"/>
      <w:sz w:val="28"/>
    </w:rPr>
  </w:style>
  <w:style w:type="character" w:customStyle="1" w:styleId="195">
    <w:name w:val="页脚 Char1"/>
    <w:basedOn w:val="44"/>
    <w:semiHidden/>
    <w:qFormat/>
    <w:uiPriority w:val="99"/>
    <w:rPr>
      <w:rFonts w:ascii="Times New Roman" w:hAnsi="Times New Roman"/>
      <w:kern w:val="2"/>
      <w:sz w:val="18"/>
      <w:szCs w:val="18"/>
    </w:rPr>
  </w:style>
  <w:style w:type="character" w:customStyle="1" w:styleId="196">
    <w:name w:val="正文文本 3 Char1"/>
    <w:basedOn w:val="44"/>
    <w:semiHidden/>
    <w:qFormat/>
    <w:uiPriority w:val="99"/>
    <w:rPr>
      <w:rFonts w:ascii="Times New Roman" w:hAnsi="Times New Roman"/>
      <w:kern w:val="2"/>
      <w:sz w:val="16"/>
      <w:szCs w:val="16"/>
    </w:rPr>
  </w:style>
  <w:style w:type="paragraph" w:customStyle="1" w:styleId="197">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8">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199">
    <w:name w:val="段"/>
    <w:link w:val="21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0">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1">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2">
    <w:name w:val="日期 Char1"/>
    <w:basedOn w:val="44"/>
    <w:semiHidden/>
    <w:qFormat/>
    <w:uiPriority w:val="99"/>
    <w:rPr>
      <w:rFonts w:ascii="Times New Roman" w:hAnsi="Times New Roman"/>
      <w:kern w:val="2"/>
      <w:sz w:val="28"/>
    </w:rPr>
  </w:style>
  <w:style w:type="character" w:customStyle="1" w:styleId="203">
    <w:name w:val="文档结构图 Char"/>
    <w:basedOn w:val="44"/>
    <w:link w:val="14"/>
    <w:qFormat/>
    <w:uiPriority w:val="0"/>
    <w:rPr>
      <w:rFonts w:ascii="宋体" w:hAnsi="宋体"/>
      <w:kern w:val="21"/>
      <w:sz w:val="28"/>
      <w:shd w:val="clear" w:color="auto" w:fill="000080"/>
      <w:lang w:eastAsia="ar-SA"/>
    </w:rPr>
  </w:style>
  <w:style w:type="character" w:customStyle="1" w:styleId="204">
    <w:name w:val="正文文本缩进 Char1"/>
    <w:basedOn w:val="44"/>
    <w:semiHidden/>
    <w:qFormat/>
    <w:uiPriority w:val="99"/>
    <w:rPr>
      <w:rFonts w:ascii="Times New Roman" w:hAnsi="Times New Roman"/>
      <w:kern w:val="2"/>
      <w:sz w:val="28"/>
    </w:rPr>
  </w:style>
  <w:style w:type="character" w:customStyle="1" w:styleId="205">
    <w:name w:val="页眉 Char1"/>
    <w:basedOn w:val="44"/>
    <w:semiHidden/>
    <w:qFormat/>
    <w:uiPriority w:val="99"/>
    <w:rPr>
      <w:rFonts w:ascii="Times New Roman" w:hAnsi="Times New Roman"/>
      <w:kern w:val="2"/>
      <w:sz w:val="18"/>
      <w:szCs w:val="18"/>
    </w:rPr>
  </w:style>
  <w:style w:type="character" w:customStyle="1" w:styleId="206">
    <w:name w:val="正文文本缩进 3 Char1"/>
    <w:basedOn w:val="44"/>
    <w:semiHidden/>
    <w:qFormat/>
    <w:uiPriority w:val="99"/>
    <w:rPr>
      <w:rFonts w:ascii="Times New Roman" w:hAnsi="Times New Roman"/>
      <w:kern w:val="2"/>
      <w:sz w:val="16"/>
      <w:szCs w:val="16"/>
    </w:rPr>
  </w:style>
  <w:style w:type="paragraph" w:customStyle="1" w:styleId="207">
    <w:name w:val="样式 加粗 居中"/>
    <w:basedOn w:val="1"/>
    <w:qFormat/>
    <w:uiPriority w:val="0"/>
    <w:pPr>
      <w:spacing w:beforeLines="50" w:line="360" w:lineRule="auto"/>
      <w:ind w:right="210" w:rightChars="100"/>
      <w:jc w:val="center"/>
    </w:pPr>
    <w:rPr>
      <w:rFonts w:ascii="宋体" w:hAnsi="宋体" w:cs="宋体"/>
      <w:b/>
      <w:bCs/>
      <w:kern w:val="0"/>
      <w:sz w:val="24"/>
      <w:szCs w:val="24"/>
    </w:rPr>
  </w:style>
  <w:style w:type="character" w:customStyle="1" w:styleId="208">
    <w:name w:val="apple-converted-space"/>
    <w:qFormat/>
    <w:uiPriority w:val="0"/>
  </w:style>
  <w:style w:type="paragraph" w:customStyle="1" w:styleId="209">
    <w:name w:val="列出段落2"/>
    <w:basedOn w:val="1"/>
    <w:qFormat/>
    <w:uiPriority w:val="0"/>
    <w:pPr>
      <w:ind w:firstLine="420" w:firstLineChars="200"/>
    </w:pPr>
  </w:style>
  <w:style w:type="paragraph" w:customStyle="1" w:styleId="210">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2">
    <w:name w:val="正文首行缩进 Char"/>
    <w:basedOn w:val="194"/>
    <w:link w:val="41"/>
    <w:qFormat/>
    <w:uiPriority w:val="0"/>
    <w:rPr>
      <w:rFonts w:ascii="Times New Roman" w:hAnsi="Times New Roman"/>
      <w:kern w:val="2"/>
      <w:sz w:val="28"/>
      <w:szCs w:val="24"/>
    </w:rPr>
  </w:style>
  <w:style w:type="paragraph" w:customStyle="1" w:styleId="213">
    <w:name w:val="列出段落21"/>
    <w:basedOn w:val="1"/>
    <w:qFormat/>
    <w:uiPriority w:val="99"/>
    <w:pPr>
      <w:ind w:firstLine="420" w:firstLineChars="200"/>
    </w:pPr>
    <w:rPr>
      <w:rFonts w:ascii="Calibri" w:hAnsi="Calibri"/>
      <w:sz w:val="21"/>
      <w:szCs w:val="22"/>
    </w:rPr>
  </w:style>
  <w:style w:type="character" w:customStyle="1" w:styleId="214">
    <w:name w:val="段 Char"/>
    <w:link w:val="199"/>
    <w:qFormat/>
    <w:locked/>
    <w:uiPriority w:val="0"/>
    <w:rPr>
      <w:rFonts w:ascii="宋体" w:hAnsi="Times New Roman"/>
      <w:sz w:val="21"/>
    </w:rPr>
  </w:style>
  <w:style w:type="paragraph" w:customStyle="1" w:styleId="215">
    <w:name w:val="一级条标题"/>
    <w:next w:val="199"/>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6">
    <w:name w:val="章标题"/>
    <w:next w:val="199"/>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7">
    <w:name w:val="四级条标题"/>
    <w:basedOn w:val="186"/>
    <w:next w:val="199"/>
    <w:qFormat/>
    <w:uiPriority w:val="0"/>
    <w:pPr>
      <w:numPr>
        <w:ilvl w:val="0"/>
        <w:numId w:val="0"/>
      </w:numPr>
      <w:tabs>
        <w:tab w:val="clear" w:pos="360"/>
      </w:tabs>
      <w:spacing w:beforeLines="50" w:afterLines="50"/>
      <w:outlineLvl w:val="5"/>
    </w:pPr>
    <w:rPr>
      <w:rFonts w:ascii="黑体"/>
      <w:sz w:val="21"/>
      <w:szCs w:val="21"/>
    </w:rPr>
  </w:style>
  <w:style w:type="paragraph" w:customStyle="1" w:styleId="218">
    <w:name w:val="五级条标题"/>
    <w:basedOn w:val="217"/>
    <w:next w:val="199"/>
    <w:qFormat/>
    <w:uiPriority w:val="0"/>
    <w:pPr>
      <w:outlineLvl w:val="6"/>
    </w:pPr>
  </w:style>
  <w:style w:type="paragraph" w:customStyle="1" w:styleId="219">
    <w:name w:val="二级无"/>
    <w:basedOn w:val="187"/>
    <w:qFormat/>
    <w:uiPriority w:val="0"/>
    <w:pPr>
      <w:numPr>
        <w:ilvl w:val="2"/>
        <w:numId w:val="1"/>
      </w:numPr>
      <w:spacing w:before="50" w:after="50"/>
    </w:pPr>
    <w:rPr>
      <w:rFonts w:ascii="宋体" w:eastAsia="宋体"/>
      <w:sz w:val="21"/>
      <w:szCs w:val="21"/>
    </w:rPr>
  </w:style>
  <w:style w:type="paragraph" w:customStyle="1" w:styleId="220">
    <w:name w:val="附录表标号"/>
    <w:basedOn w:val="1"/>
    <w:next w:val="199"/>
    <w:qFormat/>
    <w:uiPriority w:val="0"/>
    <w:pPr>
      <w:numPr>
        <w:ilvl w:val="0"/>
        <w:numId w:val="5"/>
      </w:numPr>
      <w:spacing w:line="14" w:lineRule="exact"/>
      <w:ind w:left="811" w:hanging="448"/>
      <w:jc w:val="center"/>
      <w:outlineLvl w:val="0"/>
    </w:pPr>
    <w:rPr>
      <w:color w:val="FFFFFF"/>
      <w:sz w:val="21"/>
      <w:szCs w:val="24"/>
    </w:rPr>
  </w:style>
  <w:style w:type="paragraph" w:customStyle="1" w:styleId="221">
    <w:name w:val="附录表标题"/>
    <w:basedOn w:val="1"/>
    <w:next w:val="199"/>
    <w:qFormat/>
    <w:uiPriority w:val="0"/>
    <w:pPr>
      <w:numPr>
        <w:ilvl w:val="1"/>
        <w:numId w:val="5"/>
      </w:numPr>
      <w:spacing w:beforeLines="50"/>
      <w:ind w:left="7090"/>
      <w:jc w:val="center"/>
    </w:pPr>
    <w:rPr>
      <w:rFonts w:ascii="黑体" w:eastAsia="黑体"/>
      <w:sz w:val="21"/>
      <w:szCs w:val="21"/>
    </w:rPr>
  </w:style>
  <w:style w:type="paragraph" w:customStyle="1" w:styleId="222">
    <w:name w:val="三级无"/>
    <w:basedOn w:val="186"/>
    <w:qFormat/>
    <w:uiPriority w:val="0"/>
    <w:pPr>
      <w:numPr>
        <w:ilvl w:val="3"/>
        <w:numId w:val="1"/>
      </w:numPr>
      <w:tabs>
        <w:tab w:val="clear" w:pos="360"/>
      </w:tabs>
      <w:spacing w:before="50" w:after="50"/>
    </w:pPr>
    <w:rPr>
      <w:rFonts w:ascii="宋体" w:eastAsia="宋体"/>
      <w:sz w:val="21"/>
      <w:szCs w:val="21"/>
    </w:rPr>
  </w:style>
  <w:style w:type="paragraph" w:customStyle="1" w:styleId="223">
    <w:name w:val="p15"/>
    <w:basedOn w:val="1"/>
    <w:qFormat/>
    <w:uiPriority w:val="0"/>
    <w:pPr>
      <w:widowControl/>
    </w:pPr>
    <w:rPr>
      <w:rFonts w:ascii="Wingdings" w:hAnsi="Wingdings" w:cs="宋体"/>
      <w:kern w:val="0"/>
      <w:szCs w:val="28"/>
    </w:rPr>
  </w:style>
  <w:style w:type="paragraph" w:customStyle="1" w:styleId="224">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25">
    <w:name w:val="列出段落 Char"/>
    <w:link w:val="66"/>
    <w:qFormat/>
    <w:locked/>
    <w:uiPriority w:val="34"/>
    <w:rPr>
      <w:rFonts w:ascii="Times New Roman" w:hAnsi="Times New Roman"/>
      <w:kern w:val="2"/>
      <w:sz w:val="28"/>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A68E9-F477-4782-B4B0-474687CF8C9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63</Pages>
  <Words>27211</Words>
  <Characters>28917</Characters>
  <Lines>231</Lines>
  <Paragraphs>65</Paragraphs>
  <TotalTime>35</TotalTime>
  <ScaleCrop>false</ScaleCrop>
  <LinksUpToDate>false</LinksUpToDate>
  <CharactersWithSpaces>30178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2019-06-17T07:34:00Z</dcterms:created>
  <dc:creator>Administrator</dc:creator>
  <cp:lastModifiedBy>_J.iruH</cp:lastModifiedBy>
  <dcterms:modified xsi:type="dcterms:W3CDTF">2023-01-03T13:49:55Z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B3BDFA3662FC41039D3157CB41552CD6</vt:lpwstr>
  </property>
</Properties>
</file>