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spacing w:val="36"/>
          <w:w w:val="66"/>
          <w:szCs w:val="28"/>
        </w:rPr>
      </w:pP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鄂尔多斯市杭锦旗公共资源交易中心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竞争性谈判文件</w:t>
      </w: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beforeLines="100" w:afterLines="50" w:line="360" w:lineRule="auto"/>
        <w:ind w:right="356" w:rightChars="127"/>
        <w:jc w:val="center"/>
        <w:rPr>
          <w:rFonts w:ascii="宋体" w:hAnsi="宋体"/>
          <w:b/>
          <w:szCs w:val="28"/>
        </w:rPr>
      </w:pPr>
      <w:r>
        <w:rPr>
          <w:rFonts w:hint="eastAsia" w:ascii="宋体" w:hAnsi="宋体"/>
          <w:b/>
          <w:szCs w:val="28"/>
        </w:rPr>
        <w:t>服务类</w:t>
      </w:r>
    </w:p>
    <w:p>
      <w:pPr>
        <w:tabs>
          <w:tab w:val="left" w:pos="315"/>
          <w:tab w:val="left" w:pos="8820"/>
        </w:tabs>
        <w:spacing w:line="360" w:lineRule="auto"/>
        <w:ind w:right="356" w:rightChars="127"/>
        <w:rPr>
          <w:rFonts w:ascii="宋体" w:hAnsi="宋体"/>
          <w:szCs w:val="28"/>
        </w:rPr>
      </w:pP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6"/>
        <w:spacing w:line="360" w:lineRule="auto"/>
        <w:ind w:left="2476" w:leftChars="337" w:hanging="1532" w:hangingChars="545"/>
        <w:rPr>
          <w:rFonts w:hint="eastAsia" w:ascii="宋体" w:hAnsi="宋体" w:eastAsia="宋体"/>
          <w:szCs w:val="28"/>
        </w:rPr>
      </w:pPr>
    </w:p>
    <w:p>
      <w:pPr>
        <w:pStyle w:val="16"/>
        <w:spacing w:line="360" w:lineRule="auto"/>
        <w:ind w:left="2476" w:leftChars="337" w:hanging="1532" w:hangingChars="545"/>
        <w:rPr>
          <w:rFonts w:hint="eastAsia" w:ascii="宋体" w:hAnsi="宋体" w:eastAsia="宋体"/>
          <w:szCs w:val="28"/>
        </w:rPr>
      </w:pPr>
    </w:p>
    <w:p>
      <w:pPr>
        <w:pStyle w:val="16"/>
        <w:spacing w:line="360" w:lineRule="auto"/>
        <w:ind w:left="2476" w:leftChars="337" w:hanging="1532" w:hangingChars="545"/>
        <w:rPr>
          <w:rFonts w:ascii="宋体" w:hAnsi="宋体" w:eastAsia="宋体"/>
          <w:szCs w:val="28"/>
        </w:rPr>
      </w:pPr>
      <w:r>
        <w:rPr>
          <w:rFonts w:hint="eastAsia" w:ascii="宋体" w:hAnsi="宋体" w:eastAsia="宋体"/>
          <w:szCs w:val="28"/>
        </w:rPr>
        <w:t>项目名称：杭锦旗人民检察院采购物业管理服务项目</w:t>
      </w:r>
    </w:p>
    <w:p>
      <w:pPr>
        <w:pStyle w:val="16"/>
        <w:spacing w:line="360" w:lineRule="auto"/>
        <w:ind w:left="2335" w:leftChars="337" w:hanging="1391" w:hangingChars="495"/>
        <w:rPr>
          <w:rFonts w:ascii="宋体" w:hAnsi="宋体" w:eastAsia="宋体"/>
          <w:szCs w:val="28"/>
        </w:rPr>
      </w:pPr>
      <w:r>
        <w:rPr>
          <w:rFonts w:hint="eastAsia" w:ascii="宋体" w:hAnsi="宋体" w:eastAsia="宋体"/>
          <w:szCs w:val="28"/>
        </w:rPr>
        <w:t>项目编号：CG2020FTP074</w:t>
      </w:r>
    </w:p>
    <w:p>
      <w:pPr>
        <w:pStyle w:val="16"/>
        <w:spacing w:line="360" w:lineRule="auto"/>
        <w:ind w:left="2335" w:leftChars="337" w:hanging="1391" w:hangingChars="495"/>
        <w:rPr>
          <w:rFonts w:ascii="宋体" w:hAnsi="宋体" w:eastAsia="宋体"/>
          <w:szCs w:val="28"/>
        </w:rPr>
      </w:pPr>
    </w:p>
    <w:p>
      <w:pPr>
        <w:pStyle w:val="16"/>
        <w:spacing w:line="360" w:lineRule="auto"/>
        <w:ind w:firstLine="2389" w:firstLineChars="850"/>
        <w:rPr>
          <w:rFonts w:hint="eastAsia" w:ascii="宋体" w:hAnsi="宋体" w:eastAsia="宋体"/>
          <w:szCs w:val="28"/>
          <w:lang w:eastAsia="zh-CN"/>
        </w:rPr>
      </w:pPr>
      <w:r>
        <w:rPr>
          <w:rFonts w:hint="eastAsia" w:ascii="宋体" w:hAnsi="宋体" w:eastAsia="宋体"/>
          <w:szCs w:val="28"/>
        </w:rPr>
        <w:t xml:space="preserve">    </w:t>
      </w:r>
      <w:bookmarkStart w:id="0" w:name="_Toc266431005"/>
      <w:bookmarkStart w:id="1" w:name="_Toc266431113"/>
      <w:r>
        <w:rPr>
          <w:rFonts w:hint="eastAsia" w:ascii="宋体" w:hAnsi="宋体" w:eastAsia="宋体"/>
          <w:szCs w:val="28"/>
        </w:rPr>
        <w:t>2020年</w:t>
      </w:r>
      <w:r>
        <w:rPr>
          <w:rFonts w:hint="eastAsia" w:ascii="宋体" w:hAnsi="宋体" w:eastAsia="宋体"/>
          <w:szCs w:val="28"/>
          <w:lang w:eastAsia="zh-CN"/>
        </w:rPr>
        <w:t>3月25日</w:t>
      </w:r>
    </w:p>
    <w:p>
      <w:pPr>
        <w:pStyle w:val="16"/>
        <w:spacing w:line="360" w:lineRule="auto"/>
        <w:rPr>
          <w:rFonts w:ascii="宋体" w:hAnsi="宋体" w:eastAsia="宋体"/>
          <w:szCs w:val="28"/>
        </w:rPr>
      </w:pPr>
    </w:p>
    <w:p>
      <w:pPr>
        <w:pStyle w:val="67"/>
        <w:keepNext w:val="0"/>
        <w:keepLines w:val="0"/>
        <w:spacing w:before="0" w:line="360" w:lineRule="auto"/>
        <w:jc w:val="center"/>
        <w:rPr>
          <w:rFonts w:ascii="宋体" w:hAnsi="宋体"/>
          <w:color w:val="auto"/>
        </w:rPr>
      </w:pPr>
    </w:p>
    <w:p>
      <w:pPr>
        <w:pStyle w:val="67"/>
        <w:keepNext w:val="0"/>
        <w:keepLines w:val="0"/>
        <w:spacing w:before="0" w:line="360" w:lineRule="auto"/>
        <w:jc w:val="center"/>
        <w:rPr>
          <w:rFonts w:ascii="宋体" w:hAnsi="宋体"/>
          <w:color w:val="auto"/>
        </w:rPr>
      </w:pPr>
    </w:p>
    <w:p>
      <w:pPr>
        <w:pStyle w:val="67"/>
        <w:keepNext w:val="0"/>
        <w:keepLines w:val="0"/>
        <w:spacing w:before="0" w:line="360" w:lineRule="auto"/>
        <w:jc w:val="center"/>
        <w:rPr>
          <w:rFonts w:ascii="宋体" w:hAnsi="宋体"/>
          <w:color w:val="auto"/>
        </w:rPr>
      </w:pPr>
    </w:p>
    <w:p>
      <w:pPr>
        <w:pStyle w:val="67"/>
        <w:keepNext w:val="0"/>
        <w:keepLines w:val="0"/>
        <w:spacing w:before="0" w:line="360" w:lineRule="auto"/>
        <w:jc w:val="center"/>
        <w:rPr>
          <w:rFonts w:ascii="宋体" w:hAnsi="宋体"/>
          <w:color w:val="auto"/>
        </w:rPr>
      </w:pPr>
      <w:r>
        <w:rPr>
          <w:rFonts w:hint="eastAsia" w:ascii="宋体" w:hAnsi="宋体"/>
          <w:color w:val="auto"/>
        </w:rPr>
        <w:t>目   录</w:t>
      </w:r>
    </w:p>
    <w:p>
      <w:pPr>
        <w:pStyle w:val="29"/>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"_Toc497726578" </w:instrText>
      </w:r>
      <w:r>
        <w:fldChar w:fldCharType="separate"/>
      </w:r>
      <w:r>
        <w:rPr>
          <w:rStyle w:val="49"/>
          <w:rFonts w:hint="eastAsia" w:ascii="宋体" w:hAnsi="宋体"/>
          <w:color w:val="auto"/>
        </w:rPr>
        <w:t>第一章</w:t>
      </w:r>
      <w:r>
        <w:rPr>
          <w:rStyle w:val="49"/>
          <w:rFonts w:ascii="宋体" w:hAnsi="宋体"/>
          <w:color w:val="auto"/>
        </w:rPr>
        <w:t xml:space="preserve"> </w:t>
      </w:r>
      <w:r>
        <w:rPr>
          <w:rStyle w:val="49"/>
          <w:rFonts w:hint="eastAsia" w:ascii="宋体" w:hAnsi="宋体"/>
          <w:color w:val="auto"/>
        </w:rPr>
        <w:t>采购公告</w:t>
      </w:r>
      <w:r>
        <w:tab/>
      </w:r>
      <w:r>
        <w:fldChar w:fldCharType="begin"/>
      </w:r>
      <w:r>
        <w:instrText xml:space="preserve"> PAGEREF _Toc497726578 \h </w:instrText>
      </w:r>
      <w:r>
        <w:fldChar w:fldCharType="separate"/>
      </w:r>
      <w:r>
        <w:t>3</w:t>
      </w:r>
      <w:r>
        <w:fldChar w:fldCharType="end"/>
      </w:r>
      <w:r>
        <w:fldChar w:fldCharType="end"/>
      </w:r>
    </w:p>
    <w:p>
      <w:pPr>
        <w:pStyle w:val="2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"_Toc497726579" </w:instrText>
      </w:r>
      <w:r>
        <w:fldChar w:fldCharType="separate"/>
      </w:r>
      <w:r>
        <w:rPr>
          <w:rStyle w:val="49"/>
          <w:rFonts w:hint="eastAsia" w:ascii="宋体" w:hAnsi="宋体"/>
          <w:color w:val="auto"/>
        </w:rPr>
        <w:t>第二章</w:t>
      </w:r>
      <w:r>
        <w:rPr>
          <w:rStyle w:val="49"/>
          <w:rFonts w:ascii="宋体" w:hAnsi="宋体"/>
          <w:color w:val="auto"/>
        </w:rPr>
        <w:t xml:space="preserve"> </w:t>
      </w:r>
      <w:r>
        <w:rPr>
          <w:rStyle w:val="49"/>
          <w:rFonts w:hint="eastAsia" w:ascii="宋体" w:hAnsi="宋体"/>
          <w:color w:val="auto"/>
        </w:rPr>
        <w:t>供应商须知</w:t>
      </w:r>
      <w:r>
        <w:tab/>
      </w:r>
      <w:r>
        <w:fldChar w:fldCharType="begin"/>
      </w:r>
      <w:r>
        <w:instrText xml:space="preserve"> PAGEREF _Toc497726579 \h </w:instrText>
      </w:r>
      <w:r>
        <w:fldChar w:fldCharType="separate"/>
      </w:r>
      <w:r>
        <w:t>5</w:t>
      </w:r>
      <w:r>
        <w:fldChar w:fldCharType="end"/>
      </w:r>
      <w:r>
        <w:fldChar w:fldCharType="end"/>
      </w:r>
    </w:p>
    <w:p>
      <w:pPr>
        <w:pStyle w:val="2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"_Toc497726580" </w:instrText>
      </w:r>
      <w:r>
        <w:fldChar w:fldCharType="separate"/>
      </w:r>
      <w:r>
        <w:rPr>
          <w:rStyle w:val="49"/>
          <w:rFonts w:hint="eastAsia" w:ascii="宋体" w:hAnsi="宋体" w:cs="宋体"/>
          <w:color w:val="auto"/>
        </w:rPr>
        <w:t>第三章</w:t>
      </w:r>
      <w:r>
        <w:rPr>
          <w:rStyle w:val="49"/>
          <w:rFonts w:ascii="宋体" w:hAnsi="宋体" w:cs="宋体"/>
          <w:color w:val="auto"/>
        </w:rPr>
        <w:t xml:space="preserve"> </w:t>
      </w:r>
      <w:r>
        <w:rPr>
          <w:rStyle w:val="49"/>
          <w:rFonts w:hint="eastAsia" w:ascii="宋体" w:hAnsi="宋体" w:cs="宋体"/>
          <w:color w:val="auto"/>
        </w:rPr>
        <w:t>合同与验收</w:t>
      </w:r>
      <w:r>
        <w:tab/>
      </w:r>
      <w:r>
        <w:fldChar w:fldCharType="begin"/>
      </w:r>
      <w:r>
        <w:instrText xml:space="preserve"> PAGEREF _Toc497726580 \h </w:instrText>
      </w:r>
      <w:r>
        <w:fldChar w:fldCharType="separate"/>
      </w:r>
      <w:r>
        <w:t>17</w:t>
      </w:r>
      <w:r>
        <w:fldChar w:fldCharType="end"/>
      </w:r>
      <w:r>
        <w:fldChar w:fldCharType="end"/>
      </w:r>
    </w:p>
    <w:p>
      <w:pPr>
        <w:pStyle w:val="2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"_Toc497726581" </w:instrText>
      </w:r>
      <w:r>
        <w:fldChar w:fldCharType="separate"/>
      </w:r>
      <w:r>
        <w:rPr>
          <w:rStyle w:val="49"/>
          <w:rFonts w:hint="eastAsia" w:ascii="宋体" w:hAnsi="宋体"/>
          <w:color w:val="auto"/>
        </w:rPr>
        <w:t>第四章</w:t>
      </w:r>
      <w:r>
        <w:rPr>
          <w:rStyle w:val="49"/>
          <w:rFonts w:ascii="宋体" w:hAnsi="宋体"/>
          <w:color w:val="auto"/>
        </w:rPr>
        <w:t xml:space="preserve"> </w:t>
      </w:r>
      <w:r>
        <w:rPr>
          <w:rStyle w:val="49"/>
          <w:rFonts w:hint="eastAsia" w:ascii="宋体" w:hAnsi="宋体"/>
          <w:color w:val="auto"/>
        </w:rPr>
        <w:t>谈判内容与服务需求</w:t>
      </w:r>
      <w:r>
        <w:tab/>
      </w:r>
      <w:r>
        <w:fldChar w:fldCharType="begin"/>
      </w:r>
      <w:r>
        <w:instrText xml:space="preserve"> PAGEREF _Toc497726581 \h </w:instrText>
      </w:r>
      <w:r>
        <w:fldChar w:fldCharType="separate"/>
      </w:r>
      <w:r>
        <w:t>20</w:t>
      </w:r>
      <w:r>
        <w:fldChar w:fldCharType="end"/>
      </w:r>
      <w:r>
        <w:fldChar w:fldCharType="end"/>
      </w:r>
    </w:p>
    <w:p>
      <w:pPr>
        <w:pStyle w:val="2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"_Toc497726582" </w:instrText>
      </w:r>
      <w:r>
        <w:fldChar w:fldCharType="separate"/>
      </w:r>
      <w:r>
        <w:rPr>
          <w:rStyle w:val="49"/>
          <w:rFonts w:hint="eastAsia" w:ascii="宋体" w:hAnsi="宋体"/>
          <w:color w:val="auto"/>
        </w:rPr>
        <w:t>第五章</w:t>
      </w:r>
      <w:r>
        <w:rPr>
          <w:rStyle w:val="49"/>
          <w:rFonts w:ascii="宋体" w:hAnsi="宋体"/>
          <w:color w:val="auto"/>
        </w:rPr>
        <w:t xml:space="preserve"> </w:t>
      </w:r>
      <w:r>
        <w:rPr>
          <w:rStyle w:val="49"/>
          <w:rFonts w:hint="eastAsia" w:ascii="宋体" w:hAnsi="宋体"/>
          <w:color w:val="auto"/>
        </w:rPr>
        <w:t>供应商资格证明及相关文件要求</w:t>
      </w:r>
      <w:r>
        <w:tab/>
      </w:r>
      <w:r>
        <w:fldChar w:fldCharType="begin"/>
      </w:r>
      <w:r>
        <w:instrText xml:space="preserve"> PAGEREF _Toc497726582 \h </w:instrText>
      </w:r>
      <w:r>
        <w:fldChar w:fldCharType="separate"/>
      </w:r>
      <w:r>
        <w:t>21</w:t>
      </w:r>
      <w:r>
        <w:fldChar w:fldCharType="end"/>
      </w:r>
      <w:r>
        <w:fldChar w:fldCharType="end"/>
      </w:r>
    </w:p>
    <w:p>
      <w:pPr>
        <w:pStyle w:val="2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"_Toc497726583" </w:instrText>
      </w:r>
      <w:r>
        <w:fldChar w:fldCharType="separate"/>
      </w:r>
      <w:r>
        <w:rPr>
          <w:rStyle w:val="49"/>
          <w:rFonts w:hint="eastAsia" w:ascii="宋体" w:hAnsi="宋体"/>
          <w:color w:val="auto"/>
        </w:rPr>
        <w:t>第六章</w:t>
      </w:r>
      <w:r>
        <w:rPr>
          <w:rStyle w:val="49"/>
          <w:rFonts w:ascii="宋体" w:hAnsi="宋体"/>
          <w:color w:val="auto"/>
        </w:rPr>
        <w:t xml:space="preserve"> </w:t>
      </w:r>
      <w:r>
        <w:rPr>
          <w:rStyle w:val="49"/>
          <w:rFonts w:hint="eastAsia" w:ascii="宋体" w:hAnsi="宋体"/>
          <w:color w:val="auto"/>
        </w:rPr>
        <w:t>谈判程序及方法</w:t>
      </w:r>
      <w:r>
        <w:tab/>
      </w:r>
      <w:r>
        <w:fldChar w:fldCharType="begin"/>
      </w:r>
      <w:r>
        <w:instrText xml:space="preserve"> PAGEREF _Toc497726583 \h </w:instrText>
      </w:r>
      <w:r>
        <w:fldChar w:fldCharType="separate"/>
      </w:r>
      <w:r>
        <w:t>22</w:t>
      </w:r>
      <w:r>
        <w:fldChar w:fldCharType="end"/>
      </w:r>
      <w:r>
        <w:fldChar w:fldCharType="end"/>
      </w:r>
    </w:p>
    <w:p>
      <w:pPr>
        <w:pStyle w:val="2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"_Toc497726584" </w:instrText>
      </w:r>
      <w:r>
        <w:fldChar w:fldCharType="separate"/>
      </w:r>
      <w:r>
        <w:rPr>
          <w:rStyle w:val="49"/>
          <w:rFonts w:hint="eastAsia" w:ascii="宋体" w:hAnsi="宋体"/>
          <w:color w:val="auto"/>
        </w:rPr>
        <w:t>第七章</w:t>
      </w:r>
      <w:r>
        <w:rPr>
          <w:rStyle w:val="49"/>
          <w:rFonts w:ascii="宋体" w:hAnsi="宋体"/>
          <w:color w:val="auto"/>
        </w:rPr>
        <w:t xml:space="preserve"> </w:t>
      </w:r>
      <w:r>
        <w:rPr>
          <w:rStyle w:val="49"/>
          <w:rFonts w:hint="eastAsia" w:ascii="宋体" w:hAnsi="宋体"/>
          <w:color w:val="auto"/>
        </w:rPr>
        <w:t>响应文件格式与要求</w:t>
      </w:r>
      <w:r>
        <w:tab/>
      </w:r>
      <w:r>
        <w:fldChar w:fldCharType="begin"/>
      </w:r>
      <w:r>
        <w:instrText xml:space="preserve"> PAGEREF _Toc497726584 \h </w:instrText>
      </w:r>
      <w:r>
        <w:fldChar w:fldCharType="separate"/>
      </w:r>
      <w:r>
        <w:t>26</w:t>
      </w:r>
      <w:r>
        <w:fldChar w:fldCharType="end"/>
      </w:r>
      <w:r>
        <w:fldChar w:fldCharType="end"/>
      </w:r>
    </w:p>
    <w:p>
      <w:pPr>
        <w:pStyle w:val="2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"_Toc497726585" </w:instrText>
      </w:r>
      <w:r>
        <w:fldChar w:fldCharType="separate"/>
      </w:r>
      <w:r>
        <w:rPr>
          <w:rStyle w:val="49"/>
          <w:rFonts w:hint="eastAsia" w:ascii="宋体" w:hAnsi="宋体"/>
          <w:color w:val="auto"/>
        </w:rPr>
        <w:t>温馨提示</w:t>
      </w:r>
      <w:r>
        <w:tab/>
      </w:r>
      <w:r>
        <w:fldChar w:fldCharType="begin"/>
      </w:r>
      <w:r>
        <w:instrText xml:space="preserve"> PAGEREF _Toc497726585 \h </w:instrText>
      </w:r>
      <w:r>
        <w:fldChar w:fldCharType="separate"/>
      </w:r>
      <w:r>
        <w:t>52</w:t>
      </w:r>
      <w:r>
        <w:fldChar w:fldCharType="end"/>
      </w:r>
      <w:r>
        <w:fldChar w:fldCharType="end"/>
      </w:r>
    </w:p>
    <w:p>
      <w:pPr>
        <w:pStyle w:val="2"/>
        <w:keepNext w:val="0"/>
        <w:keepLines w:val="0"/>
        <w:spacing w:line="360" w:lineRule="auto"/>
        <w:jc w:val="both"/>
        <w:rPr>
          <w:rFonts w:ascii="宋体" w:hAnsi="宋体"/>
          <w:b w:val="0"/>
          <w:sz w:val="28"/>
          <w:szCs w:val="28"/>
        </w:rPr>
      </w:pPr>
      <w:r>
        <w:rPr>
          <w:rFonts w:ascii="宋体" w:hAnsi="宋体"/>
          <w:b w:val="0"/>
          <w:sz w:val="28"/>
          <w:szCs w:val="28"/>
        </w:rPr>
        <w:fldChar w:fldCharType="end"/>
      </w:r>
      <w:bookmarkEnd w:id="0"/>
      <w:bookmarkEnd w:id="1"/>
      <w:bookmarkStart w:id="2" w:name="_Toc266431116"/>
      <w:bookmarkStart w:id="3" w:name="_Toc253045125"/>
    </w:p>
    <w:p>
      <w:pPr>
        <w:widowControl/>
        <w:jc w:val="left"/>
        <w:rPr>
          <w:rFonts w:ascii="宋体" w:hAnsi="宋体"/>
          <w:b/>
          <w:szCs w:val="28"/>
        </w:rPr>
      </w:pPr>
      <w:r>
        <w:rPr>
          <w:rFonts w:ascii="宋体" w:hAnsi="宋体"/>
          <w:b/>
          <w:szCs w:val="28"/>
        </w:rPr>
        <w:br w:type="page"/>
      </w:r>
    </w:p>
    <w:p>
      <w:pPr>
        <w:widowControl/>
        <w:ind w:firstLine="3373" w:firstLineChars="1200"/>
        <w:jc w:val="left"/>
        <w:outlineLvl w:val="0"/>
        <w:rPr>
          <w:rFonts w:ascii="宋体" w:hAnsi="宋体"/>
          <w:b/>
          <w:szCs w:val="28"/>
        </w:rPr>
      </w:pPr>
      <w:bookmarkStart w:id="4" w:name="_Toc497726578"/>
      <w:r>
        <w:rPr>
          <w:rFonts w:hint="eastAsia" w:ascii="宋体" w:hAnsi="宋体"/>
          <w:b/>
          <w:szCs w:val="28"/>
        </w:rPr>
        <w:t>第一章 采购公告</w:t>
      </w:r>
      <w:bookmarkEnd w:id="4"/>
    </w:p>
    <w:p>
      <w:pPr>
        <w:widowControl/>
        <w:ind w:firstLine="1928" w:firstLineChars="800"/>
        <w:jc w:val="left"/>
        <w:rPr>
          <w:rFonts w:ascii="宋体"/>
          <w:b/>
          <w:sz w:val="24"/>
          <w:szCs w:val="24"/>
        </w:rPr>
      </w:pPr>
      <w:bookmarkStart w:id="5" w:name="_Toc497726579"/>
      <w:r>
        <w:rPr>
          <w:rFonts w:hint="eastAsia" w:ascii="宋体"/>
          <w:b/>
          <w:sz w:val="24"/>
          <w:szCs w:val="24"/>
        </w:rPr>
        <w:t>杭锦旗人民检察院采购物业管理服务项目竞争性谈判公告</w:t>
      </w:r>
    </w:p>
    <w:p>
      <w:pPr>
        <w:widowControl/>
        <w:ind w:firstLine="1960" w:firstLineChars="700"/>
        <w:jc w:val="left"/>
        <w:rPr>
          <w:rFonts w:ascii="宋体"/>
          <w:bCs/>
          <w:kern w:val="44"/>
          <w:szCs w:val="28"/>
          <w:lang w:val="zh-CN"/>
        </w:rPr>
      </w:pPr>
    </w:p>
    <w:p>
      <w:pPr>
        <w:spacing w:line="360" w:lineRule="auto"/>
        <w:ind w:firstLine="480" w:firstLineChars="200"/>
        <w:rPr>
          <w:rFonts w:ascii="宋体"/>
          <w:sz w:val="24"/>
          <w:szCs w:val="24"/>
        </w:rPr>
      </w:pPr>
      <w:bookmarkStart w:id="6" w:name="OLE_LINK3"/>
      <w:bookmarkStart w:id="7" w:name="OLE_LINK4"/>
      <w:bookmarkStart w:id="8" w:name="OLE_LINK25"/>
      <w:r>
        <w:rPr>
          <w:rFonts w:hint="eastAsia" w:ascii="宋体"/>
          <w:sz w:val="24"/>
          <w:szCs w:val="24"/>
        </w:rPr>
        <w:t>鄂尔多斯市杭锦旗公共资源交易中心受杭锦旗人民检察院委托，采用竞争性谈判方式采购物业管理服务项目。欢迎符合资格条件的供应商前来报名参加。</w:t>
      </w:r>
    </w:p>
    <w:p>
      <w:pPr>
        <w:pStyle w:val="209"/>
        <w:spacing w:line="360" w:lineRule="auto"/>
        <w:ind w:firstLine="482"/>
        <w:rPr>
          <w:rFonts w:ascii="宋体"/>
          <w:b/>
          <w:sz w:val="24"/>
          <w:szCs w:val="24"/>
        </w:rPr>
      </w:pPr>
      <w:r>
        <w:rPr>
          <w:rFonts w:hint="eastAsia" w:ascii="宋体"/>
          <w:b/>
          <w:sz w:val="24"/>
          <w:szCs w:val="24"/>
        </w:rPr>
        <w:t>一.项目概述</w:t>
      </w:r>
    </w:p>
    <w:p>
      <w:pPr>
        <w:pStyle w:val="209"/>
        <w:spacing w:line="360" w:lineRule="auto"/>
        <w:ind w:firstLine="480"/>
        <w:rPr>
          <w:rFonts w:ascii="宋体"/>
          <w:b/>
          <w:sz w:val="24"/>
          <w:szCs w:val="24"/>
        </w:rPr>
      </w:pPr>
      <w:r>
        <w:rPr>
          <w:rFonts w:hint="eastAsia" w:ascii="宋体"/>
          <w:sz w:val="24"/>
          <w:szCs w:val="24"/>
        </w:rPr>
        <w:t>1.名称与编号</w:t>
      </w:r>
    </w:p>
    <w:p>
      <w:pPr>
        <w:spacing w:line="360" w:lineRule="auto"/>
        <w:ind w:firstLine="480" w:firstLineChars="200"/>
        <w:rPr>
          <w:rFonts w:ascii="宋体"/>
          <w:sz w:val="24"/>
          <w:szCs w:val="24"/>
        </w:rPr>
      </w:pPr>
      <w:r>
        <w:rPr>
          <w:rFonts w:hint="eastAsia" w:ascii="宋体"/>
          <w:sz w:val="24"/>
          <w:szCs w:val="24"/>
        </w:rPr>
        <w:t>项目名称：物业管理服务项目</w:t>
      </w:r>
    </w:p>
    <w:p>
      <w:pPr>
        <w:spacing w:line="360" w:lineRule="auto"/>
        <w:ind w:firstLine="480" w:firstLineChars="200"/>
        <w:jc w:val="left"/>
        <w:rPr>
          <w:rFonts w:ascii="宋体"/>
          <w:sz w:val="24"/>
          <w:szCs w:val="24"/>
        </w:rPr>
      </w:pPr>
      <w:r>
        <w:rPr>
          <w:rFonts w:hint="eastAsia" w:ascii="宋体"/>
          <w:sz w:val="24"/>
          <w:szCs w:val="24"/>
        </w:rPr>
        <w:t>批准文件编号：鄂财购备字（电子）[2020]</w:t>
      </w:r>
      <w:r>
        <w:rPr>
          <w:rFonts w:hint="eastAsia" w:ascii="宋体" w:hAnsi="宋体"/>
          <w:color w:val="000000"/>
          <w:szCs w:val="28"/>
        </w:rPr>
        <w:t>HJ</w:t>
      </w:r>
      <w:r>
        <w:rPr>
          <w:rFonts w:hint="eastAsia" w:ascii="宋体"/>
          <w:color w:val="000000"/>
          <w:sz w:val="24"/>
          <w:szCs w:val="24"/>
        </w:rPr>
        <w:t>00006</w:t>
      </w:r>
      <w:r>
        <w:rPr>
          <w:rFonts w:hint="eastAsia" w:ascii="宋体"/>
          <w:sz w:val="24"/>
          <w:szCs w:val="24"/>
        </w:rPr>
        <w:t>号</w:t>
      </w:r>
    </w:p>
    <w:p>
      <w:pPr>
        <w:spacing w:line="360" w:lineRule="auto"/>
        <w:ind w:firstLine="480" w:firstLineChars="200"/>
        <w:jc w:val="left"/>
        <w:rPr>
          <w:rFonts w:ascii="宋体"/>
          <w:sz w:val="24"/>
          <w:szCs w:val="24"/>
        </w:rPr>
      </w:pPr>
      <w:r>
        <w:rPr>
          <w:rFonts w:hint="eastAsia" w:ascii="宋体"/>
          <w:sz w:val="24"/>
          <w:szCs w:val="24"/>
        </w:rPr>
        <w:t>谈判文件编号：CG2020FTP074</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2.内容及分包情况（技术规格、参数及要求）</w:t>
      </w: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447"/>
        <w:gridCol w:w="993"/>
        <w:gridCol w:w="1701"/>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包号</w:t>
            </w:r>
          </w:p>
        </w:tc>
        <w:tc>
          <w:tcPr>
            <w:tcW w:w="4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采购需求</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44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heme="minorEastAsia" w:hAnsiTheme="minorEastAsia" w:eastAsiaTheme="minorEastAsia"/>
              </w:rPr>
            </w:pPr>
            <w:r>
              <w:rPr>
                <w:rFonts w:hint="eastAsia" w:asciiTheme="minorEastAsia" w:hAnsiTheme="minorEastAsia" w:eastAsiaTheme="minorEastAsia"/>
              </w:rPr>
              <w:t>物业管理服务项目</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spacing w:before="0" w:beforeAutospacing="0" w:after="0" w:afterAutospacing="0"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详见采购文件</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spacing w:before="0" w:beforeAutospacing="0" w:after="0" w:afterAutospacing="0" w:line="360" w:lineRule="auto"/>
              <w:ind w:firstLine="480"/>
              <w:jc w:val="center"/>
              <w:rPr>
                <w:rFonts w:asciiTheme="minorEastAsia" w:hAnsiTheme="minorEastAsia" w:eastAsiaTheme="minorEastAsia"/>
              </w:rPr>
            </w:pPr>
            <w:r>
              <w:rPr>
                <w:rFonts w:hint="eastAsia" w:asciiTheme="minorEastAsia" w:hAnsiTheme="minorEastAsia" w:eastAsiaTheme="minorEastAsia"/>
              </w:rPr>
              <w:t>1100000</w:t>
            </w:r>
          </w:p>
        </w:tc>
      </w:tr>
    </w:tbl>
    <w:p>
      <w:pPr>
        <w:pStyle w:val="209"/>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二.供应商的资格要求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1.供应商应符合《中华人民共和国政府采购法》第二十二条规定的条件。</w:t>
      </w:r>
    </w:p>
    <w:p>
      <w:pPr>
        <w:spacing w:line="360" w:lineRule="auto"/>
        <w:ind w:left="560" w:leftChars="200"/>
        <w:rPr>
          <w:rFonts w:ascii="宋体"/>
          <w:b/>
          <w:sz w:val="24"/>
          <w:szCs w:val="24"/>
        </w:rPr>
      </w:pPr>
      <w:r>
        <w:rPr>
          <w:rFonts w:hint="eastAsia" w:ascii="宋体"/>
          <w:b/>
          <w:sz w:val="24"/>
          <w:szCs w:val="24"/>
        </w:rPr>
        <w:t>三.获取谈判文件的时间、地点、方式</w:t>
      </w:r>
    </w:p>
    <w:p>
      <w:pPr>
        <w:spacing w:line="360" w:lineRule="auto"/>
        <w:ind w:firstLine="480" w:firstLineChars="200"/>
        <w:textAlignment w:val="baseline"/>
        <w:rPr>
          <w:rFonts w:ascii="宋体"/>
          <w:sz w:val="24"/>
          <w:szCs w:val="24"/>
        </w:rPr>
      </w:pPr>
      <w:r>
        <w:rPr>
          <w:rFonts w:hint="eastAsia" w:ascii="宋体"/>
          <w:sz w:val="24"/>
          <w:szCs w:val="24"/>
        </w:rPr>
        <w:t>符合上述条件的供应商可于2020年</w:t>
      </w:r>
      <w:r>
        <w:rPr>
          <w:rFonts w:hint="eastAsia" w:ascii="宋体"/>
          <w:sz w:val="24"/>
          <w:szCs w:val="24"/>
          <w:lang w:eastAsia="zh-CN"/>
        </w:rPr>
        <w:t>3月25日</w:t>
      </w:r>
      <w:r>
        <w:rPr>
          <w:rFonts w:hint="eastAsia" w:ascii="宋体"/>
          <w:sz w:val="24"/>
          <w:szCs w:val="24"/>
        </w:rPr>
        <w:t>起登录内蒙古自治区政府采购网、内蒙古自治区公共资源交易网、鄂尔多斯市政府采购网或鄂尔多斯市公共资源交易网站获取谈判文件。</w:t>
      </w:r>
    </w:p>
    <w:p>
      <w:pPr>
        <w:spacing w:line="360" w:lineRule="auto"/>
        <w:ind w:firstLine="480" w:firstLineChars="200"/>
        <w:textAlignment w:val="baseline"/>
        <w:rPr>
          <w:rFonts w:ascii="宋体"/>
          <w:sz w:val="24"/>
          <w:szCs w:val="24"/>
        </w:rPr>
      </w:pPr>
      <w:r>
        <w:rPr>
          <w:rFonts w:hint="eastAsia" w:asci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sz w:val="24"/>
          <w:szCs w:val="24"/>
        </w:rPr>
      </w:pPr>
      <w:r>
        <w:rPr>
          <w:rFonts w:hint="eastAsia" w:asci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sz w:val="24"/>
          <w:szCs w:val="24"/>
        </w:rPr>
      </w:pPr>
      <w:r>
        <w:rPr>
          <w:rFonts w:hint="eastAsia" w:ascii="宋体"/>
          <w:sz w:val="24"/>
          <w:szCs w:val="24"/>
        </w:rPr>
        <w:t>3.鄂尔多斯市政府采购网（</w:t>
      </w:r>
      <w:r>
        <w:rPr>
          <w:rFonts w:ascii="宋体"/>
          <w:sz w:val="24"/>
          <w:szCs w:val="24"/>
        </w:rPr>
        <w:t>http://zfcg.ordos.gov.cn</w:t>
      </w:r>
      <w:r>
        <w:rPr>
          <w:rFonts w:hint="eastAsia" w:ascii="宋体"/>
          <w:sz w:val="24"/>
          <w:szCs w:val="24"/>
        </w:rPr>
        <w:t>）。登陆网站页面，点击“政府采购公告”，查询采购信息，点击信息公告页面中“下载谈判文件”可浏览、下载谈判文件。</w:t>
      </w:r>
    </w:p>
    <w:p>
      <w:pPr>
        <w:spacing w:line="360" w:lineRule="auto"/>
        <w:ind w:firstLine="480" w:firstLineChars="200"/>
        <w:textAlignment w:val="baseline"/>
        <w:rPr>
          <w:rFonts w:ascii="宋体"/>
          <w:sz w:val="24"/>
          <w:szCs w:val="24"/>
        </w:rPr>
      </w:pPr>
      <w:r>
        <w:rPr>
          <w:rFonts w:hint="eastAsia" w:ascii="宋体"/>
          <w:sz w:val="24"/>
          <w:szCs w:val="24"/>
        </w:rPr>
        <w:t>4.鄂尔多斯市公共资源交易网（http://www.ordosggzyjy.org.cn）。登陆网站页面，点击“政府采购”中的“信息公告”栏，查询采购信息，点击信息公告页面左下角“附件”即可浏览、下载谈判文件。</w:t>
      </w:r>
    </w:p>
    <w:p>
      <w:pPr>
        <w:spacing w:line="360" w:lineRule="auto"/>
        <w:ind w:firstLine="480" w:firstLineChars="200"/>
        <w:jc w:val="left"/>
        <w:rPr>
          <w:rFonts w:ascii="宋体"/>
          <w:sz w:val="24"/>
          <w:szCs w:val="24"/>
        </w:rPr>
      </w:pPr>
      <w:r>
        <w:rPr>
          <w:rFonts w:hint="eastAsia" w:ascii="宋体"/>
          <w:sz w:val="24"/>
          <w:szCs w:val="24"/>
        </w:rPr>
        <w:t>5.</w:t>
      </w:r>
      <w:r>
        <w:rPr>
          <w:rFonts w:hint="eastAsia" w:ascii="宋体" w:cs="宋体"/>
          <w:sz w:val="24"/>
          <w:szCs w:val="24"/>
        </w:rPr>
        <w:t>杭锦旗公共资源交易网（http://www.ordosggzyjy.org.cn/TPFront_hjq/）。登陆网站页面，点击“政府采购”中的“信息公告”栏，查询采购信息，点击信息公告页面左下角“附件”即可浏览、下载招标文件。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sz w:val="24"/>
          <w:szCs w:val="24"/>
        </w:rPr>
      </w:pPr>
      <w:r>
        <w:rPr>
          <w:rFonts w:hint="eastAsia" w:ascii="宋体"/>
          <w:sz w:val="24"/>
          <w:szCs w:val="24"/>
        </w:rPr>
        <w:t>6.报名方式及报名时间详见谈判文件第二章“报名须知”。</w:t>
      </w:r>
    </w:p>
    <w:p>
      <w:pPr>
        <w:spacing w:line="360" w:lineRule="auto"/>
        <w:ind w:firstLine="482" w:firstLineChars="200"/>
        <w:textAlignment w:val="baseline"/>
        <w:rPr>
          <w:rFonts w:ascii="宋体"/>
          <w:b/>
          <w:sz w:val="24"/>
          <w:szCs w:val="24"/>
        </w:rPr>
      </w:pPr>
      <w:r>
        <w:rPr>
          <w:rFonts w:hint="eastAsia" w:ascii="宋体"/>
          <w:b/>
          <w:sz w:val="24"/>
          <w:szCs w:val="24"/>
        </w:rPr>
        <w:t>四.谈判文件售价</w:t>
      </w:r>
    </w:p>
    <w:p>
      <w:pPr>
        <w:spacing w:line="360" w:lineRule="auto"/>
        <w:ind w:firstLine="480" w:firstLineChars="200"/>
        <w:rPr>
          <w:rFonts w:ascii="宋体"/>
          <w:sz w:val="24"/>
          <w:szCs w:val="24"/>
        </w:rPr>
      </w:pPr>
      <w:r>
        <w:rPr>
          <w:rFonts w:hint="eastAsia" w:ascii="宋体"/>
          <w:sz w:val="24"/>
          <w:szCs w:val="24"/>
        </w:rPr>
        <w:t>本次谈判文件的售价为0元人民币。</w:t>
      </w:r>
    </w:p>
    <w:p>
      <w:pPr>
        <w:spacing w:line="360" w:lineRule="auto"/>
        <w:ind w:firstLine="482" w:firstLineChars="200"/>
        <w:rPr>
          <w:rFonts w:ascii="宋体"/>
          <w:b/>
          <w:sz w:val="24"/>
          <w:szCs w:val="24"/>
        </w:rPr>
      </w:pPr>
      <w:r>
        <w:rPr>
          <w:rFonts w:hint="eastAsia" w:ascii="宋体"/>
          <w:b/>
          <w:sz w:val="24"/>
          <w:szCs w:val="24"/>
        </w:rPr>
        <w:t>五.递交投标（响应）文件截止时间、开标时间及地点</w:t>
      </w:r>
    </w:p>
    <w:p>
      <w:pPr>
        <w:spacing w:line="360" w:lineRule="auto"/>
        <w:ind w:firstLine="480" w:firstLineChars="200"/>
        <w:rPr>
          <w:rFonts w:ascii="宋体"/>
          <w:sz w:val="24"/>
          <w:szCs w:val="24"/>
        </w:rPr>
      </w:pPr>
      <w:r>
        <w:rPr>
          <w:rFonts w:hint="eastAsia" w:ascii="宋体"/>
          <w:sz w:val="24"/>
          <w:szCs w:val="24"/>
        </w:rPr>
        <w:t>递交投标（响应）文件截止时间：2020年4月15日15时00分</w:t>
      </w:r>
    </w:p>
    <w:p>
      <w:pPr>
        <w:spacing w:line="360" w:lineRule="auto"/>
        <w:ind w:firstLine="480" w:firstLineChars="200"/>
        <w:rPr>
          <w:rFonts w:ascii="宋体"/>
          <w:sz w:val="24"/>
          <w:szCs w:val="24"/>
        </w:rPr>
      </w:pPr>
      <w:r>
        <w:rPr>
          <w:rFonts w:hint="eastAsia" w:ascii="宋体"/>
          <w:sz w:val="24"/>
          <w:szCs w:val="24"/>
        </w:rPr>
        <w:t>投标地点：杭锦旗公共资源交易中心六楼开标二室（杭锦旗锡尼镇杭锦大街武装部西荣泰丰地产六楼）</w:t>
      </w:r>
    </w:p>
    <w:p>
      <w:pPr>
        <w:spacing w:line="360" w:lineRule="auto"/>
        <w:ind w:firstLine="480" w:firstLineChars="200"/>
        <w:rPr>
          <w:rFonts w:ascii="宋体"/>
          <w:sz w:val="24"/>
          <w:szCs w:val="24"/>
        </w:rPr>
      </w:pPr>
      <w:r>
        <w:rPr>
          <w:rFonts w:hint="eastAsia" w:ascii="宋体"/>
          <w:sz w:val="24"/>
          <w:szCs w:val="24"/>
        </w:rPr>
        <w:t>开标时间：2020年4月15日15时00分</w:t>
      </w:r>
    </w:p>
    <w:p>
      <w:pPr>
        <w:spacing w:line="360" w:lineRule="auto"/>
        <w:ind w:firstLine="480" w:firstLineChars="200"/>
        <w:rPr>
          <w:rFonts w:ascii="宋体"/>
          <w:sz w:val="24"/>
          <w:szCs w:val="24"/>
        </w:rPr>
      </w:pPr>
      <w:r>
        <w:rPr>
          <w:rFonts w:hint="eastAsia" w:ascii="宋体"/>
          <w:sz w:val="24"/>
          <w:szCs w:val="24"/>
        </w:rPr>
        <w:t>开标地点：杭锦旗公共资源交易中心六楼开标二室（杭锦旗锡尼镇杭锦大街武装部西荣泰丰地产六楼）</w:t>
      </w:r>
    </w:p>
    <w:p>
      <w:pPr>
        <w:spacing w:line="360" w:lineRule="auto"/>
        <w:ind w:firstLine="482" w:firstLineChars="200"/>
        <w:rPr>
          <w:rFonts w:ascii="宋体"/>
          <w:b/>
          <w:sz w:val="24"/>
          <w:szCs w:val="24"/>
        </w:rPr>
      </w:pPr>
      <w:r>
        <w:rPr>
          <w:rFonts w:hint="eastAsia" w:ascii="宋体"/>
          <w:b/>
          <w:sz w:val="24"/>
          <w:szCs w:val="24"/>
        </w:rPr>
        <w:t>六.联系方式</w:t>
      </w:r>
    </w:p>
    <w:p>
      <w:pPr>
        <w:spacing w:line="360" w:lineRule="auto"/>
        <w:ind w:firstLine="480" w:firstLineChars="200"/>
        <w:rPr>
          <w:rFonts w:ascii="宋体"/>
          <w:sz w:val="24"/>
          <w:szCs w:val="24"/>
        </w:rPr>
      </w:pPr>
      <w:r>
        <w:rPr>
          <w:rFonts w:hint="eastAsia" w:ascii="宋体"/>
          <w:sz w:val="24"/>
          <w:szCs w:val="24"/>
        </w:rPr>
        <w:t>采购代理机构名称：鄂尔多斯市杭锦旗公共资源交易中心</w:t>
      </w:r>
    </w:p>
    <w:p>
      <w:pPr>
        <w:spacing w:line="360" w:lineRule="auto"/>
        <w:ind w:right="-140" w:rightChars="-50" w:firstLine="480" w:firstLineChars="200"/>
        <w:rPr>
          <w:rFonts w:ascii="宋体"/>
          <w:sz w:val="24"/>
          <w:szCs w:val="24"/>
        </w:rPr>
      </w:pPr>
      <w:r>
        <w:rPr>
          <w:rFonts w:hint="eastAsia" w:ascii="宋体"/>
          <w:sz w:val="24"/>
          <w:szCs w:val="24"/>
        </w:rPr>
        <w:t>地址：</w:t>
      </w:r>
      <w:r>
        <w:rPr>
          <w:rFonts w:hint="eastAsia" w:ascii="宋体"/>
          <w:color w:val="000000"/>
          <w:sz w:val="24"/>
          <w:szCs w:val="24"/>
        </w:rPr>
        <w:t>杭锦旗公共资源交易中心七楼政府采购部（杭锦旗锡尼镇杭锦大街武装部西荣泰丰地产七楼）</w:t>
      </w:r>
    </w:p>
    <w:p>
      <w:pPr>
        <w:spacing w:line="360" w:lineRule="auto"/>
        <w:ind w:firstLine="480" w:firstLineChars="200"/>
        <w:rPr>
          <w:rFonts w:ascii="宋体"/>
          <w:sz w:val="24"/>
          <w:szCs w:val="24"/>
        </w:rPr>
      </w:pPr>
      <w:r>
        <w:rPr>
          <w:rFonts w:hint="eastAsia" w:ascii="宋体"/>
          <w:sz w:val="24"/>
          <w:szCs w:val="24"/>
        </w:rPr>
        <w:t>邮政编码：017400</w:t>
      </w:r>
    </w:p>
    <w:p>
      <w:pPr>
        <w:spacing w:line="360" w:lineRule="auto"/>
        <w:ind w:firstLine="480" w:firstLineChars="200"/>
        <w:rPr>
          <w:rFonts w:ascii="宋体"/>
          <w:sz w:val="24"/>
          <w:szCs w:val="24"/>
        </w:rPr>
      </w:pPr>
      <w:r>
        <w:rPr>
          <w:rFonts w:hint="eastAsia" w:ascii="宋体"/>
          <w:sz w:val="24"/>
          <w:szCs w:val="24"/>
        </w:rPr>
        <w:t xml:space="preserve">联系人：马俊玲 </w:t>
      </w:r>
    </w:p>
    <w:p>
      <w:pPr>
        <w:spacing w:line="360" w:lineRule="auto"/>
        <w:ind w:firstLine="480" w:firstLineChars="200"/>
        <w:rPr>
          <w:rFonts w:ascii="宋体"/>
          <w:color w:val="000000"/>
          <w:sz w:val="24"/>
          <w:szCs w:val="24"/>
        </w:rPr>
      </w:pPr>
      <w:r>
        <w:rPr>
          <w:rFonts w:hint="eastAsia" w:ascii="宋体"/>
          <w:sz w:val="24"/>
          <w:szCs w:val="24"/>
        </w:rPr>
        <w:t>联系电话：0477-6860805</w:t>
      </w:r>
    </w:p>
    <w:p>
      <w:pPr>
        <w:spacing w:line="360" w:lineRule="auto"/>
        <w:ind w:right="750" w:firstLine="480" w:firstLineChars="200"/>
        <w:rPr>
          <w:rFonts w:ascii="宋体"/>
          <w:color w:val="000000"/>
          <w:sz w:val="24"/>
          <w:szCs w:val="24"/>
        </w:rPr>
      </w:pPr>
      <w:r>
        <w:rPr>
          <w:rFonts w:hint="eastAsia" w:ascii="宋体"/>
          <w:color w:val="000000"/>
          <w:sz w:val="24"/>
          <w:szCs w:val="24"/>
        </w:rPr>
        <w:t>账户名称：鄂尔多斯市杭锦旗公共资源交易中心</w:t>
      </w:r>
    </w:p>
    <w:p>
      <w:pPr>
        <w:spacing w:line="360" w:lineRule="auto"/>
        <w:ind w:right="750" w:firstLine="480" w:firstLineChars="200"/>
        <w:rPr>
          <w:rFonts w:ascii="宋体"/>
          <w:color w:val="000000"/>
          <w:sz w:val="24"/>
          <w:szCs w:val="24"/>
        </w:rPr>
      </w:pPr>
      <w:r>
        <w:rPr>
          <w:rFonts w:hint="eastAsia" w:ascii="宋体"/>
          <w:color w:val="000000"/>
          <w:sz w:val="24"/>
          <w:szCs w:val="24"/>
        </w:rPr>
        <w:t>开户行：杭锦大众村镇银行有限责任公司</w:t>
      </w:r>
    </w:p>
    <w:p>
      <w:pPr>
        <w:spacing w:line="360" w:lineRule="auto"/>
        <w:ind w:right="750" w:firstLine="480" w:firstLineChars="200"/>
        <w:rPr>
          <w:rFonts w:ascii="宋体"/>
          <w:color w:val="000000"/>
          <w:spacing w:val="-20"/>
          <w:sz w:val="24"/>
          <w:szCs w:val="24"/>
        </w:rPr>
      </w:pPr>
      <w:r>
        <w:rPr>
          <w:rFonts w:hint="eastAsia" w:ascii="宋体"/>
          <w:sz w:val="24"/>
          <w:szCs w:val="24"/>
        </w:rPr>
        <w:t>账号：</w:t>
      </w:r>
      <w:r>
        <w:rPr>
          <w:rFonts w:hint="eastAsia" w:ascii="宋体" w:cs="宋体"/>
          <w:color w:val="000000"/>
          <w:spacing w:val="-20"/>
          <w:sz w:val="24"/>
          <w:szCs w:val="24"/>
        </w:rPr>
        <w:t>详见</w:t>
      </w:r>
      <w:r>
        <w:rPr>
          <w:rFonts w:hint="eastAsia" w:ascii="宋体"/>
          <w:color w:val="000000"/>
          <w:spacing w:val="-20"/>
          <w:sz w:val="24"/>
          <w:szCs w:val="24"/>
        </w:rPr>
        <w:t>“政府采购投标信息回执函”下方所附“保证金缴纳信息”中载明的账号</w:t>
      </w:r>
    </w:p>
    <w:p>
      <w:pPr>
        <w:spacing w:line="360" w:lineRule="auto"/>
        <w:ind w:firstLine="480" w:firstLineChars="200"/>
        <w:rPr>
          <w:rFonts w:ascii="宋体"/>
          <w:sz w:val="24"/>
          <w:szCs w:val="24"/>
        </w:rPr>
      </w:pPr>
      <w:r>
        <w:rPr>
          <w:rFonts w:hint="eastAsia" w:ascii="宋体"/>
          <w:sz w:val="24"/>
          <w:szCs w:val="24"/>
        </w:rPr>
        <w:t>采购单位名称：杭锦旗人民检察院</w:t>
      </w:r>
    </w:p>
    <w:p>
      <w:pPr>
        <w:spacing w:line="360" w:lineRule="auto"/>
        <w:ind w:firstLine="480" w:firstLineChars="200"/>
        <w:rPr>
          <w:rFonts w:ascii="宋体"/>
          <w:sz w:val="24"/>
          <w:szCs w:val="24"/>
        </w:rPr>
      </w:pPr>
      <w:r>
        <w:rPr>
          <w:rFonts w:hint="eastAsia" w:ascii="宋体"/>
          <w:sz w:val="24"/>
          <w:szCs w:val="24"/>
        </w:rPr>
        <w:t>地址：杭锦旗锡尼镇</w:t>
      </w:r>
    </w:p>
    <w:p>
      <w:pPr>
        <w:spacing w:line="360" w:lineRule="auto"/>
        <w:ind w:firstLine="480" w:firstLineChars="200"/>
        <w:rPr>
          <w:rFonts w:ascii="宋体"/>
          <w:sz w:val="24"/>
          <w:szCs w:val="24"/>
        </w:rPr>
      </w:pPr>
      <w:r>
        <w:rPr>
          <w:rFonts w:hint="eastAsia" w:ascii="宋体"/>
          <w:sz w:val="24"/>
          <w:szCs w:val="24"/>
        </w:rPr>
        <w:t>邮政编码：017400</w:t>
      </w:r>
    </w:p>
    <w:p>
      <w:pPr>
        <w:spacing w:line="360" w:lineRule="auto"/>
        <w:ind w:firstLine="480" w:firstLineChars="200"/>
        <w:rPr>
          <w:rFonts w:ascii="宋体"/>
          <w:sz w:val="24"/>
          <w:szCs w:val="24"/>
        </w:rPr>
      </w:pPr>
      <w:r>
        <w:rPr>
          <w:rFonts w:hint="eastAsia" w:ascii="宋体"/>
          <w:sz w:val="24"/>
          <w:szCs w:val="24"/>
        </w:rPr>
        <w:t>联系人：武帅杰</w:t>
      </w:r>
    </w:p>
    <w:p>
      <w:pPr>
        <w:spacing w:line="360" w:lineRule="auto"/>
        <w:ind w:firstLine="480" w:firstLineChars="200"/>
        <w:rPr>
          <w:rFonts w:ascii="宋体"/>
          <w:sz w:val="24"/>
          <w:szCs w:val="24"/>
        </w:rPr>
      </w:pPr>
      <w:r>
        <w:rPr>
          <w:rFonts w:hint="eastAsia" w:ascii="宋体"/>
          <w:sz w:val="24"/>
          <w:szCs w:val="24"/>
        </w:rPr>
        <w:t>联系电话：17604773049</w:t>
      </w:r>
    </w:p>
    <w:p>
      <w:pPr>
        <w:spacing w:line="360" w:lineRule="auto"/>
        <w:ind w:firstLine="600" w:firstLineChars="250"/>
        <w:rPr>
          <w:rFonts w:ascii="宋体"/>
          <w:sz w:val="24"/>
          <w:szCs w:val="24"/>
        </w:rPr>
      </w:pPr>
      <w:r>
        <w:rPr>
          <w:rFonts w:hint="eastAsia" w:ascii="宋体"/>
          <w:sz w:val="24"/>
          <w:szCs w:val="24"/>
        </w:rPr>
        <w:t xml:space="preserve">                              鄂尔多斯市杭锦旗公共资源交易中心</w:t>
      </w:r>
    </w:p>
    <w:p>
      <w:pPr>
        <w:spacing w:line="360" w:lineRule="auto"/>
        <w:ind w:firstLine="4680" w:firstLineChars="1950"/>
        <w:rPr>
          <w:rFonts w:hint="eastAsia" w:ascii="宋体" w:eastAsia="宋体"/>
          <w:sz w:val="24"/>
          <w:szCs w:val="24"/>
          <w:lang w:eastAsia="zh-CN"/>
        </w:rPr>
      </w:pPr>
      <w:r>
        <w:rPr>
          <w:rFonts w:hint="eastAsia" w:ascii="宋体"/>
          <w:sz w:val="24"/>
          <w:szCs w:val="24"/>
        </w:rPr>
        <w:t>2020年</w:t>
      </w:r>
      <w:bookmarkEnd w:id="6"/>
      <w:r>
        <w:rPr>
          <w:rFonts w:hint="eastAsia" w:ascii="宋体"/>
          <w:sz w:val="24"/>
          <w:szCs w:val="24"/>
          <w:lang w:eastAsia="zh-CN"/>
        </w:rPr>
        <w:t>3月25日</w:t>
      </w:r>
    </w:p>
    <w:bookmarkEnd w:id="7"/>
    <w:p>
      <w:pPr>
        <w:spacing w:line="360" w:lineRule="auto"/>
        <w:ind w:firstLine="3000" w:firstLineChars="1250"/>
        <w:rPr>
          <w:rFonts w:ascii="宋体" w:hAnsi="宋体"/>
          <w:sz w:val="24"/>
          <w:szCs w:val="24"/>
        </w:rPr>
      </w:pPr>
    </w:p>
    <w:bookmarkEnd w:id="8"/>
    <w:p>
      <w:pPr>
        <w:spacing w:line="360" w:lineRule="auto"/>
        <w:ind w:firstLine="3000" w:firstLineChars="1250"/>
        <w:rPr>
          <w:rFonts w:ascii="宋体" w:hAnsi="宋体"/>
          <w:sz w:val="24"/>
          <w:szCs w:val="24"/>
        </w:rPr>
      </w:pPr>
    </w:p>
    <w:p>
      <w:pPr>
        <w:spacing w:line="360" w:lineRule="auto"/>
        <w:ind w:firstLine="3000" w:firstLineChars="1250"/>
        <w:rPr>
          <w:rFonts w:ascii="宋体" w:hAnsi="宋体"/>
          <w:sz w:val="24"/>
          <w:szCs w:val="24"/>
        </w:rPr>
      </w:pPr>
    </w:p>
    <w:p>
      <w:pPr>
        <w:spacing w:line="360" w:lineRule="auto"/>
        <w:ind w:firstLine="3000" w:firstLineChars="1250"/>
        <w:rPr>
          <w:rFonts w:hint="eastAsia" w:ascii="宋体" w:hAnsi="宋体"/>
          <w:sz w:val="24"/>
          <w:szCs w:val="24"/>
        </w:rPr>
      </w:pPr>
    </w:p>
    <w:p>
      <w:pPr>
        <w:spacing w:line="360" w:lineRule="auto"/>
        <w:ind w:firstLine="3000" w:firstLineChars="1250"/>
        <w:rPr>
          <w:rFonts w:hint="eastAsia" w:ascii="宋体" w:hAnsi="宋体"/>
          <w:sz w:val="24"/>
          <w:szCs w:val="24"/>
        </w:rPr>
      </w:pPr>
    </w:p>
    <w:p>
      <w:pPr>
        <w:spacing w:line="360" w:lineRule="auto"/>
        <w:ind w:firstLine="3000" w:firstLineChars="1250"/>
        <w:rPr>
          <w:rFonts w:ascii="宋体"/>
          <w:sz w:val="24"/>
          <w:szCs w:val="24"/>
        </w:rPr>
      </w:pPr>
      <w:r>
        <w:rPr>
          <w:rFonts w:hint="eastAsia" w:ascii="宋体" w:hAnsi="宋体"/>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2"/>
        <w:tblpPr w:leftFromText="180" w:rightFromText="180" w:vertAnchor="text" w:tblpXSpec="center" w:tblpY="1"/>
        <w:tblOverlap w:val="never"/>
        <w:tblW w:w="99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杭锦旗人民检察院</w:t>
            </w:r>
          </w:p>
          <w:p>
            <w:pPr>
              <w:spacing w:line="360" w:lineRule="auto"/>
              <w:ind w:right="-140" w:rightChars="-50"/>
              <w:rPr>
                <w:rFonts w:ascii="宋体"/>
                <w:sz w:val="24"/>
                <w:szCs w:val="24"/>
              </w:rPr>
            </w:pPr>
            <w:r>
              <w:rPr>
                <w:rFonts w:hint="eastAsia" w:ascii="宋体"/>
                <w:sz w:val="24"/>
                <w:szCs w:val="24"/>
              </w:rPr>
              <w:t>联系人：武帅杰             联系电话：17604773049</w:t>
            </w:r>
          </w:p>
          <w:p>
            <w:pPr>
              <w:spacing w:line="360" w:lineRule="auto"/>
              <w:ind w:right="-140" w:rightChars="-50"/>
              <w:rPr>
                <w:rFonts w:ascii="宋体"/>
                <w:sz w:val="24"/>
                <w:szCs w:val="24"/>
              </w:rPr>
            </w:pPr>
            <w:r>
              <w:rPr>
                <w:rFonts w:hint="eastAsia" w:ascii="宋体"/>
                <w:sz w:val="24"/>
                <w:szCs w:val="24"/>
              </w:rPr>
              <w:t>地址：杭锦旗锡尼镇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 xml:space="preserve">鄂尔多斯市杭锦旗公共资源交易中心 </w:t>
            </w:r>
          </w:p>
          <w:p>
            <w:pPr>
              <w:spacing w:line="360" w:lineRule="auto"/>
              <w:ind w:right="-140" w:rightChars="-50"/>
              <w:rPr>
                <w:rFonts w:ascii="宋体"/>
                <w:sz w:val="24"/>
                <w:szCs w:val="24"/>
              </w:rPr>
            </w:pPr>
            <w:r>
              <w:rPr>
                <w:rFonts w:hint="eastAsia" w:ascii="宋体"/>
                <w:sz w:val="24"/>
                <w:szCs w:val="24"/>
              </w:rPr>
              <w:t>联系人：马俊玲             联系电话：0477-6860805</w:t>
            </w:r>
          </w:p>
          <w:p>
            <w:pPr>
              <w:spacing w:line="360" w:lineRule="auto"/>
              <w:ind w:right="-140" w:rightChars="-50"/>
              <w:rPr>
                <w:rFonts w:ascii="宋体"/>
                <w:sz w:val="24"/>
                <w:szCs w:val="24"/>
              </w:rPr>
            </w:pPr>
            <w:r>
              <w:rPr>
                <w:rFonts w:hint="eastAsia" w:ascii="宋体"/>
                <w:sz w:val="24"/>
                <w:szCs w:val="24"/>
              </w:rPr>
              <w:t>地址： 杭锦旗锡尼镇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sz w:val="24"/>
                <w:szCs w:val="24"/>
              </w:rPr>
            </w:pPr>
            <w:r>
              <w:rPr>
                <w:rFonts w:hint="eastAsia" w:asci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Theme="minorEastAsia"/>
                <w:sz w:val="24"/>
                <w:szCs w:val="24"/>
              </w:rPr>
            </w:pPr>
            <w:r>
              <w:rPr>
                <w:rFonts w:hint="eastAsia" w:asciiTheme="minorEastAsia" w:hAnsiTheme="minorEastAsia" w:eastAsiaTheme="minorEastAsia" w:cstheme="minorEastAsia"/>
                <w:sz w:val="24"/>
                <w:szCs w:val="24"/>
              </w:rPr>
              <w:t>总预算1100000元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国库集中支付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sz w:val="24"/>
                <w:szCs w:val="24"/>
              </w:rPr>
            </w:pPr>
            <w:r>
              <w:rPr>
                <w:rFonts w:hint="eastAsia" w:ascii="宋体"/>
                <w:sz w:val="24"/>
                <w:szCs w:val="24"/>
              </w:rPr>
              <w:t>谈判小组由采购人代表和评审专家组成，成员人数应当为3人及3人以上单数。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sz w:val="24"/>
                <w:szCs w:val="24"/>
              </w:rPr>
            </w:pPr>
            <w:r>
              <w:rPr>
                <w:rFonts w:hint="eastAsia" w:ascii="宋体"/>
                <w:sz w:val="24"/>
                <w:szCs w:val="24"/>
              </w:rPr>
              <w:t>采购人授权谈判小组直接确定成交供应商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sz w:val="24"/>
                <w:szCs w:val="24"/>
              </w:rPr>
            </w:pPr>
            <w:r>
              <w:rPr>
                <w:rFonts w:hint="eastAsia" w:asci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rPr>
              <w:t xml:space="preserve">2020年4月15日14时30分--15时00分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rPr>
              <w:t>2020年4月15日15时00分整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开标地点（响应文件提交地点）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sz w:val="24"/>
                <w:szCs w:val="24"/>
              </w:rPr>
            </w:pPr>
            <w:r>
              <w:rPr>
                <w:rFonts w:hint="eastAsia" w:ascii="宋体"/>
                <w:sz w:val="24"/>
                <w:szCs w:val="24"/>
              </w:rPr>
              <w:t>杭锦旗公共资源交易中心六楼开标室（杭锦旗锡尼镇杭锦大街武装部西荣泰丰地产六楼）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sz w:val="24"/>
                <w:szCs w:val="24"/>
              </w:rPr>
            </w:pPr>
            <w:r>
              <w:rPr>
                <w:rFonts w:hint="eastAsia" w:asci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sz w:val="24"/>
                <w:szCs w:val="24"/>
              </w:rPr>
            </w:pPr>
            <w:r>
              <w:rPr>
                <w:rFonts w:hint="eastAsia" w:asci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rPr>
            </w:pPr>
            <w:r>
              <w:rPr>
                <w:rFonts w:hint="eastAsia" w:asci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cs="宋体"/>
                <w:sz w:val="24"/>
                <w:szCs w:val="24"/>
                <w:u w:val="single"/>
              </w:rPr>
            </w:pPr>
            <w:r>
              <w:rPr>
                <w:rFonts w:hint="eastAsia" w:asci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本招标项目采用“虚拟子账户”形式及法律法规规定的其它缴纳方式收退投标保证金。请各供应商特别关注并严格遵照招标文件中有关投标保证金缴纳的规定。</w:t>
            </w:r>
          </w:p>
          <w:p>
            <w:pPr>
              <w:spacing w:line="360" w:lineRule="auto"/>
              <w:rPr>
                <w:rFonts w:ascii="宋体"/>
                <w:b/>
                <w:sz w:val="24"/>
                <w:szCs w:val="24"/>
              </w:rPr>
            </w:pPr>
            <w:r>
              <w:rPr>
                <w:rFonts w:hint="eastAsia" w:ascii="宋体"/>
                <w:b/>
                <w:sz w:val="24"/>
                <w:szCs w:val="24"/>
              </w:rPr>
              <w:t>请各供应商特别关注并严格遵照谈判文件中有关投标保证金缴纳的规定。</w:t>
            </w:r>
          </w:p>
          <w:p>
            <w:pPr>
              <w:spacing w:line="360" w:lineRule="auto"/>
              <w:rPr>
                <w:rFonts w:ascii="宋体"/>
                <w:b/>
                <w:sz w:val="24"/>
                <w:szCs w:val="24"/>
              </w:rPr>
            </w:pPr>
            <w:r>
              <w:rPr>
                <w:rFonts w:hint="eastAsia" w:ascii="宋体"/>
                <w:bCs/>
                <w:sz w:val="24"/>
                <w:szCs w:val="24"/>
              </w:rPr>
              <w:t>保证金人民币</w:t>
            </w:r>
            <w:r>
              <w:rPr>
                <w:rFonts w:hint="eastAsia" w:ascii="宋体"/>
                <w:b/>
                <w:sz w:val="24"/>
                <w:szCs w:val="24"/>
              </w:rPr>
              <w:t>:20000元。</w:t>
            </w:r>
          </w:p>
          <w:p>
            <w:pPr>
              <w:spacing w:line="360" w:lineRule="auto"/>
              <w:rPr>
                <w:rFonts w:ascii="宋体"/>
                <w:sz w:val="24"/>
                <w:szCs w:val="24"/>
              </w:rPr>
            </w:pPr>
            <w:r>
              <w:rPr>
                <w:rFonts w:hint="eastAsia" w:ascii="宋体"/>
                <w:sz w:val="24"/>
                <w:szCs w:val="24"/>
              </w:rPr>
              <w:t>开户银行：</w:t>
            </w:r>
            <w:r>
              <w:rPr>
                <w:rFonts w:hint="eastAsia" w:ascii="宋体"/>
                <w:b/>
                <w:sz w:val="24"/>
                <w:szCs w:val="24"/>
              </w:rPr>
              <w:t>杭锦大众村镇银行有限责任公司</w:t>
            </w:r>
            <w:r>
              <w:rPr>
                <w:rFonts w:hint="eastAsia" w:ascii="宋体"/>
                <w:sz w:val="24"/>
                <w:szCs w:val="24"/>
              </w:rPr>
              <w:t>。</w:t>
            </w:r>
          </w:p>
          <w:p>
            <w:pPr>
              <w:spacing w:line="360" w:lineRule="auto"/>
              <w:rPr>
                <w:rFonts w:ascii="宋体"/>
                <w:sz w:val="24"/>
                <w:szCs w:val="24"/>
              </w:rPr>
            </w:pPr>
            <w:r>
              <w:rPr>
                <w:rFonts w:hint="eastAsia" w:ascii="宋体"/>
                <w:sz w:val="24"/>
                <w:szCs w:val="24"/>
              </w:rPr>
              <w:t>行号：</w:t>
            </w:r>
            <w:r>
              <w:rPr>
                <w:rFonts w:hint="eastAsia" w:ascii="宋体"/>
                <w:b/>
                <w:sz w:val="24"/>
                <w:szCs w:val="24"/>
              </w:rPr>
              <w:t>320205600537</w:t>
            </w:r>
          </w:p>
          <w:p>
            <w:pPr>
              <w:spacing w:line="360" w:lineRule="auto"/>
              <w:rPr>
                <w:rFonts w:ascii="宋体"/>
                <w:sz w:val="24"/>
                <w:szCs w:val="24"/>
              </w:rPr>
            </w:pPr>
            <w:r>
              <w:rPr>
                <w:rFonts w:hint="eastAsia" w:ascii="宋体"/>
                <w:b/>
                <w:sz w:val="24"/>
                <w:szCs w:val="24"/>
              </w:rPr>
              <w:t>开户单位：鄂尔多斯市杭锦旗公共资源交易中心</w:t>
            </w:r>
            <w:r>
              <w:rPr>
                <w:rFonts w:hint="eastAsia" w:ascii="宋体"/>
                <w:sz w:val="24"/>
                <w:szCs w:val="24"/>
              </w:rPr>
              <w:t>。</w:t>
            </w:r>
          </w:p>
          <w:p>
            <w:pPr>
              <w:spacing w:line="360" w:lineRule="auto"/>
              <w:rPr>
                <w:rFonts w:ascii="宋体"/>
                <w:color w:val="000000"/>
                <w:sz w:val="24"/>
                <w:szCs w:val="24"/>
              </w:rPr>
            </w:pPr>
            <w:r>
              <w:rPr>
                <w:rFonts w:hint="eastAsia" w:ascii="宋体"/>
                <w:sz w:val="24"/>
                <w:szCs w:val="24"/>
              </w:rPr>
              <w:t>账号：</w:t>
            </w:r>
            <w:r>
              <w:rPr>
                <w:rFonts w:hint="eastAsia" w:ascii="宋体" w:cs="宋体"/>
                <w:b/>
                <w:bCs/>
                <w:color w:val="000000"/>
                <w:sz w:val="24"/>
                <w:szCs w:val="24"/>
              </w:rPr>
              <w:t>详见</w:t>
            </w:r>
            <w:r>
              <w:rPr>
                <w:rFonts w:hint="eastAsia" w:ascii="宋体"/>
                <w:b/>
                <w:bCs/>
                <w:color w:val="000000"/>
                <w:sz w:val="24"/>
                <w:szCs w:val="24"/>
              </w:rPr>
              <w:t>“政府采购投标信息回执函”下方所附“保证金缴纳信息”中载明的账号。</w:t>
            </w:r>
          </w:p>
          <w:p>
            <w:pPr>
              <w:spacing w:line="360" w:lineRule="auto"/>
              <w:rPr>
                <w:rFonts w:ascii="宋体"/>
                <w:sz w:val="24"/>
                <w:szCs w:val="24"/>
              </w:rPr>
            </w:pPr>
            <w:r>
              <w:rPr>
                <w:rFonts w:hint="eastAsia" w:ascii="宋体"/>
                <w:sz w:val="24"/>
                <w:szCs w:val="24"/>
              </w:rPr>
              <w:t>投标保证金缴纳.退还联系人：项美仙 0477-6860804</w:t>
            </w:r>
          </w:p>
        </w:tc>
      </w:tr>
    </w:tbl>
    <w:p>
      <w:pPr>
        <w:spacing w:line="360" w:lineRule="auto"/>
        <w:rPr>
          <w:rFonts w:ascii="宋体" w:hAnsi="宋体"/>
          <w:b/>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cs="宋体"/>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）、杭锦旗公共资源交易网站</w:t>
      </w:r>
      <w:r>
        <w:rPr>
          <w:rFonts w:hint="eastAsia" w:asciiTheme="minorEastAsia" w:hAnsiTheme="minorEastAsia" w:eastAsiaTheme="minorEastAsia" w:cstheme="minorEastAsia"/>
          <w:sz w:val="24"/>
          <w:szCs w:val="24"/>
        </w:rPr>
        <w:t>（http://www.ordosggzyjy.org.cn/TPFront_hjq/）</w:t>
      </w:r>
      <w:r>
        <w:rPr>
          <w:rFonts w:hint="eastAsia" w:ascii="宋体" w:hAnsi="宋体" w:cs="宋体"/>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本招标项目采用“虚拟子账号”形式收退投标保证金，每一个供应商在所投的每一项目或标包会对应每一家银行自动生成一个账号，</w:t>
      </w:r>
      <w:r>
        <w:rPr>
          <w:rFonts w:hint="eastAsia" w:ascii="宋体" w:hAnsi="宋体" w:cs="宋体"/>
          <w:kern w:val="0"/>
          <w:sz w:val="24"/>
          <w:szCs w:val="24"/>
        </w:rPr>
        <w:t>称为“虚拟子账号”。供应商</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2.1报名时间（招标文件提供期限）：2020年</w:t>
      </w:r>
      <w:r>
        <w:rPr>
          <w:rFonts w:hint="eastAsia" w:ascii="宋体" w:hAnsi="宋体" w:cs="宋体"/>
          <w:kern w:val="0"/>
          <w:sz w:val="24"/>
          <w:szCs w:val="24"/>
          <w:lang w:eastAsia="zh-CN"/>
        </w:rPr>
        <w:t>3月25日</w:t>
      </w:r>
      <w:r>
        <w:rPr>
          <w:rFonts w:hint="eastAsia" w:ascii="宋体" w:hAnsi="宋体" w:cs="宋体"/>
          <w:kern w:val="0"/>
          <w:sz w:val="24"/>
          <w:szCs w:val="24"/>
        </w:rPr>
        <w:t>至2020年</w:t>
      </w:r>
      <w:r>
        <w:rPr>
          <w:rFonts w:hint="eastAsia" w:ascii="宋体" w:hAnsi="宋体" w:cs="宋体"/>
          <w:kern w:val="0"/>
          <w:sz w:val="24"/>
          <w:szCs w:val="24"/>
          <w:lang w:val="en-US" w:eastAsia="zh-CN"/>
        </w:rPr>
        <w:t>4</w:t>
      </w:r>
      <w:r>
        <w:rPr>
          <w:rFonts w:hint="eastAsia" w:ascii="宋体" w:hAnsi="宋体" w:cs="宋体"/>
          <w:kern w:val="0"/>
          <w:sz w:val="24"/>
          <w:szCs w:val="24"/>
        </w:rPr>
        <w:t>月1日</w:t>
      </w:r>
      <w:r>
        <w:rPr>
          <w:rFonts w:hint="eastAsia" w:ascii="宋体" w:hAnsi="宋体"/>
          <w:sz w:val="24"/>
          <w:szCs w:val="24"/>
        </w:rPr>
        <w:t>17时30分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2.2保证金缴纳截止时间（同提交响应文件截止时间）：2020年4月15日</w:t>
      </w:r>
      <w:r>
        <w:rPr>
          <w:rFonts w:hint="eastAsia" w:ascii="宋体" w:hAnsi="宋体"/>
          <w:sz w:val="24"/>
          <w:szCs w:val="24"/>
        </w:rPr>
        <w:t>15时00分</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w:t>
      </w:r>
      <w:r>
        <w:rPr>
          <w:rFonts w:hint="eastAsia" w:ascii="宋体" w:hAnsi="宋体"/>
          <w:b/>
          <w:sz w:val="24"/>
          <w:szCs w:val="24"/>
        </w:rPr>
        <w:t>杭锦大众村镇银行有限责任公司</w:t>
      </w:r>
      <w:r>
        <w:rPr>
          <w:rFonts w:hint="eastAsia" w:ascii="宋体" w:hAnsi="宋体"/>
          <w:sz w:val="24"/>
          <w:szCs w:val="24"/>
        </w:rPr>
        <w:t>进行咨询，以确保投标保证金缴纳情况符合谈判文件规定。供应商未按照谈判文件要求缴纳投标保证金导致的一切后果由供应商自行承担。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3.2由于投标保证金到账需要一定时间，请供应商在投标截止前及早缴纳，以免导致报名无效。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3.4网上报名成功而放弃参加投标的供应商，请在递交响应文件前以书面形式并加盖单位公章（扫描件发送至</w:t>
      </w:r>
      <w:r>
        <w:fldChar w:fldCharType="begin"/>
      </w:r>
      <w:r>
        <w:instrText xml:space="preserve"> HYPERLINK "javascript:;" </w:instrText>
      </w:r>
      <w:r>
        <w:fldChar w:fldCharType="separate"/>
      </w:r>
      <w:r>
        <w:rPr>
          <w:rStyle w:val="49"/>
          <w:rFonts w:hint="eastAsia" w:ascii="宋体" w:hAnsi="宋体"/>
          <w:b/>
          <w:bCs/>
          <w:sz w:val="24"/>
          <w:szCs w:val="24"/>
          <w:shd w:val="clear" w:color="auto" w:fill="FFFFFF"/>
        </w:rPr>
        <w:t>hjqzfcg@163.com</w:t>
      </w:r>
      <w:r>
        <w:rPr>
          <w:rStyle w:val="49"/>
          <w:rFonts w:hint="eastAsia" w:ascii="宋体" w:hAnsi="宋体"/>
          <w:b/>
          <w:bCs/>
          <w:sz w:val="24"/>
          <w:szCs w:val="24"/>
          <w:shd w:val="clear" w:color="auto" w:fill="FFFFFF"/>
        </w:rPr>
        <w:fldChar w:fldCharType="end"/>
      </w:r>
      <w:r>
        <w:rPr>
          <w:rFonts w:hint="eastAsia" w:ascii="宋体" w:hAnsi="宋体"/>
          <w:sz w:val="24"/>
          <w:szCs w:val="24"/>
        </w:rPr>
        <w:t>或书面送达）通知鄂尔多斯市杭锦旗公共资源交易中心。放弃投标未予告知的，鄂尔多斯市杭锦旗公共资源交易中心将给予不诚信行为记录并在鄂尔多斯市公共资源交易网上公开通报。</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22"/>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22"/>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2"/>
        <w:adjustRightInd w:val="0"/>
        <w:snapToGrid w:val="0"/>
        <w:spacing w:line="360" w:lineRule="auto"/>
        <w:ind w:firstLine="480" w:firstLineChars="200"/>
        <w:rPr>
          <w:rFonts w:hAnsi="宋体" w:cs="Arial"/>
          <w:kern w:val="2"/>
          <w:sz w:val="24"/>
          <w:szCs w:val="24"/>
        </w:rPr>
      </w:pPr>
      <w:r>
        <w:rPr>
          <w:rFonts w:hint="eastAsia" w:hAnsi="宋体"/>
          <w:sz w:val="24"/>
          <w:szCs w:val="24"/>
        </w:rPr>
        <w:t>供应商应承担所有与准备和参加投标有关的费用。不论投标结果如何，杭锦旗公共资源交易中心</w:t>
      </w:r>
      <w:r>
        <w:rPr>
          <w:rFonts w:hint="eastAsia" w:hAnsi="宋体" w:cs="Arial"/>
          <w:kern w:val="2"/>
          <w:sz w:val="24"/>
          <w:szCs w:val="24"/>
        </w:rPr>
        <w:t>和采购人均无义务和责任承担相关费用。</w:t>
      </w:r>
    </w:p>
    <w:p>
      <w:pPr>
        <w:spacing w:line="360" w:lineRule="auto"/>
        <w:ind w:firstLine="482" w:firstLineChars="200"/>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依法进行政府采购的国家机关、事业单位、团体组织。本谈判文件的采购人特指杭锦旗人民检察院。</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4.2“集中采购机构”是指人民政府依法设立的代理集中采购项目的执行机构。本谈判文件的集中采购机构特指鄂尔多斯市杭锦旗公共资源交易中心（以下简称杭锦旗公共资源交易中心）。</w:t>
      </w:r>
    </w:p>
    <w:p>
      <w:pPr>
        <w:spacing w:line="360" w:lineRule="auto"/>
        <w:ind w:firstLine="480" w:firstLineChars="200"/>
        <w:rPr>
          <w:rFonts w:ascii="宋体" w:hAnsi="宋体"/>
          <w:sz w:val="24"/>
          <w:szCs w:val="24"/>
        </w:rPr>
      </w:pPr>
      <w:r>
        <w:rPr>
          <w:rFonts w:hint="eastAsia" w:ascii="宋体" w:hAnsi="宋体"/>
          <w:sz w:val="24"/>
          <w:szCs w:val="24"/>
        </w:rPr>
        <w:t>4.3“供应商”是指向采购人提供货物、工程或者服务的法人、其他组织或者自然人。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sz w:val="24"/>
          <w:szCs w:val="24"/>
        </w:rPr>
      </w:pPr>
      <w:r>
        <w:rPr>
          <w:rFonts w:hint="eastAsia" w:ascii="宋体" w:hAnsi="宋体"/>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sz w:val="24"/>
          <w:szCs w:val="24"/>
        </w:rPr>
      </w:pPr>
      <w:r>
        <w:rPr>
          <w:rFonts w:hint="eastAsia" w:ascii="宋体" w:hAnsi="宋体"/>
          <w:b/>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响应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供应商，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5.4单位负责人为同一人或者存在直接控股、管理关系的不同供应商，不得参加同一合同项下的政府采购活动。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5.5为采购项目提供整体设计、规范编制或者项目管理、监理、检测等服务的供应商，不得再参加该采购项目的其他采购活动。</w:t>
      </w:r>
    </w:p>
    <w:p>
      <w:pPr>
        <w:spacing w:line="360" w:lineRule="auto"/>
        <w:ind w:firstLine="480" w:firstLineChars="200"/>
        <w:rPr>
          <w:rFonts w:ascii="宋体" w:hAnsi="宋体"/>
          <w:sz w:val="24"/>
          <w:szCs w:val="24"/>
        </w:rPr>
      </w:pPr>
      <w:r>
        <w:rPr>
          <w:rFonts w:hint="eastAsia" w:ascii="宋体" w:hAnsi="宋体"/>
          <w:bCs/>
          <w:sz w:val="24"/>
          <w:szCs w:val="24"/>
        </w:rPr>
        <w:t>5.6由于法人分支机构不能独立承担民事责任，不能以分支机构的身份参加政府采购，只能以法人身份参加。</w:t>
      </w:r>
    </w:p>
    <w:p>
      <w:pPr>
        <w:spacing w:line="360" w:lineRule="auto"/>
        <w:ind w:firstLine="482" w:firstLineChars="200"/>
        <w:rPr>
          <w:rFonts w:ascii="宋体" w:hAnsi="宋体"/>
          <w:b/>
          <w:sz w:val="24"/>
          <w:szCs w:val="24"/>
        </w:rPr>
      </w:pPr>
      <w:r>
        <w:rPr>
          <w:rFonts w:hint="eastAsia" w:ascii="宋体" w:hAnsi="宋体"/>
          <w:b/>
          <w:sz w:val="24"/>
          <w:szCs w:val="24"/>
        </w:rPr>
        <w:t>6.以联合体形式投标的，应符合以下规定：</w:t>
      </w:r>
    </w:p>
    <w:p>
      <w:pPr>
        <w:spacing w:line="360" w:lineRule="auto"/>
        <w:ind w:firstLine="480" w:firstLineChars="200"/>
        <w:rPr>
          <w:rFonts w:ascii="宋体" w:hAnsi="宋体"/>
          <w:sz w:val="24"/>
          <w:szCs w:val="24"/>
        </w:rPr>
      </w:pPr>
      <w:r>
        <w:rPr>
          <w:rFonts w:hint="eastAsia" w:ascii="宋体" w:hAnsi="宋体"/>
          <w:sz w:val="24"/>
          <w:szCs w:val="24"/>
        </w:rPr>
        <w:t>6.1联合体各方应签订联合体协议书，明确联合体牵头人和各方权利义务，并装订至响应文件中。</w:t>
      </w:r>
    </w:p>
    <w:p>
      <w:pPr>
        <w:spacing w:line="360" w:lineRule="auto"/>
        <w:ind w:firstLine="480" w:firstLineChars="200"/>
        <w:rPr>
          <w:rFonts w:ascii="宋体" w:hAnsi="宋体"/>
          <w:sz w:val="24"/>
          <w:szCs w:val="24"/>
        </w:rPr>
      </w:pPr>
      <w:r>
        <w:rPr>
          <w:rFonts w:hint="eastAsia" w:ascii="宋体" w:hAnsi="宋体"/>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杭锦旗公共资源交易网”上发布澄清或者变更公告。澄清或者变更公告的内容为谈判文件的组成部分，供应商应自行上网查询，采购人或杭锦旗公共资源交易中心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分项报价明细表</w:t>
      </w:r>
      <w:r>
        <w:rPr>
          <w:rFonts w:ascii="宋体" w:hAnsi="宋体"/>
          <w:sz w:val="24"/>
          <w:szCs w:val="24"/>
        </w:rPr>
        <w:t>”规定的格式报出总价和分项价格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围：本次投标报价为一次性报价。投标报价含本招标文件要求、合同履约需要及服务过程中所产生的全部费用。</w:t>
      </w:r>
    </w:p>
    <w:p>
      <w:pPr>
        <w:tabs>
          <w:tab w:val="left" w:pos="567"/>
        </w:tabs>
        <w:spacing w:line="360" w:lineRule="auto"/>
        <w:ind w:firstLine="480" w:firstLineChars="200"/>
        <w:rPr>
          <w:rFonts w:ascii="宋体" w:hAnsi="宋体"/>
          <w:sz w:val="24"/>
          <w:szCs w:val="24"/>
        </w:rPr>
      </w:pPr>
      <w:r>
        <w:rPr>
          <w:rFonts w:hint="eastAsia" w:ascii="宋体" w:hAnsi="宋体"/>
          <w:sz w:val="24"/>
          <w:szCs w:val="24"/>
        </w:rPr>
        <w:t>2.3投标报价不得有选择性报价和附有条件的报价，不得缺项、漏项、不得高于预算价，否则按无效投标处理。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3.2电子版响应文件编制要求：提供PDF格式和word格式电子文档一份，内容必须一致，在电子文档上标明供应商全称。（电子文档可使用U盘或光盘）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3.4响应文件的装订应采用胶订方式牢固装订成册，不可插页抽页，不可采用活页纸进行装订；供应商同时对多个标包投标的，响应文件应按所投标包分别编制并分册胶装、分包密封。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3.5响应文件的密封。供应商应使用密封袋将响应文件密封，电子文档可密封至响应文件中也可单独密封。密封封面上需注明“项目名称”、“项目编号”、“分包号”、“供应商全称”和《响应文件》或《电子版》字样，并在密封包装上粘贴密封条。</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供应商按上述规定进行密封和标记后，将响应文件按照谈判文件的要求送达指定地点。如果未按上述规定进行密封和标记，杭锦旗公共资源交易中心对误投或提前启封概不负责。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sz w:val="24"/>
          <w:szCs w:val="24"/>
        </w:rPr>
      </w:pPr>
      <w:r>
        <w:rPr>
          <w:rFonts w:hint="eastAsia" w:ascii="宋体" w:hAnsi="宋体"/>
          <w:sz w:val="24"/>
          <w:szCs w:val="24"/>
        </w:rPr>
        <w:t>（1）成交后，无正当理由放弃成交资格；</w:t>
      </w:r>
    </w:p>
    <w:p>
      <w:pPr>
        <w:spacing w:line="360" w:lineRule="auto"/>
        <w:ind w:firstLine="528" w:firstLineChars="220"/>
        <w:rPr>
          <w:rFonts w:ascii="宋体" w:hAnsi="宋体"/>
          <w:sz w:val="24"/>
          <w:szCs w:val="24"/>
        </w:rPr>
      </w:pPr>
      <w:r>
        <w:rPr>
          <w:rFonts w:hint="eastAsia" w:ascii="宋体" w:hAnsi="宋体"/>
          <w:sz w:val="24"/>
          <w:szCs w:val="24"/>
        </w:rPr>
        <w:t>（2）成交后，无正当理由不与采购人签订合同；</w:t>
      </w:r>
    </w:p>
    <w:p>
      <w:pPr>
        <w:spacing w:line="360" w:lineRule="auto"/>
        <w:ind w:firstLine="528" w:firstLineChars="220"/>
        <w:rPr>
          <w:rFonts w:ascii="宋体" w:hAnsi="宋体"/>
          <w:sz w:val="24"/>
          <w:szCs w:val="24"/>
        </w:rPr>
      </w:pPr>
      <w:r>
        <w:rPr>
          <w:rFonts w:hint="eastAsia" w:ascii="宋体" w:hAnsi="宋体"/>
          <w:sz w:val="24"/>
          <w:szCs w:val="24"/>
        </w:rPr>
        <w:t>（3）在签订合同时，向采购人提出附加条件；</w:t>
      </w:r>
    </w:p>
    <w:p>
      <w:pPr>
        <w:spacing w:line="360" w:lineRule="auto"/>
        <w:ind w:firstLine="528" w:firstLineChars="220"/>
        <w:rPr>
          <w:rFonts w:ascii="宋体" w:hAnsi="宋体"/>
          <w:sz w:val="24"/>
          <w:szCs w:val="24"/>
        </w:rPr>
      </w:pPr>
      <w:r>
        <w:rPr>
          <w:rFonts w:hint="eastAsia" w:ascii="宋体" w:hAnsi="宋体"/>
          <w:sz w:val="24"/>
          <w:szCs w:val="24"/>
        </w:rPr>
        <w:t>（4）不按照谈判文件要求提交履约保证金；</w:t>
      </w:r>
    </w:p>
    <w:p>
      <w:pPr>
        <w:spacing w:line="360" w:lineRule="auto"/>
        <w:ind w:firstLine="528" w:firstLineChars="220"/>
        <w:rPr>
          <w:rFonts w:ascii="宋体" w:hAnsi="宋体"/>
          <w:sz w:val="24"/>
          <w:szCs w:val="24"/>
        </w:rPr>
      </w:pPr>
      <w:r>
        <w:rPr>
          <w:rFonts w:hint="eastAsia" w:ascii="宋体" w:hAnsi="宋体"/>
          <w:sz w:val="24"/>
          <w:szCs w:val="24"/>
        </w:rPr>
        <w:t>（5）要求修改、补充和撤销响应文件的实质性内容；</w:t>
      </w:r>
    </w:p>
    <w:p>
      <w:pPr>
        <w:spacing w:line="360" w:lineRule="auto"/>
        <w:ind w:firstLine="528" w:firstLineChars="220"/>
        <w:rPr>
          <w:rFonts w:ascii="宋体" w:hAnsi="宋体"/>
          <w:sz w:val="24"/>
          <w:szCs w:val="24"/>
        </w:rPr>
      </w:pPr>
      <w:r>
        <w:rPr>
          <w:rFonts w:hint="eastAsia" w:ascii="宋体" w:hAnsi="宋体"/>
          <w:sz w:val="24"/>
          <w:szCs w:val="24"/>
        </w:rPr>
        <w:t>（6）要求更改谈判文件和成交结果公告的实质性内容；</w:t>
      </w:r>
    </w:p>
    <w:p>
      <w:pPr>
        <w:spacing w:line="360" w:lineRule="auto"/>
        <w:ind w:firstLine="528" w:firstLineChars="220"/>
        <w:rPr>
          <w:rFonts w:ascii="宋体" w:hAnsi="宋体"/>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sz w:val="24"/>
          <w:szCs w:val="24"/>
        </w:rPr>
      </w:pPr>
      <w:r>
        <w:rPr>
          <w:rFonts w:hint="eastAsia" w:ascii="宋体" w:hAnsi="宋体"/>
          <w:sz w:val="24"/>
          <w:szCs w:val="24"/>
        </w:rPr>
        <w:t>（8）法律法规和谈判文件规定的其他情形。</w:t>
      </w:r>
    </w:p>
    <w:p>
      <w:pPr>
        <w:spacing w:line="360" w:lineRule="auto"/>
        <w:ind w:firstLine="482" w:firstLineChars="200"/>
        <w:rPr>
          <w:rFonts w:ascii="宋体" w:hAnsi="宋体"/>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杭锦旗公共资源交易中心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kern w:val="0"/>
          <w:sz w:val="24"/>
          <w:szCs w:val="24"/>
        </w:rPr>
        <w:t>，</w:t>
      </w:r>
      <w:r>
        <w:rPr>
          <w:rFonts w:hint="eastAsia" w:ascii="宋体" w:hAnsi="宋体"/>
          <w:sz w:val="24"/>
          <w:szCs w:val="24"/>
        </w:rPr>
        <w:t>为无效响应文件，采购单位或杭锦旗公共资源交易中心拒收。</w:t>
      </w:r>
    </w:p>
    <w:p>
      <w:pPr>
        <w:spacing w:line="360" w:lineRule="auto"/>
        <w:ind w:firstLine="472" w:firstLineChars="196"/>
        <w:rPr>
          <w:rFonts w:ascii="宋体" w:hAnsi="宋体"/>
          <w:b/>
          <w:sz w:val="24"/>
          <w:szCs w:val="24"/>
        </w:rPr>
      </w:pPr>
      <w:r>
        <w:rPr>
          <w:rFonts w:hint="eastAsia" w:ascii="宋体" w:hAnsi="宋体"/>
          <w:b/>
          <w:sz w:val="24"/>
          <w:szCs w:val="24"/>
        </w:rPr>
        <w:t>8.投标现场演示</w:t>
      </w:r>
    </w:p>
    <w:p>
      <w:pPr>
        <w:spacing w:line="360" w:lineRule="auto"/>
        <w:ind w:firstLine="480" w:firstLineChars="200"/>
        <w:rPr>
          <w:rFonts w:ascii="宋体" w:hAnsi="宋体"/>
          <w:sz w:val="24"/>
          <w:szCs w:val="24"/>
        </w:rPr>
      </w:pPr>
      <w:r>
        <w:rPr>
          <w:rFonts w:hint="eastAsia" w:ascii="宋体" w:hAnsi="宋体"/>
          <w:sz w:val="24"/>
          <w:szCs w:val="24"/>
        </w:rPr>
        <w:t>招标文件规定投标现场演示的，供应商应开标前做好演示准备（包括演示内容、演示环境、演示人员），自行提供演示设备。</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采购人、杭锦旗公共资源交易中心对误投或未按规定时间、地点进行投标的概不负责。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详见第六章评审表。经谈判小组认定，凡其中有一项不合格的，按无效投标处理。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杭锦旗公共资源交易中心将在内蒙古自治区政府采购网、内蒙古自治区公共资源交易网、鄂尔多斯市政府采购网和鄂尔多斯市公共资源交易网、杭锦旗公共资源交易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政府采购相关范本）（包括货物名称、生产厂家、品牌、规格、型号、数量、单位、单价及总价等）于谈判结束后当天发送在杭锦旗公共资源交易中心工作人员邮箱内（</w:t>
      </w:r>
      <w:r>
        <w:fldChar w:fldCharType="begin"/>
      </w:r>
      <w:r>
        <w:instrText xml:space="preserve"> HYPERLINK "javascript:;" </w:instrText>
      </w:r>
      <w:r>
        <w:fldChar w:fldCharType="separate"/>
      </w:r>
      <w:r>
        <w:rPr>
          <w:rStyle w:val="49"/>
          <w:rFonts w:hint="eastAsia" w:ascii="宋体" w:hAnsi="宋体"/>
          <w:b/>
          <w:bCs/>
          <w:sz w:val="24"/>
          <w:szCs w:val="24"/>
          <w:shd w:val="clear" w:color="auto" w:fill="FFFFFF"/>
        </w:rPr>
        <w:t>hjqzfcg@163.com</w:t>
      </w:r>
      <w:r>
        <w:rPr>
          <w:rStyle w:val="49"/>
          <w:rFonts w:hint="eastAsia" w:ascii="宋体" w:hAnsi="宋体"/>
          <w:b/>
          <w:bCs/>
          <w:sz w:val="24"/>
          <w:szCs w:val="24"/>
          <w:shd w:val="clear" w:color="auto" w:fill="FFFFFF"/>
        </w:rPr>
        <w:fldChar w:fldCharType="end"/>
      </w:r>
      <w:r>
        <w:rPr>
          <w:rFonts w:hint="eastAsia" w:ascii="宋体" w:hAnsi="宋体"/>
          <w:sz w:val="24"/>
          <w:szCs w:val="24"/>
        </w:rPr>
        <w:t>，联系人邬尚东，联系电话0477-6860805），并在邮件标题注明项目名称及成交单位名称。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rPr>
        <w:t>杭锦旗公共资源交易中心以书面形式向成交供应商发出成交通知书，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成交供应商须持法定代表人授权委托书及本人身份证至杭锦旗公共资源交易中心领取。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供应商对政府采购活动事项有疑问的，可以向采购人或公共资源交易中心提出询问，采购人或公共资源交易中心应当在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供应商提出的询问超出采购人对公共资源交易中心委托授权范围的，公共资源交易中心应当告知其向采购人提出。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为了使提出的询问事项在规定时间内得到有效回复，询问采用实名制，询问内容以书面材料的形式亲自递交到杭锦旗公共资源交易中心，正式受理后方可生效，否则，为无效询问。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出质疑的供应商应当是参与所质疑项目采购活动的供应商。</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供应商提出质疑应当提交质疑函和必要的证明材料。质疑函应当包括下列内容：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（一）供应商的姓名或者名称、地址、邮编、联系人及联系电话；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供应商可以委托代理人进行质疑</w:t>
      </w:r>
      <w:r>
        <w:rPr>
          <w:rFonts w:hint="eastAsia" w:ascii="Arial" w:hAnsi="Arial" w:cs="Arial"/>
          <w:kern w:val="0"/>
          <w:sz w:val="24"/>
          <w:szCs w:val="24"/>
        </w:rPr>
        <w:t>，且</w:t>
      </w:r>
      <w:r>
        <w:rPr>
          <w:rFonts w:ascii="Arial" w:hAnsi="Arial" w:cs="Arial"/>
          <w:kern w:val="0"/>
          <w:sz w:val="24"/>
          <w:szCs w:val="24"/>
        </w:rPr>
        <w:t>应当提交供应商签署的授权委托书。其授权委托书应当载明代理人的姓名或者名称、代理事项、具体权限、期限和相关事项。</w:t>
      </w:r>
    </w:p>
    <w:p>
      <w:pPr>
        <w:pStyle w:val="38"/>
        <w:spacing w:before="0" w:beforeAutospacing="0" w:after="0" w:afterAutospacing="0" w:line="360" w:lineRule="auto"/>
        <w:ind w:firstLine="480"/>
        <w:jc w:val="both"/>
        <w:rPr>
          <w:rFonts w:ascii="Arial" w:hAnsi="Arial" w:cs="Arial"/>
        </w:rPr>
      </w:pPr>
      <w:r>
        <w:rPr>
          <w:rFonts w:hint="eastAsia"/>
        </w:rPr>
        <w:t>2.5 供应商</w:t>
      </w:r>
      <w:r>
        <w:rPr>
          <w:rFonts w:hint="eastAsia" w:ascii="Arial" w:hAnsi="Arial" w:cs="Arial"/>
        </w:rPr>
        <w:t>在提出质疑时，请严格按照相关法律法规及质疑函范本要求提出和制作，否则，自行承担相关不利后果。</w:t>
      </w:r>
    </w:p>
    <w:p>
      <w:pPr>
        <w:pStyle w:val="38"/>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 接收质疑函的方式：为了使提出的质疑事项在规定时间内得到有效答复、处理，质疑采用实名制，且由法定代表人或委托代理人亲自递交到杭锦旗公共资源交易中心，正式受理后方可生效。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杭锦旗公共资源交易中心的答复不满意或者采购人、杭锦旗公共资源交易中心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bookmarkEnd w:id="2"/>
    <w:bookmarkEnd w:id="3"/>
    <w:p>
      <w:pPr>
        <w:spacing w:line="360" w:lineRule="auto"/>
        <w:rPr>
          <w:sz w:val="24"/>
          <w:szCs w:val="24"/>
          <w:lang w:val="zh-CN"/>
        </w:rPr>
      </w:pPr>
      <w:bookmarkStart w:id="9" w:name="_Toc447030612"/>
    </w:p>
    <w:p>
      <w:pPr>
        <w:pStyle w:val="39"/>
        <w:spacing w:line="360" w:lineRule="auto"/>
        <w:ind w:firstLine="484" w:firstLineChars="201"/>
        <w:rPr>
          <w:rFonts w:ascii="宋体" w:hAnsi="宋体" w:eastAsia="宋体" w:cs="宋体"/>
          <w:sz w:val="24"/>
          <w:szCs w:val="24"/>
        </w:rPr>
      </w:pPr>
      <w:r>
        <w:rPr>
          <w:rFonts w:ascii="宋体" w:hAnsi="宋体" w:eastAsia="宋体" w:cs="宋体"/>
          <w:sz w:val="24"/>
          <w:szCs w:val="24"/>
        </w:rPr>
        <w:br w:type="page"/>
      </w:r>
    </w:p>
    <w:bookmarkEnd w:id="9"/>
    <w:p>
      <w:pPr>
        <w:pStyle w:val="39"/>
        <w:spacing w:line="360" w:lineRule="auto"/>
        <w:rPr>
          <w:rFonts w:ascii="宋体" w:hAnsi="宋体" w:eastAsia="宋体" w:cs="宋体"/>
          <w:sz w:val="24"/>
          <w:szCs w:val="24"/>
        </w:rPr>
      </w:pPr>
      <w:bookmarkStart w:id="10" w:name="_Toc497726580"/>
      <w:bookmarkStart w:id="11" w:name="_Toc494546020"/>
      <w:r>
        <w:rPr>
          <w:rFonts w:hint="eastAsia" w:ascii="宋体" w:hAnsi="宋体" w:eastAsia="宋体" w:cs="宋体"/>
          <w:bCs w:val="0"/>
          <w:sz w:val="24"/>
          <w:szCs w:val="24"/>
        </w:rPr>
        <w:t>第三章 合同与验收</w:t>
      </w:r>
      <w:bookmarkEnd w:id="10"/>
      <w:bookmarkEnd w:id="11"/>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1.1采购人应当自中标通知书发出之日起30日内，按照谈判文件和成交供应商响应文件的规定，与成交供应商签订书面合同。所签订的合同不得对谈判文件确定的事项和成交供应商响应文件作实质性修改。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1.2政府采购合同应当包括采购人与成交供应商的名称和住所、标的、数量、质量、价款或者报酬、履行期限及地点和方式、验收要求、违约责任、解决争议的方法等内容。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1.3采购人与成交供应商应当根据合同的约定依法履行合同义务。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自合同签订之日起2个工作日内，成交供应商应将政府采购合同送达至杭锦旗公共资源交易中心（联系电话：0477-6860805）存档，逾期未签订合同或未按时交回合同，将按照相关法律法规做出相应处罚。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pStyle w:val="22"/>
        <w:spacing w:line="360" w:lineRule="auto"/>
        <w:ind w:left="57" w:right="57" w:firstLine="436" w:firstLineChars="182"/>
        <w:rPr>
          <w:rFonts w:hAnsi="宋体"/>
          <w:sz w:val="24"/>
          <w:szCs w:val="24"/>
        </w:rPr>
      </w:pPr>
      <w:r>
        <w:rPr>
          <w:rFonts w:hint="eastAsia" w:hAnsi="宋体"/>
          <w:sz w:val="24"/>
          <w:szCs w:val="24"/>
        </w:rPr>
        <w:t>成交供应商在供货、工程竣工或服务结束后，采购人应及时组织验收，并按照谈判文件、响应文件及合同约定填写验收单（下载地址：鄂尔多斯市公共资源交易网</w:t>
      </w:r>
      <w:r>
        <w:rPr>
          <w:rFonts w:hAnsi="宋体"/>
          <w:sz w:val="24"/>
          <w:szCs w:val="24"/>
        </w:rPr>
        <w:t>—</w:t>
      </w:r>
      <w:r>
        <w:rPr>
          <w:rFonts w:hint="eastAsia" w:hAnsi="宋体"/>
          <w:sz w:val="24"/>
          <w:szCs w:val="24"/>
        </w:rPr>
        <w:t>办事指南</w:t>
      </w:r>
      <w:r>
        <w:rPr>
          <w:rFonts w:hAnsi="宋体"/>
          <w:sz w:val="24"/>
          <w:szCs w:val="24"/>
        </w:rPr>
        <w:t>—</w:t>
      </w:r>
      <w:r>
        <w:rPr>
          <w:rFonts w:hint="eastAsia" w:hAnsi="宋体"/>
          <w:sz w:val="24"/>
          <w:szCs w:val="24"/>
        </w:rPr>
        <w:t>办事表格下载</w:t>
      </w:r>
      <w:r>
        <w:rPr>
          <w:rFonts w:hAnsi="宋体"/>
          <w:sz w:val="24"/>
          <w:szCs w:val="24"/>
        </w:rPr>
        <w:t>—</w:t>
      </w:r>
      <w:r>
        <w:rPr>
          <w:rFonts w:hint="eastAsia" w:hAnsi="宋体"/>
          <w:sz w:val="24"/>
          <w:szCs w:val="24"/>
        </w:rPr>
        <w:t>政府采购相关范本）。验收合格后2个工作日内，成交供应商应将政府采购项目验收单送达至杭锦旗公共资源交易中心（联系电话：0477-6860805）存档。逾期未验收或未按时交回验收单，将按照相关法律法规做出相应处罚。</w:t>
      </w:r>
    </w:p>
    <w:p>
      <w:pPr>
        <w:widowControl/>
        <w:jc w:val="left"/>
        <w:rPr>
          <w:rFonts w:ascii="宋体" w:hAnsi="宋体" w:cs="Courier New"/>
          <w:kern w:val="0"/>
          <w:sz w:val="24"/>
          <w:szCs w:val="24"/>
        </w:rPr>
      </w:pPr>
      <w:r>
        <w:rPr>
          <w:rFonts w:hAnsi="宋体"/>
          <w:sz w:val="24"/>
          <w:szCs w:val="24"/>
        </w:rPr>
        <w:br w:type="page"/>
      </w:r>
    </w:p>
    <w:p>
      <w:pPr>
        <w:jc w:val="center"/>
        <w:rPr>
          <w:rFonts w:ascii="宋体" w:hAnsi="宋体"/>
          <w:b/>
          <w:bCs/>
          <w:kern w:val="44"/>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二、本合同所提供的服务以谈判文件、响应文件要求的相关服务要求为主。后附主要服务内容清单。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asciiTheme="minorEastAsia" w:hAnsiTheme="minorEastAsia" w:eastAsiaTheme="minorEastAsia"/>
          <w:sz w:val="24"/>
          <w:szCs w:val="24"/>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1、由甲乙双方及第三方（如有）按照谈判文件、响应文件及合同要求，一同对服务内容验收并签字确认。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乙方应按谈判文件、响应文件中做出的书面说明或承诺提供服务。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合同文本一式五份，采购单位、供应商、政府采购监管部门、市杭锦旗公共资源交易中心、国库支付执行机构各一份，自双方签订之日起生效。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宋体" w:hAnsi="宋体"/>
          <w:b/>
          <w:bCs/>
          <w:kern w:val="44"/>
          <w:sz w:val="24"/>
          <w:szCs w:val="24"/>
        </w:rPr>
      </w:pPr>
    </w:p>
    <w:p>
      <w:pPr>
        <w:widowControl/>
        <w:jc w:val="left"/>
        <w:rPr>
          <w:rFonts w:ascii="宋体" w:hAnsi="宋体"/>
          <w:b/>
          <w:bCs/>
          <w:kern w:val="44"/>
          <w:sz w:val="24"/>
          <w:szCs w:val="24"/>
        </w:rPr>
      </w:pPr>
      <w:r>
        <w:rPr>
          <w:rFonts w:ascii="宋体" w:hAnsi="宋体"/>
          <w:b/>
          <w:bCs/>
          <w:kern w:val="44"/>
          <w:sz w:val="24"/>
          <w:szCs w:val="24"/>
        </w:rPr>
        <w:br w:type="page"/>
      </w:r>
    </w:p>
    <w:p>
      <w:pPr>
        <w:pStyle w:val="2"/>
        <w:keepNext w:val="0"/>
        <w:keepLines w:val="0"/>
        <w:spacing w:line="360" w:lineRule="auto"/>
        <w:rPr>
          <w:rFonts w:ascii="宋体" w:hAnsi="宋体"/>
          <w:sz w:val="24"/>
          <w:szCs w:val="24"/>
        </w:rPr>
      </w:pPr>
      <w:bookmarkStart w:id="12" w:name="_Toc497726581"/>
      <w:r>
        <w:rPr>
          <w:rFonts w:hint="eastAsia" w:ascii="宋体" w:hAnsi="宋体"/>
          <w:sz w:val="24"/>
          <w:szCs w:val="24"/>
        </w:rPr>
        <w:t>第四章 谈判内容与服务需求</w:t>
      </w:r>
      <w:bookmarkEnd w:id="12"/>
      <w:bookmarkStart w:id="13" w:name="_Toc497726582"/>
      <w:bookmarkStart w:id="14" w:name="_Toc397088603"/>
      <w:bookmarkStart w:id="15" w:name="_Toc303801500"/>
    </w:p>
    <w:tbl>
      <w:tblPr>
        <w:tblStyle w:val="4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主要商务条款</w:t>
            </w:r>
          </w:p>
        </w:tc>
        <w:tc>
          <w:tcPr>
            <w:tcW w:w="652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采购预算／最高限价</w:t>
            </w:r>
          </w:p>
        </w:tc>
        <w:tc>
          <w:tcPr>
            <w:tcW w:w="652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1100000元/年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服务期限</w:t>
            </w:r>
          </w:p>
        </w:tc>
        <w:tc>
          <w:tcPr>
            <w:tcW w:w="652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服务期：本次招标有效期为三年，合同一年一签，合同有效期为自合同签订之日起1年。采购单位（甲方）每月或按季度对乙方进行评定、检查、考核，如乙方符合条件，甲方有权续签合同；如乙方不符合条件，甲方有权提前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服务地点</w:t>
            </w:r>
          </w:p>
        </w:tc>
        <w:tc>
          <w:tcPr>
            <w:tcW w:w="652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bookmarkStart w:id="16" w:name="_Toc491862090"/>
            <w:r>
              <w:rPr>
                <w:rFonts w:hint="eastAsia" w:cs="宋体" w:asciiTheme="minorEastAsia" w:hAnsiTheme="minorEastAsia"/>
                <w:b w:val="0"/>
                <w:bCs w:val="0"/>
                <w:kern w:val="0"/>
                <w:sz w:val="24"/>
                <w:szCs w:val="24"/>
                <w:lang w:val="en-US"/>
              </w:rPr>
              <w:t>采购人指定地点。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投标有效期</w:t>
            </w:r>
          </w:p>
        </w:tc>
        <w:tc>
          <w:tcPr>
            <w:tcW w:w="652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从提交响应文件的截止之日起90日历天。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55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付款方式</w:t>
            </w:r>
          </w:p>
        </w:tc>
        <w:tc>
          <w:tcPr>
            <w:tcW w:w="652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pacing w:before="0" w:after="0" w:line="360" w:lineRule="auto"/>
              <w:jc w:val="both"/>
              <w:rPr>
                <w:rFonts w:cs="宋体" w:asciiTheme="minorEastAsia" w:hAnsiTheme="minorEastAsia"/>
                <w:b w:val="0"/>
                <w:bCs w:val="0"/>
                <w:kern w:val="0"/>
                <w:sz w:val="24"/>
                <w:szCs w:val="24"/>
                <w:lang w:val="en-US"/>
              </w:rPr>
            </w:pPr>
            <w:r>
              <w:rPr>
                <w:rFonts w:hint="eastAsia" w:cs="宋体" w:asciiTheme="minorEastAsia" w:hAnsiTheme="minorEastAsia"/>
                <w:b w:val="0"/>
                <w:bCs w:val="0"/>
                <w:kern w:val="0"/>
                <w:sz w:val="24"/>
                <w:szCs w:val="24"/>
                <w:lang w:val="en-US"/>
              </w:rPr>
              <w:t>按月支付，付款前提供符合财政支付要求的发票。</w:t>
            </w:r>
          </w:p>
        </w:tc>
      </w:tr>
    </w:tbl>
    <w:p>
      <w:pPr>
        <w:spacing w:line="360" w:lineRule="auto"/>
        <w:jc w:val="left"/>
        <w:rPr>
          <w:rFonts w:hAnsi="宋体"/>
          <w:b/>
          <w:sz w:val="24"/>
          <w:szCs w:val="24"/>
        </w:rPr>
      </w:pPr>
    </w:p>
    <w:p>
      <w:pPr>
        <w:spacing w:line="360" w:lineRule="auto"/>
        <w:jc w:val="left"/>
        <w:rPr>
          <w:rFonts w:hAnsi="宋体"/>
          <w:b/>
          <w:sz w:val="24"/>
          <w:szCs w:val="24"/>
        </w:rPr>
      </w:pPr>
      <w:r>
        <w:rPr>
          <w:rFonts w:hint="eastAsia" w:hAnsi="宋体"/>
          <w:b/>
          <w:sz w:val="24"/>
          <w:szCs w:val="24"/>
        </w:rPr>
        <w:t>二.服务需求：</w:t>
      </w:r>
    </w:p>
    <w:p>
      <w:pPr>
        <w:spacing w:line="360" w:lineRule="auto"/>
        <w:jc w:val="left"/>
        <w:rPr>
          <w:rFonts w:ascii="宋体" w:hAnsi="宋体"/>
          <w:b/>
          <w:color w:val="000000"/>
          <w:sz w:val="24"/>
          <w:szCs w:val="24"/>
        </w:rPr>
      </w:pPr>
      <w:r>
        <w:rPr>
          <w:rFonts w:hint="eastAsia" w:cs="宋体" w:asciiTheme="minorEastAsia" w:hAnsiTheme="minorEastAsia" w:eastAsiaTheme="minorEastAsia"/>
          <w:sz w:val="24"/>
          <w:szCs w:val="24"/>
        </w:rPr>
        <w:t>1.项目概况：</w:t>
      </w:r>
    </w:p>
    <w:p>
      <w:pPr>
        <w:spacing w:line="360" w:lineRule="auto"/>
        <w:ind w:firstLine="470" w:firstLineChars="196"/>
        <w:jc w:val="left"/>
        <w:rPr>
          <w:rFonts w:hAnsi="宋体"/>
          <w:b/>
          <w:sz w:val="24"/>
          <w:szCs w:val="24"/>
        </w:rPr>
      </w:pPr>
      <w:r>
        <w:rPr>
          <w:rFonts w:hint="eastAsia" w:cs="宋体" w:asciiTheme="minorEastAsia" w:hAnsiTheme="minorEastAsia"/>
          <w:kern w:val="0"/>
          <w:sz w:val="24"/>
          <w:szCs w:val="24"/>
        </w:rPr>
        <w:t xml:space="preserve">杭锦旗人民检察院位于鄂尔多斯市杭锦旗锡尼镇，总建筑面积：9100平方米。 </w:t>
      </w:r>
    </w:p>
    <w:p>
      <w:pPr>
        <w:spacing w:line="360" w:lineRule="auto"/>
        <w:ind w:right="57"/>
        <w:rPr>
          <w:rFonts w:ascii="宋体" w:hAnsi="宋体" w:cs="宋体"/>
          <w:b/>
          <w:sz w:val="24"/>
          <w:szCs w:val="24"/>
        </w:rPr>
      </w:pPr>
      <w:r>
        <w:rPr>
          <w:rFonts w:hint="eastAsia" w:cs="宋体" w:asciiTheme="minorEastAsia" w:hAnsiTheme="minorEastAsia" w:eastAsiaTheme="minorEastAsia"/>
          <w:sz w:val="24"/>
          <w:szCs w:val="24"/>
        </w:rPr>
        <w:t>2.服务需求一览表：</w:t>
      </w:r>
    </w:p>
    <w:tbl>
      <w:tblPr>
        <w:tblStyle w:val="4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092"/>
        <w:gridCol w:w="2693"/>
        <w:gridCol w:w="1593"/>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77" w:type="dxa"/>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编号</w:t>
            </w:r>
          </w:p>
        </w:tc>
        <w:tc>
          <w:tcPr>
            <w:tcW w:w="2092" w:type="dxa"/>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服务项目</w:t>
            </w:r>
          </w:p>
        </w:tc>
        <w:tc>
          <w:tcPr>
            <w:tcW w:w="2693" w:type="dxa"/>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服务要求及标准</w:t>
            </w:r>
          </w:p>
        </w:tc>
        <w:tc>
          <w:tcPr>
            <w:tcW w:w="1593" w:type="dxa"/>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w:t>
            </w:r>
          </w:p>
        </w:tc>
        <w:tc>
          <w:tcPr>
            <w:tcW w:w="1242" w:type="dxa"/>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77" w:type="dxa"/>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2092" w:type="dxa"/>
            <w:vAlign w:val="center"/>
          </w:tcPr>
          <w:p>
            <w:pPr>
              <w:widowControl/>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物业管理服务</w:t>
            </w:r>
          </w:p>
        </w:tc>
        <w:tc>
          <w:tcPr>
            <w:tcW w:w="2693" w:type="dxa"/>
            <w:vAlign w:val="center"/>
          </w:tcPr>
          <w:p>
            <w:pPr>
              <w:widowControl/>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详见附表1</w:t>
            </w:r>
          </w:p>
        </w:tc>
        <w:tc>
          <w:tcPr>
            <w:tcW w:w="1593" w:type="dxa"/>
            <w:vAlign w:val="center"/>
          </w:tcPr>
          <w:p>
            <w:pPr>
              <w:widowControl/>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242" w:type="dxa"/>
            <w:vAlign w:val="center"/>
          </w:tcPr>
          <w:p>
            <w:pPr>
              <w:widowControl/>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w:t>
            </w:r>
          </w:p>
        </w:tc>
      </w:tr>
    </w:tbl>
    <w:p>
      <w:pPr>
        <w:spacing w:line="360" w:lineRule="auto"/>
        <w:jc w:val="center"/>
        <w:rPr>
          <w:rFonts w:ascii="宋体" w:hAnsi="宋体" w:cs="宋体"/>
          <w:sz w:val="24"/>
          <w:szCs w:val="24"/>
        </w:rPr>
      </w:pPr>
      <w:r>
        <w:rPr>
          <w:rFonts w:hint="eastAsia" w:ascii="宋体" w:hAnsi="宋体" w:cs="宋体"/>
          <w:sz w:val="24"/>
          <w:szCs w:val="24"/>
        </w:rPr>
        <w:t>附表1</w:t>
      </w:r>
      <w:r>
        <w:rPr>
          <w:rFonts w:hint="eastAsia" w:cs="宋体" w:asciiTheme="minorEastAsia" w:hAnsiTheme="minorEastAsia" w:eastAsiaTheme="minorEastAsia"/>
          <w:kern w:val="0"/>
          <w:sz w:val="24"/>
          <w:szCs w:val="24"/>
        </w:rPr>
        <w:t>服务项目：</w:t>
      </w:r>
      <w:r>
        <w:rPr>
          <w:rFonts w:hint="eastAsia" w:cs="宋体" w:asciiTheme="minorEastAsia" w:hAnsiTheme="minorEastAsia" w:eastAsiaTheme="minorEastAsia"/>
          <w:kern w:val="0"/>
          <w:sz w:val="24"/>
          <w:szCs w:val="24"/>
          <w:u w:val="single"/>
        </w:rPr>
        <w:t>物业管理服务。</w:t>
      </w:r>
    </w:p>
    <w:tbl>
      <w:tblPr>
        <w:tblStyle w:val="42"/>
        <w:tblpPr w:leftFromText="180" w:rightFromText="180" w:vertAnchor="text" w:tblpXSpec="center" w:tblpY="1"/>
        <w:tblOverlap w:val="never"/>
        <w:tblW w:w="9073" w:type="dxa"/>
        <w:jc w:val="center"/>
        <w:tblLayout w:type="fixed"/>
        <w:tblCellMar>
          <w:top w:w="0" w:type="dxa"/>
          <w:left w:w="108" w:type="dxa"/>
          <w:bottom w:w="0" w:type="dxa"/>
          <w:right w:w="108" w:type="dxa"/>
        </w:tblCellMar>
      </w:tblPr>
      <w:tblGrid>
        <w:gridCol w:w="710"/>
        <w:gridCol w:w="567"/>
        <w:gridCol w:w="992"/>
        <w:gridCol w:w="6804"/>
      </w:tblGrid>
      <w:tr>
        <w:tblPrEx>
          <w:tblCellMar>
            <w:top w:w="0" w:type="dxa"/>
            <w:left w:w="108" w:type="dxa"/>
            <w:bottom w:w="0" w:type="dxa"/>
            <w:right w:w="108" w:type="dxa"/>
          </w:tblCellMar>
        </w:tblPrEx>
        <w:trPr>
          <w:trHeight w:val="62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参数</w:t>
            </w:r>
          </w:p>
          <w:p>
            <w:pPr>
              <w:widowControl/>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性质</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编号</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技术指</w:t>
            </w:r>
          </w:p>
          <w:p>
            <w:pPr>
              <w:widowControl/>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标名称</w:t>
            </w:r>
          </w:p>
        </w:tc>
        <w:tc>
          <w:tcPr>
            <w:tcW w:w="680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一</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ind w:firstLine="120" w:firstLineChars="50"/>
              <w:jc w:val="center"/>
              <w:rPr>
                <w:rFonts w:cs="宋体" w:asciiTheme="minorEastAsia" w:hAnsiTheme="minorEastAsia" w:eastAsiaTheme="minorEastAsia"/>
                <w:kern w:val="0"/>
                <w:sz w:val="24"/>
                <w:szCs w:val="24"/>
                <w:lang w:bidi="lo-LA"/>
              </w:rPr>
            </w:pPr>
            <w:r>
              <w:rPr>
                <w:rFonts w:hint="eastAsia" w:cs="宋体" w:asciiTheme="minorEastAsia" w:hAnsiTheme="minorEastAsia" w:eastAsiaTheme="minorEastAsia"/>
                <w:kern w:val="0"/>
                <w:sz w:val="24"/>
                <w:szCs w:val="24"/>
                <w:lang w:bidi="lo-LA"/>
              </w:rPr>
              <w:t>服务</w:t>
            </w:r>
          </w:p>
          <w:p>
            <w:pPr>
              <w:widowControl/>
              <w:spacing w:line="360" w:lineRule="auto"/>
              <w:ind w:firstLine="120" w:firstLineChars="50"/>
              <w:jc w:val="center"/>
              <w:rPr>
                <w:rFonts w:cs="宋体" w:asciiTheme="minorEastAsia" w:hAnsiTheme="minorEastAsia" w:eastAsiaTheme="minorEastAsia"/>
                <w:kern w:val="0"/>
                <w:sz w:val="24"/>
                <w:szCs w:val="24"/>
                <w:lang w:bidi="lo-LA"/>
              </w:rPr>
            </w:pPr>
            <w:r>
              <w:rPr>
                <w:rFonts w:hint="eastAsia" w:cs="宋体" w:asciiTheme="minorEastAsia" w:hAnsiTheme="minorEastAsia" w:eastAsiaTheme="minorEastAsia"/>
                <w:kern w:val="0"/>
                <w:sz w:val="24"/>
                <w:szCs w:val="24"/>
                <w:lang w:bidi="lo-LA"/>
              </w:rPr>
              <w:t>面积</w:t>
            </w:r>
          </w:p>
        </w:tc>
        <w:tc>
          <w:tcPr>
            <w:tcW w:w="6804" w:type="dxa"/>
            <w:tcBorders>
              <w:top w:val="single" w:color="auto" w:sz="4" w:space="0"/>
              <w:left w:val="nil"/>
              <w:bottom w:val="single" w:color="auto" w:sz="4" w:space="0"/>
              <w:right w:val="single" w:color="auto" w:sz="4" w:space="0"/>
            </w:tcBorders>
          </w:tcPr>
          <w:p>
            <w:pPr>
              <w:widowControl/>
              <w:spacing w:line="360" w:lineRule="auto"/>
              <w:ind w:firstLine="480" w:firstLineChars="200"/>
              <w:rPr>
                <w:rFonts w:cs="宋体" w:asciiTheme="minorEastAsia" w:hAnsiTheme="minorEastAsia" w:eastAsiaTheme="minorEastAsia"/>
                <w:kern w:val="0"/>
                <w:sz w:val="24"/>
                <w:szCs w:val="24"/>
                <w:lang w:bidi="lo-LA"/>
              </w:rPr>
            </w:pPr>
            <w:r>
              <w:rPr>
                <w:rFonts w:hint="eastAsia" w:cs="宋体" w:asciiTheme="minorEastAsia" w:hAnsiTheme="minorEastAsia" w:eastAsiaTheme="minorEastAsia"/>
                <w:sz w:val="24"/>
                <w:szCs w:val="24"/>
              </w:rPr>
              <w:t>服务面积：</w:t>
            </w:r>
            <w:r>
              <w:rPr>
                <w:rFonts w:hint="eastAsia" w:cs="宋体" w:asciiTheme="minorEastAsia" w:hAnsiTheme="minorEastAsia" w:eastAsiaTheme="minorEastAsia"/>
                <w:color w:val="0C0C0C" w:themeColor="text1" w:themeTint="F2"/>
                <w:sz w:val="24"/>
                <w:szCs w:val="24"/>
              </w:rPr>
              <w:t>9100㎡</w:t>
            </w:r>
          </w:p>
        </w:tc>
      </w:tr>
      <w:tr>
        <w:tblPrEx>
          <w:tblCellMar>
            <w:top w:w="0" w:type="dxa"/>
            <w:left w:w="108" w:type="dxa"/>
            <w:bottom w:w="0" w:type="dxa"/>
            <w:right w:w="108" w:type="dxa"/>
          </w:tblCellMar>
        </w:tblPrEx>
        <w:trPr>
          <w:trHeight w:val="49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r>
              <w:rPr>
                <w:rFonts w:hint="eastAsia" w:asciiTheme="minorEastAsia" w:hAnsiTheme="minorEastAsia" w:eastAsiaTheme="minorEastAsia"/>
                <w:sz w:val="24"/>
                <w:szCs w:val="24"/>
                <w:lang w:bidi="lo-LA"/>
              </w:rPr>
              <w:t>*</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二</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kern w:val="0"/>
                <w:sz w:val="24"/>
                <w:szCs w:val="24"/>
                <w:lang w:bidi="lo-LA"/>
              </w:rPr>
            </w:pPr>
            <w:r>
              <w:rPr>
                <w:rFonts w:hint="eastAsia" w:cs="宋体" w:asciiTheme="minorEastAsia" w:hAnsiTheme="minorEastAsia" w:eastAsiaTheme="minorEastAsia"/>
                <w:kern w:val="0"/>
                <w:sz w:val="24"/>
                <w:szCs w:val="24"/>
                <w:lang w:bidi="lo-LA"/>
              </w:rPr>
              <w:t>物业服</w:t>
            </w:r>
          </w:p>
          <w:p>
            <w:pPr>
              <w:widowControl/>
              <w:spacing w:line="360" w:lineRule="auto"/>
              <w:jc w:val="center"/>
              <w:rPr>
                <w:rFonts w:cs="宋体" w:asciiTheme="minorEastAsia" w:hAnsiTheme="minorEastAsia" w:eastAsiaTheme="minorEastAsia"/>
                <w:kern w:val="0"/>
                <w:sz w:val="24"/>
                <w:szCs w:val="24"/>
                <w:lang w:bidi="lo-LA"/>
              </w:rPr>
            </w:pPr>
            <w:r>
              <w:rPr>
                <w:rFonts w:hint="eastAsia" w:cs="宋体" w:asciiTheme="minorEastAsia" w:hAnsiTheme="minorEastAsia" w:eastAsiaTheme="minorEastAsia"/>
                <w:kern w:val="0"/>
                <w:sz w:val="24"/>
                <w:szCs w:val="24"/>
                <w:lang w:bidi="lo-LA"/>
              </w:rPr>
              <w:t>务范围</w:t>
            </w: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color w:val="0000FF"/>
                <w:kern w:val="0"/>
                <w:sz w:val="24"/>
                <w:szCs w:val="24"/>
              </w:rPr>
            </w:pPr>
            <w:r>
              <w:rPr>
                <w:rFonts w:hint="eastAsia" w:cs="宋体" w:asciiTheme="minorEastAsia" w:hAnsiTheme="minorEastAsia" w:eastAsiaTheme="minorEastAsia"/>
                <w:kern w:val="0"/>
                <w:sz w:val="24"/>
                <w:szCs w:val="24"/>
              </w:rPr>
              <w:t>1.秩序维护服务（安保、车辆、消防、监控等管理）</w:t>
            </w:r>
          </w:p>
          <w:p>
            <w:pPr>
              <w:spacing w:line="360" w:lineRule="auto"/>
              <w:ind w:firstLine="470" w:firstLineChars="196"/>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2.保洁及环境卫生服务</w:t>
            </w:r>
          </w:p>
          <w:p>
            <w:pPr>
              <w:spacing w:line="360" w:lineRule="auto"/>
              <w:ind w:firstLine="470" w:firstLineChars="196"/>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bCs/>
                <w:sz w:val="24"/>
                <w:szCs w:val="24"/>
              </w:rPr>
              <w:t>水、电、暖、气、饮水机等公共设施设备的维护与管理</w:t>
            </w:r>
          </w:p>
          <w:p>
            <w:pPr>
              <w:spacing w:line="360" w:lineRule="auto"/>
              <w:ind w:firstLine="470" w:firstLineChars="196"/>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4.办公楼管理服务</w:t>
            </w:r>
          </w:p>
          <w:p>
            <w:pPr>
              <w:spacing w:line="360" w:lineRule="auto"/>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5.会务服务</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6.厨师及保洁人员服务</w:t>
            </w:r>
          </w:p>
        </w:tc>
      </w:tr>
      <w:tr>
        <w:tblPrEx>
          <w:tblCellMar>
            <w:top w:w="0" w:type="dxa"/>
            <w:left w:w="108" w:type="dxa"/>
            <w:bottom w:w="0" w:type="dxa"/>
            <w:right w:w="108" w:type="dxa"/>
          </w:tblCellMar>
        </w:tblPrEx>
        <w:trPr>
          <w:trHeight w:val="49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三</w:t>
            </w:r>
          </w:p>
        </w:tc>
        <w:tc>
          <w:tcPr>
            <w:tcW w:w="992"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管理</w:t>
            </w:r>
          </w:p>
          <w:p>
            <w:pPr>
              <w:jc w:val="center"/>
              <w:rPr>
                <w:rFonts w:cs="宋体" w:asciiTheme="minorEastAsia" w:hAnsiTheme="minorEastAsia" w:eastAsiaTheme="minorEastAsia"/>
                <w:kern w:val="0"/>
                <w:sz w:val="24"/>
                <w:szCs w:val="24"/>
                <w:lang w:bidi="lo-LA"/>
              </w:rPr>
            </w:pPr>
            <w:r>
              <w:rPr>
                <w:rFonts w:hint="eastAsia" w:cs="宋体" w:asciiTheme="minorEastAsia" w:hAnsiTheme="minorEastAsia" w:eastAsiaTheme="minorEastAsia"/>
                <w:bCs/>
                <w:sz w:val="24"/>
                <w:szCs w:val="24"/>
              </w:rPr>
              <w:t>模式</w:t>
            </w: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kern w:val="0"/>
                <w:sz w:val="24"/>
                <w:szCs w:val="24"/>
                <w:lang w:bidi="lo-LA"/>
              </w:rPr>
            </w:pPr>
            <w:r>
              <w:rPr>
                <w:rFonts w:hint="eastAsia" w:cs="宋体" w:asciiTheme="minorEastAsia" w:hAnsiTheme="minorEastAsia" w:eastAsiaTheme="minorEastAsia"/>
                <w:sz w:val="24"/>
                <w:szCs w:val="24"/>
              </w:rPr>
              <w:t>双方（委托方</w:t>
            </w:r>
            <w:r>
              <w:rPr>
                <w:rFonts w:hint="eastAsia" w:cs="宋体" w:asciiTheme="minorEastAsia" w:hAnsiTheme="minorEastAsia"/>
                <w:kern w:val="0"/>
                <w:sz w:val="24"/>
                <w:szCs w:val="24"/>
              </w:rPr>
              <w:t>杭锦旗人民检察院</w:t>
            </w:r>
            <w:r>
              <w:rPr>
                <w:rFonts w:hint="eastAsia" w:cs="宋体" w:asciiTheme="minorEastAsia" w:hAnsiTheme="minorEastAsia" w:eastAsiaTheme="minorEastAsia"/>
                <w:sz w:val="24"/>
                <w:szCs w:val="24"/>
              </w:rPr>
              <w:t>为甲方，受托方为乙方）签订《物业管理服务合同》，以合同方式约定双方权利和义务。</w:t>
            </w:r>
          </w:p>
        </w:tc>
      </w:tr>
      <w:tr>
        <w:tblPrEx>
          <w:tblCellMar>
            <w:top w:w="0" w:type="dxa"/>
            <w:left w:w="108" w:type="dxa"/>
            <w:bottom w:w="0" w:type="dxa"/>
            <w:right w:w="108" w:type="dxa"/>
          </w:tblCellMar>
        </w:tblPrEx>
        <w:trPr>
          <w:trHeight w:val="49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r>
              <w:rPr>
                <w:rFonts w:hint="eastAsia" w:asciiTheme="minorEastAsia" w:hAnsiTheme="minorEastAsia" w:eastAsiaTheme="minorEastAsia"/>
                <w:sz w:val="24"/>
                <w:szCs w:val="24"/>
                <w:lang w:bidi="lo-LA"/>
              </w:rPr>
              <w:t>*</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四</w:t>
            </w:r>
          </w:p>
        </w:tc>
        <w:tc>
          <w:tcPr>
            <w:tcW w:w="992"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物业</w:t>
            </w:r>
          </w:p>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服务</w:t>
            </w:r>
          </w:p>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总体</w:t>
            </w:r>
          </w:p>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要求</w:t>
            </w: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1.物业公司设立</w:t>
            </w:r>
            <w:r>
              <w:rPr>
                <w:rFonts w:hint="eastAsia" w:cs="宋体" w:asciiTheme="minorEastAsia" w:hAnsiTheme="minorEastAsia"/>
                <w:kern w:val="0"/>
                <w:sz w:val="24"/>
                <w:szCs w:val="24"/>
              </w:rPr>
              <w:t>杭锦旗人民检察院</w:t>
            </w:r>
            <w:r>
              <w:rPr>
                <w:rFonts w:hint="eastAsia" w:cs="宋体" w:asciiTheme="minorEastAsia" w:hAnsiTheme="minorEastAsia" w:eastAsiaTheme="minorEastAsia"/>
                <w:sz w:val="24"/>
                <w:szCs w:val="24"/>
              </w:rPr>
              <w:t>物业管理服务中心，为甲方提供优质高效的物业管理服务。</w:t>
            </w:r>
          </w:p>
          <w:p>
            <w:pPr>
              <w:spacing w:line="360" w:lineRule="auto"/>
              <w:ind w:firstLine="480" w:firstLineChars="200"/>
              <w:rPr>
                <w:rFonts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2.制度建设要求：</w:t>
            </w:r>
            <w:r>
              <w:rPr>
                <w:rFonts w:hint="eastAsia" w:asciiTheme="minorEastAsia" w:hAnsiTheme="minorEastAsia" w:eastAsiaTheme="minorEastAsia"/>
                <w:color w:val="000000"/>
                <w:sz w:val="24"/>
                <w:szCs w:val="24"/>
              </w:rPr>
              <w:t>物业管理企业依照国家有关规定及合同约定的物业管理项目和标准开展工作，</w:t>
            </w:r>
            <w:r>
              <w:rPr>
                <w:rFonts w:hint="eastAsia" w:cs="宋体" w:asciiTheme="minorEastAsia" w:hAnsiTheme="minorEastAsia" w:eastAsiaTheme="minorEastAsia"/>
                <w:sz w:val="24"/>
                <w:szCs w:val="24"/>
              </w:rPr>
              <w:t>建立各类管理制度，包括服务方案、服务质量目标、人员岗位计划、人员培训与待遇、内部管理职责与考核、设备操作规范、安全事故防范方案、项目难点和重点服务措施、维修报请处理及紧急情况应急预案等。</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bCs/>
                <w:sz w:val="24"/>
                <w:szCs w:val="24"/>
              </w:rPr>
              <w:t>员工管理</w:t>
            </w:r>
          </w:p>
          <w:p>
            <w:pPr>
              <w:spacing w:line="360" w:lineRule="auto"/>
              <w:ind w:firstLine="240" w:firstLineChars="100"/>
              <w:rPr>
                <w:rFonts w:cs="宋体" w:asciiTheme="minorEastAsia" w:hAnsiTheme="minorEastAsia" w:eastAsiaTheme="minorEastAsia"/>
                <w:color w:val="FF0000"/>
                <w:sz w:val="24"/>
                <w:szCs w:val="24"/>
              </w:rPr>
            </w:pPr>
            <w:r>
              <w:rPr>
                <w:rFonts w:hint="eastAsia" w:cs="宋体" w:asciiTheme="minorEastAsia" w:hAnsiTheme="minorEastAsia" w:eastAsiaTheme="minorEastAsia"/>
                <w:bCs/>
                <w:sz w:val="24"/>
                <w:szCs w:val="24"/>
              </w:rPr>
              <w:t>（1）员工按岗位要求统一着装，言行规范，要注意仪容仪表、公众形象。</w:t>
            </w:r>
          </w:p>
          <w:p>
            <w:pPr>
              <w:spacing w:line="360" w:lineRule="auto"/>
              <w:ind w:firstLine="240" w:firstLineChars="1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（2）对于不合适或不称职的员工，甲方有权提出调整要求，乙方应及时予以调整。</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4.各岗位拟任职人员要求</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（1）项目经理：</w:t>
            </w:r>
            <w:r>
              <w:rPr>
                <w:rFonts w:hint="eastAsia" w:cs="宋体" w:asciiTheme="minorEastAsia" w:hAnsiTheme="minorEastAsia" w:eastAsiaTheme="minorEastAsia"/>
                <w:bCs/>
                <w:sz w:val="24"/>
                <w:szCs w:val="24"/>
              </w:rPr>
              <w:t>须具有大专以上文化程度，具有物业经理从业人员岗位证书</w:t>
            </w:r>
            <w:r>
              <w:rPr>
                <w:rFonts w:hint="eastAsia" w:cs="宋体" w:asciiTheme="minorEastAsia" w:hAnsiTheme="minorEastAsia" w:eastAsiaTheme="minorEastAsia"/>
                <w:sz w:val="24"/>
                <w:szCs w:val="24"/>
              </w:rPr>
              <w:t>，有较强的组织领导能力和协调能力，年龄45周岁以下。</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（2）部门主管：有2年以上同等职务的履历</w:t>
            </w:r>
            <w:r>
              <w:rPr>
                <w:rFonts w:hint="eastAsia"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asciiTheme="minorEastAsia" w:hAnsiTheme="minorEastAsia" w:eastAsiaTheme="minorEastAsia"/>
                <w:sz w:val="24"/>
                <w:szCs w:val="24"/>
              </w:rPr>
              <w:t>特殊岗位人员：如维修维保岗位人员持有电工操作证；监控兼消防管理人员持有建筑物消防员证</w:t>
            </w:r>
            <w:r>
              <w:rPr>
                <w:rFonts w:hint="eastAsia" w:asciiTheme="minorEastAsia" w:hAnsiTheme="minorEastAsia" w:eastAsiaTheme="minorEastAsia" w:cstheme="minorEastAsia"/>
                <w:sz w:val="24"/>
                <w:szCs w:val="24"/>
              </w:rPr>
              <w:t>。</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（4）普通工作人员符合以下条件</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1）、安全保卫人员：须身心健康，责任心强，五官端正，接受过安全保卫或相关训练，掌握基本安全保卫技能，熟悉有关法律法规，思想品德好，无违法违纪不良记录</w:t>
            </w:r>
            <w:r>
              <w:rPr>
                <w:rFonts w:hint="eastAsia" w:cs="宋体" w:asciiTheme="minorEastAsia" w:hAnsiTheme="minorEastAsia" w:eastAsiaTheme="minorEastAsia"/>
                <w:color w:val="000000"/>
                <w:sz w:val="24"/>
                <w:szCs w:val="24"/>
              </w:rPr>
              <w:t>。</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2）、卫生保洁人员：须身心健康，责任心强，五官端正，接受过保洁或相关训练，掌握基本保洁的技能，熟悉有关法律法规，思想品德好，无违法违纪不良记录。具备相应健康证明，要求年龄50周岁以下。</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3）、维修维保人员：须身心健康，必须持有相关行业颁发的资格证书并具有相关设备的管理经验</w:t>
            </w:r>
            <w:r>
              <w:rPr>
                <w:rFonts w:hint="eastAsia" w:cs="宋体" w:asciiTheme="minorEastAsia" w:hAnsiTheme="minorEastAsia" w:eastAsiaTheme="minorEastAsia"/>
                <w:color w:val="000000"/>
                <w:sz w:val="24"/>
                <w:szCs w:val="24"/>
              </w:rPr>
              <w:t>。</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4）、会务服务人员：须身心健康，具备相关的礼仪知识，服务得体大方。具备相应健康证明，要求年龄40周岁以下。</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5）、绿化养护人员：须身心健康，责任心强，吃苦耐劳，具备相关园林养护知识，要求年龄50岁以下。</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5.物业公司人数编制要求</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（1）管理人员1人，文职人员2人，</w:t>
            </w:r>
            <w:r>
              <w:rPr>
                <w:rFonts w:hint="eastAsia" w:cs="宋体" w:asciiTheme="minorEastAsia" w:hAnsiTheme="minorEastAsia" w:eastAsiaTheme="minorEastAsia"/>
                <w:kern w:val="0"/>
                <w:sz w:val="24"/>
                <w:szCs w:val="24"/>
              </w:rPr>
              <w:t>安保人员4</w:t>
            </w:r>
            <w:r>
              <w:rPr>
                <w:rFonts w:hint="eastAsia" w:cs="宋体" w:asciiTheme="minorEastAsia" w:hAnsiTheme="minorEastAsia" w:eastAsiaTheme="minorEastAsia"/>
                <w:sz w:val="24"/>
                <w:szCs w:val="24"/>
              </w:rPr>
              <w:t>人，保洁及环境卫生8人，维修维保1人，会务服务3人，面点师1人，炖菜师1人，帮厨1人，共计22人</w:t>
            </w:r>
            <w:r>
              <w:rPr>
                <w:rFonts w:hint="eastAsia" w:asciiTheme="minorEastAsia" w:hAnsiTheme="minorEastAsia" w:eastAsiaTheme="minorEastAsia"/>
                <w:sz w:val="24"/>
                <w:szCs w:val="24"/>
              </w:rPr>
              <w:t>（为保证服务质量，所有工作人员必须定岗定人，不得串岗兼职，不得一挑多职）</w:t>
            </w:r>
            <w:r>
              <w:rPr>
                <w:rFonts w:hint="eastAsia" w:cs="宋体"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（2）人员</w:t>
            </w:r>
            <w:r>
              <w:rPr>
                <w:rFonts w:hint="eastAsia" w:cs="宋体" w:asciiTheme="minorEastAsia" w:hAnsiTheme="minorEastAsia" w:eastAsiaTheme="minorEastAsia"/>
                <w:sz w:val="24"/>
                <w:szCs w:val="24"/>
              </w:rPr>
              <w:t>工作日制要求：因物业服务工种的特殊性，</w:t>
            </w:r>
            <w:r>
              <w:rPr>
                <w:rFonts w:hint="eastAsia" w:cs="宋体" w:asciiTheme="minorEastAsia" w:hAnsiTheme="minorEastAsia" w:eastAsiaTheme="minorEastAsia"/>
                <w:color w:val="000000" w:themeColor="text1"/>
                <w:sz w:val="24"/>
                <w:szCs w:val="24"/>
              </w:rPr>
              <w:t>物业服务人员执行每周6天工作制，同时必须确保周末及法定假日有轮岗值班人员</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保证物业管理正常运行,管理要求和服务标准不变。</w:t>
            </w:r>
          </w:p>
        </w:tc>
      </w:tr>
      <w:tr>
        <w:tblPrEx>
          <w:tblCellMar>
            <w:top w:w="0" w:type="dxa"/>
            <w:left w:w="108" w:type="dxa"/>
            <w:bottom w:w="0" w:type="dxa"/>
            <w:right w:w="108" w:type="dxa"/>
          </w:tblCellMar>
        </w:tblPrEx>
        <w:trPr>
          <w:trHeight w:val="49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r>
              <w:rPr>
                <w:rFonts w:hint="eastAsia" w:asciiTheme="minorEastAsia" w:hAnsiTheme="minorEastAsia" w:eastAsiaTheme="minorEastAsia"/>
                <w:sz w:val="24"/>
                <w:szCs w:val="24"/>
                <w:lang w:bidi="lo-LA"/>
              </w:rPr>
              <w:t>*</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五</w:t>
            </w:r>
          </w:p>
        </w:tc>
        <w:tc>
          <w:tcPr>
            <w:tcW w:w="992"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秩序维</w:t>
            </w:r>
          </w:p>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护服务</w:t>
            </w: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1.服务内容</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sz w:val="24"/>
                <w:szCs w:val="24"/>
              </w:rPr>
              <w:t>公共秩序维护。负责办公区正常秩序维护，如制止车辆乱停乱放、超速行车或乱鸣喇叭的行为以及其他各种事项。具体包括：交通秩序管理、消防管理，配合做到防火、防盗、防自然灾害等工作。</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w:t>
            </w:r>
            <w:r>
              <w:rPr>
                <w:rFonts w:hint="eastAsia" w:cs="宋体" w:asciiTheme="minorEastAsia" w:hAnsiTheme="minorEastAsia" w:eastAsiaTheme="minorEastAsia"/>
                <w:sz w:val="24"/>
                <w:szCs w:val="24"/>
              </w:rPr>
              <w:t>紧急事故处理。负责各种突发事件的预防与处理，制定好各类安全事故发生时的紧急处理预案，并在事故发生时第一时间报告有关部门，并对各类事故进行紧急救护处理。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（3）</w:t>
            </w:r>
            <w:r>
              <w:rPr>
                <w:rFonts w:hint="eastAsia" w:cs="宋体" w:asciiTheme="minorEastAsia" w:hAnsiTheme="minorEastAsia" w:eastAsiaTheme="minorEastAsia"/>
                <w:sz w:val="24"/>
                <w:szCs w:val="24"/>
              </w:rPr>
              <w:t>安全法制教育。加强自身工作人员的安全教育与法制教育，提高其安全防范工作能力及法治意识</w:t>
            </w:r>
            <w:bookmarkStart w:id="41" w:name="_GoBack"/>
            <w:bookmarkEnd w:id="41"/>
            <w:r>
              <w:rPr>
                <w:rFonts w:hint="eastAsia" w:cs="宋体" w:asciiTheme="minorEastAsia" w:hAnsiTheme="minorEastAsia" w:eastAsiaTheme="minorEastAsia"/>
                <w:sz w:val="24"/>
                <w:szCs w:val="24"/>
              </w:rPr>
              <w:t>，确保不因自身工作人员原因发生安全事故，并配合甲方进行各类安全教育。</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（4）</w:t>
            </w:r>
            <w:r>
              <w:rPr>
                <w:rFonts w:hint="eastAsia" w:cs="宋体" w:asciiTheme="minorEastAsia" w:hAnsiTheme="minorEastAsia" w:eastAsiaTheme="minorEastAsia"/>
                <w:sz w:val="24"/>
                <w:szCs w:val="24"/>
              </w:rPr>
              <w:t>安全隐患排查。随时排查各类安全隐患，每周定期全面排查一次安全隐患，如发现安全隐患，必须及时报告甲方安全部门，并采取必要安全隐患防范措施。每周定期向甲方安全部门书面报告上周安全隐患排查的情况。</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（5）</w:t>
            </w:r>
            <w:r>
              <w:rPr>
                <w:rFonts w:hint="eastAsia" w:cs="宋体" w:asciiTheme="minorEastAsia" w:hAnsiTheme="minorEastAsia" w:eastAsiaTheme="minorEastAsia"/>
                <w:sz w:val="24"/>
                <w:szCs w:val="24"/>
              </w:rPr>
              <w:t>安全设备管理。建立安全设备管理与巡查制度，定期检查各类安全设施设备，包括道路交通安全防范设施、财产安全防范设施、防护栏网、安全监控系统设备、消防安全设施、供水安全设施、供电安全设施、供暖安全设施、燃气安全设施等；负责安全监控中心、消防监控中心、照明、绿化设施设备、主体建筑外墙瓷砖和墙皮脱落的日常管理。发现上述系统出现故障或故障隐患，须及时向监管部门报告。</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2.服务标准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color w:val="000000"/>
                <w:sz w:val="24"/>
                <w:szCs w:val="24"/>
              </w:rPr>
              <w:t>门卫的保安根据要求对出入大门的车辆、人员、物品进行</w:t>
            </w:r>
            <w:r>
              <w:rPr>
                <w:rFonts w:hint="eastAsia" w:cs="宋体" w:asciiTheme="minorEastAsia" w:hAnsiTheme="minorEastAsia" w:eastAsiaTheme="minorEastAsia"/>
                <w:sz w:val="24"/>
                <w:szCs w:val="24"/>
              </w:rPr>
              <w:t>验证、登记制度，杜绝闲杂人员进入。保证环境秩序良好，道路畅通，车辆停放有序，机动车、自行车停车场秩序井然。</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w:t>
            </w:r>
            <w:r>
              <w:rPr>
                <w:rFonts w:hint="eastAsia" w:cs="宋体" w:asciiTheme="minorEastAsia" w:hAnsiTheme="minorEastAsia" w:eastAsiaTheme="minorEastAsia"/>
                <w:sz w:val="24"/>
                <w:szCs w:val="24"/>
              </w:rPr>
              <w:t>各种消防设施和器材配套合理、更换及时、使用有效。</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（3）</w:t>
            </w:r>
            <w:r>
              <w:rPr>
                <w:rFonts w:hint="eastAsia" w:cs="宋体" w:asciiTheme="minorEastAsia" w:hAnsiTheme="minorEastAsia" w:eastAsiaTheme="minorEastAsia"/>
                <w:sz w:val="24"/>
                <w:szCs w:val="24"/>
              </w:rPr>
              <w:t>确保给水、供电、供暖设施正常使用，发现故障及时报告管理单位。</w:t>
            </w:r>
          </w:p>
          <w:p>
            <w:pPr>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color w:val="000000"/>
                <w:kern w:val="0"/>
                <w:sz w:val="24"/>
                <w:szCs w:val="24"/>
              </w:rPr>
              <w:t>（4）</w:t>
            </w:r>
            <w:r>
              <w:rPr>
                <w:rFonts w:hint="eastAsia" w:cs="宋体" w:asciiTheme="minorEastAsia" w:hAnsiTheme="minorEastAsia" w:eastAsiaTheme="minorEastAsia"/>
                <w:sz w:val="24"/>
                <w:szCs w:val="24"/>
              </w:rPr>
              <w:t>能及时发现和处理各种安全和事故隐患，并能迅速有效处置突发事件。每周至少排查一次主体建筑外墙瓷砖和墙皮是否安全，做好记录，发现安全隐患及时排除，重大情况报告学校。</w:t>
            </w:r>
          </w:p>
        </w:tc>
      </w:tr>
      <w:tr>
        <w:tblPrEx>
          <w:tblCellMar>
            <w:top w:w="0" w:type="dxa"/>
            <w:left w:w="108" w:type="dxa"/>
            <w:bottom w:w="0" w:type="dxa"/>
            <w:right w:w="108" w:type="dxa"/>
          </w:tblCellMar>
        </w:tblPrEx>
        <w:trPr>
          <w:trHeight w:val="9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六</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保洁</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及环</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境卫</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生</w:t>
            </w:r>
          </w:p>
          <w:p>
            <w:pPr>
              <w:jc w:val="center"/>
              <w:rPr>
                <w:rFonts w:cs="宋体" w:asciiTheme="minorEastAsia" w:hAnsiTheme="minorEastAsia" w:eastAsiaTheme="minorEastAsia"/>
                <w:bCs/>
                <w:sz w:val="24"/>
                <w:szCs w:val="24"/>
              </w:rPr>
            </w:pP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1.服务内容</w:t>
            </w:r>
          </w:p>
          <w:p>
            <w:pPr>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（1）公共区域保洁。负责做好所有的露天地面及楼内外公共区域的保洁与管理，办公室、办案工作区及所有会议室的室内保洁。</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清运消毒。负责做好环境卫生、下水道的清淤处理，垃圾每天清运到指定地点，并和环卫部门协调，及时清理运送垃圾。负责除“四害”及卫生消毒工作；在流行性传染病高发期或爆发期要严格按有关部门要求组织消毒。</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2.服务标准</w:t>
            </w:r>
          </w:p>
          <w:tbl>
            <w:tblPr>
              <w:tblStyle w:val="42"/>
              <w:tblpPr w:leftFromText="180" w:rightFromText="180" w:vertAnchor="text" w:horzAnchor="page" w:tblpX="-93" w:tblpY="425"/>
              <w:tblOverlap w:val="never"/>
              <w:tblW w:w="6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2158"/>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工作项目</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作业频率</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质量标准</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保洁率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楼道清洁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每日清扫两次，清运垃圾两次，每日拖抹两次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无杂物、黑尘、蜘蛛网，无乱贴广告，无乱堆放，挂墙设施、扶手无尘，地面无拖痕</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公用厕所清洁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每日清扫两次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无杂物、黑尘、蜘蛛网，无乱贴广告，无乱堆放，挂墙设施、扶手无尘，地面无拖痕、异味</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室内保洁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每日清扫一到二次，清垃圾一次。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无杂物，无灰尘，干净整洁</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楼梯扶手、栏杆的清洁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扶手每日擦抹二次，栏杆每日擦抹一次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无黑尘、污迹、蜘蛛网、死角</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大厅清洁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每日拖扫两次，每月打磨一次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无垃圾杂物，无泥沙、污渍、黑尘、拖痕，无卫生死角</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  梯</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每日拖扫、擦抹二次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无垃圾杂物，无泥沙、无灰尘，干净整洁</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墙面、开关按钮清洁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每周二次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无广告纸、蜘蛛网、积尘、污迹等</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电子门、信报箱清洁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每日擦抹一次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无黑尘、污迹等</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消防栓、消防管道、配电箱等清洁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每周二次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无蜘蛛网，无积尘、污迹等</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灯具清洁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外抹每月二次，内抹每月一次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灯具、灯管无灰尘，灯具内无蚊虫，灯盖、灯罩无蜘蛛网，保持明亮洁净</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宣传栏、标识牌不锈钢表面清洁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宣传栏、标识牌每日清洁一次，不锈钢表面每日一次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宣传栏、标识牌无污迹、斑点、积尘，表面光亮可映出人形</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天台清洁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每周一次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无垃圾、积水、杂物、堵塞</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停车场清洁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每日二次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无垃圾、果皮、纸屑、杂物、灰尘、积水</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公共场地和马路的清洁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每日二次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无泥沙、垃圾杂物、积水、污迹、杂草</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垃圾池、垃圾桶的清洁</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每日一次清扫，每周一次消杀</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无滴水、蚊虫孳生、异味、污迹、张帖广告</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排水沟、排污管、污水井、楼宇内公共区域消杀</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每月一次</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少蚊、蝇、蟑螂，无鼠</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2076"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建筑物楼顶</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每月一次，多雨季节不定期检查</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无积水，无堵塞</w:t>
                  </w:r>
                </w:p>
              </w:tc>
              <w:tc>
                <w:tcPr>
                  <w:tcW w:w="1312" w:type="dxa"/>
                  <w:tcBorders>
                    <w:top w:val="single" w:color="auto" w:sz="4" w:space="0"/>
                    <w:left w:val="single" w:color="auto" w:sz="4" w:space="0"/>
                    <w:bottom w:val="single" w:color="auto" w:sz="4" w:space="0"/>
                    <w:right w:val="single" w:color="auto" w:sz="4" w:space="0"/>
                  </w:tcBorders>
                  <w:vAlign w:val="center"/>
                </w:tcPr>
                <w:p>
                  <w:pPr>
                    <w:spacing w:line="4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99%</w:t>
                  </w:r>
                </w:p>
              </w:tc>
            </w:tr>
          </w:tbl>
          <w:p>
            <w:pPr>
              <w:spacing w:line="360" w:lineRule="auto"/>
              <w:rPr>
                <w:rFonts w:cs="宋体" w:asciiTheme="minorEastAsia" w:hAnsiTheme="minorEastAsia" w:eastAsiaTheme="minorEastAsia"/>
                <w:sz w:val="24"/>
                <w:szCs w:val="24"/>
              </w:rPr>
            </w:pPr>
          </w:p>
        </w:tc>
      </w:tr>
      <w:tr>
        <w:tblPrEx>
          <w:tblCellMar>
            <w:top w:w="0" w:type="dxa"/>
            <w:left w:w="108" w:type="dxa"/>
            <w:bottom w:w="0" w:type="dxa"/>
            <w:right w:w="108" w:type="dxa"/>
          </w:tblCellMar>
        </w:tblPrEx>
        <w:trPr>
          <w:trHeight w:val="631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七</w:t>
            </w:r>
          </w:p>
        </w:tc>
        <w:tc>
          <w:tcPr>
            <w:tcW w:w="992"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公共设施设备维护与管理</w:t>
            </w: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1.管理内容</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（1）负责水、电、暖、气、</w:t>
            </w:r>
            <w:r>
              <w:rPr>
                <w:rFonts w:hint="eastAsia" w:cs="宋体" w:asciiTheme="minorEastAsia" w:hAnsiTheme="minorEastAsia" w:eastAsiaTheme="minorEastAsia"/>
                <w:bCs/>
                <w:sz w:val="24"/>
                <w:szCs w:val="24"/>
              </w:rPr>
              <w:t>饮水机</w:t>
            </w:r>
            <w:r>
              <w:rPr>
                <w:rFonts w:hint="eastAsia" w:cs="宋体" w:asciiTheme="minorEastAsia" w:hAnsiTheme="minorEastAsia" w:eastAsiaTheme="minorEastAsia"/>
                <w:sz w:val="24"/>
                <w:szCs w:val="24"/>
              </w:rPr>
              <w:t>等公共配套设施设备的维修、管理，包括门窗、室内外照明、给排水等零星维修和维护。</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消防系统、供配电系统、空调、电梯等各类公共设施的日常运行维护与管理，保障其正常运行或处于良好的备用状态。质保期内的大型设施设备的定期专业维保（维修由厂家负责），乙方负责日常监督检查，发现问题及时报告，由甲方联系厂家维修，质保期后配合甲方选择优秀的维保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（3）监控系统、消防系统（含器材）的更新或增加由甲方负责，乙方负责日常运行维护。</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（4）负责定期对各类公共设施进行检查并作记录，每月向甲方后勤部门书面报告一次公共设施设备的使用情况。</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（5）</w:t>
            </w:r>
            <w:r>
              <w:rPr>
                <w:rFonts w:hint="eastAsia" w:asciiTheme="minorEastAsia" w:hAnsiTheme="minorEastAsia" w:eastAsiaTheme="minorEastAsia"/>
                <w:sz w:val="24"/>
                <w:szCs w:val="24"/>
              </w:rPr>
              <w:t>公共区域的日常小型维修、</w:t>
            </w:r>
            <w:r>
              <w:rPr>
                <w:rFonts w:hint="eastAsia" w:cs="宋体" w:asciiTheme="minorEastAsia" w:hAnsiTheme="minorEastAsia" w:eastAsiaTheme="minorEastAsia"/>
                <w:sz w:val="24"/>
                <w:szCs w:val="24"/>
              </w:rPr>
              <w:t>零星配件及耗材费用（不包括大、中型修缮和改造）</w:t>
            </w:r>
            <w:r>
              <w:rPr>
                <w:rFonts w:hint="eastAsia" w:asciiTheme="minorEastAsia" w:hAnsiTheme="minorEastAsia" w:eastAsiaTheme="minorEastAsia"/>
                <w:sz w:val="24"/>
                <w:szCs w:val="24"/>
              </w:rPr>
              <w:t>,</w:t>
            </w:r>
            <w:r>
              <w:rPr>
                <w:rFonts w:hint="eastAsia" w:cs="宋体" w:asciiTheme="minorEastAsia" w:hAnsiTheme="minorEastAsia" w:eastAsiaTheme="minorEastAsia"/>
                <w:sz w:val="24"/>
                <w:szCs w:val="24"/>
              </w:rPr>
              <w:t xml:space="preserve"> 单价</w:t>
            </w:r>
            <w:r>
              <w:rPr>
                <w:rFonts w:hint="eastAsia" w:asciiTheme="minorEastAsia" w:hAnsiTheme="minorEastAsia" w:eastAsiaTheme="minorEastAsia"/>
                <w:sz w:val="24"/>
                <w:szCs w:val="24"/>
              </w:rPr>
              <w:t>在200元以内(含)由物业公司承担,</w:t>
            </w:r>
            <w:r>
              <w:rPr>
                <w:rFonts w:hint="eastAsia" w:cs="宋体" w:asciiTheme="minorEastAsia" w:hAnsiTheme="minorEastAsia" w:eastAsiaTheme="minorEastAsia"/>
                <w:sz w:val="24"/>
                <w:szCs w:val="24"/>
              </w:rPr>
              <w:t xml:space="preserve"> 超过</w:t>
            </w:r>
            <w:r>
              <w:rPr>
                <w:rFonts w:hint="eastAsia" w:asciiTheme="minorEastAsia" w:hAnsiTheme="minorEastAsia" w:eastAsiaTheme="minorEastAsia"/>
                <w:sz w:val="24"/>
                <w:szCs w:val="24"/>
              </w:rPr>
              <w:t>200元以上由甲方承担。</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（6）制定详细的公共设施日常维修计划及实施方案。</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2.管理标准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(1)公共设备维修养护服务标准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1）、建立完善的质量保证体系，提供切实可行的运行管理、维护保养、维修实施方案和各种措施。</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2）、制定设备安全运行管理、岗位责任制、定期巡视检查、操作规程及监督检查制度，建立岗位责任制，并严格执行。做到科学管理，正确使用，精心维护，备齐备件，及时维修。</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3）、建立安全检查制度，对所有服务区域设备设施进行日常安全巡检和定期安全检查，并记录备查。实行24小时值班制度，保证设备良好，运行正常，无重大管理责任事故。</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4）、设备及运行泵房、机房等环境整洁，无杂物、灰尘、无鼠虫害发生。</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5）、所需各种专业技术人员配备齐全、维修和操作人员持证上岗。有解决各类故障和事件的能力。</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6）、建立设备台账和档案，项目齐全，目录清晰，设备图纸档案、技术资料齐全，管理完善，可随时查阅。</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w:t>
            </w:r>
            <w:r>
              <w:rPr>
                <w:rFonts w:hint="eastAsia" w:cs="宋体" w:asciiTheme="minorEastAsia" w:hAnsiTheme="minorEastAsia" w:eastAsiaTheme="minorEastAsia"/>
                <w:sz w:val="24"/>
                <w:szCs w:val="24"/>
              </w:rPr>
              <w:t>公共设施维修养护具体服务标准如下</w:t>
            </w:r>
          </w:p>
          <w:tbl>
            <w:tblPr>
              <w:tblStyle w:val="42"/>
              <w:tblpPr w:leftFromText="180" w:rightFromText="180" w:vertAnchor="text" w:horzAnchor="page" w:tblpX="-38" w:tblpY="272"/>
              <w:tblOverlap w:val="never"/>
              <w:tblW w:w="6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730"/>
              <w:gridCol w:w="1646"/>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序号</w:t>
                  </w:r>
                </w:p>
              </w:tc>
              <w:tc>
                <w:tcPr>
                  <w:tcW w:w="7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项目</w:t>
                  </w:r>
                </w:p>
              </w:tc>
              <w:tc>
                <w:tcPr>
                  <w:tcW w:w="1646"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内容</w:t>
                  </w:r>
                </w:p>
              </w:tc>
              <w:tc>
                <w:tcPr>
                  <w:tcW w:w="40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trPr>
              <w:tc>
                <w:tcPr>
                  <w:tcW w:w="415"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730" w:type="dxa"/>
                  <w:tcBorders>
                    <w:top w:val="single" w:color="auto" w:sz="4" w:space="0"/>
                    <w:left w:val="single" w:color="auto" w:sz="4" w:space="0"/>
                    <w:bottom w:val="single" w:color="auto" w:sz="4" w:space="0"/>
                    <w:right w:val="single" w:color="auto" w:sz="4" w:space="0"/>
                  </w:tcBorders>
                  <w:textDirection w:val="tbRlV"/>
                  <w:vAlign w:val="center"/>
                </w:tcPr>
                <w:p>
                  <w:pPr>
                    <w:spacing w:line="340" w:lineRule="exact"/>
                    <w:ind w:right="113"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日常零星维修</w:t>
                  </w:r>
                </w:p>
              </w:tc>
              <w:tc>
                <w:tcPr>
                  <w:tcW w:w="1646"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1、门窗养护维修</w:t>
                  </w:r>
                </w:p>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2、墙台面及天花板养护维修</w:t>
                  </w:r>
                </w:p>
              </w:tc>
              <w:tc>
                <w:tcPr>
                  <w:tcW w:w="4008"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办公楼内外墙面、天花板、门窗的完好和正常使用；及时完成各项零星维修任务，零修合格率100%。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7" w:hRule="atLeast"/>
              </w:trPr>
              <w:tc>
                <w:tcPr>
                  <w:tcW w:w="415"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730" w:type="dxa"/>
                  <w:tcBorders>
                    <w:top w:val="single" w:color="auto" w:sz="4" w:space="0"/>
                    <w:left w:val="single" w:color="auto" w:sz="4" w:space="0"/>
                    <w:bottom w:val="single" w:color="auto" w:sz="4" w:space="0"/>
                    <w:right w:val="single" w:color="auto" w:sz="4" w:space="0"/>
                  </w:tcBorders>
                  <w:textDirection w:val="tbRlV"/>
                  <w:vAlign w:val="center"/>
                </w:tcPr>
                <w:p>
                  <w:pPr>
                    <w:spacing w:line="340" w:lineRule="exact"/>
                    <w:ind w:left="112" w:leftChars="40" w:right="113" w:firstLine="1440" w:firstLineChars="6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给排水设备运行维护管理</w:t>
                  </w:r>
                </w:p>
              </w:tc>
              <w:tc>
                <w:tcPr>
                  <w:tcW w:w="1646" w:type="dxa"/>
                  <w:tcBorders>
                    <w:top w:val="single" w:color="auto" w:sz="4" w:space="0"/>
                    <w:left w:val="single" w:color="auto" w:sz="4" w:space="0"/>
                    <w:bottom w:val="single" w:color="auto" w:sz="4" w:space="0"/>
                    <w:right w:val="single" w:color="auto" w:sz="4" w:space="0"/>
                  </w:tcBorders>
                  <w:vAlign w:val="center"/>
                </w:tcPr>
                <w:p>
                  <w:pPr>
                    <w:tabs>
                      <w:tab w:val="left" w:pos="360"/>
                    </w:tabs>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1、给排水管道养护维修</w:t>
                  </w:r>
                </w:p>
                <w:p>
                  <w:pPr>
                    <w:tabs>
                      <w:tab w:val="left" w:pos="360"/>
                    </w:tabs>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2、水泵、水箱、阀门等设备设施养护维修</w:t>
                  </w:r>
                </w:p>
                <w:p>
                  <w:pPr>
                    <w:tabs>
                      <w:tab w:val="left" w:pos="360"/>
                    </w:tabs>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3、水泵房及机电设备的养护维修</w:t>
                  </w:r>
                </w:p>
                <w:p>
                  <w:pPr>
                    <w:tabs>
                      <w:tab w:val="left" w:pos="360"/>
                    </w:tabs>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4、给排水检查井养护维修</w:t>
                  </w:r>
                </w:p>
                <w:p>
                  <w:pPr>
                    <w:tabs>
                      <w:tab w:val="left" w:pos="360"/>
                    </w:tabs>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5、沟渠池井的检查</w:t>
                  </w:r>
                </w:p>
              </w:tc>
              <w:tc>
                <w:tcPr>
                  <w:tcW w:w="4008"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保证给排水系统正常运行使用。防止跑、冒、滴、漏。对供水系统管路、水泵、水箱、阀门等进行日常维护和定期检修。定期对水泵房及机电设备进行检查、保养、维修、清洁；定期对排水管进行清通、养护及清除污垢，保证室内外排水系统通畅；建立24小时运行维修值班制度，及时清理排水井和排水沟渠淤泥、杂物。及时发现并解决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7" w:hRule="atLeast"/>
              </w:trPr>
              <w:tc>
                <w:tcPr>
                  <w:tcW w:w="415"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73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40" w:lineRule="exact"/>
                    <w:ind w:left="112" w:leftChars="40" w:right="113" w:firstLine="1440" w:firstLineChars="6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供配电设备运行维护管理</w:t>
                  </w:r>
                </w:p>
              </w:tc>
              <w:tc>
                <w:tcPr>
                  <w:tcW w:w="1646"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供配电设备运行维护管理</w:t>
                  </w:r>
                </w:p>
              </w:tc>
              <w:tc>
                <w:tcPr>
                  <w:tcW w:w="4008"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供电范围内的电气设备定期巡视维护和重点检测，建立各项设备档案（包括电气平面图、设备管理图、接线图等图样），做到安全、合理、节约用电；建立严格的配送电运行制度、电气维修制度和配电房管理制度，供电运行和维修人员必须持证上岗；建立24小时运行维修值班制度，及时排除故障；加强日常维护检修，公共使用的照明灯具、线路、开关保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sz w:val="24"/>
                      <w:szCs w:val="24"/>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sz w:val="24"/>
                      <w:szCs w:val="24"/>
                    </w:rPr>
                  </w:pPr>
                </w:p>
              </w:tc>
              <w:tc>
                <w:tcPr>
                  <w:tcW w:w="1646"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室内外照明和效果灯光工程系统维护管理</w:t>
                  </w:r>
                </w:p>
              </w:tc>
              <w:tc>
                <w:tcPr>
                  <w:tcW w:w="4008"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加强日常检查巡视，及时更换灯具光源，确保节日灯光的正常使用；定期检测，发现故障及时维修，零修及时率达到100%，小修不过夜。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9" w:hRule="atLeast"/>
              </w:trPr>
              <w:tc>
                <w:tcPr>
                  <w:tcW w:w="415"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730" w:type="dxa"/>
                  <w:tcBorders>
                    <w:top w:val="single" w:color="auto" w:sz="4" w:space="0"/>
                    <w:left w:val="single" w:color="auto" w:sz="4" w:space="0"/>
                    <w:bottom w:val="single" w:color="auto" w:sz="4" w:space="0"/>
                    <w:right w:val="single" w:color="auto" w:sz="4" w:space="0"/>
                  </w:tcBorders>
                  <w:textDirection w:val="tbRlV"/>
                  <w:vAlign w:val="center"/>
                </w:tcPr>
                <w:p>
                  <w:pPr>
                    <w:widowControl/>
                    <w:ind w:left="112" w:leftChars="40" w:right="113" w:firstLine="3720" w:firstLineChars="155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饮水设备</w:t>
                  </w:r>
                </w:p>
              </w:tc>
              <w:tc>
                <w:tcPr>
                  <w:tcW w:w="1646" w:type="dxa"/>
                  <w:tcBorders>
                    <w:top w:val="single" w:color="auto" w:sz="4" w:space="0"/>
                    <w:left w:val="single" w:color="auto" w:sz="4" w:space="0"/>
                    <w:bottom w:val="single" w:color="auto" w:sz="4" w:space="0"/>
                    <w:right w:val="single" w:color="auto" w:sz="4" w:space="0"/>
                  </w:tcBorders>
                  <w:vAlign w:val="center"/>
                </w:tcPr>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热水器操作和保养管理</w:t>
                  </w:r>
                </w:p>
              </w:tc>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1.服务内容</w:t>
                  </w:r>
                </w:p>
                <w:p>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（1）负责饮水设备的安全运行与管理，保证按时按点供应开水。</w:t>
                  </w:r>
                </w:p>
                <w:p>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（2）保证餐厅的热水供给。</w:t>
                  </w:r>
                </w:p>
                <w:p>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（3）对饮水设备维护保养，按时维修，做到节水、节电。</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（4）负责饮水房的管理与卫生清洁工作。</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2.管理标准</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sz w:val="24"/>
                      <w:szCs w:val="24"/>
                    </w:rPr>
                    <w:t>建立严格的热水器运行制度和安全管理规定。</w:t>
                  </w:r>
                </w:p>
                <w:p>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w:t>
                  </w:r>
                  <w:r>
                    <w:rPr>
                      <w:rFonts w:hint="eastAsia" w:cs="宋体" w:asciiTheme="minorEastAsia" w:hAnsiTheme="minorEastAsia" w:eastAsiaTheme="minorEastAsia"/>
                      <w:sz w:val="24"/>
                      <w:szCs w:val="24"/>
                    </w:rPr>
                    <w:t>加强日常维护检修，确保设施设备的正常使用。</w:t>
                  </w:r>
                </w:p>
              </w:tc>
            </w:tr>
          </w:tbl>
          <w:p>
            <w:pPr>
              <w:spacing w:line="360" w:lineRule="auto"/>
              <w:rPr>
                <w:rFonts w:cs="宋体" w:asciiTheme="minorEastAsia" w:hAnsiTheme="minorEastAsia" w:eastAsiaTheme="minorEastAsia"/>
                <w:sz w:val="24"/>
                <w:szCs w:val="24"/>
              </w:rPr>
            </w:pPr>
          </w:p>
        </w:tc>
      </w:tr>
      <w:tr>
        <w:tblPrEx>
          <w:tblCellMar>
            <w:top w:w="0" w:type="dxa"/>
            <w:left w:w="108" w:type="dxa"/>
            <w:bottom w:w="0" w:type="dxa"/>
            <w:right w:w="108" w:type="dxa"/>
          </w:tblCellMar>
        </w:tblPrEx>
        <w:trPr>
          <w:trHeight w:val="424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sz w:val="24"/>
                <w:szCs w:val="24"/>
              </w:rPr>
            </w:pPr>
          </w:p>
          <w:p>
            <w:pPr>
              <w:jc w:val="center"/>
              <w:rPr>
                <w:rFonts w:cs="宋体" w:asciiTheme="minorEastAsia" w:hAnsiTheme="minorEastAsia" w:eastAsiaTheme="minorEastAsia"/>
                <w:bCs/>
                <w:sz w:val="24"/>
                <w:szCs w:val="24"/>
              </w:rPr>
            </w:pPr>
          </w:p>
        </w:tc>
        <w:tc>
          <w:tcPr>
            <w:tcW w:w="6804" w:type="dxa"/>
            <w:tcBorders>
              <w:top w:val="single" w:color="auto" w:sz="4" w:space="0"/>
              <w:left w:val="nil"/>
              <w:bottom w:val="single" w:color="auto" w:sz="4" w:space="0"/>
              <w:right w:val="single" w:color="auto" w:sz="4" w:space="0"/>
            </w:tcBorders>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1.服务内容</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（1）负责办公楼卫生区域的设施设备以及办公楼内公共财产，保持良好的环境卫生、休息秩序等生活环境。</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（2）按照甲方的有关要求，开展定期和不定期的安全检查，做好防火、防盗的安全宣传工作。</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2.管理标准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（1)必须有一支有修养、素质高的卫生保洁队伍，有较强的做好工作的意识。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（2）优化服务意识，抓好文化建设，做好检查记录工作。要求有一定的处理突发事件的能力。</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（3）管理秩序良好、纪律严明、人财物安全，无任何事故。</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（4）</w:t>
            </w:r>
            <w:r>
              <w:rPr>
                <w:rFonts w:hint="eastAsia" w:cs="宋体" w:asciiTheme="minorEastAsia" w:hAnsiTheme="minorEastAsia" w:eastAsiaTheme="minorEastAsia"/>
                <w:sz w:val="24"/>
                <w:szCs w:val="24"/>
              </w:rPr>
              <w:t>公共区域卫生要求如下</w:t>
            </w:r>
          </w:p>
        </w:tc>
      </w:tr>
      <w:tr>
        <w:tblPrEx>
          <w:tblCellMar>
            <w:top w:w="0" w:type="dxa"/>
            <w:left w:w="108" w:type="dxa"/>
            <w:bottom w:w="0" w:type="dxa"/>
            <w:right w:w="108" w:type="dxa"/>
          </w:tblCellMar>
        </w:tblPrEx>
        <w:trPr>
          <w:trHeight w:val="69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八</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会务</w:t>
            </w:r>
          </w:p>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bCs/>
                <w:color w:val="000000"/>
                <w:sz w:val="24"/>
                <w:szCs w:val="24"/>
              </w:rPr>
              <w:t>服务</w:t>
            </w:r>
          </w:p>
        </w:tc>
        <w:tc>
          <w:tcPr>
            <w:tcW w:w="6804" w:type="dxa"/>
            <w:tcBorders>
              <w:top w:val="single" w:color="auto" w:sz="4" w:space="0"/>
              <w:left w:val="nil"/>
              <w:bottom w:val="single" w:color="auto" w:sz="4" w:space="0"/>
              <w:right w:val="single" w:color="auto" w:sz="4" w:space="0"/>
            </w:tcBorders>
          </w:tcPr>
          <w:p>
            <w:pPr>
              <w:spacing w:line="360" w:lineRule="auto"/>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服务内容</w:t>
            </w:r>
          </w:p>
          <w:p>
            <w:pPr>
              <w:spacing w:line="360" w:lineRule="auto"/>
              <w:ind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负责所有会议、参观及接待的各项服务工作；负责办公楼所有会议室的清洁及服务工作；做好会议服务准备，保证24小时业主会议服务要求。具体如下：</w:t>
            </w:r>
          </w:p>
          <w:p>
            <w:pPr>
              <w:spacing w:line="360" w:lineRule="auto"/>
              <w:ind w:firstLine="360" w:firstLineChars="15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r>
              <w:rPr>
                <w:rFonts w:hint="eastAsia" w:cs="宋体" w:asciiTheme="minorEastAsia" w:hAnsiTheme="minorEastAsia" w:eastAsiaTheme="minorEastAsia"/>
                <w:color w:val="000000"/>
                <w:sz w:val="24"/>
                <w:szCs w:val="24"/>
              </w:rPr>
              <w:t>会前、会中、会后等常规服务。</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w:t>
            </w:r>
            <w:r>
              <w:rPr>
                <w:rFonts w:hint="eastAsia" w:cs="宋体" w:asciiTheme="minorEastAsia" w:hAnsiTheme="minorEastAsia" w:eastAsiaTheme="minorEastAsia"/>
                <w:color w:val="000000"/>
                <w:sz w:val="24"/>
                <w:szCs w:val="24"/>
              </w:rPr>
              <w:t>会议用品洗消服务（要符合卫生防疫规范标准和要求）。</w:t>
            </w:r>
          </w:p>
        </w:tc>
      </w:tr>
      <w:tr>
        <w:tblPrEx>
          <w:tblCellMar>
            <w:top w:w="0" w:type="dxa"/>
            <w:left w:w="108" w:type="dxa"/>
            <w:bottom w:w="0" w:type="dxa"/>
            <w:right w:w="108" w:type="dxa"/>
          </w:tblCellMar>
        </w:tblPrEx>
        <w:trPr>
          <w:trHeight w:val="69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九</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绿化</w:t>
            </w:r>
          </w:p>
          <w:p>
            <w:pPr>
              <w:spacing w:line="360" w:lineRule="auto"/>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养护</w:t>
            </w:r>
          </w:p>
        </w:tc>
        <w:tc>
          <w:tcPr>
            <w:tcW w:w="6804" w:type="dxa"/>
            <w:tcBorders>
              <w:top w:val="single" w:color="auto" w:sz="4" w:space="0"/>
              <w:left w:val="nil"/>
              <w:bottom w:val="single" w:color="auto" w:sz="4" w:space="0"/>
              <w:right w:val="single" w:color="auto" w:sz="4" w:space="0"/>
            </w:tcBorders>
          </w:tcPr>
          <w:p>
            <w:pPr>
              <w:spacing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服务内容及要求</w:t>
            </w:r>
          </w:p>
          <w:p>
            <w:pPr>
              <w:spacing w:line="360" w:lineRule="auto"/>
              <w:ind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全面负责花草树木的修剪、浇水、杀虫、施肥及铲除杂草等作业。</w:t>
            </w:r>
          </w:p>
        </w:tc>
      </w:tr>
      <w:tr>
        <w:tblPrEx>
          <w:tblCellMar>
            <w:top w:w="0" w:type="dxa"/>
            <w:left w:w="108" w:type="dxa"/>
            <w:bottom w:w="0" w:type="dxa"/>
            <w:right w:w="108" w:type="dxa"/>
          </w:tblCellMar>
        </w:tblPrEx>
        <w:trPr>
          <w:trHeight w:val="69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r>
              <w:rPr>
                <w:rFonts w:hint="eastAsia" w:asciiTheme="minorEastAsia" w:hAnsiTheme="minorEastAsia" w:eastAsiaTheme="minorEastAsia"/>
                <w:sz w:val="24"/>
                <w:szCs w:val="24"/>
                <w:lang w:bidi="lo-LA"/>
              </w:rPr>
              <w:t>*</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十</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费用</w:t>
            </w:r>
          </w:p>
          <w:p>
            <w:pPr>
              <w:spacing w:line="360" w:lineRule="auto"/>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界定</w:t>
            </w: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1.甲方负责费用</w:t>
            </w:r>
          </w:p>
          <w:p>
            <w:pPr>
              <w:spacing w:line="360" w:lineRule="auto"/>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特种设备及大型设备的维保：智能系统、会议灯光音响系统、安全监控系统等特种设备和大型设备由采购方委托给专业维保公司负责专业维保，物业管理服务方建立运行检查制度并进行日常运行管理，发现故障及时配合甲方联系维保方维修，需定期检测和年检的设备配合甲方督促维保方定期年检。</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（1）生活水池清洗及水质检查。</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（2）外围垃圾桶、垃圾车，生活垃圾外运及化粪池清理费用。</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（3）负担水、电、暖、气等能源费用。</w:t>
            </w:r>
          </w:p>
          <w:p>
            <w:pPr>
              <w:spacing w:line="360" w:lineRule="auto"/>
              <w:ind w:firstLine="360" w:firstLineChars="150"/>
              <w:rPr>
                <w:rFonts w:cs="宋体" w:asciiTheme="minorEastAsia" w:hAnsiTheme="minorEastAsia" w:eastAsiaTheme="minorEastAsia"/>
                <w:sz w:val="24"/>
                <w:szCs w:val="24"/>
              </w:rPr>
            </w:pPr>
            <w:r>
              <w:rPr>
                <w:rFonts w:hint="eastAsia" w:asciiTheme="minorEastAsia" w:hAnsiTheme="minorEastAsia" w:eastAsiaTheme="minorEastAsia"/>
                <w:sz w:val="24"/>
                <w:szCs w:val="24"/>
              </w:rPr>
              <w:t>2．乙方负责费用</w:t>
            </w:r>
          </w:p>
          <w:p>
            <w:pPr>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（1）根据劳动法、合同法及其相关法律法规的规定缴纳或发放员工工资、社会保险费、工会经费、残疾人保障金、福利费、税费等。</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（2）保洁工具及日常维修材料费（200元以内）、员工服装及劳保费、办公费等。</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（3）电梯、中央空调、消防系统维护、保养、清洁、年检费用等。</w:t>
            </w:r>
          </w:p>
          <w:p>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（4）合同履行期间，</w:t>
            </w:r>
            <w:r>
              <w:rPr>
                <w:rFonts w:hint="eastAsia" w:asciiTheme="minorEastAsia" w:hAnsiTheme="minorEastAsia" w:eastAsiaTheme="minorEastAsia"/>
                <w:color w:val="000000"/>
                <w:sz w:val="24"/>
                <w:szCs w:val="24"/>
              </w:rPr>
              <w:t>因劳动操作不规范或因突发疾病而导致的伤残或人身伤亡事故的赔偿。</w:t>
            </w:r>
          </w:p>
          <w:p>
            <w:pPr>
              <w:ind w:firstLine="360" w:firstLineChars="15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（5）因管理不善，提供服务人员措施不当造成财产损失而产生的费用等。</w:t>
            </w:r>
          </w:p>
        </w:tc>
      </w:tr>
      <w:tr>
        <w:tblPrEx>
          <w:tblCellMar>
            <w:top w:w="0" w:type="dxa"/>
            <w:left w:w="108" w:type="dxa"/>
            <w:bottom w:w="0" w:type="dxa"/>
            <w:right w:w="108" w:type="dxa"/>
          </w:tblCellMar>
        </w:tblPrEx>
        <w:trPr>
          <w:trHeight w:val="69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sz w:val="24"/>
                <w:szCs w:val="24"/>
                <w:lang w:bidi="lo-LA"/>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24"/>
                <w:szCs w:val="24"/>
                <w:lang w:bidi="lo-LA"/>
              </w:rPr>
            </w:pPr>
            <w:r>
              <w:rPr>
                <w:rFonts w:hint="eastAsia" w:asciiTheme="minorEastAsia" w:hAnsiTheme="minorEastAsia" w:eastAsiaTheme="minorEastAsia"/>
                <w:kern w:val="0"/>
                <w:sz w:val="24"/>
                <w:szCs w:val="24"/>
                <w:lang w:bidi="lo-LA"/>
              </w:rPr>
              <w:t>十一</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其它服务和说明</w:t>
            </w:r>
          </w:p>
        </w:tc>
        <w:tc>
          <w:tcPr>
            <w:tcW w:w="6804" w:type="dxa"/>
            <w:tcBorders>
              <w:top w:val="single" w:color="auto" w:sz="4" w:space="0"/>
              <w:left w:val="nil"/>
              <w:bottom w:val="single" w:color="auto" w:sz="4" w:space="0"/>
              <w:right w:val="single" w:color="auto" w:sz="4" w:space="0"/>
            </w:tcBorders>
          </w:tcPr>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1.甲方遇重大活动，物业公司要无偿提供协助及服务，包括会场布置及会场卫生服务工作和安全保卫等。</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asciiTheme="minorEastAsia" w:hAnsiTheme="minorEastAsia" w:eastAsiaTheme="minorEastAsia"/>
                <w:kern w:val="0"/>
                <w:sz w:val="24"/>
                <w:szCs w:val="24"/>
              </w:rPr>
              <w:t>物业公司负责登记接收</w:t>
            </w:r>
            <w:r>
              <w:rPr>
                <w:rFonts w:hint="eastAsia" w:asciiTheme="minorEastAsia" w:hAnsiTheme="minorEastAsia" w:eastAsiaTheme="minorEastAsia"/>
                <w:sz w:val="24"/>
                <w:szCs w:val="24"/>
              </w:rPr>
              <w:t>报纸、各类普通邮件（平信、明信片、汇款单、包裹单等）的收发管理及公共区域钥匙的管理。</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3.物业档案资料的建立与管理。</w:t>
            </w:r>
          </w:p>
          <w:p>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4.属于物业管理的其它工作事项。</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5.甲方提供物业管理办公用房,不提供员工住宿用房。</w:t>
            </w:r>
          </w:p>
        </w:tc>
      </w:tr>
      <w:tr>
        <w:tblPrEx>
          <w:tblCellMar>
            <w:top w:w="0" w:type="dxa"/>
            <w:left w:w="108" w:type="dxa"/>
            <w:bottom w:w="0" w:type="dxa"/>
            <w:right w:w="108" w:type="dxa"/>
          </w:tblCellMar>
        </w:tblPrEx>
        <w:trPr>
          <w:trHeight w:val="493" w:hRule="atLeast"/>
          <w:jc w:val="center"/>
        </w:trPr>
        <w:tc>
          <w:tcPr>
            <w:tcW w:w="9073" w:type="dxa"/>
            <w:gridSpan w:val="4"/>
            <w:tcBorders>
              <w:top w:val="single" w:color="auto" w:sz="4" w:space="0"/>
              <w:left w:val="single" w:color="auto" w:sz="4" w:space="0"/>
              <w:bottom w:val="single" w:color="auto" w:sz="4" w:space="0"/>
              <w:right w:val="single" w:color="auto" w:sz="4" w:space="0"/>
            </w:tcBorders>
          </w:tcPr>
          <w:p>
            <w:pPr>
              <w:widowControl/>
              <w:spacing w:line="360" w:lineRule="auto"/>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注：1.“参数性质”标“*”表示此要求为主要服务指标。</w:t>
            </w:r>
          </w:p>
          <w:p>
            <w:pPr>
              <w:widowControl/>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sz w:val="24"/>
                <w:szCs w:val="24"/>
              </w:rPr>
              <w:t>2.</w:t>
            </w:r>
            <w:r>
              <w:rPr>
                <w:rFonts w:hint="eastAsia" w:ascii="宋体" w:hAnsi="宋体"/>
                <w:sz w:val="24"/>
                <w:szCs w:val="24"/>
              </w:rPr>
              <w:t>主要技术参数指标（加“</w:t>
            </w:r>
            <w:r>
              <w:rPr>
                <w:rFonts w:hint="eastAsia" w:ascii="宋体" w:hAnsi="宋体"/>
                <w:sz w:val="24"/>
                <w:szCs w:val="24"/>
                <w:lang w:bidi="lo-LA"/>
              </w:rPr>
              <w:t>*</w:t>
            </w:r>
            <w:r>
              <w:rPr>
                <w:rFonts w:hint="eastAsia" w:ascii="宋体" w:hAnsi="宋体"/>
                <w:sz w:val="24"/>
                <w:szCs w:val="24"/>
              </w:rPr>
              <w:t>”项）完全满足或优于招标文件要求。</w:t>
            </w:r>
          </w:p>
        </w:tc>
      </w:tr>
    </w:tbl>
    <w:p>
      <w:pPr>
        <w:spacing w:line="360" w:lineRule="auto"/>
        <w:jc w:val="center"/>
        <w:rPr>
          <w:rFonts w:ascii="宋体" w:hAnsi="宋体" w:cs="宋体"/>
          <w:b/>
          <w:color w:val="000000"/>
          <w:kern w:val="0"/>
          <w:szCs w:val="28"/>
        </w:rPr>
      </w:pPr>
    </w:p>
    <w:p>
      <w:pPr>
        <w:spacing w:line="360" w:lineRule="auto"/>
        <w:jc w:val="center"/>
        <w:rPr>
          <w:rFonts w:ascii="宋体" w:hAnsi="宋体" w:cs="宋体"/>
          <w:b/>
          <w:color w:val="000000"/>
          <w:kern w:val="0"/>
          <w:szCs w:val="28"/>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p>
    <w:p>
      <w:pPr>
        <w:pStyle w:val="2"/>
        <w:keepNext w:val="0"/>
        <w:keepLines w:val="0"/>
        <w:spacing w:line="360" w:lineRule="auto"/>
        <w:rPr>
          <w:rFonts w:ascii="宋体" w:hAnsi="宋体"/>
          <w:sz w:val="24"/>
          <w:szCs w:val="24"/>
        </w:rPr>
      </w:pPr>
      <w:r>
        <w:rPr>
          <w:rFonts w:hint="eastAsia" w:ascii="宋体" w:hAnsi="宋体"/>
          <w:sz w:val="24"/>
          <w:szCs w:val="24"/>
        </w:rPr>
        <w:t>第五章 供应商资格证明及相关文件要求</w:t>
      </w:r>
      <w:bookmarkEnd w:id="13"/>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w:t>
      </w:r>
      <w:r>
        <w:rPr>
          <w:rFonts w:hint="eastAsia" w:ascii="宋体" w:hAnsi="宋体" w:cs="宋体"/>
          <w:sz w:val="24"/>
          <w:szCs w:val="24"/>
        </w:rPr>
        <w:t>财务状况报告，应附经会计师事务所出具的财务审计报告或其基本开户银行出具的资信证明；</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．供应商依法缴纳税收证明材料；</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．供应商为企业员工缴纳社保资金的证明材料；</w:t>
      </w:r>
      <w:r>
        <w:rPr>
          <w:rFonts w:ascii="宋体" w:hAnsi="宋体"/>
          <w:sz w:val="24"/>
          <w:szCs w:val="24"/>
        </w:rPr>
        <w:t xml:space="preserve"> </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．供应商参加政府采购前三年内在经营活动中没有重大违法记录书面声明函；</w:t>
      </w:r>
      <w:r>
        <w:rPr>
          <w:rFonts w:ascii="宋体" w:hAnsi="宋体"/>
          <w:sz w:val="24"/>
          <w:szCs w:val="24"/>
        </w:rPr>
        <w:t xml:space="preserve"> </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fldChar w:fldCharType="begin"/>
      </w:r>
      <w:r>
        <w:instrText xml:space="preserve"> HYPERLINK "http://www.creditchina.gov.cn"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)和“中国政府采购网”（www.ccgp.gov.cn）查询供应商的信用记录截图。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 招标文件对供应商的其他资格要求。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以上文件除要求提供“原件”以外，均应在响应文件中提供复印件并加盖供应商公章，未提供或提供的文件过期、失效的，均为无效投标。（具体要求详见本招标文件初审表）</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sz w:val="24"/>
          <w:szCs w:val="24"/>
        </w:rPr>
      </w:pPr>
      <w:r>
        <w:rPr>
          <w:rFonts w:hint="eastAsia" w:ascii="宋体" w:hAnsi="宋体"/>
          <w:sz w:val="24"/>
          <w:szCs w:val="24"/>
        </w:rPr>
        <w:t xml:space="preserve">1. </w:t>
      </w:r>
      <w:r>
        <w:rPr>
          <w:rFonts w:ascii="宋体" w:hAnsi="宋体"/>
          <w:sz w:val="24"/>
          <w:szCs w:val="24"/>
        </w:rPr>
        <w:t>能够真实反映供应商业绩的有效证明材料，如</w:t>
      </w:r>
      <w:r>
        <w:rPr>
          <w:rFonts w:hint="eastAsia" w:ascii="宋体" w:hAnsi="宋体"/>
          <w:sz w:val="24"/>
          <w:szCs w:val="24"/>
        </w:rPr>
        <w:t>协议、服务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kern w:val="0"/>
          <w:sz w:val="24"/>
          <w:szCs w:val="24"/>
        </w:rPr>
        <w:t>. 供应商的质量管理体系认证证书、环境认证证书等；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3. 供应商</w:t>
      </w:r>
      <w:r>
        <w:rPr>
          <w:rFonts w:ascii="宋体" w:hAnsi="宋体"/>
          <w:kern w:val="0"/>
          <w:sz w:val="24"/>
          <w:szCs w:val="24"/>
        </w:rPr>
        <w:t>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br w:type="page"/>
      </w:r>
    </w:p>
    <w:p>
      <w:pPr>
        <w:pStyle w:val="2"/>
        <w:keepNext w:val="0"/>
        <w:keepLines w:val="0"/>
        <w:spacing w:line="360" w:lineRule="auto"/>
        <w:ind w:firstLine="2891" w:firstLineChars="1200"/>
        <w:jc w:val="both"/>
        <w:rPr>
          <w:rFonts w:ascii="宋体" w:hAnsi="宋体"/>
          <w:sz w:val="24"/>
          <w:szCs w:val="24"/>
        </w:rPr>
      </w:pPr>
      <w:bookmarkStart w:id="17" w:name="_Toc497726583"/>
      <w:r>
        <w:rPr>
          <w:rFonts w:hint="eastAsia" w:ascii="宋体" w:hAnsi="宋体"/>
          <w:sz w:val="24"/>
          <w:szCs w:val="24"/>
        </w:rPr>
        <w:t>第六章 谈判程序及方法</w:t>
      </w:r>
      <w:bookmarkEnd w:id="14"/>
      <w:bookmarkEnd w:id="17"/>
    </w:p>
    <w:p>
      <w:pPr>
        <w:spacing w:line="360" w:lineRule="auto"/>
        <w:ind w:firstLine="482" w:firstLineChars="200"/>
        <w:rPr>
          <w:rFonts w:ascii="宋体" w:hAnsi="宋体"/>
          <w:b/>
          <w:sz w:val="24"/>
          <w:szCs w:val="24"/>
        </w:rPr>
      </w:pPr>
      <w:bookmarkStart w:id="18" w:name="_Toc257983096"/>
      <w:bookmarkStart w:id="19" w:name="_Toc355703360"/>
      <w:bookmarkStart w:id="20" w:name="_Toc355703243"/>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18"/>
      <w:bookmarkEnd w:id="19"/>
      <w:bookmarkEnd w:id="20"/>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杭锦旗公共资源交易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480" w:firstLineChars="20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1"/>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w:t>
      </w:r>
      <w:r>
        <w:rPr>
          <w:rFonts w:hint="eastAsia" w:ascii="宋体" w:hAnsi="宋体" w:eastAsia="宋体" w:cs="Times New Roman"/>
          <w:color w:val="auto"/>
        </w:rPr>
        <w:t>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中国残疾人联合会关于促进残疾人就业政府采购政策的通知》的规定，凡符合要求的小型、微型企业、监狱企业或残疾人福利性单位，按</w:t>
      </w:r>
      <w:r>
        <w:rPr>
          <w:rFonts w:hint="eastAsia" w:ascii="宋体" w:hAnsi="宋体" w:eastAsia="宋体" w:cs="Times New Roman"/>
          <w:color w:val="auto"/>
          <w:kern w:val="2"/>
        </w:rPr>
        <w:t>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4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1" w:name="OLE_LINK9"/>
      <w:bookmarkStart w:id="22" w:name="OLE_LINK1"/>
      <w:r>
        <w:rPr>
          <w:rFonts w:hint="eastAsia" w:ascii="宋体" w:hAnsi="宋体"/>
          <w:sz w:val="24"/>
          <w:szCs w:val="24"/>
        </w:rPr>
        <w:t>本项所称货物不包括使用大型企业注册商标的货物。</w:t>
      </w:r>
      <w:bookmarkEnd w:id="21"/>
      <w:bookmarkEnd w:id="22"/>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3" w:name="OLE_LINK14"/>
      <w:bookmarkStart w:id="24" w:name="OLE_LINK13"/>
      <w:r>
        <w:rPr>
          <w:rFonts w:hint="eastAsia" w:ascii="宋体" w:hAnsi="宋体"/>
          <w:sz w:val="24"/>
          <w:szCs w:val="24"/>
        </w:rPr>
        <w:t>《残疾人福利性单位声明函》</w:t>
      </w:r>
      <w:bookmarkEnd w:id="23"/>
      <w:bookmarkEnd w:id="24"/>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（4）供应商通过“国家企业信用信息公示系统”（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响应文件截止时间，通过截图说明供应商、核心设备制造商是否列入小微企业库，对未列入小微企业库的供应商、核心设备制造商不予价格扣除、对响应文件中未提供截图的不予价格扣除。评标委员会在评审时通过查询对供应商提供截图内容进行甄别，对查询内容与供应商提供内容不符的不予价格扣除。</w:t>
      </w:r>
    </w:p>
    <w:p>
      <w:pPr>
        <w:spacing w:line="360" w:lineRule="auto"/>
        <w:ind w:firstLine="360" w:firstLineChars="15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t>四．评审表：</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1.供应商是法人的审查会计师事务所出具的近一年度财务审计报告或基本开户银行近一年内出具的资信证明。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1.提供递交响应文件截止之日前6个月内（至少一个月）的良好缴纳税收的相关凭据。（以税务机关提供的纳税凭据或银行入账单为准）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2.提供递交响应文件截止之日前6个月内（至少一个月）缴纳社会保险的凭证。（以社保机构出具的专用收据或社会保险缴纳清单为准）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1.审查“参加本采购活动前3年内”供应商书面声明函；</w:t>
            </w:r>
          </w:p>
          <w:p>
            <w:pPr>
              <w:jc w:val="left"/>
              <w:rPr>
                <w:rFonts w:ascii="宋体" w:hAnsi="宋体"/>
                <w:sz w:val="24"/>
                <w:szCs w:val="24"/>
              </w:rPr>
            </w:pPr>
            <w:r>
              <w:rPr>
                <w:rFonts w:hint="eastAsia" w:ascii="宋体" w:hAnsi="宋体"/>
                <w:sz w:val="24"/>
                <w:szCs w:val="24"/>
              </w:rPr>
              <w:t>2.到提交响应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宋体" w:hAnsi="宋体"/>
                <w:b/>
                <w:bCs/>
                <w:sz w:val="24"/>
                <w:szCs w:val="24"/>
              </w:rPr>
            </w:pPr>
            <w:r>
              <w:rPr>
                <w:rFonts w:hint="eastAsia" w:ascii="宋体" w:hAnsi="宋体"/>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满足谈判文件关于服务时间、付款方式要求。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服务需求内容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服务内容明确（逐一对应）并实质性满足谈判文件要求。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rPr>
          <w:rFonts w:ascii="宋体" w:hAnsi="宋体"/>
          <w:b/>
          <w:sz w:val="24"/>
          <w:szCs w:val="24"/>
        </w:rPr>
      </w:pPr>
    </w:p>
    <w:p>
      <w:pPr>
        <w:widowControl/>
        <w:jc w:val="left"/>
        <w:rPr>
          <w:rFonts w:ascii="宋体" w:hAnsi="宋体"/>
          <w:b/>
          <w:sz w:val="24"/>
          <w:szCs w:val="24"/>
        </w:rPr>
      </w:pPr>
      <w:r>
        <w:rPr>
          <w:rFonts w:ascii="宋体" w:hAnsi="宋体"/>
          <w:b/>
          <w:sz w:val="24"/>
          <w:szCs w:val="24"/>
        </w:rPr>
        <w:br w:type="page"/>
      </w:r>
    </w:p>
    <w:p>
      <w:pPr>
        <w:pStyle w:val="2"/>
        <w:keepNext w:val="0"/>
        <w:keepLines w:val="0"/>
        <w:spacing w:line="360" w:lineRule="auto"/>
        <w:ind w:firstLine="2891" w:firstLineChars="1200"/>
        <w:jc w:val="both"/>
        <w:rPr>
          <w:rFonts w:ascii="宋体" w:hAnsi="宋体"/>
          <w:sz w:val="24"/>
          <w:szCs w:val="24"/>
        </w:rPr>
      </w:pPr>
      <w:bookmarkStart w:id="25" w:name="_Toc497726584"/>
      <w:r>
        <w:rPr>
          <w:rFonts w:hint="eastAsia" w:ascii="宋体" w:hAnsi="宋体"/>
          <w:sz w:val="24"/>
          <w:szCs w:val="24"/>
        </w:rPr>
        <w:t>第七章 响应文件格式与要求</w:t>
      </w:r>
      <w:bookmarkEnd w:id="15"/>
      <w:bookmarkEnd w:id="25"/>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kern w:val="0"/>
          <w:sz w:val="24"/>
          <w:szCs w:val="24"/>
          <w:lang w:val="zh-CN"/>
        </w:rPr>
      </w:pPr>
      <w:r>
        <w:rPr>
          <w:rFonts w:ascii="宋体" w:hAnsi="宋体"/>
          <w:bCs/>
          <w:kern w:val="0"/>
          <w:sz w:val="24"/>
          <w:szCs w:val="24"/>
          <w:lang w:val="zh-CN"/>
        </w:rPr>
        <w:br w:type="page"/>
      </w:r>
    </w:p>
    <w:p>
      <w:pPr>
        <w:spacing w:line="360" w:lineRule="auto"/>
        <w:jc w:val="left"/>
        <w:rPr>
          <w:rFonts w:ascii="宋体" w:hAnsi="宋体"/>
          <w:b/>
          <w:sz w:val="24"/>
          <w:szCs w:val="24"/>
        </w:rPr>
      </w:pPr>
      <w:r>
        <w:rPr>
          <w:rFonts w:hint="eastAsia" w:ascii="宋体" w:hAnsi="宋体"/>
          <w:b/>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1566" w:firstLineChars="300"/>
        <w:rPr>
          <w:rFonts w:ascii="宋体" w:hAnsi="宋体"/>
          <w:b/>
          <w:bCs/>
          <w:kern w:val="0"/>
          <w:sz w:val="52"/>
          <w:szCs w:val="52"/>
        </w:rPr>
      </w:pPr>
      <w:r>
        <w:rPr>
          <w:rFonts w:hint="eastAsia" w:ascii="宋体" w:hAnsi="宋体" w:cs="宋体"/>
          <w:b/>
          <w:bCs/>
          <w:kern w:val="0"/>
          <w:sz w:val="52"/>
          <w:szCs w:val="52"/>
        </w:rPr>
        <w:t>---------------------项目</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6" w:name="_Toc482026546"/>
    </w:p>
    <w:bookmarkEnd w:id="26"/>
    <w:p>
      <w:pPr>
        <w:spacing w:line="360" w:lineRule="auto"/>
        <w:rPr>
          <w:rFonts w:ascii="宋体" w:hAnsi="宋体" w:cs="宋体"/>
          <w:sz w:val="24"/>
          <w:szCs w:val="24"/>
        </w:rPr>
      </w:pPr>
      <w:bookmarkStart w:id="27" w:name="_Toc482196940"/>
      <w:r>
        <w:rPr>
          <w:rFonts w:ascii="宋体" w:hAnsi="宋体" w:cs="宋体"/>
          <w:sz w:val="24"/>
          <w:szCs w:val="24"/>
        </w:rPr>
        <w:br w:type="page"/>
      </w:r>
    </w:p>
    <w:bookmarkEnd w:id="27"/>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响应文件目录</w:t>
      </w:r>
    </w:p>
    <w:p>
      <w:pPr>
        <w:spacing w:line="360" w:lineRule="auto"/>
        <w:rPr>
          <w:rFonts w:ascii="宋体" w:hAnsi="宋体"/>
          <w:sz w:val="24"/>
          <w:szCs w:val="24"/>
        </w:rPr>
      </w:pPr>
      <w:r>
        <w:rPr>
          <w:rFonts w:hint="eastAsia" w:ascii="宋体" w:hAnsi="宋体"/>
          <w:sz w:val="24"/>
          <w:szCs w:val="24"/>
        </w:rPr>
        <w:t>一. 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 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 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八．本项目服务人员简表……………………………………………………    （ ）</w:t>
      </w:r>
    </w:p>
    <w:p>
      <w:pPr>
        <w:spacing w:line="360" w:lineRule="auto"/>
        <w:rPr>
          <w:rFonts w:ascii="宋体" w:hAnsi="宋体"/>
          <w:sz w:val="24"/>
          <w:szCs w:val="24"/>
        </w:rPr>
      </w:pPr>
      <w:r>
        <w:rPr>
          <w:rFonts w:hint="eastAsia" w:ascii="宋体" w:hAnsi="宋体"/>
          <w:sz w:val="24"/>
          <w:szCs w:val="24"/>
        </w:rPr>
        <w:t>九.分项报价明细表</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十.服务需求响应表………………………………………………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十一.项目服务方案………………………………………………</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十三.供应商业绩情况表…………………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十四.供应商基本情况表……………………………………………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十六.依法缴纳税收的凭据 ……………………………………………………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二十一.残疾人福利性单位声明函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二十二.各类证明材料…………………………………………………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28"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28"/>
      <w:r>
        <w:rPr>
          <w:rFonts w:hint="eastAsia" w:ascii="宋体" w:hAnsi="宋体"/>
          <w:b/>
          <w:sz w:val="24"/>
          <w:szCs w:val="24"/>
        </w:rPr>
        <w:t xml:space="preserve">  </w:t>
      </w:r>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鄂尔多斯市杭锦旗公共资源交易中心：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b/>
          <w:bCs/>
          <w:kern w:val="0"/>
          <w:sz w:val="24"/>
          <w:szCs w:val="24"/>
          <w:lang w:val="zh-CN"/>
        </w:rPr>
        <w:br w:type="page"/>
      </w:r>
    </w:p>
    <w:p>
      <w:pPr>
        <w:adjustRightInd w:val="0"/>
        <w:snapToGrid w:val="0"/>
        <w:spacing w:line="360" w:lineRule="auto"/>
        <w:jc w:val="left"/>
        <w:rPr>
          <w:rFonts w:ascii="宋体" w:hAnsi="宋体"/>
          <w:sz w:val="24"/>
          <w:szCs w:val="24"/>
        </w:rPr>
      </w:pPr>
      <w:r>
        <w:rPr>
          <w:rFonts w:hint="eastAsia" w:hAnsi="宋体"/>
          <w:b/>
          <w:bCs/>
          <w:sz w:val="24"/>
          <w:szCs w:val="24"/>
        </w:rPr>
        <w:t>格式四：</w:t>
      </w:r>
      <w:r>
        <w:rPr>
          <w:rFonts w:hint="eastAsia" w:ascii="宋体" w:hAnsi="宋体"/>
          <w:sz w:val="24"/>
          <w:szCs w:val="24"/>
        </w:rPr>
        <w:t xml:space="preserve">                   </w:t>
      </w:r>
    </w:p>
    <w:p>
      <w:pPr>
        <w:adjustRightInd w:val="0"/>
        <w:snapToGrid w:val="0"/>
        <w:spacing w:line="360" w:lineRule="auto"/>
        <w:jc w:val="center"/>
        <w:rPr>
          <w:rFonts w:ascii="宋体" w:hAnsi="宋体"/>
          <w:b/>
          <w:sz w:val="24"/>
          <w:szCs w:val="24"/>
        </w:rPr>
      </w:pPr>
      <w:r>
        <w:rPr>
          <w:rFonts w:hint="eastAsia" w:ascii="宋体" w:hAnsi="宋体"/>
          <w:sz w:val="24"/>
          <w:szCs w:val="24"/>
        </w:rPr>
        <w:t>开标一览表</w:t>
      </w:r>
    </w:p>
    <w:p>
      <w:pPr>
        <w:pStyle w:val="22"/>
        <w:spacing w:line="360" w:lineRule="auto"/>
        <w:ind w:left="57" w:right="57" w:firstLine="57"/>
        <w:rPr>
          <w:rFonts w:hAnsi="宋体"/>
          <w:bCs/>
          <w:sz w:val="24"/>
          <w:szCs w:val="24"/>
        </w:rPr>
      </w:pPr>
    </w:p>
    <w:p>
      <w:pPr>
        <w:pStyle w:val="22"/>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3849" w:type="dxa"/>
            <w:vAlign w:val="center"/>
          </w:tcPr>
          <w:p>
            <w:pPr>
              <w:spacing w:line="360" w:lineRule="auto"/>
              <w:jc w:val="center"/>
              <w:rPr>
                <w:rFonts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3849" w:type="dxa"/>
            <w:vMerge w:val="restart"/>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3849"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b/>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pStyle w:val="3"/>
        <w:keepNext w:val="0"/>
        <w:keepLines w:val="0"/>
        <w:spacing w:line="360" w:lineRule="auto"/>
        <w:rPr>
          <w:rFonts w:ascii="宋体" w:hAnsi="宋体" w:eastAsia="宋体"/>
          <w:sz w:val="24"/>
          <w:szCs w:val="24"/>
        </w:rPr>
      </w:pPr>
      <w:bookmarkStart w:id="29" w:name="_Toc482026549"/>
      <w:r>
        <w:rPr>
          <w:rFonts w:ascii="宋体" w:hAnsi="宋体" w:eastAsia="宋体"/>
          <w:sz w:val="24"/>
          <w:szCs w:val="24"/>
        </w:rPr>
        <w:br w:type="page"/>
      </w:r>
    </w:p>
    <w:bookmarkEnd w:id="29"/>
    <w:p>
      <w:pPr>
        <w:spacing w:line="360" w:lineRule="auto"/>
        <w:rPr>
          <w:rFonts w:asciiTheme="minorEastAsia" w:hAnsiTheme="minorEastAsia" w:eastAsiaTheme="minorEastAsia"/>
          <w:b/>
          <w:sz w:val="24"/>
          <w:szCs w:val="24"/>
        </w:rPr>
      </w:pPr>
      <w:bookmarkStart w:id="30" w:name="_Toc496001220"/>
      <w:bookmarkStart w:id="31"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格式七：</w:t>
      </w:r>
      <w:bookmarkEnd w:id="30"/>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2"/>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_________________采购物业管理服务项目</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本项目服务人员简表</w:t>
      </w:r>
    </w:p>
    <w:tbl>
      <w:tblPr>
        <w:tblStyle w:val="4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rPr>
          <w:lang w:val="zh-CN"/>
        </w:rPr>
      </w:pPr>
      <w:r>
        <w:rPr>
          <w:rFonts w:hint="eastAsia" w:ascii="宋体" w:hAnsi="宋体"/>
          <w:sz w:val="24"/>
          <w:szCs w:val="24"/>
          <w:lang w:val="zh-CN"/>
        </w:rPr>
        <w:t>注：供应商在本表后附人员证书等复印件。</w:t>
      </w:r>
    </w:p>
    <w:p>
      <w:pPr>
        <w:widowControl/>
        <w:jc w:val="left"/>
        <w:rPr>
          <w:lang w:val="zh-CN"/>
        </w:rPr>
      </w:pPr>
      <w:r>
        <w:rPr>
          <w:lang w:val="zh-CN"/>
        </w:rPr>
        <w:br w:type="page"/>
      </w:r>
    </w:p>
    <w:p>
      <w:pPr>
        <w:adjustRightInd w:val="0"/>
        <w:snapToGrid w:val="0"/>
        <w:spacing w:line="360" w:lineRule="auto"/>
        <w:jc w:val="left"/>
        <w:rPr>
          <w:rFonts w:hint="eastAsia" w:hAnsi="宋体"/>
          <w:b/>
          <w:bCs/>
          <w:sz w:val="24"/>
          <w:szCs w:val="24"/>
        </w:rPr>
      </w:pPr>
      <w:r>
        <w:rPr>
          <w:rFonts w:hint="eastAsia" w:hAnsi="宋体"/>
          <w:b/>
          <w:bCs/>
          <w:sz w:val="24"/>
          <w:szCs w:val="24"/>
        </w:rPr>
        <w:t>格式十一：</w:t>
      </w:r>
      <w:bookmarkEnd w:id="31"/>
      <w:r>
        <w:rPr>
          <w:rFonts w:hint="eastAsia" w:hAnsi="宋体"/>
          <w:b/>
          <w:bCs/>
          <w:sz w:val="24"/>
          <w:szCs w:val="24"/>
        </w:rPr>
        <w:t xml:space="preserve"> </w:t>
      </w:r>
    </w:p>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rPr>
        <w:t>报价明细表</w:t>
      </w:r>
    </w:p>
    <w:tbl>
      <w:tblPr>
        <w:tblStyle w:val="42"/>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
      <w:tblGrid>
        <w:gridCol w:w="1418"/>
        <w:gridCol w:w="2410"/>
        <w:gridCol w:w="2835"/>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top w:val="single" w:color="auto" w:sz="4" w:space="0"/>
              <w:left w:val="single" w:color="auto" w:sz="4" w:space="0"/>
              <w:right w:val="single" w:color="auto" w:sz="4" w:space="0"/>
            </w:tcBorders>
            <w:vAlign w:val="center"/>
          </w:tcPr>
          <w:p>
            <w:pPr>
              <w:widowControl/>
              <w:jc w:val="center"/>
              <w:rPr>
                <w:sz w:val="21"/>
              </w:rPr>
            </w:pPr>
            <w:r>
              <w:rPr>
                <w:rFonts w:hint="eastAsia"/>
                <w:sz w:val="21"/>
              </w:rPr>
              <w:t>报价明细</w:t>
            </w:r>
          </w:p>
        </w:tc>
        <w:tc>
          <w:tcPr>
            <w:tcW w:w="2835" w:type="dxa"/>
            <w:tcBorders>
              <w:top w:val="single" w:color="auto" w:sz="4" w:space="0"/>
              <w:left w:val="single" w:color="auto" w:sz="4" w:space="0"/>
              <w:right w:val="single" w:color="auto" w:sz="4" w:space="0"/>
            </w:tcBorders>
            <w:vAlign w:val="center"/>
          </w:tcPr>
          <w:p>
            <w:pPr>
              <w:widowControl/>
              <w:jc w:val="center"/>
              <w:rPr>
                <w:sz w:val="21"/>
              </w:rPr>
            </w:pPr>
            <w:r>
              <w:rPr>
                <w:rFonts w:hint="eastAsia"/>
                <w:sz w:val="21"/>
              </w:rPr>
              <w:t>报价（元）</w:t>
            </w:r>
          </w:p>
        </w:tc>
        <w:tc>
          <w:tcPr>
            <w:tcW w:w="3317" w:type="dxa"/>
            <w:tcBorders>
              <w:top w:val="single" w:color="auto" w:sz="4" w:space="0"/>
              <w:left w:val="single" w:color="auto" w:sz="4" w:space="0"/>
              <w:right w:val="single" w:color="auto" w:sz="4" w:space="0"/>
            </w:tcBorders>
            <w:vAlign w:val="center"/>
          </w:tcPr>
          <w:p>
            <w:pPr>
              <w:widowControl/>
              <w:jc w:val="center"/>
              <w:rPr>
                <w:sz w:val="21"/>
              </w:rPr>
            </w:pPr>
            <w:r>
              <w:rPr>
                <w:rFonts w:hint="eastAsia"/>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430" w:hRule="atLeast"/>
          <w:jc w:val="center"/>
        </w:trPr>
        <w:tc>
          <w:tcPr>
            <w:tcW w:w="1418" w:type="dxa"/>
            <w:vMerge w:val="restart"/>
            <w:tcBorders>
              <w:top w:val="single" w:color="auto" w:sz="4" w:space="0"/>
              <w:left w:val="single" w:color="auto" w:sz="4" w:space="0"/>
              <w:right w:val="single" w:color="auto" w:sz="4" w:space="0"/>
            </w:tcBorders>
            <w:vAlign w:val="center"/>
          </w:tcPr>
          <w:p>
            <w:pPr>
              <w:widowControl/>
              <w:ind w:firstLine="105" w:firstLineChars="50"/>
              <w:jc w:val="left"/>
              <w:rPr>
                <w:sz w:val="21"/>
              </w:rPr>
            </w:pPr>
            <w:r>
              <w:rPr>
                <w:rFonts w:hint="eastAsia"/>
                <w:sz w:val="21"/>
              </w:rPr>
              <w:t>用工成本</w:t>
            </w:r>
          </w:p>
        </w:tc>
        <w:tc>
          <w:tcPr>
            <w:tcW w:w="2410" w:type="dxa"/>
            <w:tcBorders>
              <w:top w:val="single" w:color="auto" w:sz="4" w:space="0"/>
              <w:left w:val="single" w:color="auto" w:sz="4" w:space="0"/>
              <w:right w:val="single" w:color="auto" w:sz="4" w:space="0"/>
            </w:tcBorders>
            <w:vAlign w:val="center"/>
          </w:tcPr>
          <w:p>
            <w:pPr>
              <w:widowControl/>
              <w:jc w:val="center"/>
              <w:rPr>
                <w:sz w:val="21"/>
              </w:rPr>
            </w:pPr>
            <w:r>
              <w:rPr>
                <w:rFonts w:hint="eastAsia"/>
                <w:sz w:val="21"/>
              </w:rPr>
              <w:t>人员工资</w:t>
            </w:r>
          </w:p>
        </w:tc>
        <w:tc>
          <w:tcPr>
            <w:tcW w:w="2835" w:type="dxa"/>
            <w:tcBorders>
              <w:top w:val="single" w:color="auto" w:sz="4" w:space="0"/>
              <w:left w:val="single" w:color="auto" w:sz="4" w:space="0"/>
              <w:right w:val="single" w:color="auto" w:sz="4" w:space="0"/>
            </w:tcBorders>
            <w:vAlign w:val="center"/>
          </w:tcPr>
          <w:p>
            <w:pPr>
              <w:widowControl/>
              <w:rPr>
                <w:sz w:val="21"/>
              </w:rPr>
            </w:pPr>
          </w:p>
        </w:tc>
        <w:tc>
          <w:tcPr>
            <w:tcW w:w="3317" w:type="dxa"/>
            <w:tcBorders>
              <w:top w:val="single" w:color="auto" w:sz="4" w:space="0"/>
              <w:left w:val="single" w:color="auto" w:sz="4" w:space="0"/>
              <w:right w:val="single" w:color="auto" w:sz="4" w:space="0"/>
            </w:tcBorders>
            <w:vAlign w:val="center"/>
          </w:tcPr>
          <w:p>
            <w:pPr>
              <w:widowControl/>
              <w:jc w:val="center"/>
              <w:rPr>
                <w:sz w:val="21"/>
              </w:rPr>
            </w:pPr>
            <w:r>
              <w:rPr>
                <w:rFonts w:hint="eastAsia"/>
                <w:sz w:val="21"/>
              </w:rPr>
              <w:t>在此处标明该项报价计算方法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1418" w:type="dxa"/>
            <w:vMerge w:val="continue"/>
            <w:tcBorders>
              <w:left w:val="single" w:color="auto" w:sz="4" w:space="0"/>
              <w:right w:val="single" w:color="auto" w:sz="4" w:space="0"/>
            </w:tcBorders>
            <w:vAlign w:val="center"/>
          </w:tcPr>
          <w:p>
            <w:pPr>
              <w:widowControl/>
              <w:jc w:val="left"/>
              <w:rPr>
                <w:sz w:val="21"/>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sz w:val="21"/>
              </w:rPr>
            </w:pPr>
            <w:r>
              <w:rPr>
                <w:rFonts w:hint="eastAsia"/>
                <w:sz w:val="21"/>
              </w:rPr>
              <w:t>社会保险费</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r>
              <w:rPr>
                <w:rFonts w:hint="eastAsia"/>
                <w:sz w:val="21"/>
              </w:rPr>
              <w:t>在此处标明该项报价计算方法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1418" w:type="dxa"/>
            <w:vMerge w:val="continue"/>
            <w:tcBorders>
              <w:left w:val="single" w:color="auto" w:sz="4" w:space="0"/>
              <w:right w:val="single" w:color="auto" w:sz="4" w:space="0"/>
            </w:tcBorders>
            <w:vAlign w:val="center"/>
          </w:tcPr>
          <w:p>
            <w:pPr>
              <w:widowControl/>
              <w:jc w:val="left"/>
              <w:rPr>
                <w:sz w:val="21"/>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sz w:val="21"/>
              </w:rPr>
            </w:pPr>
            <w:r>
              <w:rPr>
                <w:rFonts w:hint="eastAsia"/>
                <w:sz w:val="21"/>
              </w:rPr>
              <w:t>福利费</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r>
              <w:rPr>
                <w:rFonts w:hint="eastAsia"/>
                <w:sz w:val="21"/>
              </w:rPr>
              <w:t>在此处标明该项报价计算方法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1418" w:type="dxa"/>
            <w:vMerge w:val="continue"/>
            <w:tcBorders>
              <w:left w:val="single" w:color="auto" w:sz="4" w:space="0"/>
              <w:right w:val="single" w:color="auto" w:sz="4" w:space="0"/>
            </w:tcBorders>
            <w:vAlign w:val="center"/>
          </w:tcPr>
          <w:p>
            <w:pPr>
              <w:widowControl/>
              <w:jc w:val="left"/>
              <w:rPr>
                <w:sz w:val="21"/>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sz w:val="21"/>
              </w:rPr>
            </w:pPr>
            <w:r>
              <w:rPr>
                <w:rFonts w:hint="eastAsia"/>
                <w:sz w:val="21"/>
              </w:rPr>
              <w:t>工会经费</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r>
              <w:rPr>
                <w:rFonts w:hint="eastAsia"/>
                <w:sz w:val="21"/>
              </w:rPr>
              <w:t>在此处标明该项报价计算方法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1418" w:type="dxa"/>
            <w:vMerge w:val="continue"/>
            <w:tcBorders>
              <w:left w:val="single" w:color="auto" w:sz="4" w:space="0"/>
              <w:right w:val="single" w:color="auto" w:sz="4" w:space="0"/>
            </w:tcBorders>
            <w:vAlign w:val="center"/>
          </w:tcPr>
          <w:p>
            <w:pPr>
              <w:widowControl/>
              <w:jc w:val="left"/>
              <w:rPr>
                <w:sz w:val="21"/>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sz w:val="21"/>
              </w:rPr>
            </w:pPr>
            <w:r>
              <w:rPr>
                <w:rFonts w:hint="eastAsia"/>
                <w:sz w:val="21"/>
              </w:rPr>
              <w:t>残疾人保障金</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r>
              <w:rPr>
                <w:rFonts w:hint="eastAsia"/>
                <w:sz w:val="21"/>
              </w:rPr>
              <w:t>在此处标明该项报价计算方法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right w:val="single" w:color="auto" w:sz="4" w:space="0"/>
            </w:tcBorders>
          </w:tcPr>
          <w:p>
            <w:pPr>
              <w:widowControl/>
              <w:spacing w:line="240" w:lineRule="atLeast"/>
              <w:rPr>
                <w:rFonts w:hint="eastAsia"/>
                <w:sz w:val="21"/>
              </w:rPr>
            </w:pPr>
            <w:r>
              <w:rPr>
                <w:rFonts w:hint="eastAsia" w:cs="宋体" w:asciiTheme="minorEastAsia" w:hAnsiTheme="minorEastAsia" w:eastAsiaTheme="minorEastAsia"/>
                <w:sz w:val="24"/>
                <w:szCs w:val="24"/>
              </w:rPr>
              <w:t>保洁工具及日常维修材料费（200元以内）、员工服装及劳保费、办公费等。</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right w:val="single" w:color="auto" w:sz="4" w:space="0"/>
            </w:tcBorders>
          </w:tcPr>
          <w:p>
            <w:pPr>
              <w:spacing w:line="240" w:lineRule="atLeas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电梯、中央空调、消防系统维护、保养、清洁、年检费用等。</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right w:val="single" w:color="auto" w:sz="4" w:space="0"/>
            </w:tcBorders>
          </w:tcPr>
          <w:p>
            <w:pPr>
              <w:widowControl/>
              <w:spacing w:line="240" w:lineRule="atLeast"/>
              <w:rPr>
                <w:rFonts w:hint="eastAsia"/>
                <w:sz w:val="21"/>
              </w:rPr>
            </w:pPr>
            <w:r>
              <w:rPr>
                <w:rFonts w:hint="eastAsia" w:cs="宋体" w:asciiTheme="minorEastAsia" w:hAnsiTheme="minorEastAsia" w:eastAsiaTheme="minorEastAsia"/>
                <w:sz w:val="24"/>
                <w:szCs w:val="24"/>
              </w:rPr>
              <w:t>合同履行期间，</w:t>
            </w:r>
            <w:r>
              <w:rPr>
                <w:rFonts w:hint="eastAsia" w:asciiTheme="minorEastAsia" w:hAnsiTheme="minorEastAsia" w:eastAsiaTheme="minorEastAsia"/>
                <w:color w:val="000000"/>
                <w:sz w:val="24"/>
                <w:szCs w:val="24"/>
              </w:rPr>
              <w:t>因劳动操作不规范或因突发疾病而导致的伤残或人身伤亡事故的赔偿。</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right w:val="single" w:color="auto" w:sz="4" w:space="0"/>
            </w:tcBorders>
          </w:tcPr>
          <w:p>
            <w:pPr>
              <w:widowControl/>
              <w:spacing w:line="240" w:lineRule="atLeast"/>
              <w:rPr>
                <w:rFonts w:hint="eastAsia"/>
                <w:sz w:val="21"/>
              </w:rPr>
            </w:pPr>
            <w:r>
              <w:rPr>
                <w:rFonts w:hint="eastAsia" w:asciiTheme="minorEastAsia" w:hAnsiTheme="minorEastAsia" w:eastAsiaTheme="minorEastAsia"/>
                <w:color w:val="000000"/>
                <w:sz w:val="24"/>
                <w:szCs w:val="24"/>
              </w:rPr>
              <w:t>因管理不善，提供服务人员措施不当造成财产损失而产生的费用等。</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right w:val="single" w:color="auto" w:sz="4" w:space="0"/>
            </w:tcBorders>
            <w:vAlign w:val="center"/>
          </w:tcPr>
          <w:p>
            <w:pPr>
              <w:widowControl/>
              <w:rPr>
                <w:sz w:val="21"/>
              </w:rPr>
            </w:pPr>
            <w:r>
              <w:rPr>
                <w:rFonts w:hint="eastAsia"/>
                <w:sz w:val="21"/>
              </w:rPr>
              <w:t>本项目列明的所有费用及在服务过程中产生的其他费用。</w:t>
            </w: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right w:val="single" w:color="auto" w:sz="4" w:space="0"/>
            </w:tcBorders>
            <w:vAlign w:val="center"/>
          </w:tcPr>
          <w:p>
            <w:pPr>
              <w:widowControl/>
              <w:rPr>
                <w:sz w:val="21"/>
              </w:rPr>
            </w:pP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right w:val="single" w:color="auto" w:sz="4" w:space="0"/>
            </w:tcBorders>
            <w:vAlign w:val="center"/>
          </w:tcPr>
          <w:p>
            <w:pPr>
              <w:widowControl/>
              <w:rPr>
                <w:sz w:val="21"/>
              </w:rPr>
            </w:pP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jc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left w:val="single" w:color="auto" w:sz="4" w:space="0"/>
              <w:bottom w:val="single" w:color="auto" w:sz="4" w:space="0"/>
              <w:right w:val="single" w:color="auto" w:sz="4" w:space="0"/>
            </w:tcBorders>
            <w:vAlign w:val="center"/>
          </w:tcPr>
          <w:p>
            <w:pPr>
              <w:pStyle w:val="66"/>
              <w:tabs>
                <w:tab w:val="left" w:pos="0"/>
              </w:tabs>
              <w:spacing w:line="360" w:lineRule="auto"/>
              <w:ind w:left="432" w:firstLine="0" w:firstLineChars="0"/>
              <w:rPr>
                <w:sz w:val="21"/>
                <w:szCs w:val="20"/>
              </w:rPr>
            </w:pPr>
          </w:p>
        </w:tc>
        <w:tc>
          <w:tcPr>
            <w:tcW w:w="2835" w:type="dxa"/>
            <w:tcBorders>
              <w:left w:val="single" w:color="auto" w:sz="4" w:space="0"/>
              <w:bottom w:val="single" w:color="auto" w:sz="4" w:space="0"/>
              <w:right w:val="single" w:color="auto" w:sz="4" w:space="0"/>
            </w:tcBorders>
            <w:vAlign w:val="center"/>
          </w:tcPr>
          <w:p>
            <w:pPr>
              <w:widowControl/>
              <w:rPr>
                <w:sz w:val="21"/>
              </w:rPr>
            </w:pPr>
          </w:p>
        </w:tc>
        <w:tc>
          <w:tcPr>
            <w:tcW w:w="3317" w:type="dxa"/>
            <w:tcBorders>
              <w:left w:val="single" w:color="auto" w:sz="4" w:space="0"/>
              <w:bottom w:val="single" w:color="auto" w:sz="4" w:space="0"/>
              <w:right w:val="single" w:color="auto" w:sz="4" w:space="0"/>
            </w:tcBorders>
            <w:vAlign w:val="center"/>
          </w:tcPr>
          <w:p>
            <w:pPr>
              <w:widowControl/>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sz w:val="21"/>
              </w:rPr>
            </w:pPr>
          </w:p>
        </w:tc>
        <w:tc>
          <w:tcPr>
            <w:tcW w:w="3317" w:type="dxa"/>
            <w:tcBorders>
              <w:top w:val="single" w:color="auto" w:sz="4" w:space="0"/>
              <w:left w:val="single" w:color="auto" w:sz="4" w:space="0"/>
              <w:bottom w:val="single" w:color="auto" w:sz="4" w:space="0"/>
              <w:right w:val="single" w:color="auto" w:sz="4" w:space="0"/>
            </w:tcBorders>
            <w:vAlign w:val="center"/>
          </w:tcPr>
          <w:p>
            <w:pPr>
              <w:widowControl/>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1"/>
              </w:rPr>
            </w:pPr>
            <w:r>
              <w:rPr>
                <w:rFonts w:hint="eastAsia"/>
                <w:sz w:val="21"/>
              </w:rPr>
              <w:t>税费</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sz w:val="21"/>
              </w:rPr>
            </w:pPr>
            <w:r>
              <w:rPr>
                <w:rFonts w:hint="eastAsia"/>
                <w:sz w:val="21"/>
              </w:rPr>
              <w:t>税率：</w:t>
            </w:r>
            <w:r>
              <w:rPr>
                <w:rFonts w:hint="eastAsia"/>
                <w:sz w:val="21"/>
                <w:u w:val="single"/>
              </w:rPr>
              <w:t xml:space="preserve">   </w:t>
            </w:r>
            <w:r>
              <w:rPr>
                <w:rFonts w:hint="eastAsia"/>
                <w:sz w:val="21"/>
              </w:rPr>
              <w:t xml:space="preserve"> %，共计</w:t>
            </w:r>
            <w:r>
              <w:rPr>
                <w:rFonts w:hint="eastAsia"/>
                <w:sz w:val="21"/>
                <w:u w:val="single"/>
              </w:rPr>
              <w:t xml:space="preserve">    </w:t>
            </w:r>
            <w:r>
              <w:rPr>
                <w:rFonts w:hint="eastAsia"/>
                <w:sz w:val="21"/>
              </w:rPr>
              <w:t>元</w:t>
            </w:r>
          </w:p>
        </w:tc>
        <w:tc>
          <w:tcPr>
            <w:tcW w:w="3317" w:type="dxa"/>
            <w:tcBorders>
              <w:top w:val="single" w:color="auto" w:sz="4" w:space="0"/>
              <w:left w:val="single" w:color="auto" w:sz="4" w:space="0"/>
              <w:bottom w:val="single" w:color="auto" w:sz="4" w:space="0"/>
              <w:right w:val="single" w:color="auto" w:sz="4" w:space="0"/>
            </w:tcBorders>
            <w:vAlign w:val="center"/>
          </w:tcPr>
          <w:p>
            <w:pPr>
              <w:widowControl/>
              <w:jc w:val="center"/>
              <w:rPr>
                <w:sz w:val="21"/>
              </w:rPr>
            </w:pPr>
            <w:r>
              <w:rPr>
                <w:rFonts w:hint="eastAsia"/>
                <w:sz w:val="21"/>
              </w:rPr>
              <w:t>在此处标明该项报价计算方法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trHeight w:val="340" w:hRule="atLeast"/>
          <w:jc w:val="center"/>
        </w:trPr>
        <w:tc>
          <w:tcPr>
            <w:tcW w:w="38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1"/>
              </w:rPr>
            </w:pPr>
            <w:r>
              <w:rPr>
                <w:rFonts w:hint="eastAsia"/>
                <w:sz w:val="21"/>
              </w:rPr>
              <w:t>合计</w:t>
            </w:r>
          </w:p>
        </w:tc>
        <w:tc>
          <w:tcPr>
            <w:tcW w:w="6152" w:type="dxa"/>
            <w:gridSpan w:val="2"/>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center"/>
              <w:rPr>
                <w:sz w:val="21"/>
              </w:rPr>
            </w:pPr>
            <w:r>
              <w:rPr>
                <w:rFonts w:hint="eastAsia"/>
                <w:sz w:val="21"/>
              </w:rPr>
              <w:t>共计</w:t>
            </w:r>
            <w:r>
              <w:rPr>
                <w:rFonts w:hint="eastAsia"/>
                <w:sz w:val="21"/>
                <w:u w:val="single"/>
              </w:rPr>
              <w:t xml:space="preserve">    </w:t>
            </w:r>
            <w:r>
              <w:rPr>
                <w:rFonts w:hint="eastAsia"/>
                <w:sz w:val="21"/>
              </w:rPr>
              <w:t>元；</w:t>
            </w:r>
          </w:p>
        </w:tc>
      </w:tr>
    </w:tbl>
    <w:p>
      <w:pPr>
        <w:numPr>
          <w:ilvl w:val="0"/>
          <w:numId w:val="6"/>
        </w:numPr>
        <w:suppressAutoHyphens/>
        <w:spacing w:line="360" w:lineRule="auto"/>
        <w:rPr>
          <w:rFonts w:ascii="宋体" w:hAnsi="宋体"/>
          <w:sz w:val="21"/>
          <w:szCs w:val="21"/>
          <w:lang w:val="en-GB"/>
        </w:rPr>
      </w:pPr>
      <w:r>
        <w:rPr>
          <w:rFonts w:hint="eastAsia" w:ascii="宋体" w:hAnsi="宋体"/>
          <w:sz w:val="21"/>
          <w:szCs w:val="21"/>
        </w:rPr>
        <w:t>注：</w:t>
      </w:r>
    </w:p>
    <w:p>
      <w:pPr>
        <w:suppressAutoHyphens/>
        <w:spacing w:line="360" w:lineRule="auto"/>
        <w:ind w:left="432"/>
        <w:rPr>
          <w:rFonts w:ascii="宋体" w:hAnsi="宋体"/>
          <w:sz w:val="21"/>
          <w:szCs w:val="21"/>
          <w:lang w:val="en-GB"/>
        </w:rPr>
      </w:pPr>
      <w:r>
        <w:rPr>
          <w:rFonts w:hint="eastAsia" w:ascii="宋体" w:hAnsi="宋体"/>
          <w:sz w:val="21"/>
          <w:szCs w:val="21"/>
          <w:lang w:val="en-GB"/>
        </w:rPr>
        <w:t>（1）以上内容必须全部填写；</w:t>
      </w:r>
    </w:p>
    <w:p>
      <w:pPr>
        <w:suppressAutoHyphens/>
        <w:spacing w:line="360" w:lineRule="auto"/>
        <w:ind w:left="432"/>
        <w:rPr>
          <w:rFonts w:ascii="宋体" w:hAnsi="宋体"/>
          <w:sz w:val="21"/>
          <w:szCs w:val="21"/>
          <w:lang w:val="en-GB"/>
        </w:rPr>
      </w:pPr>
      <w:r>
        <w:rPr>
          <w:rFonts w:hint="eastAsia"/>
          <w:snapToGrid w:val="0"/>
          <w:sz w:val="21"/>
        </w:rPr>
        <w:t>（2）</w:t>
      </w:r>
      <w:r>
        <w:rPr>
          <w:rFonts w:hint="eastAsia"/>
          <w:sz w:val="21"/>
        </w:rPr>
        <w:t>用工成本、税费为投标报价必须包含项（在备注部分应当注明报价计算方法），</w:t>
      </w:r>
      <w:r>
        <w:rPr>
          <w:rFonts w:hint="eastAsia"/>
          <w:snapToGrid w:val="0"/>
          <w:sz w:val="21"/>
        </w:rPr>
        <w:t>由供应商根据相关法规自行在政策范围内取值计算，</w:t>
      </w:r>
      <w:r>
        <w:rPr>
          <w:rFonts w:hint="eastAsia"/>
          <w:sz w:val="21"/>
        </w:rPr>
        <w:t>不可填写免费或0元；</w:t>
      </w:r>
      <w:r>
        <w:rPr>
          <w:rFonts w:ascii="宋体" w:hAnsi="宋体"/>
          <w:sz w:val="21"/>
          <w:szCs w:val="21"/>
          <w:lang w:val="en-GB"/>
        </w:rPr>
        <w:t xml:space="preserve"> </w:t>
      </w:r>
    </w:p>
    <w:p>
      <w:pPr>
        <w:suppressAutoHyphens/>
        <w:spacing w:line="360" w:lineRule="auto"/>
        <w:ind w:left="432"/>
        <w:rPr>
          <w:rFonts w:ascii="宋体" w:hAnsi="宋体"/>
          <w:sz w:val="21"/>
          <w:szCs w:val="21"/>
          <w:lang w:val="en-GB"/>
        </w:rPr>
      </w:pPr>
      <w:r>
        <w:rPr>
          <w:rFonts w:hint="eastAsia"/>
          <w:snapToGrid w:val="0"/>
          <w:sz w:val="21"/>
        </w:rPr>
        <w:t>（3）根据合同或本表未列明的其它可能产生的费用应由供应商支付、负责。</w:t>
      </w:r>
    </w:p>
    <w:p>
      <w:pPr>
        <w:suppressAutoHyphens/>
        <w:snapToGrid w:val="0"/>
        <w:spacing w:line="360" w:lineRule="auto"/>
        <w:ind w:firstLine="420" w:firstLineChars="200"/>
        <w:rPr>
          <w:rFonts w:ascii="宋体" w:hAnsi="宋体" w:cs="宋体"/>
          <w:sz w:val="21"/>
          <w:szCs w:val="21"/>
        </w:rPr>
      </w:pPr>
      <w:r>
        <w:rPr>
          <w:rFonts w:hint="eastAsia" w:ascii="宋体" w:hAnsi="宋体" w:cs="宋体"/>
          <w:sz w:val="21"/>
          <w:szCs w:val="21"/>
        </w:rPr>
        <w:t>（4）上述表格中列明的条目，在本项目中如不涉及，请填写“不涉及”。</w:t>
      </w:r>
    </w:p>
    <w:p>
      <w:pPr>
        <w:numPr>
          <w:ilvl w:val="0"/>
          <w:numId w:val="6"/>
        </w:numPr>
        <w:suppressAutoHyphens/>
        <w:spacing w:line="360" w:lineRule="auto"/>
        <w:rPr>
          <w:rFonts w:ascii="宋体" w:hAnsi="宋体"/>
          <w:sz w:val="21"/>
          <w:szCs w:val="21"/>
          <w:lang w:val="en-GB"/>
        </w:rPr>
      </w:pPr>
      <w:r>
        <w:rPr>
          <w:rFonts w:hint="eastAsia" w:ascii="宋体" w:hAnsi="宋体" w:cs="宋体"/>
          <w:sz w:val="21"/>
          <w:szCs w:val="21"/>
        </w:rPr>
        <w:t xml:space="preserve">    （5）享有优惠政策的供应商，须提供享有优惠政策的批准文件（有效期内），否则不予认定。</w:t>
      </w: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r>
        <w:rPr>
          <w:rFonts w:hint="eastAsia" w:ascii="宋体" w:hAnsi="宋体" w:cs="宋体"/>
          <w:sz w:val="21"/>
          <w:szCs w:val="21"/>
          <w:u w:val="single"/>
        </w:rPr>
        <w:t xml:space="preserve">                        </w:t>
      </w:r>
    </w:p>
    <w:p>
      <w:pPr>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jc w:val="left"/>
        <w:rPr>
          <w:rFonts w:hAnsi="宋体"/>
          <w:b/>
          <w:bCs/>
          <w:sz w:val="24"/>
          <w:szCs w:val="24"/>
        </w:rPr>
      </w:pPr>
    </w:p>
    <w:p>
      <w:pPr>
        <w:rPr>
          <w:b/>
          <w:sz w:val="24"/>
          <w:szCs w:val="24"/>
          <w:lang w:val="zh-CN"/>
        </w:rPr>
      </w:pPr>
      <w:r>
        <w:rPr>
          <w:b/>
          <w:sz w:val="24"/>
          <w:szCs w:val="24"/>
          <w:lang w:val="zh-CN"/>
        </w:rPr>
        <w:br w:type="page"/>
      </w:r>
    </w:p>
    <w:p>
      <w:pPr>
        <w:rPr>
          <w:b/>
          <w:sz w:val="24"/>
          <w:szCs w:val="24"/>
          <w:lang w:val="zh-CN"/>
        </w:rPr>
      </w:pPr>
      <w:r>
        <w:rPr>
          <w:rFonts w:hint="eastAsia"/>
          <w:b/>
          <w:sz w:val="24"/>
          <w:szCs w:val="24"/>
          <w:lang w:val="zh-CN"/>
        </w:rPr>
        <w:t>格式十二：</w:t>
      </w:r>
    </w:p>
    <w:p>
      <w:pPr>
        <w:rPr>
          <w:sz w:val="24"/>
          <w:szCs w:val="24"/>
          <w:lang w:val="zh-CN"/>
        </w:rPr>
      </w:pP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5" w:type="dxa"/>
            <w:vAlign w:val="center"/>
          </w:tcPr>
          <w:p>
            <w:pPr>
              <w:spacing w:line="360" w:lineRule="auto"/>
              <w:jc w:val="center"/>
              <w:rPr>
                <w:rFonts w:ascii="宋体" w:hAnsi="宋体"/>
                <w:sz w:val="24"/>
                <w:szCs w:val="24"/>
              </w:rPr>
            </w:pPr>
            <w:r>
              <w:rPr>
                <w:rFonts w:hint="eastAsia" w:ascii="宋体" w:hAnsi="宋体"/>
                <w:sz w:val="24"/>
                <w:szCs w:val="24"/>
              </w:rPr>
              <w:t>谈判文件要求服务要求及标准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供应商提供服务指标</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 服务项目名称：：</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3" w:type="dxa"/>
            <w:vAlign w:val="center"/>
          </w:tcPr>
          <w:p>
            <w:pPr>
              <w:spacing w:line="360" w:lineRule="auto"/>
              <w:jc w:val="center"/>
              <w:rPr>
                <w:rFonts w:ascii="宋体" w:hAnsi="宋体"/>
                <w:sz w:val="24"/>
                <w:szCs w:val="24"/>
              </w:rPr>
            </w:pPr>
            <w:r>
              <w:rPr>
                <w:rFonts w:hint="eastAsia" w:ascii="宋体" w:hAnsi="宋体"/>
                <w:sz w:val="24"/>
                <w:szCs w:val="24"/>
              </w:rPr>
              <w:t>谈判文件要求服务要求及标准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供应商提供服务指标</w:t>
            </w:r>
          </w:p>
        </w:tc>
        <w:tc>
          <w:tcPr>
            <w:tcW w:w="1294"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ind w:right="57"/>
        <w:rPr>
          <w:rFonts w:ascii="宋体" w:hAnsi="宋体"/>
          <w:b/>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供应商应按照本谈判文件第四章“服务需求一览表”中的要求，将</w:t>
      </w:r>
      <w:r>
        <w:rPr>
          <w:rFonts w:hint="eastAsia" w:ascii="宋体" w:hAnsi="宋体"/>
          <w:sz w:val="24"/>
          <w:szCs w:val="24"/>
        </w:rPr>
        <w:t>服务要求及标准</w:t>
      </w:r>
      <w:r>
        <w:rPr>
          <w:rFonts w:hint="eastAsia" w:ascii="宋体" w:hAnsi="宋体" w:cs="宋体"/>
          <w:sz w:val="24"/>
          <w:szCs w:val="24"/>
        </w:rPr>
        <w:t>逐一列出，以证明供应商对谈判文件要求的服务内容做出实质性响应。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的服务指标应达到或优于谈判文件中所列要求。谈判文件中所列服务指标仅列出了最低限度，供应商在提供的服务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r>
        <w:rPr>
          <w:sz w:val="21"/>
        </w:rPr>
        <w:br w:type="page"/>
      </w:r>
    </w:p>
    <w:p>
      <w:pPr>
        <w:widowControl/>
        <w:rPr>
          <w:sz w:val="21"/>
        </w:rPr>
      </w:pPr>
    </w:p>
    <w:p>
      <w:pPr>
        <w:spacing w:line="360" w:lineRule="auto"/>
        <w:rPr>
          <w:rFonts w:ascii="宋体" w:hAnsi="宋体"/>
          <w:b/>
          <w:sz w:val="24"/>
          <w:szCs w:val="24"/>
        </w:rPr>
      </w:pPr>
      <w:r>
        <w:rPr>
          <w:rFonts w:hint="eastAsia"/>
          <w:b/>
          <w:sz w:val="24"/>
        </w:rPr>
        <w:t>格式十三：</w:t>
      </w:r>
    </w:p>
    <w:p>
      <w:pPr>
        <w:spacing w:line="480" w:lineRule="exact"/>
        <w:ind w:firstLine="3465" w:firstLineChars="1650"/>
        <w:rPr>
          <w:rFonts w:ascii="宋体" w:hAnsi="Courier New"/>
          <w:b/>
          <w:snapToGrid w:val="0"/>
          <w:kern w:val="0"/>
          <w:sz w:val="21"/>
          <w:szCs w:val="21"/>
        </w:rPr>
      </w:pPr>
      <w:r>
        <w:rPr>
          <w:rFonts w:hint="eastAsia" w:ascii="宋体" w:hAnsi="Courier New"/>
          <w:snapToGrid w:val="0"/>
          <w:kern w:val="0"/>
          <w:sz w:val="21"/>
          <w:szCs w:val="21"/>
        </w:rPr>
        <w:t>项目服务方案</w:t>
      </w:r>
      <w:r>
        <w:rPr>
          <w:rFonts w:hint="eastAsia" w:ascii="宋体" w:hAnsi="Courier New"/>
          <w:b/>
          <w:snapToGrid w:val="0"/>
          <w:kern w:val="0"/>
          <w:sz w:val="21"/>
          <w:szCs w:val="21"/>
        </w:rPr>
        <w:t>（</w:t>
      </w:r>
      <w:r>
        <w:rPr>
          <w:rFonts w:hint="eastAsia" w:ascii="宋体" w:hAnsi="宋体"/>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注：本部分内容应包含但不限于本谈判文件服务要求的相关的内容。</w:t>
      </w:r>
    </w:p>
    <w:p>
      <w: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42"/>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sz w:val="24"/>
          <w:szCs w:val="24"/>
        </w:rPr>
      </w:pP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b/>
          <w:sz w:val="24"/>
          <w:szCs w:val="24"/>
        </w:rPr>
      </w:pPr>
      <w:r>
        <w:rPr>
          <w:rFonts w:hint="eastAsia" w:ascii="宋体" w:hAnsi="宋体"/>
          <w:sz w:val="24"/>
          <w:szCs w:val="24"/>
        </w:rPr>
        <w:t>供应商业绩情况表</w:t>
      </w: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注：供应商根据上述业绩情况后附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格式十六：              </w:t>
      </w:r>
    </w:p>
    <w:p>
      <w:pPr>
        <w:spacing w:line="360" w:lineRule="auto"/>
        <w:jc w:val="center"/>
        <w:rPr>
          <w:rFonts w:ascii="宋体" w:hAnsi="宋体"/>
          <w:b/>
          <w:sz w:val="24"/>
          <w:szCs w:val="24"/>
        </w:rPr>
      </w:pPr>
      <w:r>
        <w:rPr>
          <w:rFonts w:hint="eastAsia" w:ascii="宋体" w:hAnsi="宋体"/>
          <w:sz w:val="24"/>
          <w:szCs w:val="24"/>
          <w:lang w:val="zh-CN"/>
        </w:rPr>
        <w:t>供应商基本情况表</w:t>
      </w:r>
    </w:p>
    <w:tbl>
      <w:tblPr>
        <w:tblStyle w:val="42"/>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及招标公告中供应商资质要求的其他资质证明等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按照本招标文件第六章资格性审查的要求，提供供应商的财务审计报告或资信证明。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32" w:name="_Toc438714732"/>
      <w:bookmarkStart w:id="33" w:name="_Toc482026556"/>
      <w:bookmarkStart w:id="34" w:name="_Toc43865570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32"/>
      <w:bookmarkEnd w:id="33"/>
      <w:bookmarkEnd w:id="34"/>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bookmarkStart w:id="35" w:name="_Toc482026557"/>
      <w:bookmarkStart w:id="36" w:name="_Toc438714733"/>
      <w:bookmarkStart w:id="37" w:name="_Toc438655703"/>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提供递交响应文件截止之日前6个月内（至少一个月）的良好缴纳税收的相关凭据。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35"/>
      <w:bookmarkEnd w:id="36"/>
      <w:bookmarkEnd w:id="37"/>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spacing w:line="360" w:lineRule="auto"/>
        <w:ind w:firstLine="480" w:firstLineChars="200"/>
        <w:rPr>
          <w:sz w:val="24"/>
          <w:szCs w:val="24"/>
        </w:rPr>
      </w:pPr>
      <w:r>
        <w:rPr>
          <w:rFonts w:hint="eastAsia" w:ascii="宋体" w:hAnsi="宋体"/>
          <w:sz w:val="24"/>
          <w:szCs w:val="24"/>
        </w:rPr>
        <w:t>提供递交响应文件截止之日前6月内（至少一个月）缴纳社会保险的凭证。（以社保机构出具的专用收据或社会保险缴纳清单为准）</w:t>
      </w:r>
    </w:p>
    <w:p>
      <w:pPr>
        <w:spacing w:line="360" w:lineRule="auto"/>
        <w:ind w:firstLine="480" w:firstLineChars="200"/>
        <w:rPr>
          <w:sz w:val="24"/>
          <w:szCs w:val="24"/>
        </w:rPr>
      </w:pPr>
    </w:p>
    <w:p>
      <w:pPr>
        <w:ind w:firstLine="480" w:firstLineChars="200"/>
        <w:rPr>
          <w:sz w:val="24"/>
          <w:szCs w:val="24"/>
        </w:rPr>
      </w:pPr>
      <w:r>
        <w:rPr>
          <w:sz w:val="24"/>
          <w:szCs w:val="24"/>
        </w:rPr>
        <w:br w:type="page"/>
      </w:r>
    </w:p>
    <w:p>
      <w:pPr>
        <w:spacing w:line="360" w:lineRule="auto"/>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鄂尔多斯市杭锦旗公共资源交易中心：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9"/>
          <w:rFonts w:hint="eastAsia" w:ascii="宋体" w:hAnsi="宋体" w:cs="宋体"/>
          <w:color w:val="auto"/>
          <w:kern w:val="0"/>
          <w:sz w:val="24"/>
          <w:szCs w:val="24"/>
        </w:rPr>
        <w:t>www.creditchina.gov.cn</w:t>
      </w:r>
      <w:r>
        <w:rPr>
          <w:rStyle w:val="49"/>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49"/>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（1）登录“信用中国”网站，在搜索框中填写供应商全称，点击查询“下载信用报告”进行截图。</w:t>
      </w:r>
    </w:p>
    <w:p>
      <w:pPr>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”，输入供应商全称点击查询，将整个页面进行截图。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Cs/>
          <w:kern w:val="0"/>
          <w:sz w:val="24"/>
          <w:szCs w:val="24"/>
          <w:lang w:val="zh-CN"/>
        </w:rPr>
      </w:pPr>
      <w:r>
        <w:rPr>
          <w:rFonts w:hint="eastAsia" w:ascii="宋体" w:hAnsi="宋体"/>
          <w:sz w:val="21"/>
          <w:szCs w:val="21"/>
        </w:rPr>
        <w:t>政府采购政策情况表</w:t>
      </w:r>
    </w:p>
    <w:tbl>
      <w:tblPr>
        <w:tblStyle w:val="4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224"/>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224"/>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rFonts w:ascii="宋体" w:hAnsi="宋体" w:cs="宋体"/>
          <w:kern w:val="0"/>
          <w:sz w:val="24"/>
        </w:rPr>
      </w:pPr>
      <w:r>
        <w:rPr>
          <w:rFonts w:hint="eastAsia"/>
          <w:sz w:val="24"/>
        </w:rPr>
        <w:t>填报要求：</w:t>
      </w:r>
      <w:r>
        <w:rPr>
          <w:rFonts w:hint="eastAsia" w:ascii="宋体" w:hAnsi="宋体" w:cs="宋体"/>
          <w:kern w:val="0"/>
          <w:sz w:val="24"/>
        </w:rPr>
        <w:t>如属所列情形的，请在括号内打“√”</w:t>
      </w:r>
    </w:p>
    <w:p>
      <w:pPr>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8" w:name="OLE_LINK2"/>
      <w:bookmarkStart w:id="39" w:name="OLE_LINK5"/>
      <w:r>
        <w:rPr>
          <w:rFonts w:hint="eastAsia" w:ascii="宋体" w:hAnsi="宋体" w:cs="宋体"/>
          <w:kern w:val="0"/>
          <w:sz w:val="24"/>
          <w:szCs w:val="24"/>
        </w:rPr>
        <w:t>______（请填写：中型、小型、微型）企业</w:t>
      </w:r>
      <w:bookmarkEnd w:id="38"/>
      <w:bookmarkEnd w:id="39"/>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hint="eastAsia" w:ascii="宋体" w:hAnsi="宋体"/>
          <w:b/>
          <w:bCs/>
          <w:kern w:val="0"/>
          <w:sz w:val="24"/>
          <w:szCs w:val="24"/>
          <w:lang w:val="zh-CN"/>
        </w:rPr>
      </w:pPr>
      <w:r>
        <w:rPr>
          <w:rFonts w:hint="eastAsia" w:ascii="宋体" w:hAnsi="宋体"/>
          <w:b/>
          <w:bCs/>
          <w:kern w:val="0"/>
          <w:sz w:val="24"/>
          <w:szCs w:val="24"/>
          <w:lang w:val="zh-CN"/>
        </w:rPr>
        <w:t>格式二十四：</w:t>
      </w:r>
    </w:p>
    <w:p>
      <w:pPr>
        <w:autoSpaceDE w:val="0"/>
        <w:autoSpaceDN w:val="0"/>
        <w:spacing w:line="360" w:lineRule="auto"/>
        <w:ind w:left="3132" w:hanging="3120" w:hangingChars="1300"/>
        <w:rPr>
          <w:rFonts w:ascii="宋体" w:hAnsi="宋体"/>
          <w:sz w:val="24"/>
          <w:szCs w:val="24"/>
          <w:lang w:val="zh-CN"/>
        </w:rPr>
      </w:pPr>
      <w:r>
        <w:rPr>
          <w:rFonts w:hint="eastAsia" w:ascii="宋体" w:hAnsi="宋体"/>
          <w:sz w:val="24"/>
          <w:szCs w:val="24"/>
        </w:rPr>
        <w:t>各类</w:t>
      </w:r>
      <w:r>
        <w:rPr>
          <w:rFonts w:hint="eastAsia" w:ascii="宋体" w:hAnsi="宋体"/>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3"/>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pStyle w:val="2"/>
        <w:keepNext w:val="0"/>
        <w:keepLines w:val="0"/>
        <w:spacing w:line="360" w:lineRule="auto"/>
        <w:rPr>
          <w:rFonts w:ascii="宋体" w:hAnsi="宋体"/>
          <w:sz w:val="24"/>
          <w:szCs w:val="24"/>
        </w:rPr>
      </w:pPr>
      <w:bookmarkStart w:id="40" w:name="_Toc497726585"/>
      <w:r>
        <w:rPr>
          <w:rFonts w:hint="eastAsia" w:ascii="宋体" w:hAnsi="宋体"/>
          <w:sz w:val="24"/>
          <w:szCs w:val="24"/>
        </w:rPr>
        <w:t>温馨提示</w:t>
      </w:r>
      <w:bookmarkEnd w:id="40"/>
    </w:p>
    <w:p>
      <w:pPr>
        <w:spacing w:line="360" w:lineRule="auto"/>
        <w:rPr>
          <w:rFonts w:ascii="宋体" w:hAnsi="宋体"/>
          <w:b/>
          <w:sz w:val="24"/>
          <w:szCs w:val="24"/>
          <w:lang w:val="zh-CN"/>
        </w:rPr>
      </w:pPr>
      <w:r>
        <w:rPr>
          <w:rFonts w:hint="eastAsia" w:ascii="宋体" w:hAnsi="宋体"/>
          <w:b/>
          <w:sz w:val="24"/>
          <w:szCs w:val="24"/>
          <w:lang w:val="zh-CN"/>
        </w:rPr>
        <w:t>各位供应商:</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5.注意响应文件中相关证明材料的完整性及有效期限。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sectPr>
          <w:headerReference r:id="rId4" w:type="first"/>
          <w:headerReference r:id="rId3" w:type="default"/>
          <w:footerReference r:id="rId5" w:type="default"/>
          <w:pgSz w:w="11906" w:h="16838"/>
          <w:pgMar w:top="284" w:right="1247" w:bottom="340" w:left="624" w:header="851" w:footer="992" w:gutter="0"/>
          <w:cols w:space="720" w:num="1"/>
          <w:titlePg/>
          <w:docGrid w:linePitch="312" w:charSpace="0"/>
        </w:sectPr>
      </w:pPr>
      <w:r>
        <w:rPr>
          <w:rFonts w:hint="eastAsia" w:ascii="宋体" w:hAnsi="宋体"/>
          <w:sz w:val="24"/>
          <w:szCs w:val="24"/>
        </w:rPr>
        <w:t>请各供应商严格遵守《中华人民共和国政府采购法》及其条例，如出现违法、违规行为，将承担响应法律责任</w:t>
      </w:r>
    </w:p>
    <w:p>
      <w:pPr>
        <w:pStyle w:val="3"/>
        <w:keepNext w:val="0"/>
        <w:keepLines w:val="0"/>
        <w:spacing w:line="360" w:lineRule="auto"/>
        <w:rPr>
          <w:rFonts w:ascii="宋体" w:hAnsi="宋体" w:eastAsia="宋体"/>
          <w:bCs w:val="0"/>
          <w:kern w:val="2"/>
          <w:sz w:val="24"/>
          <w:szCs w:val="24"/>
          <w:lang w:val="en-US"/>
        </w:rPr>
      </w:pPr>
    </w:p>
    <w:sectPr>
      <w:headerReference r:id="rId6" w:type="default"/>
      <w:footerReference r:id="rId7" w:type="default"/>
      <w:footerReference r:id="rId8" w:type="even"/>
      <w:pgSz w:w="11907" w:h="16840"/>
      <w:pgMar w:top="284" w:right="1134" w:bottom="340" w:left="62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Align="top"/>
    </w:pPr>
    <w:r>
      <w:fldChar w:fldCharType="begin"/>
    </w:r>
    <w:r>
      <w:rPr>
        <w:rStyle w:val="46"/>
      </w:rPr>
      <w:instrText xml:space="preserve"> PAGE  </w:instrText>
    </w:r>
    <w:r>
      <w:fldChar w:fldCharType="separate"/>
    </w:r>
    <w:r>
      <w:rPr>
        <w:rStyle w:val="46"/>
      </w:rPr>
      <w:t>41</w: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p>
  <w:p>
    <w:pPr>
      <w:pStyle w:val="27"/>
      <w:tabs>
        <w:tab w:val="right" w:pos="8485"/>
        <w:tab w:val="clear" w:pos="4153"/>
        <w:tab w:val="clear" w:pos="8306"/>
      </w:tabs>
      <w:ind w:right="360"/>
      <w:rPr>
        <w:rFonts w:ascii="宋体" w:hAnsi="宋体"/>
        <w:bCs/>
        <w:sz w:val="21"/>
        <w:szCs w:val="21"/>
      </w:rPr>
    </w:pPr>
    <w:r>
      <w:rPr>
        <w:rFonts w:ascii="宋体" w:hAnsi="宋体"/>
        <w:bCs/>
        <w:sz w:val="21"/>
        <w:szCs w:val="21"/>
      </w:rPr>
      <w:pict>
        <v:line id="_x0000_s1026" o:spid="_x0000_s1026" o:spt="20" style="position:absolute;left:0pt;flip:y;margin-left:2.6pt;margin-top:-0.05pt;height:0pt;width:387pt;z-index:251660288;mso-width-relative:page;mso-height-relative:page;"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sMYwDSAAAABQEAAA8AAAAAAAAAAQAgAAAAIgAA&#10;AGRycy9kb3ducmV2LnhtbFBLAQIUABQAAAAIAIdO4kB5AiBo1QEAAHQDAAAOAAAAAAAAAAEAIAAA&#10;ACEBAABkcnMvZTJvRG9jLnhtbFBLBQYAAAAABgAGAFkBAABoBQAAAAA=&#10;">
          <v:path arrowok="t"/>
          <v:fill focussize="0,0"/>
          <v:stroke/>
          <v:imagedata o:title=""/>
          <o:lock v:ext="edit"/>
        </v:line>
      </w:pict>
    </w:r>
    <w:r>
      <w:rPr>
        <w:rFonts w:ascii="宋体" w:hAnsi="宋体"/>
        <w:bCs/>
        <w:sz w:val="21"/>
        <w:szCs w:val="21"/>
      </w:rPr>
      <w:pict>
        <v:line id="_x0000_s1027" o:spid="_x0000_s1027" o:spt="20" style="position:absolute;left:0pt;margin-left:315pt;margin-top:234.85pt;height:0pt;width:414pt;z-index:251659264;mso-width-relative:page;mso-height-relative:page;"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GUda2QAAAAwBAAAPAAAAAAAAAAEAIAAAACIAAABk&#10;cnMvZG93bnJldi54bWxQSwECFAAUAAAACACHTuJA3MfypswBAABqAwAADgAAAAAAAAABACAAAAAo&#10;AQAAZHJzL2Uyb0RvYy54bWxQSwUGAAAAAAYABgBZAQAAZgUAAAAA&#10;">
          <v:path arrowok="t"/>
          <v:fill focussize="0,0"/>
          <v:stroke/>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sz w:val="17"/>
        <w:szCs w:val="17"/>
      </w:rPr>
    </w:pPr>
    <w:r>
      <w:rPr>
        <w:rStyle w:val="46"/>
        <w:sz w:val="17"/>
        <w:szCs w:val="17"/>
      </w:rPr>
      <w:fldChar w:fldCharType="begin"/>
    </w:r>
    <w:r>
      <w:rPr>
        <w:rStyle w:val="46"/>
        <w:sz w:val="17"/>
        <w:szCs w:val="17"/>
      </w:rPr>
      <w:instrText xml:space="preserve">PAGE  </w:instrText>
    </w:r>
    <w:r>
      <w:rPr>
        <w:rStyle w:val="46"/>
        <w:sz w:val="17"/>
        <w:szCs w:val="17"/>
      </w:rPr>
      <w:fldChar w:fldCharType="end"/>
    </w:r>
  </w:p>
  <w:p>
    <w:pPr>
      <w:pStyle w:val="27"/>
      <w:ind w:right="360" w:firstLine="360"/>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174"/>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7"/>
      <w:suff w:val="nothing"/>
      <w:lvlText w:val="%1%2.%3.%4　"/>
      <w:lvlJc w:val="left"/>
      <w:pPr>
        <w:ind w:left="0" w:firstLine="0"/>
      </w:pPr>
      <w:rPr>
        <w:rFonts w:hint="eastAsia" w:ascii="黑体" w:hAnsi="Times New Roman" w:eastAsia="黑体"/>
        <w:b w:val="0"/>
        <w:i w:val="0"/>
        <w:sz w:val="21"/>
      </w:rPr>
    </w:lvl>
    <w:lvl w:ilvl="4" w:tentative="0">
      <w:start w:val="1"/>
      <w:numFmt w:val="decimal"/>
      <w:pStyle w:val="18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19"/>
      <w:lvlText w:val="%3."/>
      <w:lvlJc w:val="right"/>
      <w:pPr>
        <w:tabs>
          <w:tab w:val="left" w:pos="1809"/>
        </w:tabs>
        <w:ind w:left="1809" w:hanging="420"/>
      </w:pPr>
    </w:lvl>
    <w:lvl w:ilvl="3" w:tentative="0">
      <w:start w:val="1"/>
      <w:numFmt w:val="decimal"/>
      <w:pStyle w:val="222"/>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3">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4">
    <w:nsid w:val="0000000E"/>
    <w:multiLevelType w:val="multilevel"/>
    <w:tmpl w:val="0000000E"/>
    <w:lvl w:ilvl="0" w:tentative="0">
      <w:start w:val="1"/>
      <w:numFmt w:val="bullet"/>
      <w:pStyle w:val="93"/>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60B55DC2"/>
    <w:multiLevelType w:val="multilevel"/>
    <w:tmpl w:val="60B55DC2"/>
    <w:lvl w:ilvl="0" w:tentative="0">
      <w:start w:val="1"/>
      <w:numFmt w:val="upperLetter"/>
      <w:pStyle w:val="220"/>
      <w:lvlText w:val="%1"/>
      <w:lvlJc w:val="left"/>
      <w:pPr>
        <w:tabs>
          <w:tab w:val="left" w:pos="0"/>
        </w:tabs>
        <w:ind w:left="0" w:hanging="425"/>
      </w:pPr>
    </w:lvl>
    <w:lvl w:ilvl="1" w:tentative="0">
      <w:start w:val="1"/>
      <w:numFmt w:val="decimal"/>
      <w:pStyle w:val="221"/>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4"/>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yM2ZjNDFkNGZmMWU3NTM4NjVmMWVmZTQ1NjhhMWQifQ=="/>
  </w:docVars>
  <w:rsids>
    <w:rsidRoot w:val="00B30D85"/>
    <w:rsid w:val="000019B5"/>
    <w:rsid w:val="00001E33"/>
    <w:rsid w:val="000037F2"/>
    <w:rsid w:val="00005FCE"/>
    <w:rsid w:val="000064F9"/>
    <w:rsid w:val="00011512"/>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2767"/>
    <w:rsid w:val="00043181"/>
    <w:rsid w:val="00044995"/>
    <w:rsid w:val="00044B0F"/>
    <w:rsid w:val="000471DF"/>
    <w:rsid w:val="000521B0"/>
    <w:rsid w:val="000549EA"/>
    <w:rsid w:val="0005504F"/>
    <w:rsid w:val="000554EC"/>
    <w:rsid w:val="000558A5"/>
    <w:rsid w:val="00055F26"/>
    <w:rsid w:val="00060357"/>
    <w:rsid w:val="00061021"/>
    <w:rsid w:val="00061212"/>
    <w:rsid w:val="000629DD"/>
    <w:rsid w:val="00063168"/>
    <w:rsid w:val="0006359A"/>
    <w:rsid w:val="0006391F"/>
    <w:rsid w:val="0007091D"/>
    <w:rsid w:val="00071A78"/>
    <w:rsid w:val="000737FC"/>
    <w:rsid w:val="00073FAA"/>
    <w:rsid w:val="000750A4"/>
    <w:rsid w:val="00075906"/>
    <w:rsid w:val="00076D91"/>
    <w:rsid w:val="00077EEC"/>
    <w:rsid w:val="00080598"/>
    <w:rsid w:val="00082D2C"/>
    <w:rsid w:val="000832FD"/>
    <w:rsid w:val="0008435E"/>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B7B3B"/>
    <w:rsid w:val="000C5C82"/>
    <w:rsid w:val="000C612E"/>
    <w:rsid w:val="000C6D84"/>
    <w:rsid w:val="000D02AA"/>
    <w:rsid w:val="000D0A17"/>
    <w:rsid w:val="000D17C6"/>
    <w:rsid w:val="000D390B"/>
    <w:rsid w:val="000D515C"/>
    <w:rsid w:val="000D5C01"/>
    <w:rsid w:val="000E14E0"/>
    <w:rsid w:val="000E15BD"/>
    <w:rsid w:val="000E550B"/>
    <w:rsid w:val="000E6319"/>
    <w:rsid w:val="000E78F9"/>
    <w:rsid w:val="000F082D"/>
    <w:rsid w:val="000F297F"/>
    <w:rsid w:val="000F333E"/>
    <w:rsid w:val="000F3963"/>
    <w:rsid w:val="000F422E"/>
    <w:rsid w:val="000F6D0F"/>
    <w:rsid w:val="001016F2"/>
    <w:rsid w:val="00103E0C"/>
    <w:rsid w:val="00104530"/>
    <w:rsid w:val="00105203"/>
    <w:rsid w:val="001066A5"/>
    <w:rsid w:val="00106730"/>
    <w:rsid w:val="0010792E"/>
    <w:rsid w:val="001117FE"/>
    <w:rsid w:val="00111FA5"/>
    <w:rsid w:val="00117038"/>
    <w:rsid w:val="0011793A"/>
    <w:rsid w:val="00117F1A"/>
    <w:rsid w:val="00120A63"/>
    <w:rsid w:val="00120B60"/>
    <w:rsid w:val="001246B6"/>
    <w:rsid w:val="001247E2"/>
    <w:rsid w:val="00127E2F"/>
    <w:rsid w:val="00130354"/>
    <w:rsid w:val="00130A26"/>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2E10"/>
    <w:rsid w:val="00163D19"/>
    <w:rsid w:val="00165EB9"/>
    <w:rsid w:val="00166437"/>
    <w:rsid w:val="00170333"/>
    <w:rsid w:val="00171AA8"/>
    <w:rsid w:val="00176355"/>
    <w:rsid w:val="00177528"/>
    <w:rsid w:val="00180D8E"/>
    <w:rsid w:val="0018304A"/>
    <w:rsid w:val="00183F40"/>
    <w:rsid w:val="00186AFA"/>
    <w:rsid w:val="00190BA3"/>
    <w:rsid w:val="001947D0"/>
    <w:rsid w:val="00195136"/>
    <w:rsid w:val="00196D7D"/>
    <w:rsid w:val="001A0B92"/>
    <w:rsid w:val="001A22C1"/>
    <w:rsid w:val="001A288D"/>
    <w:rsid w:val="001A3186"/>
    <w:rsid w:val="001A3257"/>
    <w:rsid w:val="001A4ADD"/>
    <w:rsid w:val="001A5910"/>
    <w:rsid w:val="001A6850"/>
    <w:rsid w:val="001B0A52"/>
    <w:rsid w:val="001B2547"/>
    <w:rsid w:val="001B47A9"/>
    <w:rsid w:val="001B4ECB"/>
    <w:rsid w:val="001B5A16"/>
    <w:rsid w:val="001B631D"/>
    <w:rsid w:val="001C120E"/>
    <w:rsid w:val="001C2945"/>
    <w:rsid w:val="001C30F5"/>
    <w:rsid w:val="001C4C6E"/>
    <w:rsid w:val="001C66C5"/>
    <w:rsid w:val="001C6E35"/>
    <w:rsid w:val="001C7085"/>
    <w:rsid w:val="001C780A"/>
    <w:rsid w:val="001C7988"/>
    <w:rsid w:val="001D1224"/>
    <w:rsid w:val="001D128E"/>
    <w:rsid w:val="001D44B5"/>
    <w:rsid w:val="001D470F"/>
    <w:rsid w:val="001D7C35"/>
    <w:rsid w:val="001E146C"/>
    <w:rsid w:val="001E2F8C"/>
    <w:rsid w:val="001E35A6"/>
    <w:rsid w:val="001E6B2B"/>
    <w:rsid w:val="001F3324"/>
    <w:rsid w:val="001F38E6"/>
    <w:rsid w:val="001F46E4"/>
    <w:rsid w:val="001F50D5"/>
    <w:rsid w:val="00200682"/>
    <w:rsid w:val="00200C69"/>
    <w:rsid w:val="002024F8"/>
    <w:rsid w:val="00203A97"/>
    <w:rsid w:val="00203C57"/>
    <w:rsid w:val="00204D35"/>
    <w:rsid w:val="00205A07"/>
    <w:rsid w:val="00206F25"/>
    <w:rsid w:val="002118F5"/>
    <w:rsid w:val="002138E0"/>
    <w:rsid w:val="002141C4"/>
    <w:rsid w:val="002147FE"/>
    <w:rsid w:val="0021704B"/>
    <w:rsid w:val="00217885"/>
    <w:rsid w:val="00217F36"/>
    <w:rsid w:val="002216D2"/>
    <w:rsid w:val="002309C7"/>
    <w:rsid w:val="002323CA"/>
    <w:rsid w:val="002349C2"/>
    <w:rsid w:val="002359DD"/>
    <w:rsid w:val="00235E8C"/>
    <w:rsid w:val="00236BF6"/>
    <w:rsid w:val="00236FE0"/>
    <w:rsid w:val="00245C70"/>
    <w:rsid w:val="00246923"/>
    <w:rsid w:val="00247981"/>
    <w:rsid w:val="00247D3C"/>
    <w:rsid w:val="00252A85"/>
    <w:rsid w:val="00252E75"/>
    <w:rsid w:val="002531F7"/>
    <w:rsid w:val="00260914"/>
    <w:rsid w:val="002618B9"/>
    <w:rsid w:val="00262286"/>
    <w:rsid w:val="00262C1B"/>
    <w:rsid w:val="00267255"/>
    <w:rsid w:val="002677C5"/>
    <w:rsid w:val="0026789F"/>
    <w:rsid w:val="0027098A"/>
    <w:rsid w:val="0027421A"/>
    <w:rsid w:val="00274A75"/>
    <w:rsid w:val="002758D1"/>
    <w:rsid w:val="00275B60"/>
    <w:rsid w:val="00276325"/>
    <w:rsid w:val="00276D08"/>
    <w:rsid w:val="002770D7"/>
    <w:rsid w:val="00277A59"/>
    <w:rsid w:val="00280DF6"/>
    <w:rsid w:val="002813D5"/>
    <w:rsid w:val="002833E4"/>
    <w:rsid w:val="002835A3"/>
    <w:rsid w:val="002847EC"/>
    <w:rsid w:val="00285F7D"/>
    <w:rsid w:val="00286176"/>
    <w:rsid w:val="002900C6"/>
    <w:rsid w:val="00290210"/>
    <w:rsid w:val="00290AF1"/>
    <w:rsid w:val="00290EA5"/>
    <w:rsid w:val="0029262E"/>
    <w:rsid w:val="00292903"/>
    <w:rsid w:val="00292DEA"/>
    <w:rsid w:val="00293351"/>
    <w:rsid w:val="00294C80"/>
    <w:rsid w:val="002954F1"/>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7284"/>
    <w:rsid w:val="002D0015"/>
    <w:rsid w:val="002D274A"/>
    <w:rsid w:val="002D2ABF"/>
    <w:rsid w:val="002D3A79"/>
    <w:rsid w:val="002D3B81"/>
    <w:rsid w:val="002D565D"/>
    <w:rsid w:val="002D5A33"/>
    <w:rsid w:val="002D5B54"/>
    <w:rsid w:val="002E26CE"/>
    <w:rsid w:val="002E335C"/>
    <w:rsid w:val="002E3D50"/>
    <w:rsid w:val="002E5B7A"/>
    <w:rsid w:val="002E5EAB"/>
    <w:rsid w:val="002E5EDD"/>
    <w:rsid w:val="002E6E32"/>
    <w:rsid w:val="002E7AC9"/>
    <w:rsid w:val="002F139E"/>
    <w:rsid w:val="002F14A2"/>
    <w:rsid w:val="002F4D72"/>
    <w:rsid w:val="002F4ECE"/>
    <w:rsid w:val="002F5648"/>
    <w:rsid w:val="002F7057"/>
    <w:rsid w:val="002F7ADE"/>
    <w:rsid w:val="003028A1"/>
    <w:rsid w:val="00305086"/>
    <w:rsid w:val="0030511C"/>
    <w:rsid w:val="00305EF3"/>
    <w:rsid w:val="00307C6D"/>
    <w:rsid w:val="0031146F"/>
    <w:rsid w:val="003166E1"/>
    <w:rsid w:val="003167BB"/>
    <w:rsid w:val="003175DD"/>
    <w:rsid w:val="00317A60"/>
    <w:rsid w:val="00321647"/>
    <w:rsid w:val="0032346F"/>
    <w:rsid w:val="00323744"/>
    <w:rsid w:val="003252DF"/>
    <w:rsid w:val="00330FBC"/>
    <w:rsid w:val="00331EF4"/>
    <w:rsid w:val="0033413C"/>
    <w:rsid w:val="00337D17"/>
    <w:rsid w:val="0034009B"/>
    <w:rsid w:val="00340152"/>
    <w:rsid w:val="00343DE1"/>
    <w:rsid w:val="00343EF5"/>
    <w:rsid w:val="003453A3"/>
    <w:rsid w:val="003456D5"/>
    <w:rsid w:val="00346797"/>
    <w:rsid w:val="00350415"/>
    <w:rsid w:val="00351A42"/>
    <w:rsid w:val="00354113"/>
    <w:rsid w:val="00354D79"/>
    <w:rsid w:val="00355D59"/>
    <w:rsid w:val="003562A9"/>
    <w:rsid w:val="0035724C"/>
    <w:rsid w:val="003573FD"/>
    <w:rsid w:val="00357BB1"/>
    <w:rsid w:val="003601BC"/>
    <w:rsid w:val="003605DA"/>
    <w:rsid w:val="00361E13"/>
    <w:rsid w:val="00361E84"/>
    <w:rsid w:val="003620B6"/>
    <w:rsid w:val="00363A25"/>
    <w:rsid w:val="00363FBE"/>
    <w:rsid w:val="0036589D"/>
    <w:rsid w:val="0036646C"/>
    <w:rsid w:val="00366DF7"/>
    <w:rsid w:val="00366FF7"/>
    <w:rsid w:val="00367583"/>
    <w:rsid w:val="00372CDD"/>
    <w:rsid w:val="00373C4E"/>
    <w:rsid w:val="00374800"/>
    <w:rsid w:val="0037604A"/>
    <w:rsid w:val="0037796F"/>
    <w:rsid w:val="003850C1"/>
    <w:rsid w:val="00386C41"/>
    <w:rsid w:val="00386F2E"/>
    <w:rsid w:val="00387C9F"/>
    <w:rsid w:val="00391691"/>
    <w:rsid w:val="0039586D"/>
    <w:rsid w:val="0039754F"/>
    <w:rsid w:val="003978E6"/>
    <w:rsid w:val="003A0038"/>
    <w:rsid w:val="003A059F"/>
    <w:rsid w:val="003A231E"/>
    <w:rsid w:val="003A3C16"/>
    <w:rsid w:val="003A585F"/>
    <w:rsid w:val="003A60CE"/>
    <w:rsid w:val="003A7970"/>
    <w:rsid w:val="003A7DC4"/>
    <w:rsid w:val="003A7FDC"/>
    <w:rsid w:val="003B19AF"/>
    <w:rsid w:val="003B5C3F"/>
    <w:rsid w:val="003C2EE8"/>
    <w:rsid w:val="003C4C9F"/>
    <w:rsid w:val="003C57A9"/>
    <w:rsid w:val="003C62D0"/>
    <w:rsid w:val="003D1646"/>
    <w:rsid w:val="003D1807"/>
    <w:rsid w:val="003D198A"/>
    <w:rsid w:val="003D305F"/>
    <w:rsid w:val="003D3113"/>
    <w:rsid w:val="003D3190"/>
    <w:rsid w:val="003D7194"/>
    <w:rsid w:val="003D73A0"/>
    <w:rsid w:val="003E0287"/>
    <w:rsid w:val="003E1992"/>
    <w:rsid w:val="003E24CF"/>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0B0F"/>
    <w:rsid w:val="00411079"/>
    <w:rsid w:val="004115E2"/>
    <w:rsid w:val="004117C1"/>
    <w:rsid w:val="00411877"/>
    <w:rsid w:val="004127CA"/>
    <w:rsid w:val="00414241"/>
    <w:rsid w:val="00414662"/>
    <w:rsid w:val="00417D84"/>
    <w:rsid w:val="00420B58"/>
    <w:rsid w:val="00420E78"/>
    <w:rsid w:val="004223BB"/>
    <w:rsid w:val="00425C9D"/>
    <w:rsid w:val="00425DB7"/>
    <w:rsid w:val="004261E5"/>
    <w:rsid w:val="00431F27"/>
    <w:rsid w:val="00432AB7"/>
    <w:rsid w:val="00433011"/>
    <w:rsid w:val="0043349B"/>
    <w:rsid w:val="004345D9"/>
    <w:rsid w:val="004352F5"/>
    <w:rsid w:val="00435D31"/>
    <w:rsid w:val="00435D5B"/>
    <w:rsid w:val="004374BE"/>
    <w:rsid w:val="00440E33"/>
    <w:rsid w:val="00441B61"/>
    <w:rsid w:val="00441CA8"/>
    <w:rsid w:val="004431F8"/>
    <w:rsid w:val="00443247"/>
    <w:rsid w:val="00445BD5"/>
    <w:rsid w:val="00447B3B"/>
    <w:rsid w:val="0045125A"/>
    <w:rsid w:val="00452F0B"/>
    <w:rsid w:val="0045391D"/>
    <w:rsid w:val="00456764"/>
    <w:rsid w:val="004575B1"/>
    <w:rsid w:val="0046293D"/>
    <w:rsid w:val="0046308F"/>
    <w:rsid w:val="00473067"/>
    <w:rsid w:val="004755C8"/>
    <w:rsid w:val="004771B0"/>
    <w:rsid w:val="00477518"/>
    <w:rsid w:val="00481182"/>
    <w:rsid w:val="00481B1C"/>
    <w:rsid w:val="004825C2"/>
    <w:rsid w:val="004827A6"/>
    <w:rsid w:val="00482AEC"/>
    <w:rsid w:val="00482DE0"/>
    <w:rsid w:val="00483816"/>
    <w:rsid w:val="00486BCF"/>
    <w:rsid w:val="0049094E"/>
    <w:rsid w:val="00491598"/>
    <w:rsid w:val="00493B4C"/>
    <w:rsid w:val="00493C31"/>
    <w:rsid w:val="0049481A"/>
    <w:rsid w:val="00496D4A"/>
    <w:rsid w:val="004A17D2"/>
    <w:rsid w:val="004A2179"/>
    <w:rsid w:val="004A32E9"/>
    <w:rsid w:val="004A34E2"/>
    <w:rsid w:val="004A6F4D"/>
    <w:rsid w:val="004A7401"/>
    <w:rsid w:val="004B1CE0"/>
    <w:rsid w:val="004B22B2"/>
    <w:rsid w:val="004B565B"/>
    <w:rsid w:val="004B6BB2"/>
    <w:rsid w:val="004C2018"/>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4C72"/>
    <w:rsid w:val="004D54F3"/>
    <w:rsid w:val="004D57AF"/>
    <w:rsid w:val="004D5A44"/>
    <w:rsid w:val="004D6BA9"/>
    <w:rsid w:val="004E0D0E"/>
    <w:rsid w:val="004E19E1"/>
    <w:rsid w:val="004E1A68"/>
    <w:rsid w:val="004E1B29"/>
    <w:rsid w:val="004E35E8"/>
    <w:rsid w:val="004E37D1"/>
    <w:rsid w:val="004E3BE0"/>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4BF"/>
    <w:rsid w:val="0052071C"/>
    <w:rsid w:val="00520A53"/>
    <w:rsid w:val="005214EC"/>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2B4D"/>
    <w:rsid w:val="00543DF3"/>
    <w:rsid w:val="00544F6C"/>
    <w:rsid w:val="00545552"/>
    <w:rsid w:val="00552AF4"/>
    <w:rsid w:val="00552C27"/>
    <w:rsid w:val="00556CAB"/>
    <w:rsid w:val="00557212"/>
    <w:rsid w:val="005611C9"/>
    <w:rsid w:val="005655C3"/>
    <w:rsid w:val="0056676F"/>
    <w:rsid w:val="00566C3D"/>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742"/>
    <w:rsid w:val="0059698F"/>
    <w:rsid w:val="00597732"/>
    <w:rsid w:val="005A238D"/>
    <w:rsid w:val="005A30D6"/>
    <w:rsid w:val="005A45E1"/>
    <w:rsid w:val="005A5BF4"/>
    <w:rsid w:val="005A63BF"/>
    <w:rsid w:val="005A721E"/>
    <w:rsid w:val="005A75B9"/>
    <w:rsid w:val="005A75C8"/>
    <w:rsid w:val="005B09D5"/>
    <w:rsid w:val="005B0FD6"/>
    <w:rsid w:val="005B275E"/>
    <w:rsid w:val="005B37A7"/>
    <w:rsid w:val="005B72CA"/>
    <w:rsid w:val="005C0AAB"/>
    <w:rsid w:val="005C24D1"/>
    <w:rsid w:val="005C393D"/>
    <w:rsid w:val="005C46EF"/>
    <w:rsid w:val="005C7788"/>
    <w:rsid w:val="005D0F26"/>
    <w:rsid w:val="005D1575"/>
    <w:rsid w:val="005D18E5"/>
    <w:rsid w:val="005D20F2"/>
    <w:rsid w:val="005D450D"/>
    <w:rsid w:val="005D49D6"/>
    <w:rsid w:val="005D5251"/>
    <w:rsid w:val="005D7B0E"/>
    <w:rsid w:val="005E0C34"/>
    <w:rsid w:val="005E1613"/>
    <w:rsid w:val="005E1B00"/>
    <w:rsid w:val="005E1E22"/>
    <w:rsid w:val="005E28DB"/>
    <w:rsid w:val="005E31CC"/>
    <w:rsid w:val="005E3207"/>
    <w:rsid w:val="005E3EC1"/>
    <w:rsid w:val="005E4F1E"/>
    <w:rsid w:val="005E7046"/>
    <w:rsid w:val="005E7B84"/>
    <w:rsid w:val="005F01D8"/>
    <w:rsid w:val="005F04AE"/>
    <w:rsid w:val="005F1AFD"/>
    <w:rsid w:val="005F221E"/>
    <w:rsid w:val="005F461F"/>
    <w:rsid w:val="005F4751"/>
    <w:rsid w:val="005F5051"/>
    <w:rsid w:val="005F62DF"/>
    <w:rsid w:val="005F639F"/>
    <w:rsid w:val="005F6C1D"/>
    <w:rsid w:val="005F6C97"/>
    <w:rsid w:val="005F72B5"/>
    <w:rsid w:val="005F7FEA"/>
    <w:rsid w:val="006022DF"/>
    <w:rsid w:val="006033B9"/>
    <w:rsid w:val="00603405"/>
    <w:rsid w:val="00603E7F"/>
    <w:rsid w:val="00604E2D"/>
    <w:rsid w:val="00606D92"/>
    <w:rsid w:val="0061529A"/>
    <w:rsid w:val="00615A8D"/>
    <w:rsid w:val="00616A52"/>
    <w:rsid w:val="00620026"/>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625F"/>
    <w:rsid w:val="0065785E"/>
    <w:rsid w:val="00657D10"/>
    <w:rsid w:val="006604AC"/>
    <w:rsid w:val="00661376"/>
    <w:rsid w:val="006615E5"/>
    <w:rsid w:val="00663483"/>
    <w:rsid w:val="00663B6F"/>
    <w:rsid w:val="00663DD3"/>
    <w:rsid w:val="0066477C"/>
    <w:rsid w:val="00666A3E"/>
    <w:rsid w:val="00670B76"/>
    <w:rsid w:val="00670FAA"/>
    <w:rsid w:val="006718B0"/>
    <w:rsid w:val="006719FE"/>
    <w:rsid w:val="0067569A"/>
    <w:rsid w:val="006819AB"/>
    <w:rsid w:val="006820F4"/>
    <w:rsid w:val="00685872"/>
    <w:rsid w:val="006869C4"/>
    <w:rsid w:val="0068719C"/>
    <w:rsid w:val="00687D18"/>
    <w:rsid w:val="0069019B"/>
    <w:rsid w:val="0069227D"/>
    <w:rsid w:val="006974C8"/>
    <w:rsid w:val="00697B24"/>
    <w:rsid w:val="00697EA9"/>
    <w:rsid w:val="006A06EE"/>
    <w:rsid w:val="006A25CE"/>
    <w:rsid w:val="006A266C"/>
    <w:rsid w:val="006A3281"/>
    <w:rsid w:val="006A4BA2"/>
    <w:rsid w:val="006A66B9"/>
    <w:rsid w:val="006A7FBB"/>
    <w:rsid w:val="006B0D3C"/>
    <w:rsid w:val="006B0E96"/>
    <w:rsid w:val="006B1ADB"/>
    <w:rsid w:val="006B28B1"/>
    <w:rsid w:val="006B3C71"/>
    <w:rsid w:val="006B4351"/>
    <w:rsid w:val="006B6D1C"/>
    <w:rsid w:val="006C2009"/>
    <w:rsid w:val="006C227A"/>
    <w:rsid w:val="006C287A"/>
    <w:rsid w:val="006C344B"/>
    <w:rsid w:val="006C3D88"/>
    <w:rsid w:val="006D1273"/>
    <w:rsid w:val="006D2A32"/>
    <w:rsid w:val="006D30BE"/>
    <w:rsid w:val="006D567A"/>
    <w:rsid w:val="006D58D2"/>
    <w:rsid w:val="006D5943"/>
    <w:rsid w:val="006E010B"/>
    <w:rsid w:val="006E16A8"/>
    <w:rsid w:val="006E382F"/>
    <w:rsid w:val="006E57A0"/>
    <w:rsid w:val="006E6765"/>
    <w:rsid w:val="006E6953"/>
    <w:rsid w:val="006F1AAC"/>
    <w:rsid w:val="006F2097"/>
    <w:rsid w:val="006F344D"/>
    <w:rsid w:val="006F5052"/>
    <w:rsid w:val="006F5F1F"/>
    <w:rsid w:val="006F63B1"/>
    <w:rsid w:val="006F6462"/>
    <w:rsid w:val="006F7AC7"/>
    <w:rsid w:val="00700CD9"/>
    <w:rsid w:val="00701BA9"/>
    <w:rsid w:val="007020B5"/>
    <w:rsid w:val="007029E6"/>
    <w:rsid w:val="00703008"/>
    <w:rsid w:val="007055F3"/>
    <w:rsid w:val="00706DA6"/>
    <w:rsid w:val="007071EB"/>
    <w:rsid w:val="00710463"/>
    <w:rsid w:val="00710837"/>
    <w:rsid w:val="00710B71"/>
    <w:rsid w:val="00712A21"/>
    <w:rsid w:val="00714859"/>
    <w:rsid w:val="00714F92"/>
    <w:rsid w:val="0071524A"/>
    <w:rsid w:val="00717FD3"/>
    <w:rsid w:val="00720C41"/>
    <w:rsid w:val="00722FBA"/>
    <w:rsid w:val="0072313F"/>
    <w:rsid w:val="00727F36"/>
    <w:rsid w:val="0073012D"/>
    <w:rsid w:val="00732742"/>
    <w:rsid w:val="0073370C"/>
    <w:rsid w:val="00733A3B"/>
    <w:rsid w:val="00744479"/>
    <w:rsid w:val="00744FCC"/>
    <w:rsid w:val="00746143"/>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272"/>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E1654"/>
    <w:rsid w:val="007E1922"/>
    <w:rsid w:val="007E214E"/>
    <w:rsid w:val="007E4109"/>
    <w:rsid w:val="007E47D8"/>
    <w:rsid w:val="007E4E2B"/>
    <w:rsid w:val="007E6083"/>
    <w:rsid w:val="007E7F1E"/>
    <w:rsid w:val="007F13EE"/>
    <w:rsid w:val="007F425A"/>
    <w:rsid w:val="007F5F08"/>
    <w:rsid w:val="007F5FD5"/>
    <w:rsid w:val="007F6127"/>
    <w:rsid w:val="007F6812"/>
    <w:rsid w:val="007F7A75"/>
    <w:rsid w:val="00803208"/>
    <w:rsid w:val="00803284"/>
    <w:rsid w:val="00807358"/>
    <w:rsid w:val="00810769"/>
    <w:rsid w:val="00811CCC"/>
    <w:rsid w:val="00812080"/>
    <w:rsid w:val="008151FE"/>
    <w:rsid w:val="008160B8"/>
    <w:rsid w:val="00816D72"/>
    <w:rsid w:val="0082080B"/>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5391"/>
    <w:rsid w:val="00846755"/>
    <w:rsid w:val="008468C8"/>
    <w:rsid w:val="00847B72"/>
    <w:rsid w:val="00847D49"/>
    <w:rsid w:val="00851EF0"/>
    <w:rsid w:val="0085285F"/>
    <w:rsid w:val="00852B2F"/>
    <w:rsid w:val="00853159"/>
    <w:rsid w:val="0085576F"/>
    <w:rsid w:val="00855E59"/>
    <w:rsid w:val="00857D31"/>
    <w:rsid w:val="00860870"/>
    <w:rsid w:val="0086264D"/>
    <w:rsid w:val="00863D3F"/>
    <w:rsid w:val="008640A9"/>
    <w:rsid w:val="00865130"/>
    <w:rsid w:val="008651B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2C8C"/>
    <w:rsid w:val="0088395D"/>
    <w:rsid w:val="0088652E"/>
    <w:rsid w:val="00887695"/>
    <w:rsid w:val="00887B1A"/>
    <w:rsid w:val="008920CE"/>
    <w:rsid w:val="00896BE8"/>
    <w:rsid w:val="0089756D"/>
    <w:rsid w:val="008A090F"/>
    <w:rsid w:val="008A3B24"/>
    <w:rsid w:val="008A3F3D"/>
    <w:rsid w:val="008B2560"/>
    <w:rsid w:val="008B4F77"/>
    <w:rsid w:val="008B58CB"/>
    <w:rsid w:val="008B6131"/>
    <w:rsid w:val="008B773A"/>
    <w:rsid w:val="008B7C2B"/>
    <w:rsid w:val="008C0BB8"/>
    <w:rsid w:val="008C141C"/>
    <w:rsid w:val="008C2460"/>
    <w:rsid w:val="008C4018"/>
    <w:rsid w:val="008C61E1"/>
    <w:rsid w:val="008D03BD"/>
    <w:rsid w:val="008D1CB0"/>
    <w:rsid w:val="008D4B46"/>
    <w:rsid w:val="008D51C7"/>
    <w:rsid w:val="008D6598"/>
    <w:rsid w:val="008D6D39"/>
    <w:rsid w:val="008D6E21"/>
    <w:rsid w:val="008D7F22"/>
    <w:rsid w:val="008E3AA7"/>
    <w:rsid w:val="008E5FD0"/>
    <w:rsid w:val="008E64B5"/>
    <w:rsid w:val="008F1E56"/>
    <w:rsid w:val="008F28E7"/>
    <w:rsid w:val="008F6418"/>
    <w:rsid w:val="008F66F4"/>
    <w:rsid w:val="008F7C65"/>
    <w:rsid w:val="00900237"/>
    <w:rsid w:val="00900C9C"/>
    <w:rsid w:val="009023CD"/>
    <w:rsid w:val="00903251"/>
    <w:rsid w:val="009035CB"/>
    <w:rsid w:val="00904F9C"/>
    <w:rsid w:val="00907078"/>
    <w:rsid w:val="00907B49"/>
    <w:rsid w:val="009101B9"/>
    <w:rsid w:val="0091105D"/>
    <w:rsid w:val="009132A8"/>
    <w:rsid w:val="00913D23"/>
    <w:rsid w:val="00913E32"/>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6F6C"/>
    <w:rsid w:val="0093717B"/>
    <w:rsid w:val="00937855"/>
    <w:rsid w:val="00945EC2"/>
    <w:rsid w:val="009464E6"/>
    <w:rsid w:val="00950A42"/>
    <w:rsid w:val="00950F8C"/>
    <w:rsid w:val="009510CA"/>
    <w:rsid w:val="00953E7B"/>
    <w:rsid w:val="00954B1F"/>
    <w:rsid w:val="00957FDA"/>
    <w:rsid w:val="009620D8"/>
    <w:rsid w:val="0096261B"/>
    <w:rsid w:val="009638A0"/>
    <w:rsid w:val="00964157"/>
    <w:rsid w:val="009654D6"/>
    <w:rsid w:val="00965FC4"/>
    <w:rsid w:val="0097254D"/>
    <w:rsid w:val="00972E53"/>
    <w:rsid w:val="00974D6B"/>
    <w:rsid w:val="00975CFC"/>
    <w:rsid w:val="00977590"/>
    <w:rsid w:val="00977707"/>
    <w:rsid w:val="0098033C"/>
    <w:rsid w:val="0098116C"/>
    <w:rsid w:val="009836C4"/>
    <w:rsid w:val="00985035"/>
    <w:rsid w:val="009854E2"/>
    <w:rsid w:val="00985FAC"/>
    <w:rsid w:val="00986A6C"/>
    <w:rsid w:val="00991D87"/>
    <w:rsid w:val="00992DCA"/>
    <w:rsid w:val="009939F1"/>
    <w:rsid w:val="00994A54"/>
    <w:rsid w:val="00996755"/>
    <w:rsid w:val="00997359"/>
    <w:rsid w:val="009A0BCB"/>
    <w:rsid w:val="009A53E3"/>
    <w:rsid w:val="009B3A88"/>
    <w:rsid w:val="009C2E57"/>
    <w:rsid w:val="009C32DA"/>
    <w:rsid w:val="009C401C"/>
    <w:rsid w:val="009D1A5A"/>
    <w:rsid w:val="009D37AC"/>
    <w:rsid w:val="009D3EA9"/>
    <w:rsid w:val="009D54CB"/>
    <w:rsid w:val="009D799E"/>
    <w:rsid w:val="009E0628"/>
    <w:rsid w:val="009E1506"/>
    <w:rsid w:val="009E391F"/>
    <w:rsid w:val="009E4F61"/>
    <w:rsid w:val="009E55D8"/>
    <w:rsid w:val="009F074C"/>
    <w:rsid w:val="009F204C"/>
    <w:rsid w:val="009F31F8"/>
    <w:rsid w:val="009F354C"/>
    <w:rsid w:val="009F4F17"/>
    <w:rsid w:val="00A031CD"/>
    <w:rsid w:val="00A03B8F"/>
    <w:rsid w:val="00A0415A"/>
    <w:rsid w:val="00A04F9A"/>
    <w:rsid w:val="00A05DF3"/>
    <w:rsid w:val="00A06478"/>
    <w:rsid w:val="00A10757"/>
    <w:rsid w:val="00A10B3D"/>
    <w:rsid w:val="00A13C8B"/>
    <w:rsid w:val="00A153E9"/>
    <w:rsid w:val="00A177BC"/>
    <w:rsid w:val="00A17933"/>
    <w:rsid w:val="00A2176D"/>
    <w:rsid w:val="00A21819"/>
    <w:rsid w:val="00A22B5C"/>
    <w:rsid w:val="00A22C5E"/>
    <w:rsid w:val="00A277B8"/>
    <w:rsid w:val="00A27998"/>
    <w:rsid w:val="00A32952"/>
    <w:rsid w:val="00A32E23"/>
    <w:rsid w:val="00A342F7"/>
    <w:rsid w:val="00A34CA2"/>
    <w:rsid w:val="00A3579C"/>
    <w:rsid w:val="00A35E73"/>
    <w:rsid w:val="00A3653F"/>
    <w:rsid w:val="00A36877"/>
    <w:rsid w:val="00A36C65"/>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64EBF"/>
    <w:rsid w:val="00A70302"/>
    <w:rsid w:val="00A70F46"/>
    <w:rsid w:val="00A7112C"/>
    <w:rsid w:val="00A71C5A"/>
    <w:rsid w:val="00A744A6"/>
    <w:rsid w:val="00A75A4D"/>
    <w:rsid w:val="00A770AD"/>
    <w:rsid w:val="00A80FAB"/>
    <w:rsid w:val="00A82D1B"/>
    <w:rsid w:val="00A84092"/>
    <w:rsid w:val="00A847DE"/>
    <w:rsid w:val="00A84B75"/>
    <w:rsid w:val="00A8522A"/>
    <w:rsid w:val="00A85806"/>
    <w:rsid w:val="00A90680"/>
    <w:rsid w:val="00A90976"/>
    <w:rsid w:val="00A90D02"/>
    <w:rsid w:val="00A93EE5"/>
    <w:rsid w:val="00A958A5"/>
    <w:rsid w:val="00AA02D4"/>
    <w:rsid w:val="00AA1B71"/>
    <w:rsid w:val="00AA2404"/>
    <w:rsid w:val="00AA31B0"/>
    <w:rsid w:val="00AA4062"/>
    <w:rsid w:val="00AA56A4"/>
    <w:rsid w:val="00AA6463"/>
    <w:rsid w:val="00AA668E"/>
    <w:rsid w:val="00AB6FD5"/>
    <w:rsid w:val="00AC08EC"/>
    <w:rsid w:val="00AC0FF8"/>
    <w:rsid w:val="00AC1C33"/>
    <w:rsid w:val="00AC445C"/>
    <w:rsid w:val="00AC5CD4"/>
    <w:rsid w:val="00AD2B93"/>
    <w:rsid w:val="00AD3D67"/>
    <w:rsid w:val="00AD5BBB"/>
    <w:rsid w:val="00AD6104"/>
    <w:rsid w:val="00AD7033"/>
    <w:rsid w:val="00AD7399"/>
    <w:rsid w:val="00AE4E5E"/>
    <w:rsid w:val="00AE731A"/>
    <w:rsid w:val="00AE7733"/>
    <w:rsid w:val="00AE7FD2"/>
    <w:rsid w:val="00AF0EC5"/>
    <w:rsid w:val="00AF15E2"/>
    <w:rsid w:val="00AF1E0E"/>
    <w:rsid w:val="00AF23DE"/>
    <w:rsid w:val="00AF3A3E"/>
    <w:rsid w:val="00AF45AC"/>
    <w:rsid w:val="00AF594A"/>
    <w:rsid w:val="00AF6637"/>
    <w:rsid w:val="00AF7763"/>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2E25"/>
    <w:rsid w:val="00B2713A"/>
    <w:rsid w:val="00B27C5F"/>
    <w:rsid w:val="00B30D85"/>
    <w:rsid w:val="00B31F5D"/>
    <w:rsid w:val="00B32CDD"/>
    <w:rsid w:val="00B33034"/>
    <w:rsid w:val="00B33BD3"/>
    <w:rsid w:val="00B34FEA"/>
    <w:rsid w:val="00B353D5"/>
    <w:rsid w:val="00B36755"/>
    <w:rsid w:val="00B401C4"/>
    <w:rsid w:val="00B401E8"/>
    <w:rsid w:val="00B402A9"/>
    <w:rsid w:val="00B40E60"/>
    <w:rsid w:val="00B41184"/>
    <w:rsid w:val="00B4234F"/>
    <w:rsid w:val="00B423FA"/>
    <w:rsid w:val="00B425EB"/>
    <w:rsid w:val="00B4289E"/>
    <w:rsid w:val="00B434A7"/>
    <w:rsid w:val="00B44434"/>
    <w:rsid w:val="00B44FDA"/>
    <w:rsid w:val="00B452D0"/>
    <w:rsid w:val="00B46FB3"/>
    <w:rsid w:val="00B50744"/>
    <w:rsid w:val="00B51355"/>
    <w:rsid w:val="00B51D74"/>
    <w:rsid w:val="00B54ADE"/>
    <w:rsid w:val="00B55420"/>
    <w:rsid w:val="00B55C34"/>
    <w:rsid w:val="00B57F03"/>
    <w:rsid w:val="00B57F04"/>
    <w:rsid w:val="00B63244"/>
    <w:rsid w:val="00B636AC"/>
    <w:rsid w:val="00B63BD8"/>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4CE3"/>
    <w:rsid w:val="00B95A1E"/>
    <w:rsid w:val="00B97AC6"/>
    <w:rsid w:val="00BA00C4"/>
    <w:rsid w:val="00BA2FF0"/>
    <w:rsid w:val="00BA31BE"/>
    <w:rsid w:val="00BA3428"/>
    <w:rsid w:val="00BA4166"/>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3FE6"/>
    <w:rsid w:val="00BD404C"/>
    <w:rsid w:val="00BD4981"/>
    <w:rsid w:val="00BD5066"/>
    <w:rsid w:val="00BD7D7A"/>
    <w:rsid w:val="00BE2A8C"/>
    <w:rsid w:val="00BE328A"/>
    <w:rsid w:val="00BE3FD8"/>
    <w:rsid w:val="00BE64FC"/>
    <w:rsid w:val="00BE6ED2"/>
    <w:rsid w:val="00BE749F"/>
    <w:rsid w:val="00BE7999"/>
    <w:rsid w:val="00BF2325"/>
    <w:rsid w:val="00BF2A4B"/>
    <w:rsid w:val="00BF31CC"/>
    <w:rsid w:val="00BF379A"/>
    <w:rsid w:val="00BF635E"/>
    <w:rsid w:val="00BF7B2E"/>
    <w:rsid w:val="00C025F2"/>
    <w:rsid w:val="00C06133"/>
    <w:rsid w:val="00C06595"/>
    <w:rsid w:val="00C10324"/>
    <w:rsid w:val="00C1035C"/>
    <w:rsid w:val="00C105D7"/>
    <w:rsid w:val="00C107EE"/>
    <w:rsid w:val="00C11493"/>
    <w:rsid w:val="00C14B78"/>
    <w:rsid w:val="00C20838"/>
    <w:rsid w:val="00C21DAA"/>
    <w:rsid w:val="00C23E02"/>
    <w:rsid w:val="00C24386"/>
    <w:rsid w:val="00C25776"/>
    <w:rsid w:val="00C27AE9"/>
    <w:rsid w:val="00C27E3E"/>
    <w:rsid w:val="00C32B03"/>
    <w:rsid w:val="00C3556B"/>
    <w:rsid w:val="00C3609F"/>
    <w:rsid w:val="00C36118"/>
    <w:rsid w:val="00C36337"/>
    <w:rsid w:val="00C3696F"/>
    <w:rsid w:val="00C37ADA"/>
    <w:rsid w:val="00C37D9B"/>
    <w:rsid w:val="00C413E4"/>
    <w:rsid w:val="00C41917"/>
    <w:rsid w:val="00C42332"/>
    <w:rsid w:val="00C426E9"/>
    <w:rsid w:val="00C445A9"/>
    <w:rsid w:val="00C44848"/>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54C5"/>
    <w:rsid w:val="00C90015"/>
    <w:rsid w:val="00C90685"/>
    <w:rsid w:val="00C90A41"/>
    <w:rsid w:val="00C93B88"/>
    <w:rsid w:val="00C94EE5"/>
    <w:rsid w:val="00CA08FD"/>
    <w:rsid w:val="00CA11E5"/>
    <w:rsid w:val="00CA172D"/>
    <w:rsid w:val="00CA335D"/>
    <w:rsid w:val="00CA51D2"/>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462C"/>
    <w:rsid w:val="00CD48EE"/>
    <w:rsid w:val="00CD5687"/>
    <w:rsid w:val="00CD6C81"/>
    <w:rsid w:val="00CD6E31"/>
    <w:rsid w:val="00CD6EC2"/>
    <w:rsid w:val="00CD75C7"/>
    <w:rsid w:val="00CD7B8A"/>
    <w:rsid w:val="00CE19FA"/>
    <w:rsid w:val="00CE1B16"/>
    <w:rsid w:val="00CE1E0A"/>
    <w:rsid w:val="00CE24FB"/>
    <w:rsid w:val="00CE46DA"/>
    <w:rsid w:val="00CE75AC"/>
    <w:rsid w:val="00CF0668"/>
    <w:rsid w:val="00CF1ABC"/>
    <w:rsid w:val="00CF21D8"/>
    <w:rsid w:val="00CF31B8"/>
    <w:rsid w:val="00CF37A4"/>
    <w:rsid w:val="00CF3AA6"/>
    <w:rsid w:val="00CF3B7F"/>
    <w:rsid w:val="00CF4FC4"/>
    <w:rsid w:val="00CF5117"/>
    <w:rsid w:val="00CF5ECB"/>
    <w:rsid w:val="00CF653E"/>
    <w:rsid w:val="00CF6F9E"/>
    <w:rsid w:val="00CF7BE0"/>
    <w:rsid w:val="00D02BE8"/>
    <w:rsid w:val="00D04195"/>
    <w:rsid w:val="00D05CEF"/>
    <w:rsid w:val="00D10303"/>
    <w:rsid w:val="00D11716"/>
    <w:rsid w:val="00D12282"/>
    <w:rsid w:val="00D13446"/>
    <w:rsid w:val="00D135DA"/>
    <w:rsid w:val="00D13817"/>
    <w:rsid w:val="00D13A24"/>
    <w:rsid w:val="00D14E63"/>
    <w:rsid w:val="00D15A4A"/>
    <w:rsid w:val="00D201DA"/>
    <w:rsid w:val="00D215CB"/>
    <w:rsid w:val="00D22056"/>
    <w:rsid w:val="00D222A1"/>
    <w:rsid w:val="00D243A5"/>
    <w:rsid w:val="00D2526B"/>
    <w:rsid w:val="00D264BE"/>
    <w:rsid w:val="00D2726D"/>
    <w:rsid w:val="00D2745B"/>
    <w:rsid w:val="00D274DC"/>
    <w:rsid w:val="00D27F14"/>
    <w:rsid w:val="00D30BF3"/>
    <w:rsid w:val="00D30C6B"/>
    <w:rsid w:val="00D31203"/>
    <w:rsid w:val="00D31B6C"/>
    <w:rsid w:val="00D33F5B"/>
    <w:rsid w:val="00D3651B"/>
    <w:rsid w:val="00D3768D"/>
    <w:rsid w:val="00D37A5C"/>
    <w:rsid w:val="00D4093A"/>
    <w:rsid w:val="00D426BF"/>
    <w:rsid w:val="00D4281E"/>
    <w:rsid w:val="00D42EB4"/>
    <w:rsid w:val="00D4489A"/>
    <w:rsid w:val="00D4525A"/>
    <w:rsid w:val="00D46A66"/>
    <w:rsid w:val="00D50608"/>
    <w:rsid w:val="00D506E9"/>
    <w:rsid w:val="00D519D1"/>
    <w:rsid w:val="00D5774E"/>
    <w:rsid w:val="00D62D47"/>
    <w:rsid w:val="00D646A0"/>
    <w:rsid w:val="00D64FD0"/>
    <w:rsid w:val="00D66013"/>
    <w:rsid w:val="00D66EE4"/>
    <w:rsid w:val="00D67284"/>
    <w:rsid w:val="00D67679"/>
    <w:rsid w:val="00D67C8B"/>
    <w:rsid w:val="00D70AA6"/>
    <w:rsid w:val="00D7189B"/>
    <w:rsid w:val="00D72E41"/>
    <w:rsid w:val="00D740A7"/>
    <w:rsid w:val="00D7423C"/>
    <w:rsid w:val="00D74E38"/>
    <w:rsid w:val="00D75307"/>
    <w:rsid w:val="00D758EC"/>
    <w:rsid w:val="00D76B5D"/>
    <w:rsid w:val="00D773D8"/>
    <w:rsid w:val="00D77699"/>
    <w:rsid w:val="00D77A17"/>
    <w:rsid w:val="00D77B3F"/>
    <w:rsid w:val="00D80224"/>
    <w:rsid w:val="00D82A8B"/>
    <w:rsid w:val="00D83AF5"/>
    <w:rsid w:val="00D84CDF"/>
    <w:rsid w:val="00D84F53"/>
    <w:rsid w:val="00D85D82"/>
    <w:rsid w:val="00D865BB"/>
    <w:rsid w:val="00D9048A"/>
    <w:rsid w:val="00D92142"/>
    <w:rsid w:val="00D95D5D"/>
    <w:rsid w:val="00DA1FCB"/>
    <w:rsid w:val="00DA397E"/>
    <w:rsid w:val="00DA4E92"/>
    <w:rsid w:val="00DB5509"/>
    <w:rsid w:val="00DB7528"/>
    <w:rsid w:val="00DC1103"/>
    <w:rsid w:val="00DC46B8"/>
    <w:rsid w:val="00DC53EC"/>
    <w:rsid w:val="00DC5610"/>
    <w:rsid w:val="00DC6D9D"/>
    <w:rsid w:val="00DC7CF8"/>
    <w:rsid w:val="00DD0764"/>
    <w:rsid w:val="00DD0CD7"/>
    <w:rsid w:val="00DD3477"/>
    <w:rsid w:val="00DD3D93"/>
    <w:rsid w:val="00DD40F5"/>
    <w:rsid w:val="00DD5AAA"/>
    <w:rsid w:val="00DD6928"/>
    <w:rsid w:val="00DE0BE2"/>
    <w:rsid w:val="00DE1CF8"/>
    <w:rsid w:val="00DE2DEA"/>
    <w:rsid w:val="00DE2E52"/>
    <w:rsid w:val="00DE5B7E"/>
    <w:rsid w:val="00DE61A4"/>
    <w:rsid w:val="00DE6E2C"/>
    <w:rsid w:val="00DE74E0"/>
    <w:rsid w:val="00DF2C90"/>
    <w:rsid w:val="00DF41AE"/>
    <w:rsid w:val="00DF42DE"/>
    <w:rsid w:val="00DF47E7"/>
    <w:rsid w:val="00DF49C8"/>
    <w:rsid w:val="00DF53E5"/>
    <w:rsid w:val="00DF56B0"/>
    <w:rsid w:val="00DF6240"/>
    <w:rsid w:val="00DF6F9F"/>
    <w:rsid w:val="00E00781"/>
    <w:rsid w:val="00E01BC1"/>
    <w:rsid w:val="00E01BEC"/>
    <w:rsid w:val="00E026DC"/>
    <w:rsid w:val="00E02E0C"/>
    <w:rsid w:val="00E032F1"/>
    <w:rsid w:val="00E036B1"/>
    <w:rsid w:val="00E04FDA"/>
    <w:rsid w:val="00E06326"/>
    <w:rsid w:val="00E06C1A"/>
    <w:rsid w:val="00E06F24"/>
    <w:rsid w:val="00E12949"/>
    <w:rsid w:val="00E13B0E"/>
    <w:rsid w:val="00E15C59"/>
    <w:rsid w:val="00E16261"/>
    <w:rsid w:val="00E2007A"/>
    <w:rsid w:val="00E20312"/>
    <w:rsid w:val="00E20403"/>
    <w:rsid w:val="00E209B5"/>
    <w:rsid w:val="00E20DB7"/>
    <w:rsid w:val="00E2232F"/>
    <w:rsid w:val="00E258F6"/>
    <w:rsid w:val="00E25AB5"/>
    <w:rsid w:val="00E302BE"/>
    <w:rsid w:val="00E3075F"/>
    <w:rsid w:val="00E31F3F"/>
    <w:rsid w:val="00E321C8"/>
    <w:rsid w:val="00E32815"/>
    <w:rsid w:val="00E40203"/>
    <w:rsid w:val="00E41A31"/>
    <w:rsid w:val="00E443DE"/>
    <w:rsid w:val="00E46A38"/>
    <w:rsid w:val="00E52314"/>
    <w:rsid w:val="00E52942"/>
    <w:rsid w:val="00E52AE4"/>
    <w:rsid w:val="00E638CF"/>
    <w:rsid w:val="00E64814"/>
    <w:rsid w:val="00E64DBF"/>
    <w:rsid w:val="00E66D37"/>
    <w:rsid w:val="00E71663"/>
    <w:rsid w:val="00E71E2A"/>
    <w:rsid w:val="00E72050"/>
    <w:rsid w:val="00E7366F"/>
    <w:rsid w:val="00E74A9C"/>
    <w:rsid w:val="00E74CD6"/>
    <w:rsid w:val="00E751D0"/>
    <w:rsid w:val="00E8218C"/>
    <w:rsid w:val="00E8244F"/>
    <w:rsid w:val="00E8295B"/>
    <w:rsid w:val="00E83A0B"/>
    <w:rsid w:val="00E83B6C"/>
    <w:rsid w:val="00E83C20"/>
    <w:rsid w:val="00E87BF0"/>
    <w:rsid w:val="00E902F4"/>
    <w:rsid w:val="00E91081"/>
    <w:rsid w:val="00E91FB2"/>
    <w:rsid w:val="00E9217E"/>
    <w:rsid w:val="00E93B3E"/>
    <w:rsid w:val="00E93C4D"/>
    <w:rsid w:val="00E93F42"/>
    <w:rsid w:val="00E9604D"/>
    <w:rsid w:val="00E966AC"/>
    <w:rsid w:val="00E96B0E"/>
    <w:rsid w:val="00E96F9A"/>
    <w:rsid w:val="00E970E3"/>
    <w:rsid w:val="00E97B7D"/>
    <w:rsid w:val="00EA076E"/>
    <w:rsid w:val="00EA16B2"/>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9C8"/>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CA1"/>
    <w:rsid w:val="00F14EC6"/>
    <w:rsid w:val="00F1665D"/>
    <w:rsid w:val="00F17582"/>
    <w:rsid w:val="00F20CD4"/>
    <w:rsid w:val="00F26503"/>
    <w:rsid w:val="00F26B75"/>
    <w:rsid w:val="00F278D2"/>
    <w:rsid w:val="00F31131"/>
    <w:rsid w:val="00F313D5"/>
    <w:rsid w:val="00F31E1E"/>
    <w:rsid w:val="00F348AE"/>
    <w:rsid w:val="00F34992"/>
    <w:rsid w:val="00F3543A"/>
    <w:rsid w:val="00F35761"/>
    <w:rsid w:val="00F36056"/>
    <w:rsid w:val="00F367CC"/>
    <w:rsid w:val="00F40690"/>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EB3"/>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6FF"/>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0E48"/>
    <w:rsid w:val="00FC375D"/>
    <w:rsid w:val="00FC5551"/>
    <w:rsid w:val="00FC55FF"/>
    <w:rsid w:val="00FC5D48"/>
    <w:rsid w:val="00FC751A"/>
    <w:rsid w:val="00FD0A07"/>
    <w:rsid w:val="00FD0F69"/>
    <w:rsid w:val="00FD1490"/>
    <w:rsid w:val="00FD6052"/>
    <w:rsid w:val="00FD71B1"/>
    <w:rsid w:val="00FE04C4"/>
    <w:rsid w:val="00FE0938"/>
    <w:rsid w:val="00FE22B0"/>
    <w:rsid w:val="00FE2B9B"/>
    <w:rsid w:val="00FE6E59"/>
    <w:rsid w:val="00FE6E67"/>
    <w:rsid w:val="00FF1D02"/>
    <w:rsid w:val="00FF2A96"/>
    <w:rsid w:val="00FF306B"/>
    <w:rsid w:val="00FF4262"/>
    <w:rsid w:val="00FF55DE"/>
    <w:rsid w:val="00FF64D3"/>
    <w:rsid w:val="00FF6919"/>
    <w:rsid w:val="00FF71FD"/>
    <w:rsid w:val="0CE12542"/>
    <w:rsid w:val="106413A6"/>
    <w:rsid w:val="23631D63"/>
    <w:rsid w:val="24C85929"/>
    <w:rsid w:val="26BE76BF"/>
    <w:rsid w:val="283A4CED"/>
    <w:rsid w:val="36B540B1"/>
    <w:rsid w:val="3F19317E"/>
    <w:rsid w:val="3F987025"/>
    <w:rsid w:val="43FB6A50"/>
    <w:rsid w:val="457262CF"/>
    <w:rsid w:val="4A7E2D44"/>
    <w:rsid w:val="51745ABC"/>
    <w:rsid w:val="52C709FA"/>
    <w:rsid w:val="564817B7"/>
    <w:rsid w:val="577D6F16"/>
    <w:rsid w:val="57EC58B3"/>
    <w:rsid w:val="58D70878"/>
    <w:rsid w:val="5A350865"/>
    <w:rsid w:val="5E057672"/>
    <w:rsid w:val="64ED4CA5"/>
    <w:rsid w:val="653E09DB"/>
    <w:rsid w:val="7D1B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2"/>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54"/>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55"/>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39"/>
    <w:pPr>
      <w:suppressLineNumbers w:val="0"/>
      <w:ind w:left="1260"/>
      <w:jc w:val="left"/>
    </w:pPr>
    <w:rPr>
      <w:rFonts w:ascii="Times New Roman" w:hAnsi="Times New Roman"/>
      <w:sz w:val="18"/>
    </w:rPr>
  </w:style>
  <w:style w:type="paragraph" w:customStyle="1" w:styleId="12">
    <w:name w:val="目录"/>
    <w:basedOn w:val="1"/>
    <w:qFormat/>
    <w:uiPriority w:val="0"/>
    <w:pPr>
      <w:suppressLineNumbers/>
      <w:suppressAutoHyphens/>
    </w:pPr>
    <w:rPr>
      <w:rFonts w:ascii="宋体" w:hAnsi="宋体"/>
      <w:kern w:val="21"/>
      <w:lang w:eastAsia="ar-SA"/>
    </w:rPr>
  </w:style>
  <w:style w:type="paragraph" w:styleId="13">
    <w:name w:val="Normal Indent"/>
    <w:basedOn w:val="1"/>
    <w:qFormat/>
    <w:uiPriority w:val="0"/>
    <w:pPr>
      <w:ind w:firstLine="420"/>
    </w:pPr>
  </w:style>
  <w:style w:type="paragraph" w:styleId="14">
    <w:name w:val="Document Map"/>
    <w:basedOn w:val="1"/>
    <w:link w:val="203"/>
    <w:qFormat/>
    <w:uiPriority w:val="0"/>
    <w:pPr>
      <w:shd w:val="clear" w:color="auto" w:fill="000080"/>
      <w:suppressAutoHyphens/>
    </w:pPr>
    <w:rPr>
      <w:rFonts w:ascii="宋体" w:hAnsi="宋体"/>
      <w:kern w:val="21"/>
      <w:lang w:eastAsia="ar-SA"/>
    </w:rPr>
  </w:style>
  <w:style w:type="paragraph" w:styleId="15">
    <w:name w:val="annotation text"/>
    <w:basedOn w:val="1"/>
    <w:link w:val="190"/>
    <w:qFormat/>
    <w:uiPriority w:val="0"/>
    <w:pPr>
      <w:jc w:val="left"/>
    </w:pPr>
  </w:style>
  <w:style w:type="paragraph" w:styleId="16">
    <w:name w:val="Body Text 3"/>
    <w:basedOn w:val="1"/>
    <w:link w:val="122"/>
    <w:qFormat/>
    <w:uiPriority w:val="0"/>
    <w:rPr>
      <w:rFonts w:ascii="黑体" w:hAnsi="Arial" w:eastAsia="黑体"/>
      <w:b/>
      <w:kern w:val="0"/>
    </w:rPr>
  </w:style>
  <w:style w:type="paragraph" w:styleId="17">
    <w:name w:val="Body Text"/>
    <w:basedOn w:val="1"/>
    <w:link w:val="80"/>
    <w:qFormat/>
    <w:uiPriority w:val="0"/>
    <w:pPr>
      <w:spacing w:after="120"/>
    </w:pPr>
    <w:rPr>
      <w:kern w:val="0"/>
      <w:sz w:val="20"/>
      <w:szCs w:val="24"/>
    </w:rPr>
  </w:style>
  <w:style w:type="paragraph" w:styleId="18">
    <w:name w:val="Body Text Indent"/>
    <w:basedOn w:val="1"/>
    <w:link w:val="113"/>
    <w:qFormat/>
    <w:uiPriority w:val="0"/>
    <w:pPr>
      <w:ind w:firstLine="830" w:firstLineChars="352"/>
    </w:pPr>
    <w:rPr>
      <w:rFonts w:ascii="仿宋_GB2312" w:eastAsia="仿宋_GB2312"/>
      <w:kern w:val="0"/>
      <w:sz w:val="32"/>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0">
    <w:name w:val="toc 5"/>
    <w:basedOn w:val="12"/>
    <w:next w:val="1"/>
    <w:qFormat/>
    <w:uiPriority w:val="39"/>
    <w:pPr>
      <w:suppressLineNumbers w:val="0"/>
      <w:ind w:left="840"/>
      <w:jc w:val="left"/>
    </w:pPr>
    <w:rPr>
      <w:rFonts w:ascii="Times New Roman" w:hAnsi="Times New Roman"/>
      <w:sz w:val="18"/>
    </w:rPr>
  </w:style>
  <w:style w:type="paragraph" w:styleId="21">
    <w:name w:val="toc 3"/>
    <w:basedOn w:val="1"/>
    <w:next w:val="1"/>
    <w:qFormat/>
    <w:uiPriority w:val="39"/>
    <w:pPr>
      <w:ind w:left="840" w:leftChars="400"/>
    </w:pPr>
  </w:style>
  <w:style w:type="paragraph" w:styleId="22">
    <w:name w:val="Plain Text"/>
    <w:basedOn w:val="1"/>
    <w:link w:val="63"/>
    <w:qFormat/>
    <w:uiPriority w:val="0"/>
    <w:rPr>
      <w:rFonts w:ascii="宋体" w:hAnsi="Courier New" w:cs="Courier New"/>
      <w:kern w:val="0"/>
      <w:sz w:val="20"/>
      <w:szCs w:val="21"/>
    </w:rPr>
  </w:style>
  <w:style w:type="paragraph" w:styleId="23">
    <w:name w:val="toc 8"/>
    <w:basedOn w:val="12"/>
    <w:next w:val="1"/>
    <w:qFormat/>
    <w:uiPriority w:val="39"/>
    <w:pPr>
      <w:suppressLineNumbers w:val="0"/>
      <w:ind w:left="1470"/>
      <w:jc w:val="left"/>
    </w:pPr>
    <w:rPr>
      <w:rFonts w:ascii="Times New Roman" w:hAnsi="Times New Roman"/>
      <w:sz w:val="18"/>
    </w:rPr>
  </w:style>
  <w:style w:type="paragraph" w:styleId="24">
    <w:name w:val="Date"/>
    <w:basedOn w:val="1"/>
    <w:next w:val="1"/>
    <w:link w:val="115"/>
    <w:qFormat/>
    <w:uiPriority w:val="0"/>
    <w:pPr>
      <w:ind w:left="100" w:leftChars="2500"/>
    </w:pPr>
    <w:rPr>
      <w:rFonts w:ascii="宋体" w:hAnsi="Courier New" w:cs="Courier New"/>
      <w:kern w:val="0"/>
      <w:sz w:val="20"/>
      <w:szCs w:val="21"/>
    </w:rPr>
  </w:style>
  <w:style w:type="paragraph" w:styleId="25">
    <w:name w:val="Body Text Indent 2"/>
    <w:basedOn w:val="1"/>
    <w:link w:val="108"/>
    <w:qFormat/>
    <w:uiPriority w:val="0"/>
    <w:pPr>
      <w:spacing w:after="120" w:line="480" w:lineRule="auto"/>
      <w:ind w:left="420" w:leftChars="200"/>
    </w:pPr>
    <w:rPr>
      <w:kern w:val="0"/>
      <w:sz w:val="20"/>
      <w:szCs w:val="24"/>
    </w:rPr>
  </w:style>
  <w:style w:type="paragraph" w:styleId="26">
    <w:name w:val="Balloon Text"/>
    <w:basedOn w:val="1"/>
    <w:link w:val="104"/>
    <w:qFormat/>
    <w:uiPriority w:val="0"/>
    <w:rPr>
      <w:kern w:val="0"/>
      <w:sz w:val="18"/>
      <w:szCs w:val="18"/>
    </w:rPr>
  </w:style>
  <w:style w:type="paragraph" w:styleId="27">
    <w:name w:val="footer"/>
    <w:basedOn w:val="1"/>
    <w:link w:val="127"/>
    <w:qFormat/>
    <w:uiPriority w:val="0"/>
    <w:pPr>
      <w:tabs>
        <w:tab w:val="center" w:pos="4153"/>
        <w:tab w:val="right" w:pos="8306"/>
      </w:tabs>
      <w:snapToGrid w:val="0"/>
      <w:jc w:val="left"/>
    </w:pPr>
    <w:rPr>
      <w:kern w:val="0"/>
      <w:sz w:val="18"/>
      <w:szCs w:val="18"/>
    </w:rPr>
  </w:style>
  <w:style w:type="paragraph" w:styleId="28">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rPr>
  </w:style>
  <w:style w:type="paragraph" w:styleId="30">
    <w:name w:val="toc 4"/>
    <w:basedOn w:val="1"/>
    <w:next w:val="1"/>
    <w:qFormat/>
    <w:uiPriority w:val="39"/>
    <w:pPr>
      <w:ind w:left="1260" w:leftChars="600"/>
    </w:pPr>
    <w:rPr>
      <w:szCs w:val="24"/>
    </w:rPr>
  </w:style>
  <w:style w:type="paragraph" w:styleId="31">
    <w:name w:val="Subtitle"/>
    <w:basedOn w:val="1"/>
    <w:next w:val="1"/>
    <w:link w:val="62"/>
    <w:qFormat/>
    <w:uiPriority w:val="0"/>
    <w:pPr>
      <w:spacing w:before="240" w:after="60" w:line="312" w:lineRule="auto"/>
      <w:jc w:val="center"/>
      <w:outlineLvl w:val="1"/>
    </w:pPr>
    <w:rPr>
      <w:rFonts w:ascii="Cambria" w:hAnsi="Cambria" w:eastAsia="方正楷体简体"/>
      <w:bCs/>
      <w:kern w:val="28"/>
      <w:sz w:val="20"/>
      <w:szCs w:val="32"/>
    </w:rPr>
  </w:style>
  <w:style w:type="paragraph" w:styleId="32">
    <w:name w:val="List"/>
    <w:basedOn w:val="17"/>
    <w:qFormat/>
    <w:uiPriority w:val="0"/>
    <w:pPr>
      <w:suppressAutoHyphens/>
    </w:pPr>
    <w:rPr>
      <w:rFonts w:hint="eastAsia" w:ascii="方正大黑简体" w:hAnsi="宋体"/>
      <w:kern w:val="44"/>
      <w:position w:val="6"/>
      <w:sz w:val="30"/>
      <w:szCs w:val="20"/>
    </w:rPr>
  </w:style>
  <w:style w:type="paragraph" w:styleId="33">
    <w:name w:val="toc 6"/>
    <w:basedOn w:val="12"/>
    <w:next w:val="1"/>
    <w:qFormat/>
    <w:uiPriority w:val="39"/>
    <w:pPr>
      <w:suppressLineNumbers w:val="0"/>
      <w:ind w:left="1050"/>
      <w:jc w:val="left"/>
    </w:pPr>
    <w:rPr>
      <w:rFonts w:ascii="Times New Roman" w:hAnsi="Times New Roman"/>
      <w:sz w:val="18"/>
    </w:rPr>
  </w:style>
  <w:style w:type="paragraph" w:styleId="34">
    <w:name w:val="Body Text Indent 3"/>
    <w:basedOn w:val="1"/>
    <w:link w:val="91"/>
    <w:qFormat/>
    <w:uiPriority w:val="0"/>
    <w:pPr>
      <w:spacing w:after="120"/>
      <w:ind w:left="420" w:leftChars="200"/>
    </w:pPr>
    <w:rPr>
      <w:kern w:val="0"/>
      <w:sz w:val="16"/>
      <w:szCs w:val="16"/>
    </w:rPr>
  </w:style>
  <w:style w:type="paragraph" w:styleId="35">
    <w:name w:val="toc 2"/>
    <w:basedOn w:val="1"/>
    <w:next w:val="1"/>
    <w:qFormat/>
    <w:uiPriority w:val="39"/>
    <w:pPr>
      <w:ind w:left="420" w:leftChars="200"/>
    </w:pPr>
    <w:rPr>
      <w:sz w:val="24"/>
    </w:rPr>
  </w:style>
  <w:style w:type="paragraph" w:styleId="36">
    <w:name w:val="toc 9"/>
    <w:basedOn w:val="12"/>
    <w:next w:val="1"/>
    <w:qFormat/>
    <w:uiPriority w:val="39"/>
    <w:pPr>
      <w:suppressLineNumbers w:val="0"/>
      <w:ind w:left="1680"/>
      <w:jc w:val="left"/>
    </w:pPr>
    <w:rPr>
      <w:rFonts w:ascii="Times New Roman" w:hAnsi="Times New Roman"/>
      <w:sz w:val="18"/>
    </w:rPr>
  </w:style>
  <w:style w:type="paragraph" w:styleId="37">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9">
    <w:name w:val="Title"/>
    <w:basedOn w:val="1"/>
    <w:next w:val="1"/>
    <w:link w:val="61"/>
    <w:qFormat/>
    <w:uiPriority w:val="99"/>
    <w:pPr>
      <w:spacing w:before="240" w:after="60"/>
      <w:jc w:val="center"/>
      <w:outlineLvl w:val="0"/>
    </w:pPr>
    <w:rPr>
      <w:rFonts w:ascii="Cambria" w:hAnsi="Cambria" w:eastAsia="方正小标宋简体"/>
      <w:b/>
      <w:bCs/>
      <w:kern w:val="0"/>
      <w:sz w:val="44"/>
      <w:szCs w:val="32"/>
    </w:rPr>
  </w:style>
  <w:style w:type="paragraph" w:styleId="40">
    <w:name w:val="annotation subject"/>
    <w:basedOn w:val="15"/>
    <w:next w:val="15"/>
    <w:link w:val="191"/>
    <w:qFormat/>
    <w:uiPriority w:val="0"/>
    <w:pPr>
      <w:suppressAutoHyphens/>
    </w:pPr>
    <w:rPr>
      <w:rFonts w:ascii="宋体" w:hAnsi="宋体"/>
      <w:b/>
      <w:kern w:val="21"/>
      <w:lang w:eastAsia="ar-SA"/>
    </w:rPr>
  </w:style>
  <w:style w:type="paragraph" w:styleId="41">
    <w:name w:val="Body Text First Indent"/>
    <w:basedOn w:val="17"/>
    <w:link w:val="212"/>
    <w:qFormat/>
    <w:uiPriority w:val="0"/>
    <w:pPr>
      <w:ind w:firstLine="420" w:firstLineChars="100"/>
    </w:pPr>
    <w:rPr>
      <w:kern w:val="2"/>
      <w:sz w:val="28"/>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99"/>
    <w:rPr>
      <w:b/>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rFonts w:hint="default" w:ascii="Times New Roman" w:hAnsi="Times New Roman" w:cs="Times New Roman"/>
    </w:rPr>
  </w:style>
  <w:style w:type="character" w:styleId="49">
    <w:name w:val="Hyperlink"/>
    <w:qFormat/>
    <w:uiPriority w:val="99"/>
    <w:rPr>
      <w:color w:val="0000FF"/>
      <w:u w:val="single"/>
    </w:rPr>
  </w:style>
  <w:style w:type="character" w:styleId="50">
    <w:name w:val="annotation reference"/>
    <w:qFormat/>
    <w:uiPriority w:val="0"/>
    <w:rPr>
      <w:sz w:val="21"/>
    </w:rPr>
  </w:style>
  <w:style w:type="paragraph" w:customStyle="1" w:styleId="51">
    <w:name w:val="列出段落1"/>
    <w:basedOn w:val="1"/>
    <w:qFormat/>
    <w:uiPriority w:val="34"/>
    <w:pPr>
      <w:ind w:firstLine="420" w:firstLineChars="200"/>
    </w:pPr>
    <w:rPr>
      <w:rFonts w:ascii="Calibri" w:hAnsi="Calibri"/>
      <w:szCs w:val="22"/>
    </w:rPr>
  </w:style>
  <w:style w:type="character" w:customStyle="1" w:styleId="52">
    <w:name w:val="标题 1 Char"/>
    <w:link w:val="2"/>
    <w:qFormat/>
    <w:uiPriority w:val="0"/>
    <w:rPr>
      <w:rFonts w:ascii="Times New Roman" w:hAnsi="Times New Roman"/>
      <w:b/>
      <w:bCs/>
      <w:kern w:val="44"/>
      <w:sz w:val="36"/>
      <w:szCs w:val="44"/>
      <w:lang w:val="zh-CN" w:eastAsia="zh-CN"/>
    </w:rPr>
  </w:style>
  <w:style w:type="character" w:customStyle="1" w:styleId="53">
    <w:name w:val="标题 2 Char"/>
    <w:link w:val="3"/>
    <w:qFormat/>
    <w:uiPriority w:val="0"/>
    <w:rPr>
      <w:rFonts w:ascii="Arial" w:hAnsi="Arial" w:eastAsia="黑体"/>
      <w:b/>
      <w:bCs/>
      <w:sz w:val="32"/>
      <w:szCs w:val="32"/>
      <w:lang w:val="zh-CN" w:eastAsia="zh-CN"/>
    </w:rPr>
  </w:style>
  <w:style w:type="character" w:customStyle="1" w:styleId="54">
    <w:name w:val="标题 3 Char"/>
    <w:link w:val="4"/>
    <w:qFormat/>
    <w:uiPriority w:val="0"/>
    <w:rPr>
      <w:rFonts w:ascii="Times New Roman" w:hAnsi="Times New Roman"/>
      <w:b/>
      <w:bCs/>
      <w:sz w:val="32"/>
      <w:szCs w:val="32"/>
    </w:rPr>
  </w:style>
  <w:style w:type="character" w:customStyle="1" w:styleId="55">
    <w:name w:val="标题 4 Char"/>
    <w:link w:val="5"/>
    <w:qFormat/>
    <w:uiPriority w:val="0"/>
    <w:rPr>
      <w:rFonts w:ascii="仿宋_GB2312" w:hAnsi="Times New Roman" w:eastAsia="仿宋_GB2312"/>
      <w:sz w:val="28"/>
      <w:szCs w:val="24"/>
    </w:rPr>
  </w:style>
  <w:style w:type="character" w:customStyle="1" w:styleId="56">
    <w:name w:val="标题 5 Char"/>
    <w:link w:val="6"/>
    <w:qFormat/>
    <w:uiPriority w:val="0"/>
    <w:rPr>
      <w:rFonts w:ascii="宋体" w:hAnsi="宋体"/>
      <w:b/>
      <w:kern w:val="21"/>
      <w:sz w:val="28"/>
      <w:lang w:eastAsia="ar-SA"/>
    </w:rPr>
  </w:style>
  <w:style w:type="character" w:customStyle="1" w:styleId="57">
    <w:name w:val="标题 6 Char"/>
    <w:link w:val="7"/>
    <w:qFormat/>
    <w:uiPriority w:val="0"/>
    <w:rPr>
      <w:rFonts w:ascii="Arial" w:hAnsi="Arial" w:eastAsia="黑体"/>
      <w:b/>
      <w:kern w:val="21"/>
      <w:sz w:val="24"/>
      <w:lang w:eastAsia="ar-SA"/>
    </w:rPr>
  </w:style>
  <w:style w:type="character" w:customStyle="1" w:styleId="58">
    <w:name w:val="标题 7 Char"/>
    <w:link w:val="8"/>
    <w:qFormat/>
    <w:uiPriority w:val="0"/>
    <w:rPr>
      <w:rFonts w:ascii="宋体" w:hAnsi="宋体"/>
      <w:b/>
      <w:kern w:val="21"/>
      <w:sz w:val="24"/>
      <w:lang w:eastAsia="ar-SA"/>
    </w:rPr>
  </w:style>
  <w:style w:type="character" w:customStyle="1" w:styleId="59">
    <w:name w:val="标题 8 Char"/>
    <w:link w:val="9"/>
    <w:qFormat/>
    <w:uiPriority w:val="0"/>
    <w:rPr>
      <w:rFonts w:ascii="Arial" w:hAnsi="Arial" w:eastAsia="黑体"/>
      <w:kern w:val="21"/>
      <w:sz w:val="24"/>
      <w:lang w:eastAsia="ar-SA"/>
    </w:rPr>
  </w:style>
  <w:style w:type="character" w:customStyle="1" w:styleId="60">
    <w:name w:val="标题 9 Char"/>
    <w:link w:val="10"/>
    <w:qFormat/>
    <w:uiPriority w:val="0"/>
    <w:rPr>
      <w:rFonts w:ascii="Arial" w:hAnsi="Arial" w:eastAsia="黑体"/>
      <w:kern w:val="21"/>
      <w:sz w:val="21"/>
      <w:lang w:eastAsia="ar-SA"/>
    </w:rPr>
  </w:style>
  <w:style w:type="character" w:customStyle="1" w:styleId="61">
    <w:name w:val="标题 Char"/>
    <w:link w:val="39"/>
    <w:qFormat/>
    <w:uiPriority w:val="99"/>
    <w:rPr>
      <w:rFonts w:ascii="Cambria" w:hAnsi="Cambria" w:eastAsia="方正小标宋简体"/>
      <w:b/>
      <w:bCs/>
      <w:sz w:val="44"/>
      <w:szCs w:val="32"/>
    </w:rPr>
  </w:style>
  <w:style w:type="character" w:customStyle="1" w:styleId="62">
    <w:name w:val="副标题 Char"/>
    <w:link w:val="31"/>
    <w:qFormat/>
    <w:uiPriority w:val="0"/>
    <w:rPr>
      <w:rFonts w:ascii="Cambria" w:hAnsi="Cambria" w:eastAsia="方正楷体简体"/>
      <w:bCs/>
      <w:kern w:val="28"/>
      <w:szCs w:val="32"/>
    </w:rPr>
  </w:style>
  <w:style w:type="character" w:customStyle="1" w:styleId="63">
    <w:name w:val="纯文本 Char"/>
    <w:link w:val="22"/>
    <w:qFormat/>
    <w:uiPriority w:val="0"/>
    <w:rPr>
      <w:rFonts w:ascii="宋体" w:hAnsi="Courier New" w:cs="Courier New"/>
      <w:szCs w:val="21"/>
    </w:rPr>
  </w:style>
  <w:style w:type="paragraph" w:styleId="64">
    <w:name w:val="No Spacing"/>
    <w:link w:val="65"/>
    <w:qFormat/>
    <w:uiPriority w:val="1"/>
    <w:rPr>
      <w:rFonts w:ascii="Calibri" w:hAnsi="Calibri" w:eastAsia="宋体" w:cs="Times New Roman"/>
      <w:sz w:val="22"/>
      <w:lang w:val="en-US" w:eastAsia="zh-CN" w:bidi="ar-SA"/>
    </w:rPr>
  </w:style>
  <w:style w:type="character" w:customStyle="1" w:styleId="65">
    <w:name w:val="无间隔 Char"/>
    <w:link w:val="64"/>
    <w:qFormat/>
    <w:uiPriority w:val="1"/>
    <w:rPr>
      <w:sz w:val="22"/>
    </w:rPr>
  </w:style>
  <w:style w:type="paragraph" w:styleId="66">
    <w:name w:val="List Paragraph"/>
    <w:basedOn w:val="1"/>
    <w:link w:val="225"/>
    <w:qFormat/>
    <w:uiPriority w:val="34"/>
    <w:pPr>
      <w:ind w:firstLine="420" w:firstLineChars="200"/>
    </w:pPr>
    <w:rPr>
      <w:szCs w:val="21"/>
    </w:rPr>
  </w:style>
  <w:style w:type="paragraph" w:customStyle="1" w:styleId="6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8">
    <w:name w:val="fontheight2"/>
    <w:qFormat/>
    <w:uiPriority w:val="0"/>
    <w:rPr>
      <w:sz w:val="20"/>
      <w:szCs w:val="20"/>
      <w:u w:val="none"/>
    </w:rPr>
  </w:style>
  <w:style w:type="character" w:customStyle="1" w:styleId="69">
    <w:name w:val="页眉 Char"/>
    <w:link w:val="28"/>
    <w:qFormat/>
    <w:uiPriority w:val="0"/>
    <w:rPr>
      <w:rFonts w:ascii="Times New Roman" w:hAnsi="Times New Roman"/>
      <w:sz w:val="18"/>
      <w:szCs w:val="18"/>
    </w:rPr>
  </w:style>
  <w:style w:type="character" w:customStyle="1" w:styleId="70">
    <w:name w:val="WW8Num1z3"/>
    <w:qFormat/>
    <w:uiPriority w:val="0"/>
    <w:rPr>
      <w:rFonts w:ascii="Arial" w:hAnsi="Arial"/>
      <w:color w:val="auto"/>
      <w:position w:val="0"/>
      <w:sz w:val="21"/>
      <w:vertAlign w:val="baseline"/>
    </w:rPr>
  </w:style>
  <w:style w:type="character" w:customStyle="1" w:styleId="71">
    <w:name w:val="WW8Num1z2"/>
    <w:qFormat/>
    <w:uiPriority w:val="0"/>
    <w:rPr>
      <w:b/>
      <w:sz w:val="28"/>
    </w:rPr>
  </w:style>
  <w:style w:type="character" w:customStyle="1" w:styleId="72">
    <w:name w:val="H3 Char"/>
    <w:qFormat/>
    <w:uiPriority w:val="0"/>
    <w:rPr>
      <w:rFonts w:eastAsia="宋体"/>
      <w:b/>
      <w:bCs/>
      <w:sz w:val="32"/>
      <w:szCs w:val="32"/>
      <w:lang w:val="en-US" w:eastAsia="zh-CN" w:bidi="ar-SA"/>
    </w:rPr>
  </w:style>
  <w:style w:type="character" w:customStyle="1" w:styleId="73">
    <w:name w:val="text91"/>
    <w:qFormat/>
    <w:uiPriority w:val="0"/>
    <w:rPr>
      <w:sz w:val="18"/>
      <w:u w:val="none"/>
    </w:rPr>
  </w:style>
  <w:style w:type="character" w:customStyle="1" w:styleId="74">
    <w:name w:val="ca-6"/>
    <w:basedOn w:val="44"/>
    <w:qFormat/>
    <w:uiPriority w:val="0"/>
  </w:style>
  <w:style w:type="character" w:customStyle="1" w:styleId="75">
    <w:name w:val="Char Char10"/>
    <w:qFormat/>
    <w:uiPriority w:val="0"/>
    <w:rPr>
      <w:rFonts w:hint="eastAsia" w:ascii="宋体" w:hAnsi="Courier New" w:eastAsia="宋体" w:cs="Times New Roman"/>
      <w:sz w:val="18"/>
      <w:szCs w:val="20"/>
    </w:rPr>
  </w:style>
  <w:style w:type="character" w:customStyle="1" w:styleId="76">
    <w:name w:val="faq"/>
    <w:basedOn w:val="44"/>
    <w:qFormat/>
    <w:uiPriority w:val="0"/>
  </w:style>
  <w:style w:type="character" w:customStyle="1" w:styleId="77">
    <w:name w:val="WW8Num15z6"/>
    <w:qFormat/>
    <w:uiPriority w:val="0"/>
    <w:rPr>
      <w:rFonts w:ascii="Times New Roman" w:hAnsi="Times New Roman"/>
    </w:rPr>
  </w:style>
  <w:style w:type="character" w:customStyle="1" w:styleId="78">
    <w:name w:val="Char Char"/>
    <w:qFormat/>
    <w:uiPriority w:val="0"/>
    <w:rPr>
      <w:rFonts w:ascii="Times New Roman" w:hAnsi="Times New Roman"/>
      <w:sz w:val="21"/>
      <w:szCs w:val="24"/>
    </w:rPr>
  </w:style>
  <w:style w:type="character" w:customStyle="1" w:styleId="79">
    <w:name w:val="WW8Num1z0"/>
    <w:qFormat/>
    <w:uiPriority w:val="0"/>
    <w:rPr>
      <w:rFonts w:ascii="Arial" w:hAnsi="Arial"/>
      <w:b/>
      <w:color w:val="000000"/>
      <w:position w:val="0"/>
      <w:sz w:val="36"/>
      <w:vertAlign w:val="baseline"/>
    </w:rPr>
  </w:style>
  <w:style w:type="character" w:customStyle="1" w:styleId="80">
    <w:name w:val="正文文本 Char"/>
    <w:link w:val="17"/>
    <w:qFormat/>
    <w:uiPriority w:val="0"/>
    <w:rPr>
      <w:rFonts w:ascii="Times New Roman" w:hAnsi="Times New Roman"/>
      <w:szCs w:val="24"/>
    </w:rPr>
  </w:style>
  <w:style w:type="character" w:customStyle="1" w:styleId="81">
    <w:name w:val="首行缩进:  0.85 厘米 Char Char"/>
    <w:link w:val="82"/>
    <w:qFormat/>
    <w:uiPriority w:val="0"/>
    <w:rPr>
      <w:rFonts w:eastAsia="昆仑黑体" w:cs="Arial Unicode MS"/>
      <w:sz w:val="28"/>
      <w:lang w:eastAsia="en-US" w:bidi="en-US"/>
    </w:rPr>
  </w:style>
  <w:style w:type="paragraph" w:customStyle="1" w:styleId="82">
    <w:name w:val="首行缩进:  0.85 厘米"/>
    <w:basedOn w:val="1"/>
    <w:link w:val="81"/>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3">
    <w:name w:val="0921 Char"/>
    <w:qFormat/>
    <w:uiPriority w:val="0"/>
    <w:rPr>
      <w:rFonts w:ascii="宋体" w:hAnsi="Courier New" w:cs="宋体"/>
      <w:kern w:val="2"/>
      <w:sz w:val="21"/>
      <w:szCs w:val="21"/>
    </w:rPr>
  </w:style>
  <w:style w:type="character" w:customStyle="1" w:styleId="84">
    <w:name w:val="paramname2"/>
    <w:qFormat/>
    <w:uiPriority w:val="0"/>
    <w:rPr>
      <w:color w:val="999999"/>
    </w:rPr>
  </w:style>
  <w:style w:type="character" w:customStyle="1" w:styleId="85">
    <w:name w:val="WW8Num2z3"/>
    <w:qFormat/>
    <w:uiPriority w:val="0"/>
    <w:rPr>
      <w:rFonts w:ascii="Arial" w:hAnsi="Arial"/>
      <w:color w:val="auto"/>
      <w:position w:val="0"/>
      <w:sz w:val="21"/>
      <w:vertAlign w:val="baseline"/>
    </w:rPr>
  </w:style>
  <w:style w:type="character" w:customStyle="1" w:styleId="86">
    <w:name w:val="默认段落字体1"/>
    <w:qFormat/>
    <w:uiPriority w:val="0"/>
  </w:style>
  <w:style w:type="character" w:customStyle="1" w:styleId="87">
    <w:name w:val="WW8Num17z0"/>
    <w:qFormat/>
    <w:uiPriority w:val="0"/>
    <w:rPr>
      <w:rFonts w:ascii="Wingdings" w:hAnsi="Wingdings"/>
    </w:rPr>
  </w:style>
  <w:style w:type="character" w:customStyle="1" w:styleId="88">
    <w:name w:val="WW-Absatz-Standardschriftart"/>
    <w:qFormat/>
    <w:uiPriority w:val="0"/>
  </w:style>
  <w:style w:type="character" w:customStyle="1" w:styleId="89">
    <w:name w:val="WW8Num22z1"/>
    <w:qFormat/>
    <w:uiPriority w:val="0"/>
    <w:rPr>
      <w:rFonts w:ascii="Wingdings" w:hAnsi="Wingdings"/>
    </w:rPr>
  </w:style>
  <w:style w:type="character" w:customStyle="1" w:styleId="90">
    <w:name w:val="WW8Num2z2"/>
    <w:qFormat/>
    <w:uiPriority w:val="0"/>
    <w:rPr>
      <w:rFonts w:ascii="Arial" w:hAnsi="Arial"/>
      <w:color w:val="000000"/>
      <w:position w:val="0"/>
      <w:sz w:val="24"/>
      <w:vertAlign w:val="baseline"/>
    </w:rPr>
  </w:style>
  <w:style w:type="character" w:customStyle="1" w:styleId="91">
    <w:name w:val="正文文本缩进 3 Char"/>
    <w:link w:val="34"/>
    <w:qFormat/>
    <w:uiPriority w:val="0"/>
    <w:rPr>
      <w:rFonts w:ascii="Times New Roman" w:hAnsi="Times New Roman"/>
      <w:sz w:val="16"/>
      <w:szCs w:val="16"/>
    </w:rPr>
  </w:style>
  <w:style w:type="character" w:customStyle="1" w:styleId="92">
    <w:name w:val="正文要点 Char Char"/>
    <w:link w:val="93"/>
    <w:qFormat/>
    <w:uiPriority w:val="0"/>
    <w:rPr>
      <w:kern w:val="2"/>
      <w:sz w:val="21"/>
      <w:szCs w:val="24"/>
    </w:rPr>
  </w:style>
  <w:style w:type="paragraph" w:customStyle="1" w:styleId="93">
    <w:name w:val="正文要点"/>
    <w:basedOn w:val="1"/>
    <w:next w:val="94"/>
    <w:link w:val="92"/>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4">
    <w:name w:val="正文要点内容"/>
    <w:basedOn w:val="93"/>
    <w:link w:val="114"/>
    <w:qFormat/>
    <w:uiPriority w:val="0"/>
    <w:pPr>
      <w:numPr>
        <w:numId w:val="0"/>
      </w:numPr>
      <w:ind w:left="400" w:leftChars="400" w:firstLine="200" w:firstLineChars="200"/>
    </w:pPr>
    <w:rPr>
      <w:rFonts w:ascii="Times New Roman" w:hAnsi="Times New Roman"/>
      <w:kern w:val="0"/>
      <w:sz w:val="20"/>
    </w:rPr>
  </w:style>
  <w:style w:type="character" w:customStyle="1" w:styleId="95">
    <w:name w:val="WW8Num19z0"/>
    <w:qFormat/>
    <w:uiPriority w:val="0"/>
    <w:rPr>
      <w:rFonts w:ascii="Wingdings" w:hAnsi="Wingdings"/>
    </w:rPr>
  </w:style>
  <w:style w:type="character" w:customStyle="1" w:styleId="96">
    <w:name w:val="case31"/>
    <w:qFormat/>
    <w:uiPriority w:val="0"/>
    <w:rPr>
      <w:rFonts w:hint="default"/>
      <w:spacing w:val="390"/>
      <w:sz w:val="21"/>
      <w:szCs w:val="21"/>
    </w:rPr>
  </w:style>
  <w:style w:type="character" w:customStyle="1" w:styleId="97">
    <w:name w:val="mark4"/>
    <w:qFormat/>
    <w:uiPriority w:val="0"/>
  </w:style>
  <w:style w:type="character" w:customStyle="1" w:styleId="98">
    <w:name w:val="WW8Num9z0"/>
    <w:qFormat/>
    <w:uiPriority w:val="0"/>
    <w:rPr>
      <w:b/>
    </w:rPr>
  </w:style>
  <w:style w:type="character" w:customStyle="1" w:styleId="99">
    <w:name w:val="apple-style-span"/>
    <w:basedOn w:val="44"/>
    <w:qFormat/>
    <w:uiPriority w:val="0"/>
  </w:style>
  <w:style w:type="character" w:customStyle="1" w:styleId="100">
    <w:name w:val="WW8Num31z1"/>
    <w:qFormat/>
    <w:uiPriority w:val="0"/>
    <w:rPr>
      <w:b/>
      <w:color w:val="000000"/>
    </w:rPr>
  </w:style>
  <w:style w:type="character" w:customStyle="1" w:styleId="101">
    <w:name w:val="Char Char4"/>
    <w:qFormat/>
    <w:uiPriority w:val="0"/>
    <w:rPr>
      <w:rFonts w:eastAsia="宋体"/>
      <w:b/>
      <w:bCs/>
      <w:kern w:val="44"/>
      <w:sz w:val="44"/>
      <w:szCs w:val="44"/>
      <w:lang w:val="en-US" w:eastAsia="zh-CN" w:bidi="ar-SA"/>
    </w:rPr>
  </w:style>
  <w:style w:type="character" w:customStyle="1" w:styleId="102">
    <w:name w:val="WW8Num2z0"/>
    <w:qFormat/>
    <w:uiPriority w:val="0"/>
    <w:rPr>
      <w:rFonts w:ascii="Arial" w:hAnsi="Arial"/>
      <w:b/>
      <w:color w:val="000000"/>
      <w:position w:val="0"/>
      <w:sz w:val="36"/>
      <w:vertAlign w:val="baseline"/>
    </w:rPr>
  </w:style>
  <w:style w:type="character" w:customStyle="1" w:styleId="103">
    <w:name w:val="WW8Num27z0"/>
    <w:qFormat/>
    <w:uiPriority w:val="0"/>
    <w:rPr>
      <w:b/>
    </w:rPr>
  </w:style>
  <w:style w:type="character" w:customStyle="1" w:styleId="104">
    <w:name w:val="批注框文本 Char"/>
    <w:link w:val="26"/>
    <w:qFormat/>
    <w:uiPriority w:val="0"/>
    <w:rPr>
      <w:rFonts w:ascii="Times New Roman" w:hAnsi="Times New Roman"/>
      <w:sz w:val="18"/>
      <w:szCs w:val="18"/>
    </w:rPr>
  </w:style>
  <w:style w:type="character" w:customStyle="1" w:styleId="105">
    <w:name w:val="WW-Absatz-Standardschriftart1"/>
    <w:qFormat/>
    <w:uiPriority w:val="0"/>
  </w:style>
  <w:style w:type="character" w:customStyle="1" w:styleId="106">
    <w:name w:val="WW8Num8z0"/>
    <w:qFormat/>
    <w:uiPriority w:val="0"/>
    <w:rPr>
      <w:b/>
    </w:rPr>
  </w:style>
  <w:style w:type="character" w:customStyle="1" w:styleId="107">
    <w:name w:val="jk"/>
    <w:qFormat/>
    <w:uiPriority w:val="0"/>
  </w:style>
  <w:style w:type="character" w:customStyle="1" w:styleId="108">
    <w:name w:val="正文文本缩进 2 Char"/>
    <w:link w:val="25"/>
    <w:qFormat/>
    <w:uiPriority w:val="0"/>
    <w:rPr>
      <w:rFonts w:ascii="Times New Roman" w:hAnsi="Times New Roman"/>
      <w:szCs w:val="24"/>
    </w:rPr>
  </w:style>
  <w:style w:type="character" w:customStyle="1" w:styleId="109">
    <w:name w:val="font131"/>
    <w:qFormat/>
    <w:uiPriority w:val="0"/>
    <w:rPr>
      <w:sz w:val="20"/>
      <w:szCs w:val="20"/>
    </w:rPr>
  </w:style>
  <w:style w:type="character" w:customStyle="1" w:styleId="110">
    <w:name w:val="Absatz-Standardschriftart"/>
    <w:qFormat/>
    <w:uiPriority w:val="0"/>
  </w:style>
  <w:style w:type="character" w:customStyle="1" w:styleId="111">
    <w:name w:val="WW8Num1z1"/>
    <w:qFormat/>
    <w:uiPriority w:val="0"/>
    <w:rPr>
      <w:b/>
      <w:sz w:val="28"/>
    </w:rPr>
  </w:style>
  <w:style w:type="character" w:customStyle="1" w:styleId="112">
    <w:name w:val="ca-2"/>
    <w:basedOn w:val="44"/>
    <w:qFormat/>
    <w:uiPriority w:val="0"/>
  </w:style>
  <w:style w:type="character" w:customStyle="1" w:styleId="113">
    <w:name w:val="正文文本缩进 Char"/>
    <w:link w:val="18"/>
    <w:qFormat/>
    <w:uiPriority w:val="0"/>
    <w:rPr>
      <w:rFonts w:ascii="仿宋_GB2312" w:hAnsi="Times New Roman" w:eastAsia="仿宋_GB2312"/>
      <w:sz w:val="32"/>
    </w:rPr>
  </w:style>
  <w:style w:type="character" w:customStyle="1" w:styleId="114">
    <w:name w:val="正文要点内容 Char Char"/>
    <w:link w:val="94"/>
    <w:qFormat/>
    <w:uiPriority w:val="0"/>
    <w:rPr>
      <w:rFonts w:ascii="Times New Roman" w:hAnsi="Times New Roman"/>
      <w:szCs w:val="24"/>
    </w:rPr>
  </w:style>
  <w:style w:type="character" w:customStyle="1" w:styleId="115">
    <w:name w:val="日期 Char"/>
    <w:link w:val="24"/>
    <w:qFormat/>
    <w:uiPriority w:val="0"/>
    <w:rPr>
      <w:rFonts w:ascii="宋体" w:hAnsi="Courier New" w:cs="Courier New"/>
      <w:szCs w:val="21"/>
    </w:rPr>
  </w:style>
  <w:style w:type="character" w:customStyle="1" w:styleId="116">
    <w:name w:val="a14_red_bold1"/>
    <w:qFormat/>
    <w:uiPriority w:val="0"/>
    <w:rPr>
      <w:rFonts w:ascii="Arial" w:hAnsi="Arial" w:cs="Arial"/>
      <w:b/>
      <w:bCs/>
      <w:color w:val="auto"/>
      <w:sz w:val="21"/>
      <w:szCs w:val="21"/>
      <w:u w:val="none"/>
    </w:rPr>
  </w:style>
  <w:style w:type="character" w:customStyle="1" w:styleId="117">
    <w:name w:val="样式 标题 2第一层条论文标题 1正文二级标题heading 2 + Indent: Left 0.25 inh2h...1 Char Char"/>
    <w:link w:val="118"/>
    <w:qFormat/>
    <w:uiPriority w:val="0"/>
    <w:rPr>
      <w:rFonts w:ascii="新宋体" w:hAnsi="新宋体" w:eastAsia="新宋体" w:cs="宋体"/>
      <w:b/>
      <w:bCs/>
      <w:kern w:val="2"/>
      <w:sz w:val="28"/>
    </w:rPr>
  </w:style>
  <w:style w:type="paragraph" w:customStyle="1" w:styleId="118">
    <w:name w:val="样式 标题 2第一层条论文标题 1正文二级标题heading 2 + Indent: Left 0.25 inh2h...1"/>
    <w:basedOn w:val="3"/>
    <w:link w:val="117"/>
    <w:qFormat/>
    <w:uiPriority w:val="0"/>
    <w:pPr>
      <w:keepNext w:val="0"/>
      <w:keepLines w:val="0"/>
      <w:spacing w:before="0" w:after="156" w:line="360" w:lineRule="auto"/>
    </w:pPr>
    <w:rPr>
      <w:rFonts w:ascii="新宋体" w:hAnsi="新宋体" w:eastAsia="新宋体" w:cs="宋体"/>
      <w:kern w:val="2"/>
      <w:sz w:val="28"/>
      <w:szCs w:val="20"/>
      <w:lang w:val="en-US"/>
    </w:rPr>
  </w:style>
  <w:style w:type="character" w:customStyle="1" w:styleId="119">
    <w:name w:val="WW8Num2z1"/>
    <w:qFormat/>
    <w:uiPriority w:val="0"/>
    <w:rPr>
      <w:rFonts w:ascii="Arial" w:hAnsi="Arial"/>
      <w:color w:val="000000"/>
      <w:position w:val="0"/>
      <w:sz w:val="30"/>
      <w:vertAlign w:val="baseline"/>
    </w:rPr>
  </w:style>
  <w:style w:type="character" w:customStyle="1" w:styleId="120">
    <w:name w:val="WW8Num13z0"/>
    <w:qFormat/>
    <w:uiPriority w:val="0"/>
    <w:rPr>
      <w:rFonts w:ascii="Wingdings" w:hAnsi="Wingdings"/>
    </w:rPr>
  </w:style>
  <w:style w:type="character" w:customStyle="1" w:styleId="121">
    <w:name w:val="huei12b1"/>
    <w:qFormat/>
    <w:uiPriority w:val="0"/>
    <w:rPr>
      <w:b/>
      <w:color w:val="333333"/>
      <w:sz w:val="18"/>
    </w:rPr>
  </w:style>
  <w:style w:type="character" w:customStyle="1" w:styleId="122">
    <w:name w:val="正文文本 3 Char"/>
    <w:link w:val="16"/>
    <w:qFormat/>
    <w:uiPriority w:val="0"/>
    <w:rPr>
      <w:rFonts w:ascii="黑体" w:hAnsi="Arial" w:eastAsia="黑体"/>
      <w:b/>
      <w:sz w:val="28"/>
    </w:rPr>
  </w:style>
  <w:style w:type="character" w:customStyle="1" w:styleId="123">
    <w:name w:val="h4 Char"/>
    <w:qFormat/>
    <w:uiPriority w:val="0"/>
    <w:rPr>
      <w:rFonts w:ascii="Arial" w:hAnsi="Arial" w:eastAsia="黑体" w:cs="Arial"/>
      <w:b/>
      <w:bCs/>
      <w:sz w:val="28"/>
      <w:szCs w:val="28"/>
      <w:lang w:val="en-US" w:eastAsia="zh-CN" w:bidi="ar-SA"/>
    </w:rPr>
  </w:style>
  <w:style w:type="character" w:customStyle="1" w:styleId="124">
    <w:name w:val="WW8Num12z6"/>
    <w:qFormat/>
    <w:uiPriority w:val="0"/>
    <w:rPr>
      <w:rFonts w:ascii="Times New Roman" w:hAnsi="Times New Roman"/>
    </w:rPr>
  </w:style>
  <w:style w:type="character" w:customStyle="1" w:styleId="125">
    <w:name w:val="ca-3"/>
    <w:basedOn w:val="44"/>
    <w:qFormat/>
    <w:uiPriority w:val="0"/>
  </w:style>
  <w:style w:type="character" w:customStyle="1" w:styleId="126">
    <w:name w:val="WW8Num18z0"/>
    <w:qFormat/>
    <w:uiPriority w:val="0"/>
    <w:rPr>
      <w:b/>
    </w:rPr>
  </w:style>
  <w:style w:type="character" w:customStyle="1" w:styleId="127">
    <w:name w:val="页脚 Char"/>
    <w:link w:val="27"/>
    <w:qFormat/>
    <w:uiPriority w:val="0"/>
    <w:rPr>
      <w:rFonts w:ascii="Times New Roman" w:hAnsi="Times New Roman"/>
      <w:sz w:val="18"/>
      <w:szCs w:val="18"/>
    </w:rPr>
  </w:style>
  <w:style w:type="character" w:customStyle="1" w:styleId="128">
    <w:name w:val="WW8Num31z2"/>
    <w:qFormat/>
    <w:uiPriority w:val="0"/>
    <w:rPr>
      <w:b/>
    </w:rPr>
  </w:style>
  <w:style w:type="character" w:customStyle="1" w:styleId="129">
    <w:name w:val="WW8Num14z0"/>
    <w:qFormat/>
    <w:uiPriority w:val="0"/>
    <w:rPr>
      <w:b/>
    </w:rPr>
  </w:style>
  <w:style w:type="character" w:customStyle="1" w:styleId="130">
    <w:name w:val="WW8Num16z0"/>
    <w:qFormat/>
    <w:uiPriority w:val="0"/>
    <w:rPr>
      <w:b/>
    </w:rPr>
  </w:style>
  <w:style w:type="character" w:customStyle="1" w:styleId="131">
    <w:name w:val="WW8Num16z1"/>
    <w:qFormat/>
    <w:uiPriority w:val="0"/>
    <w:rPr>
      <w:rFonts w:ascii="Wingdings" w:hAnsi="Wingdings"/>
    </w:rPr>
  </w:style>
  <w:style w:type="character" w:customStyle="1" w:styleId="132">
    <w:name w:val="WW8Num23z0"/>
    <w:qFormat/>
    <w:uiPriority w:val="0"/>
    <w:rPr>
      <w:rFonts w:ascii="Wingdings" w:hAnsi="Wingdings"/>
    </w:rPr>
  </w:style>
  <w:style w:type="character" w:customStyle="1" w:styleId="133">
    <w:name w:val="正文段落 Char Char"/>
    <w:link w:val="134"/>
    <w:qFormat/>
    <w:uiPriority w:val="0"/>
    <w:rPr>
      <w:rFonts w:ascii="宋体" w:hAnsi="宋体"/>
      <w:kern w:val="2"/>
      <w:sz w:val="28"/>
      <w:szCs w:val="22"/>
    </w:rPr>
  </w:style>
  <w:style w:type="paragraph" w:customStyle="1" w:styleId="134">
    <w:name w:val="正文段落"/>
    <w:basedOn w:val="1"/>
    <w:link w:val="133"/>
    <w:qFormat/>
    <w:uiPriority w:val="0"/>
    <w:pPr>
      <w:ind w:firstLine="560" w:firstLineChars="200"/>
    </w:pPr>
    <w:rPr>
      <w:rFonts w:ascii="宋体" w:hAnsi="宋体"/>
      <w:szCs w:val="22"/>
    </w:rPr>
  </w:style>
  <w:style w:type="paragraph" w:customStyle="1" w:styleId="135">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6">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7">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38">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3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1">
    <w:name w:val="内容目录 10"/>
    <w:basedOn w:val="12"/>
    <w:qFormat/>
    <w:uiPriority w:val="0"/>
    <w:pPr>
      <w:tabs>
        <w:tab w:val="right" w:leader="dot" w:pos="9637"/>
      </w:tabs>
      <w:ind w:left="2547"/>
    </w:pPr>
  </w:style>
  <w:style w:type="paragraph" w:customStyle="1" w:styleId="142">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3">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4">
    <w:name w:val="框内容"/>
    <w:basedOn w:val="17"/>
    <w:qFormat/>
    <w:uiPriority w:val="0"/>
    <w:pPr>
      <w:suppressAutoHyphens/>
    </w:pPr>
    <w:rPr>
      <w:rFonts w:hint="eastAsia" w:ascii="方正大黑简体" w:hAnsi="宋体" w:eastAsia="方正大黑简体"/>
      <w:kern w:val="44"/>
      <w:position w:val="6"/>
      <w:sz w:val="30"/>
      <w:szCs w:val="20"/>
    </w:rPr>
  </w:style>
  <w:style w:type="paragraph" w:customStyle="1" w:styleId="145">
    <w:name w:val="pa-2"/>
    <w:basedOn w:val="1"/>
    <w:qFormat/>
    <w:uiPriority w:val="0"/>
    <w:pPr>
      <w:widowControl/>
      <w:spacing w:line="360" w:lineRule="atLeast"/>
      <w:ind w:firstLine="480"/>
    </w:pPr>
    <w:rPr>
      <w:rFonts w:ascii="宋体" w:hAnsi="宋体" w:cs="宋体"/>
      <w:kern w:val="0"/>
      <w:sz w:val="24"/>
      <w:szCs w:val="24"/>
    </w:rPr>
  </w:style>
  <w:style w:type="paragraph" w:customStyle="1" w:styleId="1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8">
    <w:name w:val="默认段落字体 Para Char"/>
    <w:basedOn w:val="1"/>
    <w:qFormat/>
    <w:uiPriority w:val="0"/>
    <w:rPr>
      <w:szCs w:val="21"/>
    </w:rPr>
  </w:style>
  <w:style w:type="paragraph" w:customStyle="1" w:styleId="149">
    <w:name w:val="表格标题"/>
    <w:basedOn w:val="150"/>
    <w:qFormat/>
    <w:uiPriority w:val="0"/>
    <w:pPr>
      <w:jc w:val="center"/>
    </w:pPr>
    <w:rPr>
      <w:b/>
    </w:rPr>
  </w:style>
  <w:style w:type="paragraph" w:customStyle="1" w:styleId="150">
    <w:name w:val="表格内容"/>
    <w:basedOn w:val="1"/>
    <w:qFormat/>
    <w:uiPriority w:val="0"/>
    <w:pPr>
      <w:suppressLineNumbers/>
      <w:suppressAutoHyphens/>
    </w:pPr>
    <w:rPr>
      <w:rFonts w:ascii="宋体" w:hAnsi="宋体"/>
      <w:kern w:val="1"/>
      <w:lang w:eastAsia="ar-SA"/>
    </w:rPr>
  </w:style>
  <w:style w:type="paragraph" w:customStyle="1" w:styleId="151">
    <w:name w:val="批注框文本 Char Char"/>
    <w:basedOn w:val="1"/>
    <w:qFormat/>
    <w:uiPriority w:val="0"/>
    <w:rPr>
      <w:sz w:val="18"/>
      <w:szCs w:val="18"/>
    </w:rPr>
  </w:style>
  <w:style w:type="paragraph" w:customStyle="1" w:styleId="152">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3">
    <w:name w:val="CSS1级正文"/>
    <w:basedOn w:val="17"/>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4">
    <w:name w:val="标题二样式"/>
    <w:basedOn w:val="3"/>
    <w:qFormat/>
    <w:uiPriority w:val="0"/>
    <w:pPr>
      <w:suppressAutoHyphens/>
      <w:spacing w:before="0" w:after="0" w:line="240" w:lineRule="auto"/>
      <w:jc w:val="left"/>
    </w:pPr>
    <w:rPr>
      <w:bCs w:val="0"/>
      <w:kern w:val="1"/>
      <w:szCs w:val="20"/>
      <w:lang w:eastAsia="ar-SA"/>
    </w:rPr>
  </w:style>
  <w:style w:type="paragraph" w:customStyle="1" w:styleId="155">
    <w:name w:val="D&amp;L"/>
    <w:basedOn w:val="28"/>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6">
    <w:name w:val="论文标题1"/>
    <w:basedOn w:val="2"/>
    <w:qFormat/>
    <w:uiPriority w:val="0"/>
    <w:pPr>
      <w:tabs>
        <w:tab w:val="left" w:pos="747"/>
      </w:tabs>
      <w:adjustRightInd w:val="0"/>
      <w:spacing w:line="240" w:lineRule="auto"/>
      <w:ind w:left="747" w:hanging="567"/>
      <w:textAlignment w:val="baseline"/>
    </w:pPr>
  </w:style>
  <w:style w:type="paragraph" w:customStyle="1" w:styleId="157">
    <w:name w:val="我的正文"/>
    <w:basedOn w:val="1"/>
    <w:qFormat/>
    <w:uiPriority w:val="0"/>
    <w:pPr>
      <w:ind w:firstLine="200" w:firstLineChars="200"/>
    </w:pPr>
    <w:rPr>
      <w:rFonts w:ascii="宋体" w:hAnsi="宋体"/>
      <w:sz w:val="24"/>
    </w:rPr>
  </w:style>
  <w:style w:type="paragraph" w:customStyle="1" w:styleId="158">
    <w:name w:val="表格"/>
    <w:basedOn w:val="159"/>
    <w:qFormat/>
    <w:uiPriority w:val="0"/>
    <w:pPr>
      <w:spacing w:line="240" w:lineRule="atLeast"/>
      <w:ind w:firstLine="0" w:firstLineChars="0"/>
      <w:jc w:val="center"/>
    </w:pPr>
    <w:rPr>
      <w:rFonts w:ascii="Arial" w:hAnsi="Arial" w:eastAsia="宋体"/>
      <w:sz w:val="21"/>
    </w:rPr>
  </w:style>
  <w:style w:type="paragraph" w:customStyle="1" w:styleId="159">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2">
    <w:name w:val="Char"/>
    <w:basedOn w:val="1"/>
    <w:qFormat/>
    <w:uiPriority w:val="0"/>
    <w:rPr>
      <w:szCs w:val="24"/>
    </w:rPr>
  </w:style>
  <w:style w:type="paragraph" w:customStyle="1" w:styleId="163">
    <w:name w:val="正文内容"/>
    <w:basedOn w:val="1"/>
    <w:qFormat/>
    <w:uiPriority w:val="0"/>
    <w:pPr>
      <w:suppressAutoHyphens/>
    </w:pPr>
    <w:rPr>
      <w:rFonts w:ascii="Arial" w:hAnsi="Arial"/>
      <w:spacing w:val="-12"/>
      <w:kern w:val="21"/>
      <w:lang w:eastAsia="ar-SA"/>
    </w:rPr>
  </w:style>
  <w:style w:type="paragraph" w:customStyle="1" w:styleId="164">
    <w:name w:val="Char1 Char Char Char Char Char Char"/>
    <w:basedOn w:val="1"/>
    <w:qFormat/>
    <w:uiPriority w:val="0"/>
    <w:rPr>
      <w:rFonts w:ascii="Tahoma" w:hAnsi="Tahoma"/>
      <w:sz w:val="24"/>
    </w:rPr>
  </w:style>
  <w:style w:type="paragraph" w:customStyle="1" w:styleId="165">
    <w:name w:val="标准正文"/>
    <w:basedOn w:val="1"/>
    <w:qFormat/>
    <w:uiPriority w:val="0"/>
    <w:pPr>
      <w:spacing w:line="360" w:lineRule="auto"/>
      <w:ind w:firstLine="420" w:firstLineChars="200"/>
    </w:pPr>
    <w:rPr>
      <w:rFonts w:ascii="Calibri" w:hAnsi="Calibri"/>
    </w:rPr>
  </w:style>
  <w:style w:type="paragraph" w:customStyle="1" w:styleId="16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7">
    <w:name w:val="Normal1"/>
    <w:basedOn w:val="1"/>
    <w:qFormat/>
    <w:uiPriority w:val="0"/>
    <w:pPr>
      <w:suppressAutoHyphens/>
      <w:spacing w:line="360" w:lineRule="auto"/>
    </w:pPr>
    <w:rPr>
      <w:rFonts w:ascii="宋体" w:hAnsi="宋体"/>
      <w:kern w:val="1"/>
      <w:lang w:eastAsia="ar-SA"/>
    </w:rPr>
  </w:style>
  <w:style w:type="paragraph" w:customStyle="1" w:styleId="168">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0">
    <w:name w:val="默认段落字体 Para Char Char Char Char"/>
    <w:basedOn w:val="1"/>
    <w:qFormat/>
    <w:uiPriority w:val="0"/>
    <w:rPr>
      <w:szCs w:val="24"/>
    </w:rPr>
  </w:style>
  <w:style w:type="paragraph" w:customStyle="1" w:styleId="171">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lang w:val="zh-CN"/>
    </w:rPr>
  </w:style>
  <w:style w:type="paragraph" w:customStyle="1" w:styleId="172">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3">
    <w:name w:val="Table Description"/>
    <w:basedOn w:val="1"/>
    <w:qFormat/>
    <w:uiPriority w:val="0"/>
    <w:pPr>
      <w:suppressAutoHyphens/>
    </w:pPr>
    <w:rPr>
      <w:rFonts w:ascii="宋体" w:hAnsi="宋体"/>
      <w:kern w:val="1"/>
      <w:lang w:eastAsia="ar-SA"/>
    </w:rPr>
  </w:style>
  <w:style w:type="paragraph" w:customStyle="1" w:styleId="174">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5">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6">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7">
    <w:name w:val="WPS Plain"/>
    <w:qFormat/>
    <w:uiPriority w:val="0"/>
    <w:rPr>
      <w:rFonts w:ascii="Times New Roman" w:hAnsi="Times New Roman" w:eastAsia="宋体" w:cs="Times New Roman"/>
      <w:lang w:val="en-US" w:eastAsia="zh-CN" w:bidi="ar-SA"/>
    </w:rPr>
  </w:style>
  <w:style w:type="paragraph" w:customStyle="1" w:styleId="178">
    <w:name w:val="Char1 Char Char Char"/>
    <w:basedOn w:val="1"/>
    <w:qFormat/>
    <w:uiPriority w:val="0"/>
    <w:pPr>
      <w:suppressAutoHyphens/>
    </w:pPr>
    <w:rPr>
      <w:rFonts w:ascii="宋体" w:hAnsi="宋体"/>
      <w:kern w:val="1"/>
      <w:sz w:val="24"/>
      <w:lang w:eastAsia="ar-SA"/>
    </w:rPr>
  </w:style>
  <w:style w:type="paragraph" w:customStyle="1" w:styleId="179">
    <w:name w:val="Figure Description"/>
    <w:basedOn w:val="1"/>
    <w:qFormat/>
    <w:uiPriority w:val="0"/>
    <w:pPr>
      <w:suppressAutoHyphens/>
    </w:pPr>
    <w:rPr>
      <w:rFonts w:ascii="宋体" w:hAnsi="宋体"/>
      <w:kern w:val="1"/>
      <w:lang w:eastAsia="ar-SA"/>
    </w:rPr>
  </w:style>
  <w:style w:type="paragraph" w:customStyle="1" w:styleId="18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1">
    <w:name w:val="样式 标题 1 + 黑体 小二 居中 段前: 15.6 磅 段后: 15.6 磅 行距: 单倍行距"/>
    <w:basedOn w:val="2"/>
    <w:qFormat/>
    <w:uiPriority w:val="0"/>
    <w:pPr>
      <w:spacing w:before="312" w:after="312" w:line="240" w:lineRule="auto"/>
    </w:pPr>
    <w:rPr>
      <w:rFonts w:ascii="黑体" w:eastAsia="黑体" w:cs="宋体"/>
      <w:szCs w:val="20"/>
    </w:rPr>
  </w:style>
  <w:style w:type="paragraph" w:customStyle="1" w:styleId="182">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 Char Char Char Char Char1 Char"/>
    <w:basedOn w:val="1"/>
    <w:qFormat/>
    <w:uiPriority w:val="0"/>
    <w:rPr>
      <w:rFonts w:ascii="Tahoma" w:hAnsi="Tahoma"/>
      <w:sz w:val="24"/>
    </w:rPr>
  </w:style>
  <w:style w:type="paragraph" w:customStyle="1" w:styleId="1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5">
    <w:name w:val="Char1"/>
    <w:basedOn w:val="1"/>
    <w:qFormat/>
    <w:uiPriority w:val="0"/>
    <w:pPr>
      <w:suppressAutoHyphens/>
    </w:pPr>
    <w:rPr>
      <w:rFonts w:ascii="宋体" w:hAnsi="宋体"/>
      <w:kern w:val="1"/>
      <w:sz w:val="24"/>
      <w:lang w:eastAsia="ar-SA"/>
    </w:rPr>
  </w:style>
  <w:style w:type="paragraph" w:customStyle="1" w:styleId="186">
    <w:name w:val="三级条标题"/>
    <w:basedOn w:val="187"/>
    <w:next w:val="1"/>
    <w:qFormat/>
    <w:uiPriority w:val="0"/>
    <w:pPr>
      <w:numPr>
        <w:ilvl w:val="4"/>
      </w:numPr>
      <w:tabs>
        <w:tab w:val="left" w:pos="360"/>
      </w:tabs>
      <w:outlineLvl w:val="4"/>
    </w:pPr>
  </w:style>
  <w:style w:type="paragraph" w:customStyle="1" w:styleId="187">
    <w:name w:val="二级条标题"/>
    <w:basedOn w:val="1"/>
    <w:next w:val="1"/>
    <w:qFormat/>
    <w:uiPriority w:val="0"/>
    <w:pPr>
      <w:widowControl/>
      <w:numPr>
        <w:ilvl w:val="3"/>
        <w:numId w:val="4"/>
      </w:numPr>
      <w:jc w:val="left"/>
      <w:outlineLvl w:val="3"/>
    </w:pPr>
    <w:rPr>
      <w:rFonts w:eastAsia="黑体"/>
      <w:kern w:val="0"/>
    </w:rPr>
  </w:style>
  <w:style w:type="paragraph" w:customStyle="1" w:styleId="188">
    <w:name w:val="p0"/>
    <w:basedOn w:val="1"/>
    <w:qFormat/>
    <w:uiPriority w:val="0"/>
    <w:pPr>
      <w:widowControl/>
    </w:pPr>
    <w:rPr>
      <w:kern w:val="0"/>
      <w:szCs w:val="21"/>
    </w:rPr>
  </w:style>
  <w:style w:type="character" w:customStyle="1" w:styleId="189">
    <w:name w:val="正文文本缩进 2 Char1"/>
    <w:basedOn w:val="44"/>
    <w:semiHidden/>
    <w:uiPriority w:val="99"/>
    <w:rPr>
      <w:rFonts w:ascii="Times New Roman" w:hAnsi="Times New Roman"/>
      <w:kern w:val="2"/>
      <w:sz w:val="28"/>
    </w:rPr>
  </w:style>
  <w:style w:type="character" w:customStyle="1" w:styleId="190">
    <w:name w:val="批注文字 Char"/>
    <w:basedOn w:val="44"/>
    <w:link w:val="15"/>
    <w:qFormat/>
    <w:uiPriority w:val="0"/>
    <w:rPr>
      <w:rFonts w:ascii="Times New Roman" w:hAnsi="Times New Roman"/>
      <w:kern w:val="2"/>
      <w:sz w:val="28"/>
    </w:rPr>
  </w:style>
  <w:style w:type="character" w:customStyle="1" w:styleId="191">
    <w:name w:val="批注主题 Char"/>
    <w:basedOn w:val="190"/>
    <w:link w:val="40"/>
    <w:qFormat/>
    <w:uiPriority w:val="0"/>
    <w:rPr>
      <w:rFonts w:ascii="宋体" w:hAnsi="宋体"/>
      <w:b/>
      <w:kern w:val="21"/>
      <w:sz w:val="28"/>
      <w:lang w:eastAsia="ar-SA"/>
    </w:rPr>
  </w:style>
  <w:style w:type="character" w:customStyle="1" w:styleId="192">
    <w:name w:val="HTML 预设格式 Char"/>
    <w:basedOn w:val="44"/>
    <w:link w:val="37"/>
    <w:qFormat/>
    <w:uiPriority w:val="0"/>
    <w:rPr>
      <w:rFonts w:ascii="Arial" w:hAnsi="Arial" w:cs="Arial"/>
      <w:sz w:val="24"/>
    </w:rPr>
  </w:style>
  <w:style w:type="character" w:customStyle="1" w:styleId="193">
    <w:name w:val="批注框文本 Char1"/>
    <w:basedOn w:val="44"/>
    <w:semiHidden/>
    <w:qFormat/>
    <w:uiPriority w:val="99"/>
    <w:rPr>
      <w:rFonts w:ascii="Times New Roman" w:hAnsi="Times New Roman"/>
      <w:kern w:val="2"/>
      <w:sz w:val="18"/>
      <w:szCs w:val="18"/>
    </w:rPr>
  </w:style>
  <w:style w:type="character" w:customStyle="1" w:styleId="194">
    <w:name w:val="正文文本 Char1"/>
    <w:basedOn w:val="44"/>
    <w:semiHidden/>
    <w:qFormat/>
    <w:uiPriority w:val="99"/>
    <w:rPr>
      <w:rFonts w:ascii="Times New Roman" w:hAnsi="Times New Roman"/>
      <w:kern w:val="2"/>
      <w:sz w:val="28"/>
    </w:rPr>
  </w:style>
  <w:style w:type="character" w:customStyle="1" w:styleId="195">
    <w:name w:val="页脚 Char1"/>
    <w:basedOn w:val="44"/>
    <w:semiHidden/>
    <w:qFormat/>
    <w:uiPriority w:val="99"/>
    <w:rPr>
      <w:rFonts w:ascii="Times New Roman" w:hAnsi="Times New Roman"/>
      <w:kern w:val="2"/>
      <w:sz w:val="18"/>
      <w:szCs w:val="18"/>
    </w:rPr>
  </w:style>
  <w:style w:type="character" w:customStyle="1" w:styleId="196">
    <w:name w:val="正文文本 3 Char1"/>
    <w:basedOn w:val="44"/>
    <w:semiHidden/>
    <w:qFormat/>
    <w:uiPriority w:val="99"/>
    <w:rPr>
      <w:rFonts w:ascii="Times New Roman" w:hAnsi="Times New Roman"/>
      <w:kern w:val="2"/>
      <w:sz w:val="16"/>
      <w:szCs w:val="16"/>
    </w:rPr>
  </w:style>
  <w:style w:type="paragraph" w:customStyle="1" w:styleId="197">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98">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99">
    <w:name w:val="段"/>
    <w:link w:val="21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2">
    <w:name w:val="日期 Char1"/>
    <w:basedOn w:val="44"/>
    <w:semiHidden/>
    <w:qFormat/>
    <w:uiPriority w:val="99"/>
    <w:rPr>
      <w:rFonts w:ascii="Times New Roman" w:hAnsi="Times New Roman"/>
      <w:kern w:val="2"/>
      <w:sz w:val="28"/>
    </w:rPr>
  </w:style>
  <w:style w:type="character" w:customStyle="1" w:styleId="203">
    <w:name w:val="文档结构图 Char"/>
    <w:basedOn w:val="44"/>
    <w:link w:val="14"/>
    <w:qFormat/>
    <w:uiPriority w:val="0"/>
    <w:rPr>
      <w:rFonts w:ascii="宋体" w:hAnsi="宋体"/>
      <w:kern w:val="21"/>
      <w:sz w:val="28"/>
      <w:shd w:val="clear" w:color="auto" w:fill="000080"/>
      <w:lang w:eastAsia="ar-SA"/>
    </w:rPr>
  </w:style>
  <w:style w:type="character" w:customStyle="1" w:styleId="204">
    <w:name w:val="正文文本缩进 Char1"/>
    <w:basedOn w:val="44"/>
    <w:semiHidden/>
    <w:qFormat/>
    <w:uiPriority w:val="99"/>
    <w:rPr>
      <w:rFonts w:ascii="Times New Roman" w:hAnsi="Times New Roman"/>
      <w:kern w:val="2"/>
      <w:sz w:val="28"/>
    </w:rPr>
  </w:style>
  <w:style w:type="character" w:customStyle="1" w:styleId="205">
    <w:name w:val="页眉 Char1"/>
    <w:basedOn w:val="44"/>
    <w:semiHidden/>
    <w:qFormat/>
    <w:uiPriority w:val="99"/>
    <w:rPr>
      <w:rFonts w:ascii="Times New Roman" w:hAnsi="Times New Roman"/>
      <w:kern w:val="2"/>
      <w:sz w:val="18"/>
      <w:szCs w:val="18"/>
    </w:rPr>
  </w:style>
  <w:style w:type="character" w:customStyle="1" w:styleId="206">
    <w:name w:val="正文文本缩进 3 Char1"/>
    <w:basedOn w:val="44"/>
    <w:semiHidden/>
    <w:qFormat/>
    <w:uiPriority w:val="99"/>
    <w:rPr>
      <w:rFonts w:ascii="Times New Roman" w:hAnsi="Times New Roman"/>
      <w:kern w:val="2"/>
      <w:sz w:val="16"/>
      <w:szCs w:val="16"/>
    </w:rPr>
  </w:style>
  <w:style w:type="paragraph" w:customStyle="1" w:styleId="207">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character" w:customStyle="1" w:styleId="208">
    <w:name w:val="apple-converted-space"/>
    <w:qFormat/>
    <w:uiPriority w:val="0"/>
  </w:style>
  <w:style w:type="paragraph" w:customStyle="1" w:styleId="209">
    <w:name w:val="列出段落2"/>
    <w:basedOn w:val="1"/>
    <w:qFormat/>
    <w:uiPriority w:val="0"/>
    <w:pPr>
      <w:ind w:firstLine="420" w:firstLineChars="200"/>
    </w:pPr>
  </w:style>
  <w:style w:type="paragraph" w:customStyle="1" w:styleId="210">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2">
    <w:name w:val="正文首行缩进 Char"/>
    <w:basedOn w:val="194"/>
    <w:link w:val="41"/>
    <w:qFormat/>
    <w:uiPriority w:val="0"/>
    <w:rPr>
      <w:rFonts w:ascii="Times New Roman" w:hAnsi="Times New Roman"/>
      <w:kern w:val="2"/>
      <w:sz w:val="28"/>
      <w:szCs w:val="24"/>
    </w:rPr>
  </w:style>
  <w:style w:type="paragraph" w:customStyle="1" w:styleId="213">
    <w:name w:val="列出段落21"/>
    <w:basedOn w:val="1"/>
    <w:qFormat/>
    <w:uiPriority w:val="99"/>
    <w:pPr>
      <w:ind w:firstLine="420" w:firstLineChars="200"/>
    </w:pPr>
    <w:rPr>
      <w:rFonts w:ascii="Calibri" w:hAnsi="Calibri"/>
      <w:sz w:val="21"/>
      <w:szCs w:val="22"/>
    </w:rPr>
  </w:style>
  <w:style w:type="character" w:customStyle="1" w:styleId="214">
    <w:name w:val="段 Char"/>
    <w:link w:val="199"/>
    <w:qFormat/>
    <w:locked/>
    <w:uiPriority w:val="0"/>
    <w:rPr>
      <w:rFonts w:ascii="宋体" w:hAnsi="Times New Roman"/>
      <w:sz w:val="21"/>
    </w:rPr>
  </w:style>
  <w:style w:type="paragraph" w:customStyle="1" w:styleId="215">
    <w:name w:val="一级条标题"/>
    <w:next w:val="19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6">
    <w:name w:val="章标题"/>
    <w:next w:val="199"/>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7">
    <w:name w:val="四级条标题"/>
    <w:basedOn w:val="186"/>
    <w:next w:val="199"/>
    <w:qFormat/>
    <w:uiPriority w:val="0"/>
    <w:pPr>
      <w:numPr>
        <w:ilvl w:val="0"/>
        <w:numId w:val="0"/>
      </w:numPr>
      <w:tabs>
        <w:tab w:val="clear" w:pos="360"/>
      </w:tabs>
      <w:spacing w:beforeLines="50" w:afterLines="50"/>
      <w:outlineLvl w:val="5"/>
    </w:pPr>
    <w:rPr>
      <w:rFonts w:ascii="黑体"/>
      <w:sz w:val="21"/>
      <w:szCs w:val="21"/>
    </w:rPr>
  </w:style>
  <w:style w:type="paragraph" w:customStyle="1" w:styleId="218">
    <w:name w:val="五级条标题"/>
    <w:basedOn w:val="217"/>
    <w:next w:val="199"/>
    <w:qFormat/>
    <w:uiPriority w:val="0"/>
    <w:pPr>
      <w:outlineLvl w:val="6"/>
    </w:pPr>
  </w:style>
  <w:style w:type="paragraph" w:customStyle="1" w:styleId="219">
    <w:name w:val="二级无"/>
    <w:basedOn w:val="187"/>
    <w:qFormat/>
    <w:uiPriority w:val="0"/>
    <w:pPr>
      <w:numPr>
        <w:ilvl w:val="2"/>
        <w:numId w:val="1"/>
      </w:numPr>
      <w:spacing w:before="50" w:after="50"/>
    </w:pPr>
    <w:rPr>
      <w:rFonts w:ascii="宋体" w:eastAsia="宋体"/>
      <w:sz w:val="21"/>
      <w:szCs w:val="21"/>
    </w:rPr>
  </w:style>
  <w:style w:type="paragraph" w:customStyle="1" w:styleId="220">
    <w:name w:val="附录表标号"/>
    <w:basedOn w:val="1"/>
    <w:next w:val="199"/>
    <w:qFormat/>
    <w:uiPriority w:val="0"/>
    <w:pPr>
      <w:numPr>
        <w:ilvl w:val="0"/>
        <w:numId w:val="5"/>
      </w:numPr>
      <w:spacing w:line="14" w:lineRule="exact"/>
      <w:ind w:left="811" w:hanging="448"/>
      <w:jc w:val="center"/>
      <w:outlineLvl w:val="0"/>
    </w:pPr>
    <w:rPr>
      <w:color w:val="FFFFFF"/>
      <w:sz w:val="21"/>
      <w:szCs w:val="24"/>
    </w:rPr>
  </w:style>
  <w:style w:type="paragraph" w:customStyle="1" w:styleId="221">
    <w:name w:val="附录表标题"/>
    <w:basedOn w:val="1"/>
    <w:next w:val="199"/>
    <w:qFormat/>
    <w:uiPriority w:val="0"/>
    <w:pPr>
      <w:numPr>
        <w:ilvl w:val="1"/>
        <w:numId w:val="5"/>
      </w:numPr>
      <w:spacing w:beforeLines="50"/>
      <w:ind w:left="7090"/>
      <w:jc w:val="center"/>
    </w:pPr>
    <w:rPr>
      <w:rFonts w:ascii="黑体" w:eastAsia="黑体"/>
      <w:sz w:val="21"/>
      <w:szCs w:val="21"/>
    </w:rPr>
  </w:style>
  <w:style w:type="paragraph" w:customStyle="1" w:styleId="222">
    <w:name w:val="三级无"/>
    <w:basedOn w:val="186"/>
    <w:qFormat/>
    <w:uiPriority w:val="0"/>
    <w:pPr>
      <w:numPr>
        <w:ilvl w:val="3"/>
        <w:numId w:val="1"/>
      </w:numPr>
      <w:tabs>
        <w:tab w:val="clear" w:pos="360"/>
      </w:tabs>
      <w:spacing w:before="50" w:after="50"/>
    </w:pPr>
    <w:rPr>
      <w:rFonts w:ascii="宋体" w:eastAsia="宋体"/>
      <w:sz w:val="21"/>
      <w:szCs w:val="21"/>
    </w:rPr>
  </w:style>
  <w:style w:type="paragraph" w:customStyle="1" w:styleId="223">
    <w:name w:val="p15"/>
    <w:basedOn w:val="1"/>
    <w:qFormat/>
    <w:uiPriority w:val="0"/>
    <w:pPr>
      <w:widowControl/>
    </w:pPr>
    <w:rPr>
      <w:rFonts w:ascii="Wingdings" w:hAnsi="Wingdings" w:cs="宋体"/>
      <w:kern w:val="0"/>
      <w:szCs w:val="28"/>
    </w:rPr>
  </w:style>
  <w:style w:type="paragraph" w:customStyle="1" w:styleId="22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5">
    <w:name w:val="列出段落 Char"/>
    <w:link w:val="66"/>
    <w:qFormat/>
    <w:locked/>
    <w:uiPriority w:val="34"/>
    <w:rPr>
      <w:rFonts w:ascii="Times New Roman" w:hAnsi="Times New Roman"/>
      <w:kern w:val="2"/>
      <w:sz w:val="28"/>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A68E9-F477-4782-B4B0-474687CF8C9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63</Pages>
  <Words>27211</Words>
  <Characters>28917</Characters>
  <Lines>231</Lines>
  <Paragraphs>65</Paragraphs>
  <TotalTime>35</TotalTime>
  <ScaleCrop>false</ScaleCrop>
  <LinksUpToDate>false</LinksUpToDate>
  <CharactersWithSpaces>30178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2019-06-17T07:34:00Z</dcterms:created>
  <dc:creator>Administrator</dc:creator>
  <cp:lastModifiedBy>_J.iruH</cp:lastModifiedBy>
  <dcterms:modified xsi:type="dcterms:W3CDTF">2023-01-03T13:49:55Z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B3BDFA3662FC41039D3157CB41552CD6</vt:lpwstr>
  </property>
</Properties>
</file>