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420"/>
        </w:tabs>
        <w:spacing w:line="1080" w:lineRule="exact"/>
        <w:jc w:val="center"/>
        <w:rPr>
          <w:rFonts w:ascii="宋体" w:hAnsi="宋体"/>
          <w:b/>
          <w:bCs/>
          <w:color w:val="000000"/>
          <w:spacing w:val="36"/>
          <w:w w:val="66"/>
          <w:sz w:val="84"/>
          <w:szCs w:val="84"/>
        </w:rPr>
      </w:pPr>
      <w:bookmarkStart w:id="566" w:name="_GoBack"/>
    </w:p>
    <w:bookmarkEnd w:id="566"/>
    <w:p>
      <w:pPr>
        <w:pStyle w:val="20"/>
        <w:jc w:val="center"/>
        <w:rPr>
          <w:rFonts w:ascii="宋体" w:hAnsi="宋体" w:eastAsia="宋体"/>
          <w:bCs/>
          <w:color w:val="000000"/>
          <w:sz w:val="52"/>
          <w:szCs w:val="52"/>
        </w:rPr>
      </w:pPr>
      <w:r>
        <w:rPr>
          <w:rFonts w:hint="eastAsia" w:ascii="宋体" w:hAnsi="宋体" w:eastAsia="宋体"/>
          <w:bCs/>
          <w:color w:val="000000"/>
          <w:sz w:val="52"/>
          <w:szCs w:val="52"/>
        </w:rPr>
        <w:t>新兴产业园区专用停车场工程项目</w:t>
      </w:r>
    </w:p>
    <w:p>
      <w:pPr>
        <w:tabs>
          <w:tab w:val="left" w:pos="315"/>
          <w:tab w:val="left" w:pos="8820"/>
        </w:tabs>
        <w:spacing w:line="1080" w:lineRule="exact"/>
        <w:ind w:right="356" w:rightChars="127"/>
        <w:rPr>
          <w:rFonts w:ascii="宋体" w:hAnsi="宋体"/>
          <w:b/>
          <w:bCs/>
          <w:color w:val="000000"/>
          <w:sz w:val="84"/>
          <w:szCs w:val="84"/>
        </w:rPr>
      </w:pPr>
    </w:p>
    <w:p>
      <w:pPr>
        <w:tabs>
          <w:tab w:val="left" w:pos="315"/>
          <w:tab w:val="left" w:pos="8820"/>
        </w:tabs>
        <w:spacing w:line="1080" w:lineRule="exact"/>
        <w:ind w:right="356" w:rightChars="127"/>
        <w:jc w:val="center"/>
        <w:rPr>
          <w:rFonts w:ascii="宋体" w:hAnsi="宋体"/>
          <w:color w:val="000000"/>
          <w:sz w:val="44"/>
        </w:rPr>
      </w:pPr>
      <w:r>
        <w:rPr>
          <w:rFonts w:hint="eastAsia" w:ascii="宋体" w:hAnsi="宋体"/>
          <w:b/>
          <w:bCs/>
          <w:color w:val="000000"/>
          <w:sz w:val="84"/>
          <w:szCs w:val="84"/>
        </w:rPr>
        <w:t xml:space="preserve"> 施工招标文件</w:t>
      </w:r>
    </w:p>
    <w:p>
      <w:pPr>
        <w:tabs>
          <w:tab w:val="left" w:pos="315"/>
          <w:tab w:val="left" w:pos="8820"/>
        </w:tabs>
        <w:spacing w:line="500" w:lineRule="exact"/>
        <w:ind w:right="356" w:rightChars="127"/>
        <w:rPr>
          <w:rFonts w:ascii="宋体" w:hAnsi="宋体"/>
          <w:color w:val="000000"/>
          <w:sz w:val="36"/>
        </w:rPr>
      </w:pPr>
    </w:p>
    <w:p>
      <w:pPr>
        <w:tabs>
          <w:tab w:val="left" w:pos="315"/>
          <w:tab w:val="left" w:pos="8820"/>
        </w:tabs>
        <w:spacing w:line="500" w:lineRule="exact"/>
        <w:ind w:right="356" w:rightChars="127"/>
        <w:rPr>
          <w:rFonts w:ascii="宋体" w:hAnsi="宋体"/>
          <w:color w:val="000000"/>
          <w:sz w:val="36"/>
        </w:rPr>
      </w:pPr>
    </w:p>
    <w:p>
      <w:pPr>
        <w:tabs>
          <w:tab w:val="left" w:pos="315"/>
          <w:tab w:val="left" w:pos="8820"/>
        </w:tabs>
        <w:spacing w:line="500" w:lineRule="exact"/>
        <w:ind w:right="356" w:rightChars="127"/>
        <w:rPr>
          <w:rFonts w:ascii="宋体" w:hAnsi="宋体"/>
          <w:color w:val="000000"/>
          <w:sz w:val="36"/>
        </w:rPr>
      </w:pPr>
    </w:p>
    <w:p>
      <w:pPr>
        <w:tabs>
          <w:tab w:val="left" w:pos="315"/>
          <w:tab w:val="left" w:pos="8820"/>
        </w:tabs>
        <w:spacing w:line="500" w:lineRule="exact"/>
        <w:ind w:right="356" w:rightChars="127"/>
        <w:rPr>
          <w:rFonts w:ascii="宋体" w:hAnsi="宋体"/>
          <w:color w:val="000000"/>
          <w:sz w:val="36"/>
        </w:rPr>
      </w:pPr>
    </w:p>
    <w:p>
      <w:pPr>
        <w:pStyle w:val="20"/>
        <w:jc w:val="center"/>
        <w:rPr>
          <w:rFonts w:ascii="宋体" w:hAnsi="宋体" w:eastAsia="宋体"/>
          <w:color w:val="000000"/>
          <w:sz w:val="32"/>
        </w:rPr>
      </w:pPr>
      <w:r>
        <w:rPr>
          <w:rFonts w:hint="eastAsia" w:ascii="宋体" w:hAnsi="宋体" w:eastAsia="宋体"/>
          <w:color w:val="000000"/>
          <w:sz w:val="36"/>
          <w:szCs w:val="36"/>
        </w:rPr>
        <w:t>项目编号：CG2017GGK1499</w:t>
      </w:r>
    </w:p>
    <w:p>
      <w:pPr>
        <w:pStyle w:val="20"/>
        <w:rPr>
          <w:rFonts w:ascii="宋体" w:hAnsi="宋体" w:eastAsia="宋体"/>
          <w:color w:val="000000"/>
          <w:sz w:val="32"/>
        </w:rPr>
      </w:pPr>
    </w:p>
    <w:p>
      <w:pPr>
        <w:pStyle w:val="20"/>
        <w:rPr>
          <w:rFonts w:ascii="宋体" w:hAnsi="宋体" w:eastAsia="宋体"/>
          <w:color w:val="000000"/>
          <w:sz w:val="32"/>
        </w:rPr>
      </w:pPr>
    </w:p>
    <w:p>
      <w:pPr>
        <w:pStyle w:val="20"/>
        <w:rPr>
          <w:rFonts w:ascii="宋体" w:hAnsi="宋体" w:eastAsia="宋体"/>
          <w:color w:val="000000"/>
          <w:sz w:val="32"/>
        </w:rPr>
      </w:pPr>
    </w:p>
    <w:p>
      <w:pPr>
        <w:pStyle w:val="20"/>
        <w:rPr>
          <w:rFonts w:ascii="宋体" w:hAnsi="宋体" w:eastAsia="宋体"/>
          <w:color w:val="000000"/>
          <w:sz w:val="32"/>
        </w:rPr>
      </w:pPr>
    </w:p>
    <w:p>
      <w:pPr>
        <w:pStyle w:val="20"/>
        <w:rPr>
          <w:rFonts w:ascii="宋体" w:hAnsi="宋体" w:eastAsia="宋体"/>
          <w:color w:val="000000"/>
          <w:sz w:val="32"/>
        </w:rPr>
      </w:pPr>
    </w:p>
    <w:p>
      <w:pPr>
        <w:pStyle w:val="20"/>
        <w:rPr>
          <w:rFonts w:ascii="宋体" w:hAnsi="宋体" w:eastAsia="宋体"/>
          <w:color w:val="000000"/>
          <w:sz w:val="32"/>
        </w:rPr>
      </w:pPr>
    </w:p>
    <w:p>
      <w:pPr>
        <w:pStyle w:val="20"/>
        <w:rPr>
          <w:rFonts w:ascii="宋体" w:hAnsi="宋体" w:eastAsia="宋体"/>
          <w:color w:val="000000"/>
          <w:sz w:val="32"/>
        </w:rPr>
      </w:pPr>
    </w:p>
    <w:p>
      <w:pPr>
        <w:pStyle w:val="20"/>
        <w:rPr>
          <w:rFonts w:ascii="宋体" w:hAnsi="宋体" w:eastAsia="宋体"/>
          <w:color w:val="000000"/>
          <w:sz w:val="32"/>
        </w:rPr>
      </w:pPr>
    </w:p>
    <w:p>
      <w:pPr>
        <w:pStyle w:val="20"/>
        <w:rPr>
          <w:rFonts w:ascii="宋体" w:hAnsi="宋体" w:eastAsia="宋体"/>
          <w:color w:val="000000"/>
          <w:sz w:val="32"/>
        </w:rPr>
      </w:pPr>
    </w:p>
    <w:p>
      <w:pPr>
        <w:pStyle w:val="20"/>
        <w:rPr>
          <w:rFonts w:ascii="宋体" w:hAnsi="宋体" w:eastAsia="宋体"/>
          <w:color w:val="000000"/>
          <w:sz w:val="32"/>
        </w:rPr>
      </w:pPr>
    </w:p>
    <w:p>
      <w:pPr>
        <w:pStyle w:val="20"/>
        <w:rPr>
          <w:rFonts w:ascii="宋体" w:hAnsi="宋体" w:eastAsia="宋体"/>
          <w:color w:val="000000"/>
          <w:sz w:val="32"/>
        </w:rPr>
      </w:pPr>
    </w:p>
    <w:p>
      <w:pPr>
        <w:pStyle w:val="20"/>
        <w:rPr>
          <w:rFonts w:ascii="宋体" w:hAnsi="宋体" w:eastAsia="宋体"/>
          <w:color w:val="000000"/>
          <w:sz w:val="32"/>
        </w:rPr>
      </w:pPr>
    </w:p>
    <w:p>
      <w:pPr>
        <w:spacing w:line="420" w:lineRule="exact"/>
        <w:rPr>
          <w:rFonts w:ascii="宋体" w:hAnsi="宋体"/>
          <w:b/>
          <w:color w:val="000000"/>
          <w:sz w:val="36"/>
          <w:szCs w:val="36"/>
        </w:rPr>
      </w:pPr>
      <w:r>
        <w:rPr>
          <w:rFonts w:hint="eastAsia" w:ascii="宋体" w:hAnsi="宋体"/>
          <w:b/>
          <w:color w:val="000000"/>
          <w:sz w:val="36"/>
          <w:szCs w:val="36"/>
        </w:rPr>
        <w:t>采  购  人：鄂尔多斯新能源产业示范区管理委员会</w:t>
      </w:r>
    </w:p>
    <w:p>
      <w:pPr>
        <w:rPr>
          <w:rFonts w:ascii="宋体" w:hAnsi="宋体"/>
          <w:b/>
          <w:color w:val="000000"/>
          <w:sz w:val="36"/>
          <w:szCs w:val="36"/>
        </w:rPr>
      </w:pPr>
    </w:p>
    <w:p>
      <w:pPr>
        <w:pStyle w:val="20"/>
        <w:rPr>
          <w:rFonts w:ascii="宋体" w:hAnsi="宋体" w:eastAsia="宋体"/>
          <w:color w:val="000000"/>
          <w:sz w:val="36"/>
          <w:szCs w:val="36"/>
        </w:rPr>
      </w:pPr>
      <w:r>
        <w:rPr>
          <w:rFonts w:hint="eastAsia" w:ascii="宋体" w:hAnsi="宋体" w:eastAsia="宋体"/>
          <w:color w:val="000000"/>
          <w:sz w:val="36"/>
          <w:szCs w:val="36"/>
        </w:rPr>
        <w:t xml:space="preserve">采购代理机构：鄂尔多斯市远瑞工程项目管理有限公司  </w:t>
      </w:r>
    </w:p>
    <w:p>
      <w:pPr>
        <w:pStyle w:val="20"/>
        <w:rPr>
          <w:rFonts w:ascii="宋体" w:hAnsi="宋体" w:eastAsia="宋体"/>
          <w:color w:val="000000"/>
          <w:sz w:val="32"/>
        </w:rPr>
      </w:pPr>
    </w:p>
    <w:p>
      <w:pPr>
        <w:pStyle w:val="20"/>
        <w:jc w:val="center"/>
        <w:rPr>
          <w:rFonts w:ascii="宋体" w:hAnsi="宋体" w:eastAsia="宋体"/>
          <w:color w:val="000000"/>
        </w:rPr>
      </w:pPr>
      <w:r>
        <w:rPr>
          <w:rFonts w:hint="eastAsia" w:ascii="宋体" w:hAnsi="宋体" w:eastAsia="宋体"/>
          <w:color w:val="000000"/>
          <w:sz w:val="32"/>
        </w:rPr>
        <w:t>2017年7月14日</w:t>
      </w:r>
      <w:bookmarkStart w:id="0" w:name="_Toc266431005"/>
      <w:bookmarkStart w:id="1" w:name="_Toc266431113"/>
    </w:p>
    <w:p>
      <w:pPr>
        <w:rPr>
          <w:color w:val="000000"/>
          <w:lang w:val="zh-CN"/>
        </w:rPr>
      </w:pPr>
    </w:p>
    <w:p>
      <w:pPr>
        <w:rPr>
          <w:rFonts w:ascii="仿宋_GB2312" w:eastAsia="仿宋_GB2312"/>
          <w:color w:val="000000"/>
          <w:lang w:val="zh-CN"/>
        </w:rPr>
      </w:pPr>
    </w:p>
    <w:p>
      <w:pPr>
        <w:rPr>
          <w:rFonts w:ascii="仿宋_GB2312" w:eastAsia="仿宋_GB2312"/>
          <w:color w:val="000000"/>
          <w:lang w:val="zh-CN"/>
        </w:rPr>
      </w:pPr>
    </w:p>
    <w:p>
      <w:pPr>
        <w:pStyle w:val="198"/>
        <w:spacing w:before="0" w:line="360" w:lineRule="auto"/>
        <w:jc w:val="center"/>
        <w:rPr>
          <w:rFonts w:ascii="宋体" w:hAnsi="宋体"/>
          <w:color w:val="000000"/>
          <w:sz w:val="36"/>
          <w:szCs w:val="36"/>
        </w:rPr>
      </w:pPr>
      <w:r>
        <w:rPr>
          <w:rFonts w:hint="eastAsia" w:ascii="宋体" w:hAnsi="宋体"/>
          <w:color w:val="000000"/>
          <w:sz w:val="36"/>
          <w:szCs w:val="36"/>
        </w:rPr>
        <w:t>目   录</w:t>
      </w:r>
      <w:r>
        <w:rPr>
          <w:rFonts w:ascii="宋体" w:hAnsi="宋体"/>
          <w:b w:val="0"/>
          <w:color w:val="000000"/>
        </w:rPr>
        <w:fldChar w:fldCharType="begin"/>
      </w:r>
      <w:r>
        <w:rPr>
          <w:rFonts w:ascii="宋体" w:hAnsi="宋体"/>
          <w:b w:val="0"/>
          <w:color w:val="000000"/>
        </w:rPr>
        <w:instrText xml:space="preserve"> TOC \o "1-3" \h \z \u </w:instrText>
      </w:r>
      <w:r>
        <w:rPr>
          <w:rFonts w:ascii="宋体" w:hAnsi="宋体"/>
          <w:b w:val="0"/>
          <w:color w:val="000000"/>
        </w:rPr>
        <w:fldChar w:fldCharType="separate"/>
      </w:r>
    </w:p>
    <w:p>
      <w:pPr>
        <w:pStyle w:val="33"/>
        <w:tabs>
          <w:tab w:val="right" w:leader="dot" w:pos="8834"/>
        </w:tabs>
        <w:rPr>
          <w:rFonts w:asciiTheme="minorHAnsi" w:hAnsiTheme="minorHAnsi" w:eastAsiaTheme="minorEastAsia" w:cstheme="minorBidi"/>
          <w:b w:val="0"/>
          <w:bCs w:val="0"/>
          <w:caps w:val="0"/>
          <w:sz w:val="21"/>
          <w:szCs w:val="22"/>
        </w:rPr>
      </w:pPr>
      <w:r>
        <w:fldChar w:fldCharType="begin"/>
      </w:r>
      <w:r>
        <w:instrText xml:space="preserve"> HYPERLINK \l "_Toc487792131" </w:instrText>
      </w:r>
      <w:r>
        <w:fldChar w:fldCharType="separate"/>
      </w:r>
      <w:r>
        <w:rPr>
          <w:rStyle w:val="57"/>
          <w:rFonts w:hint="eastAsia" w:ascii="宋体" w:hAnsi="宋体"/>
        </w:rPr>
        <w:t>招标公告</w:t>
      </w:r>
      <w:r>
        <w:tab/>
      </w:r>
      <w:r>
        <w:fldChar w:fldCharType="begin"/>
      </w:r>
      <w:r>
        <w:instrText xml:space="preserve"> PAGEREF _Toc487792131 \h </w:instrText>
      </w:r>
      <w:r>
        <w:fldChar w:fldCharType="separate"/>
      </w:r>
      <w:r>
        <w:t>2</w:t>
      </w:r>
      <w:r>
        <w:fldChar w:fldCharType="end"/>
      </w:r>
      <w:r>
        <w:fldChar w:fldCharType="end"/>
      </w:r>
    </w:p>
    <w:p>
      <w:pPr>
        <w:pStyle w:val="33"/>
        <w:tabs>
          <w:tab w:val="right" w:leader="dot" w:pos="8834"/>
        </w:tabs>
        <w:rPr>
          <w:rFonts w:asciiTheme="minorHAnsi" w:hAnsiTheme="minorHAnsi" w:eastAsiaTheme="minorEastAsia" w:cstheme="minorBidi"/>
          <w:b w:val="0"/>
          <w:bCs w:val="0"/>
          <w:caps w:val="0"/>
          <w:sz w:val="21"/>
          <w:szCs w:val="22"/>
        </w:rPr>
      </w:pPr>
      <w:r>
        <w:fldChar w:fldCharType="begin"/>
      </w:r>
      <w:r>
        <w:instrText xml:space="preserve"> HYPERLINK \l "_Toc487792132" </w:instrText>
      </w:r>
      <w:r>
        <w:fldChar w:fldCharType="separate"/>
      </w:r>
      <w:r>
        <w:rPr>
          <w:rStyle w:val="57"/>
          <w:rFonts w:hint="eastAsia" w:ascii="宋体" w:hAnsi="宋体"/>
        </w:rPr>
        <w:t>第一章</w:t>
      </w:r>
      <w:r>
        <w:rPr>
          <w:rStyle w:val="57"/>
          <w:rFonts w:ascii="宋体" w:hAnsi="宋体"/>
        </w:rPr>
        <w:t xml:space="preserve">  </w:t>
      </w:r>
      <w:r>
        <w:rPr>
          <w:rStyle w:val="57"/>
          <w:rFonts w:hint="eastAsia" w:ascii="宋体" w:hAnsi="宋体"/>
        </w:rPr>
        <w:t>报名须知</w:t>
      </w:r>
      <w:r>
        <w:tab/>
      </w:r>
      <w:r>
        <w:rPr>
          <w:rFonts w:hint="eastAsia"/>
        </w:rPr>
        <w:t>7</w:t>
      </w:r>
      <w:r>
        <w:rPr>
          <w:rFonts w:hint="eastAsia"/>
        </w:rPr>
        <w:fldChar w:fldCharType="end"/>
      </w:r>
    </w:p>
    <w:p>
      <w:pPr>
        <w:pStyle w:val="33"/>
        <w:tabs>
          <w:tab w:val="right" w:leader="dot" w:pos="8834"/>
        </w:tabs>
        <w:rPr>
          <w:rFonts w:asciiTheme="minorHAnsi" w:hAnsiTheme="minorHAnsi" w:eastAsiaTheme="minorEastAsia" w:cstheme="minorBidi"/>
          <w:b w:val="0"/>
          <w:bCs w:val="0"/>
          <w:caps w:val="0"/>
          <w:sz w:val="21"/>
          <w:szCs w:val="22"/>
        </w:rPr>
      </w:pPr>
      <w:r>
        <w:fldChar w:fldCharType="begin"/>
      </w:r>
      <w:r>
        <w:instrText xml:space="preserve"> HYPERLINK \l "_Toc487792134" </w:instrText>
      </w:r>
      <w:r>
        <w:fldChar w:fldCharType="separate"/>
      </w:r>
      <w:r>
        <w:rPr>
          <w:rStyle w:val="57"/>
          <w:rFonts w:hint="eastAsia"/>
        </w:rPr>
        <w:t>第二章</w:t>
      </w:r>
      <w:r>
        <w:rPr>
          <w:rStyle w:val="57"/>
        </w:rPr>
        <w:t xml:space="preserve">  </w:t>
      </w:r>
      <w:r>
        <w:rPr>
          <w:rStyle w:val="57"/>
          <w:rFonts w:hint="eastAsia"/>
        </w:rPr>
        <w:t>投标须知</w:t>
      </w:r>
      <w:r>
        <w:tab/>
      </w:r>
      <w:r>
        <w:rPr>
          <w:rFonts w:hint="eastAsia"/>
        </w:rPr>
        <w:t>7</w:t>
      </w:r>
      <w:r>
        <w:rPr>
          <w:rFonts w:hint="eastAsia"/>
        </w:rPr>
        <w:fldChar w:fldCharType="end"/>
      </w:r>
    </w:p>
    <w:p>
      <w:pPr>
        <w:pStyle w:val="39"/>
        <w:tabs>
          <w:tab w:val="right" w:leader="dot" w:pos="8834"/>
        </w:tabs>
        <w:ind w:left="560"/>
        <w:rPr>
          <w:rFonts w:asciiTheme="minorHAnsi" w:hAnsiTheme="minorHAnsi" w:eastAsiaTheme="minorEastAsia" w:cstheme="minorBidi"/>
          <w:sz w:val="21"/>
          <w:szCs w:val="22"/>
        </w:rPr>
      </w:pPr>
      <w:r>
        <w:fldChar w:fldCharType="begin"/>
      </w:r>
      <w:r>
        <w:instrText xml:space="preserve"> HYPERLINK \l "_Toc487792135" </w:instrText>
      </w:r>
      <w:r>
        <w:fldChar w:fldCharType="separate"/>
      </w:r>
      <w:r>
        <w:rPr>
          <w:rStyle w:val="57"/>
          <w:rFonts w:hint="eastAsia" w:ascii="宋体" w:hAnsi="宋体"/>
        </w:rPr>
        <w:t>一</w:t>
      </w:r>
      <w:r>
        <w:rPr>
          <w:rStyle w:val="57"/>
          <w:rFonts w:ascii="宋体" w:hAnsi="宋体"/>
        </w:rPr>
        <w:t>.</w:t>
      </w:r>
      <w:r>
        <w:rPr>
          <w:rStyle w:val="57"/>
          <w:rFonts w:hint="eastAsia" w:ascii="宋体" w:hAnsi="宋体"/>
        </w:rPr>
        <w:t>说明</w:t>
      </w:r>
      <w:r>
        <w:tab/>
      </w:r>
      <w:r>
        <w:fldChar w:fldCharType="begin"/>
      </w:r>
      <w:r>
        <w:instrText xml:space="preserve"> PAGEREF _Toc487792135 \h </w:instrText>
      </w:r>
      <w:r>
        <w:fldChar w:fldCharType="separate"/>
      </w:r>
      <w:r>
        <w:t>7</w:t>
      </w:r>
      <w:r>
        <w:fldChar w:fldCharType="end"/>
      </w:r>
      <w:r>
        <w:fldChar w:fldCharType="end"/>
      </w:r>
    </w:p>
    <w:p>
      <w:pPr>
        <w:pStyle w:val="39"/>
        <w:tabs>
          <w:tab w:val="right" w:leader="dot" w:pos="8834"/>
        </w:tabs>
        <w:ind w:left="560"/>
        <w:rPr>
          <w:rFonts w:asciiTheme="minorHAnsi" w:hAnsiTheme="minorHAnsi" w:eastAsiaTheme="minorEastAsia" w:cstheme="minorBidi"/>
          <w:sz w:val="21"/>
          <w:szCs w:val="22"/>
        </w:rPr>
      </w:pPr>
      <w:r>
        <w:fldChar w:fldCharType="begin"/>
      </w:r>
      <w:r>
        <w:instrText xml:space="preserve"> HYPERLINK \l "_Toc487792136" </w:instrText>
      </w:r>
      <w:r>
        <w:fldChar w:fldCharType="separate"/>
      </w:r>
      <w:r>
        <w:rPr>
          <w:rStyle w:val="57"/>
          <w:rFonts w:hint="eastAsia" w:ascii="宋体" w:hAnsi="宋体"/>
        </w:rPr>
        <w:t>二</w:t>
      </w:r>
      <w:r>
        <w:rPr>
          <w:rStyle w:val="57"/>
          <w:rFonts w:ascii="宋体" w:hAnsi="宋体"/>
        </w:rPr>
        <w:t>.</w:t>
      </w:r>
      <w:r>
        <w:rPr>
          <w:rStyle w:val="57"/>
          <w:rFonts w:hint="eastAsia" w:ascii="宋体" w:hAnsi="宋体"/>
        </w:rPr>
        <w:t>招标文件</w:t>
      </w:r>
      <w:r>
        <w:tab/>
      </w:r>
      <w:r>
        <w:fldChar w:fldCharType="begin"/>
      </w:r>
      <w:r>
        <w:instrText xml:space="preserve"> PAGEREF _Toc487792136 \h </w:instrText>
      </w:r>
      <w:r>
        <w:fldChar w:fldCharType="separate"/>
      </w:r>
      <w:r>
        <w:t>9</w:t>
      </w:r>
      <w:r>
        <w:fldChar w:fldCharType="end"/>
      </w:r>
      <w:r>
        <w:fldChar w:fldCharType="end"/>
      </w:r>
    </w:p>
    <w:p>
      <w:pPr>
        <w:pStyle w:val="39"/>
        <w:tabs>
          <w:tab w:val="right" w:leader="dot" w:pos="8834"/>
        </w:tabs>
        <w:ind w:left="560"/>
        <w:rPr>
          <w:rFonts w:asciiTheme="minorHAnsi" w:hAnsiTheme="minorHAnsi" w:eastAsiaTheme="minorEastAsia" w:cstheme="minorBidi"/>
          <w:sz w:val="21"/>
          <w:szCs w:val="22"/>
        </w:rPr>
      </w:pPr>
      <w:r>
        <w:fldChar w:fldCharType="begin"/>
      </w:r>
      <w:r>
        <w:instrText xml:space="preserve"> HYPERLINK \l "_Toc487792137" </w:instrText>
      </w:r>
      <w:r>
        <w:fldChar w:fldCharType="separate"/>
      </w:r>
      <w:r>
        <w:rPr>
          <w:rStyle w:val="57"/>
          <w:rFonts w:hint="eastAsia" w:ascii="宋体" w:hAnsi="宋体"/>
        </w:rPr>
        <w:t>三</w:t>
      </w:r>
      <w:r>
        <w:rPr>
          <w:rStyle w:val="57"/>
          <w:rFonts w:ascii="宋体" w:hAnsi="宋体"/>
        </w:rPr>
        <w:t>.</w:t>
      </w:r>
      <w:r>
        <w:rPr>
          <w:rStyle w:val="57"/>
          <w:rFonts w:hint="eastAsia" w:ascii="宋体" w:hAnsi="宋体"/>
        </w:rPr>
        <w:t>投标文件的编制</w:t>
      </w:r>
      <w:r>
        <w:tab/>
      </w:r>
      <w:r>
        <w:fldChar w:fldCharType="begin"/>
      </w:r>
      <w:r>
        <w:instrText xml:space="preserve"> PAGEREF _Toc487792137 \h </w:instrText>
      </w:r>
      <w:r>
        <w:fldChar w:fldCharType="separate"/>
      </w:r>
      <w:r>
        <w:t>10</w:t>
      </w:r>
      <w:r>
        <w:fldChar w:fldCharType="end"/>
      </w:r>
      <w:r>
        <w:fldChar w:fldCharType="end"/>
      </w:r>
    </w:p>
    <w:p>
      <w:pPr>
        <w:pStyle w:val="39"/>
        <w:tabs>
          <w:tab w:val="right" w:leader="dot" w:pos="8834"/>
        </w:tabs>
        <w:ind w:left="560"/>
        <w:rPr>
          <w:rFonts w:asciiTheme="minorHAnsi" w:hAnsiTheme="minorHAnsi" w:eastAsiaTheme="minorEastAsia" w:cstheme="minorBidi"/>
          <w:sz w:val="21"/>
          <w:szCs w:val="22"/>
        </w:rPr>
      </w:pPr>
      <w:r>
        <w:fldChar w:fldCharType="begin"/>
      </w:r>
      <w:r>
        <w:instrText xml:space="preserve"> HYPERLINK \l "_Toc487792138" </w:instrText>
      </w:r>
      <w:r>
        <w:fldChar w:fldCharType="separate"/>
      </w:r>
      <w:r>
        <w:rPr>
          <w:rStyle w:val="57"/>
          <w:rFonts w:hint="eastAsia" w:ascii="宋体" w:hAnsi="宋体"/>
        </w:rPr>
        <w:t>四</w:t>
      </w:r>
      <w:r>
        <w:rPr>
          <w:rStyle w:val="57"/>
          <w:rFonts w:ascii="宋体" w:hAnsi="宋体"/>
        </w:rPr>
        <w:t>.</w:t>
      </w:r>
      <w:r>
        <w:rPr>
          <w:rStyle w:val="57"/>
          <w:rFonts w:hint="eastAsia" w:ascii="宋体" w:hAnsi="宋体"/>
        </w:rPr>
        <w:t>投标文件的递交</w:t>
      </w:r>
      <w:r>
        <w:tab/>
      </w:r>
      <w:r>
        <w:fldChar w:fldCharType="begin"/>
      </w:r>
      <w:r>
        <w:instrText xml:space="preserve"> PAGEREF _Toc487792138 \h </w:instrText>
      </w:r>
      <w:r>
        <w:fldChar w:fldCharType="separate"/>
      </w:r>
      <w:r>
        <w:t>14</w:t>
      </w:r>
      <w:r>
        <w:fldChar w:fldCharType="end"/>
      </w:r>
      <w:r>
        <w:fldChar w:fldCharType="end"/>
      </w:r>
    </w:p>
    <w:p>
      <w:pPr>
        <w:pStyle w:val="39"/>
        <w:tabs>
          <w:tab w:val="right" w:leader="dot" w:pos="8834"/>
        </w:tabs>
        <w:ind w:left="560"/>
        <w:rPr>
          <w:rFonts w:asciiTheme="minorHAnsi" w:hAnsiTheme="minorHAnsi" w:eastAsiaTheme="minorEastAsia" w:cstheme="minorBidi"/>
          <w:sz w:val="21"/>
          <w:szCs w:val="22"/>
        </w:rPr>
      </w:pPr>
      <w:r>
        <w:fldChar w:fldCharType="begin"/>
      </w:r>
      <w:r>
        <w:instrText xml:space="preserve"> HYPERLINK \l "_Toc487792139" </w:instrText>
      </w:r>
      <w:r>
        <w:fldChar w:fldCharType="separate"/>
      </w:r>
      <w:r>
        <w:rPr>
          <w:rStyle w:val="57"/>
          <w:rFonts w:hint="eastAsia" w:ascii="宋体" w:hAnsi="宋体"/>
        </w:rPr>
        <w:t>五</w:t>
      </w:r>
      <w:r>
        <w:rPr>
          <w:rStyle w:val="57"/>
          <w:rFonts w:ascii="宋体" w:hAnsi="宋体"/>
        </w:rPr>
        <w:t>.</w:t>
      </w:r>
      <w:r>
        <w:rPr>
          <w:rStyle w:val="57"/>
          <w:rFonts w:hint="eastAsia" w:ascii="宋体" w:hAnsi="宋体"/>
        </w:rPr>
        <w:t>开标与评标</w:t>
      </w:r>
      <w:r>
        <w:tab/>
      </w:r>
      <w:r>
        <w:fldChar w:fldCharType="begin"/>
      </w:r>
      <w:r>
        <w:instrText xml:space="preserve"> PAGEREF _Toc487792139 \h </w:instrText>
      </w:r>
      <w:r>
        <w:fldChar w:fldCharType="separate"/>
      </w:r>
      <w:r>
        <w:t>15</w:t>
      </w:r>
      <w:r>
        <w:fldChar w:fldCharType="end"/>
      </w:r>
      <w:r>
        <w:fldChar w:fldCharType="end"/>
      </w:r>
    </w:p>
    <w:p>
      <w:pPr>
        <w:pStyle w:val="39"/>
        <w:tabs>
          <w:tab w:val="right" w:leader="dot" w:pos="8834"/>
        </w:tabs>
        <w:ind w:left="560"/>
        <w:rPr>
          <w:rFonts w:asciiTheme="minorHAnsi" w:hAnsiTheme="minorHAnsi" w:eastAsiaTheme="minorEastAsia" w:cstheme="minorBidi"/>
          <w:sz w:val="21"/>
          <w:szCs w:val="22"/>
        </w:rPr>
      </w:pPr>
      <w:r>
        <w:fldChar w:fldCharType="begin"/>
      </w:r>
      <w:r>
        <w:instrText xml:space="preserve"> HYPERLINK \l "_Toc487792140" </w:instrText>
      </w:r>
      <w:r>
        <w:fldChar w:fldCharType="separate"/>
      </w:r>
      <w:r>
        <w:rPr>
          <w:rStyle w:val="57"/>
          <w:rFonts w:hint="eastAsia" w:ascii="宋体" w:hAnsi="宋体"/>
        </w:rPr>
        <w:t>六</w:t>
      </w:r>
      <w:r>
        <w:rPr>
          <w:rStyle w:val="57"/>
          <w:rFonts w:ascii="宋体" w:hAnsi="宋体"/>
        </w:rPr>
        <w:t>.</w:t>
      </w:r>
      <w:r>
        <w:rPr>
          <w:rStyle w:val="57"/>
          <w:rFonts w:hint="eastAsia" w:ascii="宋体" w:hAnsi="宋体"/>
        </w:rPr>
        <w:t>定标</w:t>
      </w:r>
      <w:r>
        <w:tab/>
      </w:r>
      <w:r>
        <w:fldChar w:fldCharType="begin"/>
      </w:r>
      <w:r>
        <w:instrText xml:space="preserve"> PAGEREF _Toc487792140 \h </w:instrText>
      </w:r>
      <w:r>
        <w:fldChar w:fldCharType="separate"/>
      </w:r>
      <w:r>
        <w:t>21</w:t>
      </w:r>
      <w:r>
        <w:fldChar w:fldCharType="end"/>
      </w:r>
      <w:r>
        <w:fldChar w:fldCharType="end"/>
      </w:r>
    </w:p>
    <w:p>
      <w:pPr>
        <w:pStyle w:val="39"/>
        <w:tabs>
          <w:tab w:val="right" w:leader="dot" w:pos="8834"/>
        </w:tabs>
        <w:ind w:left="560"/>
        <w:rPr>
          <w:rFonts w:asciiTheme="minorHAnsi" w:hAnsiTheme="minorHAnsi" w:eastAsiaTheme="minorEastAsia" w:cstheme="minorBidi"/>
          <w:sz w:val="21"/>
          <w:szCs w:val="22"/>
        </w:rPr>
      </w:pPr>
      <w:r>
        <w:fldChar w:fldCharType="begin"/>
      </w:r>
      <w:r>
        <w:instrText xml:space="preserve"> HYPERLINK \l "_Toc487792141" </w:instrText>
      </w:r>
      <w:r>
        <w:fldChar w:fldCharType="separate"/>
      </w:r>
      <w:r>
        <w:rPr>
          <w:rStyle w:val="57"/>
          <w:rFonts w:hint="eastAsia" w:ascii="宋体" w:hAnsi="宋体"/>
        </w:rPr>
        <w:t>七</w:t>
      </w:r>
      <w:r>
        <w:rPr>
          <w:rStyle w:val="57"/>
          <w:rFonts w:ascii="宋体" w:hAnsi="宋体"/>
        </w:rPr>
        <w:t>.</w:t>
      </w:r>
      <w:r>
        <w:rPr>
          <w:rStyle w:val="57"/>
          <w:rFonts w:hint="eastAsia" w:ascii="宋体" w:hAnsi="宋体"/>
        </w:rPr>
        <w:t>公告</w:t>
      </w:r>
      <w:r>
        <w:tab/>
      </w:r>
      <w:r>
        <w:fldChar w:fldCharType="begin"/>
      </w:r>
      <w:r>
        <w:instrText xml:space="preserve"> PAGEREF _Toc487792141 \h </w:instrText>
      </w:r>
      <w:r>
        <w:fldChar w:fldCharType="separate"/>
      </w:r>
      <w:r>
        <w:t>22</w:t>
      </w:r>
      <w:r>
        <w:fldChar w:fldCharType="end"/>
      </w:r>
      <w:r>
        <w:fldChar w:fldCharType="end"/>
      </w:r>
    </w:p>
    <w:p>
      <w:pPr>
        <w:pStyle w:val="39"/>
        <w:tabs>
          <w:tab w:val="right" w:leader="dot" w:pos="8834"/>
        </w:tabs>
        <w:ind w:left="560"/>
        <w:rPr>
          <w:rFonts w:asciiTheme="minorHAnsi" w:hAnsiTheme="minorHAnsi" w:eastAsiaTheme="minorEastAsia" w:cstheme="minorBidi"/>
          <w:sz w:val="21"/>
          <w:szCs w:val="22"/>
        </w:rPr>
      </w:pPr>
      <w:r>
        <w:fldChar w:fldCharType="begin"/>
      </w:r>
      <w:r>
        <w:instrText xml:space="preserve"> HYPERLINK \l "_Toc487792142" </w:instrText>
      </w:r>
      <w:r>
        <w:fldChar w:fldCharType="separate"/>
      </w:r>
      <w:r>
        <w:rPr>
          <w:rStyle w:val="57"/>
          <w:rFonts w:hint="eastAsia" w:ascii="宋体" w:hAnsi="宋体"/>
        </w:rPr>
        <w:t>八</w:t>
      </w:r>
      <w:r>
        <w:rPr>
          <w:rStyle w:val="57"/>
          <w:rFonts w:ascii="宋体" w:hAnsi="宋体"/>
        </w:rPr>
        <w:t>.</w:t>
      </w:r>
      <w:r>
        <w:rPr>
          <w:rStyle w:val="57"/>
          <w:rFonts w:hint="eastAsia" w:ascii="宋体" w:hAnsi="宋体"/>
        </w:rPr>
        <w:t>质疑</w:t>
      </w:r>
      <w:r>
        <w:tab/>
      </w:r>
      <w:r>
        <w:fldChar w:fldCharType="begin"/>
      </w:r>
      <w:r>
        <w:instrText xml:space="preserve"> PAGEREF _Toc487792142 \h </w:instrText>
      </w:r>
      <w:r>
        <w:fldChar w:fldCharType="separate"/>
      </w:r>
      <w:r>
        <w:t>23</w:t>
      </w:r>
      <w:r>
        <w:fldChar w:fldCharType="end"/>
      </w:r>
      <w:r>
        <w:fldChar w:fldCharType="end"/>
      </w:r>
    </w:p>
    <w:p>
      <w:pPr>
        <w:pStyle w:val="39"/>
        <w:tabs>
          <w:tab w:val="right" w:leader="dot" w:pos="8834"/>
        </w:tabs>
        <w:ind w:left="560"/>
        <w:rPr>
          <w:rFonts w:asciiTheme="minorHAnsi" w:hAnsiTheme="minorHAnsi" w:eastAsiaTheme="minorEastAsia" w:cstheme="minorBidi"/>
          <w:sz w:val="21"/>
          <w:szCs w:val="22"/>
        </w:rPr>
      </w:pPr>
      <w:r>
        <w:fldChar w:fldCharType="begin"/>
      </w:r>
      <w:r>
        <w:instrText xml:space="preserve"> HYPERLINK \l "_Toc487792143" </w:instrText>
      </w:r>
      <w:r>
        <w:fldChar w:fldCharType="separate"/>
      </w:r>
      <w:r>
        <w:rPr>
          <w:rStyle w:val="57"/>
          <w:rFonts w:hint="eastAsia" w:ascii="宋体" w:hAnsi="宋体"/>
        </w:rPr>
        <w:t>九</w:t>
      </w:r>
      <w:r>
        <w:rPr>
          <w:rStyle w:val="57"/>
          <w:rFonts w:ascii="宋体" w:hAnsi="宋体"/>
        </w:rPr>
        <w:t>.</w:t>
      </w:r>
      <w:r>
        <w:rPr>
          <w:rStyle w:val="57"/>
          <w:rFonts w:hint="eastAsia" w:ascii="宋体" w:hAnsi="宋体"/>
        </w:rPr>
        <w:t>投诉</w:t>
      </w:r>
      <w:r>
        <w:tab/>
      </w:r>
      <w:r>
        <w:fldChar w:fldCharType="begin"/>
      </w:r>
      <w:r>
        <w:instrText xml:space="preserve"> PAGEREF _Toc487792143 \h </w:instrText>
      </w:r>
      <w:r>
        <w:fldChar w:fldCharType="separate"/>
      </w:r>
      <w:r>
        <w:t>24</w:t>
      </w:r>
      <w:r>
        <w:fldChar w:fldCharType="end"/>
      </w:r>
      <w:r>
        <w:fldChar w:fldCharType="end"/>
      </w:r>
    </w:p>
    <w:p>
      <w:pPr>
        <w:pStyle w:val="39"/>
        <w:tabs>
          <w:tab w:val="right" w:leader="dot" w:pos="8834"/>
        </w:tabs>
        <w:ind w:left="560"/>
        <w:rPr>
          <w:rFonts w:asciiTheme="minorHAnsi" w:hAnsiTheme="minorHAnsi" w:eastAsiaTheme="minorEastAsia" w:cstheme="minorBidi"/>
          <w:sz w:val="21"/>
          <w:szCs w:val="22"/>
        </w:rPr>
      </w:pPr>
      <w:r>
        <w:fldChar w:fldCharType="begin"/>
      </w:r>
      <w:r>
        <w:instrText xml:space="preserve"> HYPERLINK \l "_Toc487792144" </w:instrText>
      </w:r>
      <w:r>
        <w:fldChar w:fldCharType="separate"/>
      </w:r>
      <w:r>
        <w:rPr>
          <w:rStyle w:val="57"/>
          <w:rFonts w:hint="eastAsia" w:ascii="宋体" w:hAnsi="宋体"/>
        </w:rPr>
        <w:t>十</w:t>
      </w:r>
      <w:r>
        <w:rPr>
          <w:rStyle w:val="57"/>
          <w:rFonts w:ascii="宋体" w:hAnsi="宋体"/>
        </w:rPr>
        <w:t>.</w:t>
      </w:r>
      <w:r>
        <w:rPr>
          <w:rStyle w:val="57"/>
          <w:rFonts w:hint="eastAsia" w:ascii="宋体" w:hAnsi="宋体"/>
        </w:rPr>
        <w:t>签订合同与验收</w:t>
      </w:r>
      <w:r>
        <w:tab/>
      </w:r>
      <w:r>
        <w:fldChar w:fldCharType="begin"/>
      </w:r>
      <w:r>
        <w:instrText xml:space="preserve"> PAGEREF _Toc487792144 \h </w:instrText>
      </w:r>
      <w:r>
        <w:fldChar w:fldCharType="separate"/>
      </w:r>
      <w:r>
        <w:t>24</w:t>
      </w:r>
      <w:r>
        <w:fldChar w:fldCharType="end"/>
      </w:r>
      <w:r>
        <w:fldChar w:fldCharType="end"/>
      </w:r>
    </w:p>
    <w:p>
      <w:pPr>
        <w:pStyle w:val="33"/>
        <w:tabs>
          <w:tab w:val="right" w:leader="dot" w:pos="8834"/>
        </w:tabs>
        <w:rPr>
          <w:rFonts w:asciiTheme="minorHAnsi" w:hAnsiTheme="minorHAnsi" w:eastAsiaTheme="minorEastAsia" w:cstheme="minorBidi"/>
          <w:b w:val="0"/>
          <w:bCs w:val="0"/>
          <w:caps w:val="0"/>
          <w:sz w:val="21"/>
          <w:szCs w:val="22"/>
        </w:rPr>
      </w:pPr>
      <w:r>
        <w:fldChar w:fldCharType="begin"/>
      </w:r>
      <w:r>
        <w:instrText xml:space="preserve"> HYPERLINK \l "_Toc487792145" </w:instrText>
      </w:r>
      <w:r>
        <w:fldChar w:fldCharType="separate"/>
      </w:r>
      <w:r>
        <w:rPr>
          <w:rStyle w:val="57"/>
          <w:rFonts w:hint="eastAsia"/>
        </w:rPr>
        <w:t>第三章</w:t>
      </w:r>
      <w:r>
        <w:rPr>
          <w:rStyle w:val="57"/>
        </w:rPr>
        <w:t xml:space="preserve"> </w:t>
      </w:r>
      <w:r>
        <w:rPr>
          <w:rStyle w:val="57"/>
          <w:rFonts w:hint="eastAsia"/>
        </w:rPr>
        <w:t>商务须知（合同条款）</w:t>
      </w:r>
      <w:r>
        <w:tab/>
      </w:r>
      <w:r>
        <w:fldChar w:fldCharType="begin"/>
      </w:r>
      <w:r>
        <w:instrText xml:space="preserve"> PAGEREF _Toc487792145 \h </w:instrText>
      </w:r>
      <w:r>
        <w:fldChar w:fldCharType="separate"/>
      </w:r>
      <w:r>
        <w:t>25</w:t>
      </w:r>
      <w:r>
        <w:fldChar w:fldCharType="end"/>
      </w:r>
      <w:r>
        <w:fldChar w:fldCharType="end"/>
      </w:r>
    </w:p>
    <w:p>
      <w:pPr>
        <w:pStyle w:val="39"/>
        <w:tabs>
          <w:tab w:val="right" w:leader="dot" w:pos="8834"/>
        </w:tabs>
        <w:ind w:left="560"/>
        <w:rPr>
          <w:rFonts w:asciiTheme="minorHAnsi" w:hAnsiTheme="minorHAnsi" w:eastAsiaTheme="minorEastAsia" w:cstheme="minorBidi"/>
          <w:sz w:val="21"/>
          <w:szCs w:val="22"/>
        </w:rPr>
      </w:pPr>
      <w:r>
        <w:fldChar w:fldCharType="begin"/>
      </w:r>
      <w:r>
        <w:instrText xml:space="preserve"> HYPERLINK \l "_Toc487792146" </w:instrText>
      </w:r>
      <w:r>
        <w:fldChar w:fldCharType="separate"/>
      </w:r>
      <w:r>
        <w:rPr>
          <w:rStyle w:val="57"/>
          <w:rFonts w:hint="eastAsia" w:ascii="宋体" w:hAnsi="宋体"/>
        </w:rPr>
        <w:t>一．通用条款</w:t>
      </w:r>
      <w:r>
        <w:tab/>
      </w:r>
      <w:r>
        <w:fldChar w:fldCharType="begin"/>
      </w:r>
      <w:r>
        <w:instrText xml:space="preserve"> PAGEREF _Toc487792146 \h </w:instrText>
      </w:r>
      <w:r>
        <w:fldChar w:fldCharType="separate"/>
      </w:r>
      <w:r>
        <w:t>25</w:t>
      </w:r>
      <w:r>
        <w:fldChar w:fldCharType="end"/>
      </w:r>
      <w:r>
        <w:fldChar w:fldCharType="end"/>
      </w:r>
    </w:p>
    <w:p>
      <w:pPr>
        <w:pStyle w:val="39"/>
        <w:tabs>
          <w:tab w:val="right" w:leader="dot" w:pos="8834"/>
        </w:tabs>
        <w:ind w:left="560"/>
        <w:rPr>
          <w:rFonts w:asciiTheme="minorHAnsi" w:hAnsiTheme="minorHAnsi" w:eastAsiaTheme="minorEastAsia" w:cstheme="minorBidi"/>
          <w:sz w:val="21"/>
          <w:szCs w:val="22"/>
        </w:rPr>
      </w:pPr>
      <w:r>
        <w:fldChar w:fldCharType="begin"/>
      </w:r>
      <w:r>
        <w:instrText xml:space="preserve"> HYPERLINK \l "_Toc487792147" </w:instrText>
      </w:r>
      <w:r>
        <w:fldChar w:fldCharType="separate"/>
      </w:r>
      <w:r>
        <w:rPr>
          <w:rStyle w:val="57"/>
          <w:rFonts w:hint="eastAsia" w:ascii="宋体" w:hAnsi="宋体"/>
        </w:rPr>
        <w:t>二．专用条款</w:t>
      </w:r>
      <w:r>
        <w:tab/>
      </w:r>
      <w:r>
        <w:fldChar w:fldCharType="begin"/>
      </w:r>
      <w:r>
        <w:instrText xml:space="preserve"> PAGEREF _Toc487792147 \h </w:instrText>
      </w:r>
      <w:r>
        <w:fldChar w:fldCharType="separate"/>
      </w:r>
      <w:r>
        <w:t>47</w:t>
      </w:r>
      <w:r>
        <w:fldChar w:fldCharType="end"/>
      </w:r>
      <w:r>
        <w:fldChar w:fldCharType="end"/>
      </w:r>
    </w:p>
    <w:p>
      <w:pPr>
        <w:pStyle w:val="33"/>
        <w:tabs>
          <w:tab w:val="right" w:leader="dot" w:pos="8834"/>
        </w:tabs>
        <w:rPr>
          <w:rFonts w:asciiTheme="minorHAnsi" w:hAnsiTheme="minorHAnsi" w:eastAsiaTheme="minorEastAsia" w:cstheme="minorBidi"/>
          <w:b w:val="0"/>
          <w:bCs w:val="0"/>
          <w:caps w:val="0"/>
          <w:sz w:val="21"/>
          <w:szCs w:val="22"/>
        </w:rPr>
      </w:pPr>
      <w:r>
        <w:fldChar w:fldCharType="begin"/>
      </w:r>
      <w:r>
        <w:instrText xml:space="preserve"> HYPERLINK \l "_Toc487792148" </w:instrText>
      </w:r>
      <w:r>
        <w:fldChar w:fldCharType="separate"/>
      </w:r>
      <w:r>
        <w:rPr>
          <w:rStyle w:val="57"/>
          <w:rFonts w:hint="eastAsia"/>
        </w:rPr>
        <w:t>第四章</w:t>
      </w:r>
      <w:r>
        <w:rPr>
          <w:rStyle w:val="57"/>
        </w:rPr>
        <w:t xml:space="preserve"> </w:t>
      </w:r>
      <w:r>
        <w:rPr>
          <w:rStyle w:val="57"/>
          <w:rFonts w:hint="eastAsia"/>
        </w:rPr>
        <w:t>招标内容与技术要求</w:t>
      </w:r>
      <w:r>
        <w:tab/>
      </w:r>
      <w:r>
        <w:fldChar w:fldCharType="begin"/>
      </w:r>
      <w:r>
        <w:instrText xml:space="preserve"> PAGEREF _Toc487792148 \h </w:instrText>
      </w:r>
      <w:r>
        <w:fldChar w:fldCharType="separate"/>
      </w:r>
      <w:r>
        <w:t>48</w:t>
      </w:r>
      <w:r>
        <w:fldChar w:fldCharType="end"/>
      </w:r>
      <w:r>
        <w:fldChar w:fldCharType="end"/>
      </w:r>
    </w:p>
    <w:p>
      <w:pPr>
        <w:pStyle w:val="39"/>
        <w:tabs>
          <w:tab w:val="right" w:leader="dot" w:pos="8834"/>
        </w:tabs>
        <w:ind w:left="560"/>
        <w:rPr>
          <w:rFonts w:asciiTheme="minorHAnsi" w:hAnsiTheme="minorHAnsi" w:eastAsiaTheme="minorEastAsia" w:cstheme="minorBidi"/>
          <w:sz w:val="21"/>
          <w:szCs w:val="22"/>
        </w:rPr>
      </w:pPr>
      <w:r>
        <w:fldChar w:fldCharType="begin"/>
      </w:r>
      <w:r>
        <w:instrText xml:space="preserve"> HYPERLINK \l "_Toc487792149" </w:instrText>
      </w:r>
      <w:r>
        <w:fldChar w:fldCharType="separate"/>
      </w:r>
      <w:r>
        <w:rPr>
          <w:rStyle w:val="57"/>
          <w:rFonts w:hint="eastAsia" w:ascii="宋体" w:hAnsi="宋体"/>
        </w:rPr>
        <w:t>一．项目说明</w:t>
      </w:r>
      <w:r>
        <w:tab/>
      </w:r>
      <w:r>
        <w:fldChar w:fldCharType="begin"/>
      </w:r>
      <w:r>
        <w:instrText xml:space="preserve"> PAGEREF _Toc487792149 \h </w:instrText>
      </w:r>
      <w:r>
        <w:fldChar w:fldCharType="separate"/>
      </w:r>
      <w:r>
        <w:t>48</w:t>
      </w:r>
      <w:r>
        <w:fldChar w:fldCharType="end"/>
      </w:r>
      <w:r>
        <w:fldChar w:fldCharType="end"/>
      </w:r>
    </w:p>
    <w:p>
      <w:pPr>
        <w:pStyle w:val="39"/>
        <w:tabs>
          <w:tab w:val="right" w:leader="dot" w:pos="8834"/>
        </w:tabs>
        <w:ind w:left="560"/>
        <w:rPr>
          <w:rFonts w:asciiTheme="minorHAnsi" w:hAnsiTheme="minorHAnsi" w:eastAsiaTheme="minorEastAsia" w:cstheme="minorBidi"/>
          <w:sz w:val="21"/>
          <w:szCs w:val="22"/>
        </w:rPr>
      </w:pPr>
      <w:r>
        <w:fldChar w:fldCharType="begin"/>
      </w:r>
      <w:r>
        <w:instrText xml:space="preserve"> HYPERLINK \l "_Toc487792150" </w:instrText>
      </w:r>
      <w:r>
        <w:fldChar w:fldCharType="separate"/>
      </w:r>
      <w:r>
        <w:rPr>
          <w:rStyle w:val="57"/>
          <w:rFonts w:hint="eastAsia" w:ascii="宋体" w:hAnsi="宋体"/>
        </w:rPr>
        <w:t>二</w:t>
      </w:r>
      <w:r>
        <w:rPr>
          <w:rStyle w:val="57"/>
          <w:rFonts w:ascii="宋体" w:hAnsi="宋体"/>
        </w:rPr>
        <w:t xml:space="preserve">. </w:t>
      </w:r>
      <w:r>
        <w:rPr>
          <w:rStyle w:val="57"/>
          <w:rFonts w:hint="eastAsia" w:ascii="宋体" w:hAnsi="宋体"/>
        </w:rPr>
        <w:t>技术参数与配置要求：</w:t>
      </w:r>
      <w:r>
        <w:tab/>
      </w:r>
      <w:r>
        <w:fldChar w:fldCharType="begin"/>
      </w:r>
      <w:r>
        <w:instrText xml:space="preserve"> PAGEREF _Toc487792150 \h </w:instrText>
      </w:r>
      <w:r>
        <w:fldChar w:fldCharType="separate"/>
      </w:r>
      <w:r>
        <w:t>48</w:t>
      </w:r>
      <w:r>
        <w:fldChar w:fldCharType="end"/>
      </w:r>
      <w:r>
        <w:fldChar w:fldCharType="end"/>
      </w:r>
    </w:p>
    <w:p>
      <w:pPr>
        <w:pStyle w:val="33"/>
        <w:tabs>
          <w:tab w:val="right" w:leader="dot" w:pos="8834"/>
        </w:tabs>
        <w:rPr>
          <w:rFonts w:asciiTheme="minorHAnsi" w:hAnsiTheme="minorHAnsi" w:eastAsiaTheme="minorEastAsia" w:cstheme="minorBidi"/>
          <w:b w:val="0"/>
          <w:bCs w:val="0"/>
          <w:caps w:val="0"/>
          <w:sz w:val="21"/>
          <w:szCs w:val="22"/>
        </w:rPr>
      </w:pPr>
      <w:r>
        <w:fldChar w:fldCharType="begin"/>
      </w:r>
      <w:r>
        <w:instrText xml:space="preserve"> HYPERLINK \l "_Toc487792151" </w:instrText>
      </w:r>
      <w:r>
        <w:fldChar w:fldCharType="separate"/>
      </w:r>
      <w:r>
        <w:rPr>
          <w:rStyle w:val="57"/>
          <w:rFonts w:hint="eastAsia"/>
        </w:rPr>
        <w:t>第五章</w:t>
      </w:r>
      <w:r>
        <w:rPr>
          <w:rStyle w:val="57"/>
        </w:rPr>
        <w:t xml:space="preserve">  </w:t>
      </w:r>
      <w:r>
        <w:rPr>
          <w:rStyle w:val="57"/>
          <w:rFonts w:hint="eastAsia"/>
        </w:rPr>
        <w:t>投标人资质证明及相关文件要求</w:t>
      </w:r>
      <w:r>
        <w:tab/>
      </w:r>
      <w:r>
        <w:fldChar w:fldCharType="begin"/>
      </w:r>
      <w:r>
        <w:instrText xml:space="preserve"> PAGEREF _Toc487792151 \h </w:instrText>
      </w:r>
      <w:r>
        <w:fldChar w:fldCharType="separate"/>
      </w:r>
      <w:r>
        <w:t>61</w:t>
      </w:r>
      <w:r>
        <w:fldChar w:fldCharType="end"/>
      </w:r>
      <w:r>
        <w:fldChar w:fldCharType="end"/>
      </w:r>
    </w:p>
    <w:p>
      <w:pPr>
        <w:pStyle w:val="39"/>
        <w:tabs>
          <w:tab w:val="right" w:leader="dot" w:pos="8834"/>
        </w:tabs>
        <w:ind w:left="560"/>
        <w:rPr>
          <w:rFonts w:asciiTheme="minorHAnsi" w:hAnsiTheme="minorHAnsi" w:eastAsiaTheme="minorEastAsia" w:cstheme="minorBidi"/>
          <w:sz w:val="21"/>
          <w:szCs w:val="22"/>
        </w:rPr>
      </w:pPr>
      <w:r>
        <w:fldChar w:fldCharType="begin"/>
      </w:r>
      <w:r>
        <w:instrText xml:space="preserve"> HYPERLINK \l "_Toc487792152" </w:instrText>
      </w:r>
      <w:r>
        <w:fldChar w:fldCharType="separate"/>
      </w:r>
      <w:r>
        <w:rPr>
          <w:rStyle w:val="57"/>
          <w:rFonts w:hint="eastAsia" w:ascii="宋体" w:hAnsi="宋体"/>
        </w:rPr>
        <w:t>一</w:t>
      </w:r>
      <w:r>
        <w:rPr>
          <w:rStyle w:val="57"/>
          <w:rFonts w:ascii="宋体" w:hAnsi="宋体"/>
        </w:rPr>
        <w:t>.</w:t>
      </w:r>
      <w:r>
        <w:rPr>
          <w:rStyle w:val="57"/>
          <w:rFonts w:hint="eastAsia" w:ascii="宋体" w:hAnsi="宋体"/>
        </w:rPr>
        <w:t>投标人及投标货物的资格性证明文件</w:t>
      </w:r>
      <w:r>
        <w:tab/>
      </w:r>
      <w:r>
        <w:fldChar w:fldCharType="begin"/>
      </w:r>
      <w:r>
        <w:instrText xml:space="preserve"> PAGEREF _Toc487792152 \h </w:instrText>
      </w:r>
      <w:r>
        <w:fldChar w:fldCharType="separate"/>
      </w:r>
      <w:r>
        <w:t>61</w:t>
      </w:r>
      <w:r>
        <w:fldChar w:fldCharType="end"/>
      </w:r>
      <w:r>
        <w:fldChar w:fldCharType="end"/>
      </w:r>
    </w:p>
    <w:p>
      <w:pPr>
        <w:pStyle w:val="39"/>
        <w:tabs>
          <w:tab w:val="right" w:leader="dot" w:pos="8834"/>
        </w:tabs>
        <w:ind w:left="560"/>
        <w:rPr>
          <w:rFonts w:asciiTheme="minorHAnsi" w:hAnsiTheme="minorHAnsi" w:eastAsiaTheme="minorEastAsia" w:cstheme="minorBidi"/>
          <w:sz w:val="21"/>
          <w:szCs w:val="22"/>
        </w:rPr>
      </w:pPr>
      <w:r>
        <w:fldChar w:fldCharType="begin"/>
      </w:r>
      <w:r>
        <w:instrText xml:space="preserve"> HYPERLINK \l "_Toc487792153" </w:instrText>
      </w:r>
      <w:r>
        <w:fldChar w:fldCharType="separate"/>
      </w:r>
      <w:r>
        <w:rPr>
          <w:rStyle w:val="57"/>
          <w:rFonts w:hint="eastAsia" w:ascii="宋体" w:hAnsi="宋体"/>
        </w:rPr>
        <w:t>二</w:t>
      </w:r>
      <w:r>
        <w:rPr>
          <w:rStyle w:val="57"/>
          <w:rFonts w:ascii="宋体" w:hAnsi="宋体"/>
        </w:rPr>
        <w:t>.</w:t>
      </w:r>
      <w:r>
        <w:rPr>
          <w:rStyle w:val="57"/>
          <w:rFonts w:hint="eastAsia" w:ascii="宋体" w:hAnsi="宋体"/>
        </w:rPr>
        <w:t>投标人应提供的其它资信文件</w:t>
      </w:r>
      <w:r>
        <w:tab/>
      </w:r>
      <w:r>
        <w:fldChar w:fldCharType="begin"/>
      </w:r>
      <w:r>
        <w:instrText xml:space="preserve"> PAGEREF _Toc487792153 \h </w:instrText>
      </w:r>
      <w:r>
        <w:fldChar w:fldCharType="separate"/>
      </w:r>
      <w:r>
        <w:t>62</w:t>
      </w:r>
      <w:r>
        <w:fldChar w:fldCharType="end"/>
      </w:r>
      <w:r>
        <w:fldChar w:fldCharType="end"/>
      </w:r>
    </w:p>
    <w:p>
      <w:pPr>
        <w:pStyle w:val="33"/>
        <w:tabs>
          <w:tab w:val="right" w:leader="dot" w:pos="8834"/>
        </w:tabs>
        <w:rPr>
          <w:rFonts w:asciiTheme="minorHAnsi" w:hAnsiTheme="minorHAnsi" w:eastAsiaTheme="minorEastAsia" w:cstheme="minorBidi"/>
          <w:b w:val="0"/>
          <w:bCs w:val="0"/>
          <w:caps w:val="0"/>
          <w:sz w:val="21"/>
          <w:szCs w:val="22"/>
        </w:rPr>
      </w:pPr>
      <w:r>
        <w:fldChar w:fldCharType="begin"/>
      </w:r>
      <w:r>
        <w:instrText xml:space="preserve"> HYPERLINK \l "_Toc487792154" </w:instrText>
      </w:r>
      <w:r>
        <w:fldChar w:fldCharType="separate"/>
      </w:r>
      <w:r>
        <w:rPr>
          <w:rStyle w:val="57"/>
          <w:rFonts w:hint="eastAsia"/>
        </w:rPr>
        <w:t>第六章</w:t>
      </w:r>
      <w:r>
        <w:rPr>
          <w:rStyle w:val="57"/>
        </w:rPr>
        <w:t xml:space="preserve"> </w:t>
      </w:r>
      <w:r>
        <w:rPr>
          <w:rStyle w:val="57"/>
          <w:rFonts w:hint="eastAsia"/>
        </w:rPr>
        <w:t>评标原则和方法</w:t>
      </w:r>
      <w:r>
        <w:tab/>
      </w:r>
      <w:r>
        <w:fldChar w:fldCharType="begin"/>
      </w:r>
      <w:r>
        <w:instrText xml:space="preserve"> PAGEREF _Toc487792154 \h </w:instrText>
      </w:r>
      <w:r>
        <w:fldChar w:fldCharType="separate"/>
      </w:r>
      <w:r>
        <w:t>63</w:t>
      </w:r>
      <w:r>
        <w:fldChar w:fldCharType="end"/>
      </w:r>
      <w:r>
        <w:fldChar w:fldCharType="end"/>
      </w:r>
    </w:p>
    <w:p>
      <w:pPr>
        <w:pStyle w:val="39"/>
        <w:tabs>
          <w:tab w:val="right" w:leader="dot" w:pos="8834"/>
        </w:tabs>
        <w:ind w:left="560"/>
        <w:rPr>
          <w:rFonts w:asciiTheme="minorHAnsi" w:hAnsiTheme="minorHAnsi" w:eastAsiaTheme="minorEastAsia" w:cstheme="minorBidi"/>
          <w:sz w:val="21"/>
          <w:szCs w:val="22"/>
        </w:rPr>
      </w:pPr>
      <w:r>
        <w:fldChar w:fldCharType="begin"/>
      </w:r>
      <w:r>
        <w:instrText xml:space="preserve"> HYPERLINK \l "_Toc487792155" </w:instrText>
      </w:r>
      <w:r>
        <w:fldChar w:fldCharType="separate"/>
      </w:r>
      <w:r>
        <w:rPr>
          <w:rStyle w:val="57"/>
          <w:rFonts w:hint="eastAsia" w:ascii="宋体" w:hAnsi="宋体"/>
          <w:b/>
          <w:bCs/>
          <w:kern w:val="0"/>
        </w:rPr>
        <w:t>一．评标原则：</w:t>
      </w:r>
      <w:r>
        <w:tab/>
      </w:r>
      <w:r>
        <w:fldChar w:fldCharType="begin"/>
      </w:r>
      <w:r>
        <w:instrText xml:space="preserve"> PAGEREF _Toc487792155 \h </w:instrText>
      </w:r>
      <w:r>
        <w:fldChar w:fldCharType="separate"/>
      </w:r>
      <w:r>
        <w:t>63</w:t>
      </w:r>
      <w:r>
        <w:fldChar w:fldCharType="end"/>
      </w:r>
      <w:r>
        <w:fldChar w:fldCharType="end"/>
      </w:r>
    </w:p>
    <w:p>
      <w:pPr>
        <w:pStyle w:val="39"/>
        <w:tabs>
          <w:tab w:val="right" w:leader="dot" w:pos="8834"/>
        </w:tabs>
        <w:ind w:left="560"/>
        <w:rPr>
          <w:rFonts w:asciiTheme="minorHAnsi" w:hAnsiTheme="minorHAnsi" w:eastAsiaTheme="minorEastAsia" w:cstheme="minorBidi"/>
          <w:sz w:val="21"/>
          <w:szCs w:val="22"/>
        </w:rPr>
      </w:pPr>
      <w:r>
        <w:fldChar w:fldCharType="begin"/>
      </w:r>
      <w:r>
        <w:instrText xml:space="preserve"> HYPERLINK \l "_Toc487792156" </w:instrText>
      </w:r>
      <w:r>
        <w:fldChar w:fldCharType="separate"/>
      </w:r>
      <w:r>
        <w:rPr>
          <w:rStyle w:val="57"/>
          <w:rFonts w:hint="eastAsia" w:ascii="宋体" w:hAnsi="宋体"/>
          <w:b/>
          <w:bCs/>
          <w:kern w:val="0"/>
        </w:rPr>
        <w:t>二．评标办法：</w:t>
      </w:r>
      <w:r>
        <w:tab/>
      </w:r>
      <w:r>
        <w:fldChar w:fldCharType="begin"/>
      </w:r>
      <w:r>
        <w:instrText xml:space="preserve"> PAGEREF _Toc487792156 \h </w:instrText>
      </w:r>
      <w:r>
        <w:fldChar w:fldCharType="separate"/>
      </w:r>
      <w:r>
        <w:t>63</w:t>
      </w:r>
      <w:r>
        <w:fldChar w:fldCharType="end"/>
      </w:r>
      <w:r>
        <w:fldChar w:fldCharType="end"/>
      </w:r>
    </w:p>
    <w:p>
      <w:pPr>
        <w:pStyle w:val="33"/>
        <w:tabs>
          <w:tab w:val="right" w:leader="dot" w:pos="8834"/>
        </w:tabs>
        <w:rPr>
          <w:rFonts w:asciiTheme="minorHAnsi" w:hAnsiTheme="minorHAnsi" w:eastAsiaTheme="minorEastAsia" w:cstheme="minorBidi"/>
          <w:b w:val="0"/>
          <w:bCs w:val="0"/>
          <w:caps w:val="0"/>
          <w:sz w:val="21"/>
          <w:szCs w:val="22"/>
        </w:rPr>
      </w:pPr>
      <w:r>
        <w:fldChar w:fldCharType="begin"/>
      </w:r>
      <w:r>
        <w:instrText xml:space="preserve"> HYPERLINK \l "_Toc487792157" </w:instrText>
      </w:r>
      <w:r>
        <w:fldChar w:fldCharType="separate"/>
      </w:r>
      <w:r>
        <w:rPr>
          <w:rStyle w:val="57"/>
          <w:rFonts w:hint="eastAsia"/>
        </w:rPr>
        <w:t>第七章</w:t>
      </w:r>
      <w:r>
        <w:rPr>
          <w:rStyle w:val="57"/>
        </w:rPr>
        <w:t xml:space="preserve"> </w:t>
      </w:r>
      <w:r>
        <w:rPr>
          <w:rStyle w:val="57"/>
          <w:rFonts w:hint="eastAsia"/>
        </w:rPr>
        <w:t>投标文件格式与要求</w:t>
      </w:r>
      <w:r>
        <w:tab/>
      </w:r>
      <w:r>
        <w:fldChar w:fldCharType="begin"/>
      </w:r>
      <w:r>
        <w:instrText xml:space="preserve"> PAGEREF _Toc487792157 \h </w:instrText>
      </w:r>
      <w:r>
        <w:fldChar w:fldCharType="separate"/>
      </w:r>
      <w:r>
        <w:t>66</w:t>
      </w:r>
      <w:r>
        <w:fldChar w:fldCharType="end"/>
      </w:r>
      <w:r>
        <w:fldChar w:fldCharType="end"/>
      </w:r>
    </w:p>
    <w:p>
      <w:pPr>
        <w:pStyle w:val="2"/>
        <w:spacing w:line="276" w:lineRule="auto"/>
        <w:jc w:val="both"/>
        <w:rPr>
          <w:rFonts w:ascii="宋体" w:hAnsi="宋体"/>
          <w:b w:val="0"/>
          <w:color w:val="000000"/>
          <w:szCs w:val="28"/>
        </w:rPr>
      </w:pPr>
      <w:r>
        <w:rPr>
          <w:rFonts w:ascii="宋体" w:hAnsi="宋体"/>
          <w:b w:val="0"/>
          <w:color w:val="000000"/>
          <w:szCs w:val="28"/>
        </w:rPr>
        <w:fldChar w:fldCharType="end"/>
      </w:r>
      <w:bookmarkEnd w:id="0"/>
      <w:bookmarkEnd w:id="1"/>
      <w:bookmarkStart w:id="2" w:name="_Toc266431116"/>
      <w:bookmarkStart w:id="3" w:name="_Toc253045125"/>
    </w:p>
    <w:p>
      <w:pPr>
        <w:rPr>
          <w:lang w:val="zh-CN"/>
        </w:rPr>
      </w:pPr>
    </w:p>
    <w:p>
      <w:pPr>
        <w:rPr>
          <w:lang w:val="zh-CN"/>
        </w:rPr>
      </w:pPr>
    </w:p>
    <w:p>
      <w:pPr>
        <w:rPr>
          <w:lang w:val="zh-CN"/>
        </w:rPr>
      </w:pPr>
    </w:p>
    <w:p>
      <w:pPr>
        <w:pStyle w:val="2"/>
        <w:spacing w:before="120" w:after="120" w:line="240" w:lineRule="auto"/>
        <w:rPr>
          <w:rFonts w:ascii="宋体" w:hAnsi="宋体"/>
          <w:color w:val="000000"/>
          <w:sz w:val="38"/>
          <w:szCs w:val="38"/>
        </w:rPr>
      </w:pPr>
      <w:bookmarkStart w:id="4" w:name="_Toc487792130"/>
      <w:r>
        <w:rPr>
          <w:rFonts w:hint="eastAsia" w:ascii="宋体" w:hAnsi="宋体"/>
          <w:color w:val="000000"/>
          <w:sz w:val="38"/>
          <w:szCs w:val="38"/>
        </w:rPr>
        <w:t>新兴产业园区专用停车场工程项目</w:t>
      </w:r>
      <w:bookmarkEnd w:id="4"/>
    </w:p>
    <w:p>
      <w:pPr>
        <w:pStyle w:val="2"/>
        <w:spacing w:before="120" w:after="120" w:line="240" w:lineRule="auto"/>
        <w:rPr>
          <w:rFonts w:ascii="宋体" w:hAnsi="宋体"/>
          <w:color w:val="000000"/>
          <w:szCs w:val="28"/>
        </w:rPr>
      </w:pPr>
      <w:bookmarkStart w:id="5" w:name="_Toc487792131"/>
      <w:r>
        <w:rPr>
          <w:rFonts w:hint="eastAsia" w:ascii="宋体" w:hAnsi="宋体"/>
          <w:color w:val="000000"/>
          <w:sz w:val="38"/>
          <w:szCs w:val="38"/>
        </w:rPr>
        <w:t>公开招标公告</w:t>
      </w:r>
      <w:bookmarkEnd w:id="5"/>
    </w:p>
    <w:p>
      <w:pPr>
        <w:ind w:firstLine="560" w:firstLineChars="200"/>
        <w:rPr>
          <w:rFonts w:ascii="宋体" w:hAnsi="宋体"/>
          <w:color w:val="000000"/>
          <w:szCs w:val="28"/>
        </w:rPr>
      </w:pPr>
      <w:r>
        <w:rPr>
          <w:rFonts w:hint="eastAsia" w:ascii="宋体" w:hAnsi="宋体"/>
          <w:szCs w:val="28"/>
        </w:rPr>
        <w:t>鄂尔多斯市远瑞工程项目管理有限公司受鄂尔多斯新能源产业示范区管理委员会的委托，采用公开招标，采购新兴产业园区专用停车场工程项目，欢迎符合资格条件的供应商前来报</w:t>
      </w:r>
      <w:r>
        <w:rPr>
          <w:rFonts w:hint="eastAsia" w:ascii="宋体" w:hAnsi="宋体"/>
          <w:color w:val="000000"/>
          <w:szCs w:val="28"/>
        </w:rPr>
        <w:t>名参加。</w:t>
      </w:r>
    </w:p>
    <w:p>
      <w:pPr>
        <w:pStyle w:val="199"/>
        <w:numPr>
          <w:ilvl w:val="0"/>
          <w:numId w:val="9"/>
        </w:numPr>
        <w:ind w:left="1134" w:hanging="567" w:firstLineChars="0"/>
        <w:rPr>
          <w:rFonts w:ascii="宋体" w:hAnsi="宋体"/>
          <w:b/>
          <w:color w:val="000000"/>
          <w:sz w:val="32"/>
          <w:szCs w:val="32"/>
        </w:rPr>
      </w:pPr>
      <w:r>
        <w:rPr>
          <w:rFonts w:hint="eastAsia" w:ascii="宋体" w:hAnsi="宋体"/>
          <w:b/>
          <w:color w:val="000000"/>
          <w:sz w:val="32"/>
          <w:szCs w:val="32"/>
        </w:rPr>
        <w:t>项目概述</w:t>
      </w:r>
    </w:p>
    <w:p>
      <w:pPr>
        <w:pStyle w:val="199"/>
        <w:numPr>
          <w:ilvl w:val="0"/>
          <w:numId w:val="10"/>
        </w:numPr>
        <w:ind w:left="993" w:hanging="426" w:firstLineChars="0"/>
        <w:rPr>
          <w:rFonts w:ascii="宋体" w:hAnsi="宋体"/>
          <w:b/>
          <w:color w:val="000000"/>
          <w:sz w:val="32"/>
          <w:szCs w:val="32"/>
        </w:rPr>
      </w:pPr>
      <w:r>
        <w:rPr>
          <w:rFonts w:hint="eastAsia" w:ascii="宋体" w:hAnsi="宋体"/>
          <w:szCs w:val="28"/>
        </w:rPr>
        <w:t>名称与编号</w:t>
      </w:r>
    </w:p>
    <w:p>
      <w:pPr>
        <w:ind w:firstLine="560" w:firstLineChars="200"/>
        <w:rPr>
          <w:rFonts w:ascii="宋体" w:hAnsi="宋体"/>
          <w:szCs w:val="28"/>
        </w:rPr>
      </w:pPr>
      <w:r>
        <w:rPr>
          <w:rFonts w:hint="eastAsia" w:ascii="宋体" w:hAnsi="宋体"/>
          <w:szCs w:val="28"/>
        </w:rPr>
        <w:t>项目名称：新兴产业园区专用停车场工程项目</w:t>
      </w:r>
    </w:p>
    <w:p>
      <w:pPr>
        <w:ind w:firstLine="560" w:firstLineChars="200"/>
        <w:rPr>
          <w:rFonts w:ascii="宋体" w:hAnsi="宋体"/>
          <w:szCs w:val="28"/>
        </w:rPr>
      </w:pPr>
      <w:r>
        <w:rPr>
          <w:rFonts w:hint="eastAsia" w:ascii="宋体" w:hAnsi="宋体"/>
          <w:szCs w:val="28"/>
        </w:rPr>
        <w:t>批准文件编号：杭财购准字[2017]132号</w:t>
      </w:r>
    </w:p>
    <w:p>
      <w:pPr>
        <w:ind w:firstLine="560" w:firstLineChars="200"/>
        <w:rPr>
          <w:rFonts w:ascii="宋体" w:hAnsi="宋体"/>
          <w:szCs w:val="28"/>
        </w:rPr>
      </w:pPr>
      <w:r>
        <w:rPr>
          <w:rFonts w:hint="eastAsia" w:ascii="宋体" w:hAnsi="宋体"/>
          <w:szCs w:val="28"/>
        </w:rPr>
        <w:t>采购文件编号：CG2017GGK1499</w:t>
      </w:r>
    </w:p>
    <w:p>
      <w:pPr>
        <w:ind w:firstLine="560" w:firstLineChars="200"/>
        <w:rPr>
          <w:rFonts w:ascii="宋体" w:hAnsi="宋体"/>
          <w:szCs w:val="28"/>
        </w:rPr>
      </w:pPr>
      <w:r>
        <w:rPr>
          <w:rFonts w:hint="eastAsia" w:ascii="宋体" w:hAnsi="宋体"/>
          <w:szCs w:val="28"/>
        </w:rPr>
        <w:t>2、内容及分包情况（技术规格、参数及要求）</w:t>
      </w:r>
    </w:p>
    <w:tbl>
      <w:tblPr>
        <w:tblStyle w:val="48"/>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411"/>
        <w:gridCol w:w="993"/>
        <w:gridCol w:w="4919"/>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8"/>
              </w:rPr>
            </w:pPr>
            <w:r>
              <w:rPr>
                <w:rFonts w:hint="eastAsia" w:ascii="宋体" w:hAnsi="宋体"/>
                <w:szCs w:val="28"/>
              </w:rPr>
              <w:t>包号</w:t>
            </w:r>
          </w:p>
        </w:tc>
        <w:tc>
          <w:tcPr>
            <w:tcW w:w="141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8"/>
              </w:rPr>
            </w:pPr>
            <w:r>
              <w:rPr>
                <w:rFonts w:hint="eastAsia" w:ascii="宋体" w:hAnsi="宋体"/>
                <w:szCs w:val="28"/>
              </w:rPr>
              <w:t>货物服务名称</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8"/>
              </w:rPr>
            </w:pPr>
            <w:r>
              <w:rPr>
                <w:rFonts w:hint="eastAsia" w:ascii="宋体" w:hAnsi="宋体"/>
                <w:szCs w:val="28"/>
              </w:rPr>
              <w:t>数量</w:t>
            </w:r>
          </w:p>
        </w:tc>
        <w:tc>
          <w:tcPr>
            <w:tcW w:w="49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8"/>
              </w:rPr>
            </w:pPr>
            <w:r>
              <w:rPr>
                <w:rFonts w:hint="eastAsia" w:ascii="宋体" w:hAnsi="宋体"/>
                <w:szCs w:val="28"/>
              </w:rPr>
              <w:t>技术规格、参数</w:t>
            </w:r>
          </w:p>
          <w:p>
            <w:pPr>
              <w:jc w:val="center"/>
              <w:rPr>
                <w:rFonts w:ascii="宋体" w:hAnsi="宋体"/>
                <w:szCs w:val="28"/>
              </w:rPr>
            </w:pPr>
            <w:r>
              <w:rPr>
                <w:rFonts w:hint="eastAsia" w:ascii="宋体" w:hAnsi="宋体"/>
                <w:szCs w:val="28"/>
              </w:rPr>
              <w:t>及要求</w:t>
            </w:r>
          </w:p>
        </w:tc>
        <w:tc>
          <w:tcPr>
            <w:tcW w:w="15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8"/>
              </w:rPr>
            </w:pPr>
            <w:r>
              <w:rPr>
                <w:rFonts w:hint="eastAsia" w:ascii="宋体" w:hAnsi="宋体"/>
                <w:szCs w:val="28"/>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8"/>
              </w:rPr>
            </w:pPr>
            <w:r>
              <w:rPr>
                <w:rFonts w:hint="eastAsia" w:ascii="宋体" w:hAnsi="宋体"/>
                <w:szCs w:val="28"/>
              </w:rPr>
              <w:t>1</w:t>
            </w:r>
          </w:p>
        </w:tc>
        <w:tc>
          <w:tcPr>
            <w:tcW w:w="141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8"/>
              </w:rPr>
            </w:pPr>
            <w:r>
              <w:rPr>
                <w:rFonts w:hint="eastAsia" w:ascii="宋体" w:hAnsi="宋体"/>
                <w:szCs w:val="28"/>
              </w:rPr>
              <w:t>新兴产业园区专用停车场工程项目施工</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8"/>
              </w:rPr>
            </w:pPr>
            <w:r>
              <w:rPr>
                <w:rFonts w:hint="eastAsia" w:ascii="宋体" w:hAnsi="宋体"/>
                <w:szCs w:val="28"/>
              </w:rPr>
              <w:t>详见</w:t>
            </w:r>
          </w:p>
          <w:p>
            <w:pPr>
              <w:jc w:val="center"/>
              <w:rPr>
                <w:rFonts w:ascii="宋体" w:hAnsi="宋体"/>
                <w:szCs w:val="28"/>
              </w:rPr>
            </w:pPr>
            <w:r>
              <w:rPr>
                <w:rFonts w:hint="eastAsia" w:ascii="宋体" w:hAnsi="宋体"/>
                <w:szCs w:val="28"/>
              </w:rPr>
              <w:t>招标文件</w:t>
            </w:r>
          </w:p>
        </w:tc>
        <w:tc>
          <w:tcPr>
            <w:tcW w:w="491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8"/>
              </w:rPr>
            </w:pPr>
            <w:r>
              <w:rPr>
                <w:rFonts w:hint="eastAsia" w:ascii="宋体" w:hAnsi="宋体"/>
                <w:szCs w:val="28"/>
              </w:rPr>
              <w:t>停车场面积30270㎡，整平，碾压后铺筑下层20cm天然砂砾垫层，面层铺筑5cm级配机轧碎石；两个路口总面积为433.5㎡，为C35砼面层；停车场采用护栏围封。护栏高度2.0m，周长868m详见招标文件第四章工程量清单</w:t>
            </w:r>
          </w:p>
        </w:tc>
        <w:tc>
          <w:tcPr>
            <w:tcW w:w="15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8"/>
              </w:rPr>
            </w:pPr>
            <w:r>
              <w:rPr>
                <w:rFonts w:hint="eastAsia" w:ascii="宋体" w:hAnsi="宋体"/>
                <w:szCs w:val="28"/>
              </w:rPr>
              <w:t>1178666</w:t>
            </w:r>
          </w:p>
        </w:tc>
      </w:tr>
    </w:tbl>
    <w:p>
      <w:pPr>
        <w:pStyle w:val="199"/>
        <w:numPr>
          <w:ilvl w:val="0"/>
          <w:numId w:val="9"/>
        </w:numPr>
        <w:spacing w:line="360" w:lineRule="auto"/>
        <w:ind w:left="1134" w:hanging="567" w:firstLineChars="0"/>
        <w:rPr>
          <w:rFonts w:ascii="宋体" w:hAnsi="宋体"/>
          <w:b/>
          <w:color w:val="000000"/>
          <w:sz w:val="32"/>
          <w:szCs w:val="32"/>
        </w:rPr>
      </w:pPr>
      <w:r>
        <w:rPr>
          <w:rFonts w:hint="eastAsia" w:ascii="宋体" w:hAnsi="宋体"/>
          <w:b/>
          <w:color w:val="000000"/>
          <w:sz w:val="32"/>
          <w:szCs w:val="32"/>
        </w:rPr>
        <w:t xml:space="preserve">供应商的资格要求 </w:t>
      </w:r>
    </w:p>
    <w:p>
      <w:pPr>
        <w:numPr>
          <w:ilvl w:val="0"/>
          <w:numId w:val="11"/>
        </w:numPr>
        <w:ind w:firstLine="560" w:firstLineChars="200"/>
        <w:rPr>
          <w:rFonts w:ascii="宋体" w:hAnsi="宋体"/>
          <w:color w:val="000000"/>
          <w:szCs w:val="28"/>
        </w:rPr>
      </w:pPr>
      <w:r>
        <w:rPr>
          <w:rFonts w:hint="eastAsia" w:ascii="宋体" w:hAnsi="宋体"/>
          <w:color w:val="000000"/>
          <w:szCs w:val="28"/>
        </w:rPr>
        <w:t>供应商应符合《中华人民共和国政府采购法》第二十二条规定的条件；</w:t>
      </w:r>
    </w:p>
    <w:p>
      <w:pPr>
        <w:numPr>
          <w:ilvl w:val="0"/>
          <w:numId w:val="11"/>
        </w:numPr>
        <w:ind w:firstLine="560" w:firstLineChars="200"/>
        <w:rPr>
          <w:rFonts w:ascii="宋体" w:hAnsi="宋体"/>
          <w:color w:val="000000"/>
          <w:szCs w:val="28"/>
        </w:rPr>
      </w:pPr>
      <w:r>
        <w:rPr>
          <w:rFonts w:hint="eastAsia" w:ascii="宋体" w:hAnsi="宋体"/>
          <w:color w:val="000000"/>
          <w:szCs w:val="28"/>
        </w:rPr>
        <w:t>投标人具备建设行政主管部门颁发的[市政公用工程施工总承包三级]（含）以上资质，且具备有效的企业安全生产许可证，并在人员、设备、资金等方面具有相应的能力(提供载有二维码新版资质证书复印件及有效的安全生产许可证原件)。</w:t>
      </w:r>
    </w:p>
    <w:p>
      <w:pPr>
        <w:numPr>
          <w:ilvl w:val="0"/>
          <w:numId w:val="11"/>
        </w:numPr>
        <w:ind w:firstLine="560" w:firstLineChars="200"/>
        <w:rPr>
          <w:rFonts w:ascii="宋体" w:hAnsi="宋体"/>
          <w:szCs w:val="28"/>
        </w:rPr>
      </w:pPr>
      <w:r>
        <w:rPr>
          <w:rFonts w:hint="eastAsia" w:ascii="宋体" w:hAnsi="宋体"/>
          <w:color w:val="000000"/>
          <w:szCs w:val="28"/>
        </w:rPr>
        <w:t>项目负责人应具备：市政公用工程二级（含）以上注册建造师执业资格，同时具备有效的安全生产考核合格证书，必须在本单位注册且未担任其它在建项目建设工程的项目经理（提供项目经理的建造师执业资格证书、注册证书及安全生产考核合格证书原件；出具加盖企业公章的承诺书,格式详见招标文件附件）</w:t>
      </w:r>
    </w:p>
    <w:p>
      <w:pPr>
        <w:numPr>
          <w:ilvl w:val="0"/>
          <w:numId w:val="11"/>
        </w:numPr>
        <w:ind w:firstLine="560" w:firstLineChars="200"/>
        <w:rPr>
          <w:rFonts w:ascii="宋体" w:hAnsi="宋体"/>
          <w:color w:val="000000"/>
          <w:szCs w:val="28"/>
        </w:rPr>
      </w:pPr>
      <w:r>
        <w:rPr>
          <w:rFonts w:hint="eastAsia" w:ascii="宋体" w:hAnsi="宋体"/>
          <w:color w:val="000000"/>
          <w:szCs w:val="28"/>
        </w:rPr>
        <w:t>拟派项目管理机构其他人员要求：技术负责人至少配备1员，需具备市政工程专业中级（含）以上职称（提供职称证书原件）；项目其他人员应至少配备施工员、安全员、质检员/质量员、资料员、材料员、预算员/造价员各一名。（安全员提供执业资格证书原件或岗位证书原件以及安全员安全生产考核合格证原件，其余五大员提供执业资格证书原件或岗位证书原件。）</w:t>
      </w:r>
    </w:p>
    <w:p>
      <w:pPr>
        <w:numPr>
          <w:ilvl w:val="0"/>
          <w:numId w:val="11"/>
        </w:numPr>
        <w:ind w:firstLine="560" w:firstLineChars="200"/>
        <w:rPr>
          <w:rFonts w:ascii="宋体" w:hAnsi="宋体"/>
          <w:szCs w:val="28"/>
        </w:rPr>
      </w:pPr>
      <w:r>
        <w:rPr>
          <w:rFonts w:hint="eastAsia" w:ascii="宋体" w:hAnsi="宋体"/>
          <w:szCs w:val="28"/>
        </w:rPr>
        <w:t>据鄂尔多斯市人民检察院《行贿犯罪档案查询管理办法》规定，参与本项目投标的企业，应在投标文件中附《行贿犯罪档案查询结果告知函》复印件（《行贿犯罪档案查询结果告知函》应为</w:t>
      </w:r>
      <w:r>
        <w:rPr>
          <w:rFonts w:hint="eastAsia" w:ascii="宋体" w:hAnsi="宋体"/>
          <w:b/>
          <w:szCs w:val="28"/>
        </w:rPr>
        <w:t>企业、企业法人代表、项目负责人</w:t>
      </w:r>
      <w:r>
        <w:rPr>
          <w:rFonts w:hint="eastAsia" w:ascii="宋体" w:hAnsi="宋体"/>
          <w:szCs w:val="28"/>
        </w:rPr>
        <w:t>的查询函），以备评标委员会查验，《行贿犯罪档案查询结果告知函》必须在有效期内（有效期是指自《行贿犯罪档案查询结果告知函》出具之日起</w:t>
      </w:r>
      <w:r>
        <w:rPr>
          <w:rFonts w:ascii="宋体" w:hAnsi="宋体"/>
          <w:szCs w:val="28"/>
        </w:rPr>
        <w:t>2</w:t>
      </w:r>
      <w:r>
        <w:rPr>
          <w:rFonts w:hint="eastAsia" w:ascii="宋体" w:hAnsi="宋体"/>
          <w:szCs w:val="28"/>
        </w:rPr>
        <w:t>个月内有效）且显示没有行贿犯罪记录。投标人未能满足上述要求的，评标委员会将否决其投标</w:t>
      </w:r>
      <w:r>
        <w:rPr>
          <w:rFonts w:ascii="宋体" w:hAnsi="宋体"/>
          <w:szCs w:val="28"/>
        </w:rPr>
        <w:t xml:space="preserve"> (</w:t>
      </w:r>
      <w:r>
        <w:rPr>
          <w:rFonts w:hint="eastAsia" w:ascii="宋体" w:hAnsi="宋体"/>
          <w:szCs w:val="28"/>
        </w:rPr>
        <w:t>注：投标人自行登录鄂尔多斯市人民检察院网站行贿犯罪档案查询平台提交申请、上传资料进行查询网址</w:t>
      </w:r>
      <w:r>
        <w:rPr>
          <w:rFonts w:ascii="宋体" w:hAnsi="宋体"/>
          <w:szCs w:val="28"/>
        </w:rPr>
        <w:t>www.ordos.jcy.gov.cn/)</w:t>
      </w:r>
      <w:r>
        <w:rPr>
          <w:rFonts w:hint="eastAsia" w:ascii="宋体" w:hAnsi="宋体"/>
          <w:szCs w:val="28"/>
        </w:rPr>
        <w:t>。</w:t>
      </w:r>
    </w:p>
    <w:p>
      <w:pPr>
        <w:spacing w:line="360" w:lineRule="auto"/>
        <w:ind w:firstLine="643" w:firstLineChars="200"/>
        <w:jc w:val="left"/>
        <w:rPr>
          <w:rFonts w:ascii="宋体" w:hAnsi="宋体"/>
          <w:b/>
          <w:color w:val="000000"/>
          <w:sz w:val="32"/>
          <w:szCs w:val="32"/>
        </w:rPr>
      </w:pPr>
      <w:r>
        <w:rPr>
          <w:rFonts w:hint="eastAsia" w:ascii="宋体" w:hAnsi="宋体"/>
          <w:b/>
          <w:color w:val="000000"/>
          <w:sz w:val="32"/>
          <w:szCs w:val="32"/>
        </w:rPr>
        <w:t>三、获取招标文件的时间、地点、方式</w:t>
      </w:r>
    </w:p>
    <w:p>
      <w:pPr>
        <w:rPr>
          <w:rFonts w:ascii="宋体" w:hAnsi="宋体"/>
          <w:szCs w:val="28"/>
        </w:rPr>
      </w:pPr>
      <w:r>
        <w:rPr>
          <w:rFonts w:hint="eastAsia" w:ascii="宋体" w:hAnsi="宋体"/>
          <w:szCs w:val="28"/>
        </w:rPr>
        <w:t xml:space="preserve">    符合上述条件的供应商可于2017年7月14日起登录中国采购与招标网、鄂尔多斯市政府采购网或鄂尔多斯市公共资源交易网、杭锦旗公共资源交易网站获取招标文件。</w:t>
      </w:r>
    </w:p>
    <w:p>
      <w:pPr>
        <w:rPr>
          <w:rFonts w:ascii="宋体" w:hAnsi="宋体"/>
          <w:szCs w:val="28"/>
        </w:rPr>
      </w:pPr>
      <w:r>
        <w:rPr>
          <w:rFonts w:hint="eastAsia" w:ascii="宋体" w:hAnsi="宋体"/>
          <w:szCs w:val="28"/>
        </w:rPr>
        <w:t xml:space="preserve">    1．中国采购与招标网（http://www.chinabidding.com.cn/）。</w:t>
      </w:r>
      <w:r>
        <w:rPr>
          <w:rFonts w:hint="eastAsia" w:ascii="宋体" w:hAnsi="宋体" w:cs="宋体"/>
          <w:color w:val="0D203D"/>
          <w:szCs w:val="28"/>
        </w:rPr>
        <w:t>内蒙古自治区公共资源交易网（www.nmgggzyjy.gov.cn）。</w:t>
      </w:r>
      <w:r>
        <w:rPr>
          <w:rFonts w:hint="eastAsia" w:ascii="宋体" w:hAnsi="宋体"/>
          <w:szCs w:val="28"/>
        </w:rPr>
        <w:t>登录网站页面，在“招标信息”“采购信息”中查询采购信息。</w:t>
      </w:r>
    </w:p>
    <w:p>
      <w:pPr>
        <w:rPr>
          <w:rFonts w:ascii="宋体" w:hAnsi="宋体"/>
          <w:szCs w:val="28"/>
        </w:rPr>
      </w:pPr>
      <w:r>
        <w:rPr>
          <w:rFonts w:hint="eastAsia" w:ascii="宋体" w:hAnsi="宋体"/>
          <w:szCs w:val="28"/>
        </w:rPr>
        <w:t xml:space="preserve">    2．鄂尔多斯市政府采购网（</w:t>
      </w:r>
      <w:r>
        <w:fldChar w:fldCharType="begin"/>
      </w:r>
      <w:r>
        <w:instrText xml:space="preserve"> HYPERLINK "http://www.ordoscg.gov.cn/" \t "_blank" </w:instrText>
      </w:r>
      <w:r>
        <w:fldChar w:fldCharType="separate"/>
      </w:r>
      <w:r>
        <w:rPr>
          <w:rFonts w:hint="eastAsia" w:ascii="宋体" w:hAnsi="宋体"/>
          <w:szCs w:val="28"/>
        </w:rPr>
        <w:t>http://www.ordoscg.gov.cn</w:t>
      </w:r>
      <w:r>
        <w:rPr>
          <w:rFonts w:hint="eastAsia" w:ascii="宋体" w:hAnsi="宋体"/>
          <w:szCs w:val="28"/>
        </w:rPr>
        <w:fldChar w:fldCharType="end"/>
      </w:r>
      <w:r>
        <w:rPr>
          <w:rFonts w:hint="eastAsia" w:ascii="宋体" w:hAnsi="宋体"/>
          <w:szCs w:val="28"/>
        </w:rPr>
        <w:t>）。登陆网站页面，点击“政府采购公告”，查询采购信息。</w:t>
      </w:r>
    </w:p>
    <w:p>
      <w:pPr>
        <w:rPr>
          <w:rFonts w:ascii="宋体" w:hAnsi="宋体"/>
          <w:szCs w:val="28"/>
        </w:rPr>
      </w:pPr>
      <w:r>
        <w:rPr>
          <w:rFonts w:hint="eastAsia" w:ascii="宋体" w:hAnsi="宋体"/>
          <w:szCs w:val="28"/>
        </w:rPr>
        <w:t xml:space="preserve">    3．鄂尔多斯市公共资源交易网（</w:t>
      </w:r>
      <w:r>
        <w:fldChar w:fldCharType="begin"/>
      </w:r>
      <w:r>
        <w:instrText xml:space="preserve"> HYPERLINK "http://www.ordosggzyjy.com" </w:instrText>
      </w:r>
      <w:r>
        <w:fldChar w:fldCharType="separate"/>
      </w:r>
      <w:r>
        <w:rPr>
          <w:rFonts w:hint="eastAsia" w:ascii="宋体" w:hAnsi="宋体"/>
          <w:szCs w:val="28"/>
        </w:rPr>
        <w:t>http://www.ordosggzyjy.com</w:t>
      </w:r>
      <w:r>
        <w:rPr>
          <w:rFonts w:hint="eastAsia" w:ascii="宋体" w:hAnsi="宋体"/>
          <w:szCs w:val="28"/>
        </w:rPr>
        <w:fldChar w:fldCharType="end"/>
      </w:r>
      <w:r>
        <w:rPr>
          <w:rFonts w:hint="eastAsia" w:ascii="宋体" w:hAnsi="宋体"/>
          <w:szCs w:val="28"/>
        </w:rPr>
        <w:t>）。登陆网站页面，点击“政府采购”中的“信息公告”栏，查询采购信息，点击信息公告页面左下角“附件”即可浏览、下载招标文件。</w:t>
      </w:r>
    </w:p>
    <w:p>
      <w:pPr>
        <w:ind w:firstLine="560"/>
        <w:rPr>
          <w:rFonts w:hint="eastAsia" w:ascii="宋体" w:hAnsi="宋体"/>
          <w:szCs w:val="28"/>
        </w:rPr>
      </w:pPr>
      <w:r>
        <w:rPr>
          <w:rFonts w:hint="eastAsia" w:ascii="宋体" w:hAnsi="宋体"/>
          <w:szCs w:val="28"/>
        </w:rPr>
        <w:t>4．杭锦旗公共资源交易网（</w:t>
      </w:r>
      <w:r>
        <w:rPr>
          <w:rFonts w:hint="eastAsia" w:ascii="宋体" w:hAnsi="宋体"/>
          <w:szCs w:val="28"/>
          <w:lang w:eastAsia="zh-CN"/>
        </w:rPr>
        <w:t>http://www.ordosggzyjy.org.cn/</w:t>
      </w:r>
      <w:r>
        <w:rPr>
          <w:rFonts w:hint="eastAsia" w:ascii="宋体" w:hAnsi="宋体"/>
          <w:szCs w:val="28"/>
        </w:rPr>
        <w:t>TPFront_hjq/）。登陆网站页面，点击“政府采购”中的“信息公告”栏，查询采购信息，点击信息公告页面左下角“附件”即可浏览、下载招标文件。</w:t>
      </w:r>
    </w:p>
    <w:p>
      <w:pPr>
        <w:ind w:firstLine="560" w:firstLineChars="200"/>
        <w:rPr>
          <w:rFonts w:hint="eastAsia" w:ascii="宋体" w:hAnsi="宋体"/>
          <w:szCs w:val="28"/>
        </w:rPr>
      </w:pPr>
      <w:r>
        <w:rPr>
          <w:rFonts w:hint="eastAsia" w:ascii="宋体" w:hAnsi="宋体"/>
          <w:szCs w:val="28"/>
          <w:lang w:val="en-US" w:eastAsia="zh-CN"/>
        </w:rPr>
        <w:t>5.</w:t>
      </w:r>
      <w:r>
        <w:rPr>
          <w:rFonts w:hint="eastAsia" w:ascii="宋体" w:hAnsi="宋体"/>
          <w:szCs w:val="28"/>
        </w:rPr>
        <w:t>内蒙古自治区政府采购网（</w:t>
      </w:r>
      <w:r>
        <w:rPr>
          <w:rFonts w:hint="default" w:ascii="宋体" w:hAnsi="宋体"/>
          <w:szCs w:val="28"/>
        </w:rPr>
        <w:t>http://www.nmgp.gov.cn</w:t>
      </w:r>
      <w:r>
        <w:rPr>
          <w:rFonts w:hint="eastAsia" w:ascii="宋体" w:hAnsi="宋体"/>
          <w:szCs w:val="28"/>
        </w:rPr>
        <w:t>）。登录网站页面，在“盟市旗县采购公告”中查询采购信息，点击信息公告页面下方的“相关附件”即可浏览、下载招标文件。</w:t>
      </w:r>
    </w:p>
    <w:p>
      <w:pPr>
        <w:spacing w:line="360" w:lineRule="auto"/>
        <w:ind w:firstLine="562" w:firstLineChars="200"/>
        <w:jc w:val="left"/>
        <w:rPr>
          <w:rFonts w:ascii="宋体" w:hAnsi="宋体"/>
          <w:b/>
          <w:color w:val="000000"/>
          <w:sz w:val="32"/>
          <w:szCs w:val="32"/>
        </w:rPr>
      </w:pPr>
      <w:r>
        <w:rPr>
          <w:rFonts w:hint="eastAsia" w:ascii="宋体" w:hAnsi="宋体"/>
          <w:b/>
          <w:szCs w:val="28"/>
        </w:rPr>
        <w:t>四、报名方式及报名时间：</w:t>
      </w:r>
    </w:p>
    <w:p>
      <w:pPr>
        <w:rPr>
          <w:rFonts w:ascii="宋体" w:hAnsi="宋体"/>
          <w:szCs w:val="28"/>
        </w:rPr>
      </w:pPr>
      <w:r>
        <w:rPr>
          <w:rFonts w:hint="eastAsia" w:ascii="宋体" w:hAnsi="宋体"/>
          <w:szCs w:val="28"/>
        </w:rPr>
        <w:t xml:space="preserve">    1.报名方式采用网上报名</w:t>
      </w:r>
    </w:p>
    <w:p>
      <w:pPr>
        <w:rPr>
          <w:rFonts w:ascii="宋体" w:hAnsi="宋体"/>
          <w:szCs w:val="28"/>
        </w:rPr>
      </w:pPr>
      <w:r>
        <w:rPr>
          <w:rFonts w:hint="eastAsia" w:ascii="宋体" w:hAnsi="宋体"/>
          <w:szCs w:val="28"/>
        </w:rPr>
        <w:t xml:space="preserve">    2.填写报名信息。登录鄂尔多斯市公共资源交易中心网站（</w:t>
      </w:r>
      <w:r>
        <w:fldChar w:fldCharType="begin"/>
      </w:r>
      <w:r>
        <w:instrText xml:space="preserve"> HYPERLINK "http://www.ordosggzyjy.com" </w:instrText>
      </w:r>
      <w:r>
        <w:fldChar w:fldCharType="separate"/>
      </w:r>
      <w:r>
        <w:rPr>
          <w:rFonts w:hint="eastAsia" w:ascii="宋体" w:hAnsi="宋体"/>
          <w:szCs w:val="28"/>
        </w:rPr>
        <w:t>http://www.ordosggzyjy.com</w:t>
      </w:r>
      <w:r>
        <w:rPr>
          <w:rFonts w:hint="eastAsia" w:ascii="宋体" w:hAnsi="宋体"/>
          <w:szCs w:val="28"/>
        </w:rPr>
        <w:fldChar w:fldCharType="end"/>
      </w:r>
      <w:r>
        <w:rPr>
          <w:rFonts w:hint="eastAsia" w:ascii="宋体" w:hAnsi="宋体"/>
          <w:szCs w:val="28"/>
        </w:rPr>
        <w:t>）或杭锦旗公共资源交易网（</w:t>
      </w:r>
      <w:r>
        <w:fldChar w:fldCharType="begin"/>
      </w:r>
      <w:r>
        <w:instrText xml:space="preserve"> HYPERLINK "http://www.ordosggzyjy.com/TPFront_hjq/" </w:instrText>
      </w:r>
      <w:r>
        <w:fldChar w:fldCharType="separate"/>
      </w:r>
      <w:r>
        <w:rPr>
          <w:rFonts w:hint="eastAsia" w:ascii="宋体" w:hAnsi="宋体"/>
          <w:szCs w:val="28"/>
          <w:lang w:eastAsia="zh-CN"/>
        </w:rPr>
        <w:t>http://www.ordosggzyjy.org.cn/</w:t>
      </w:r>
      <w:r>
        <w:rPr>
          <w:rFonts w:hint="eastAsia" w:ascii="宋体" w:hAnsi="宋体"/>
          <w:szCs w:val="28"/>
        </w:rPr>
        <w:t>TPFront_hjq/</w:t>
      </w:r>
      <w:r>
        <w:rPr>
          <w:rFonts w:hint="eastAsia" w:ascii="宋体" w:hAnsi="宋体"/>
          <w:szCs w:val="28"/>
        </w:rPr>
        <w:fldChar w:fldCharType="end"/>
      </w:r>
      <w:r>
        <w:rPr>
          <w:rFonts w:hint="eastAsia" w:ascii="宋体" w:hAnsi="宋体"/>
          <w:szCs w:val="28"/>
        </w:rPr>
        <w:t>）页面，点击“政府采购”中的“信息公告”栏，打开公告，点击公告页面的“网上报名”进入“鄂尔多斯政府采购网上报名系统”，填写报名信息，按照页面提示点击“点击此处”，进入下一页面后按照提示，获得“投标保证金缴纳码”；</w:t>
      </w:r>
    </w:p>
    <w:p>
      <w:pPr>
        <w:rPr>
          <w:rFonts w:ascii="宋体" w:hAnsi="宋体"/>
          <w:szCs w:val="28"/>
        </w:rPr>
      </w:pPr>
      <w:r>
        <w:rPr>
          <w:rFonts w:hint="eastAsia" w:ascii="宋体" w:hAnsi="宋体"/>
          <w:szCs w:val="28"/>
        </w:rPr>
        <w:t xml:space="preserve">    3.缴纳投标保证金。获取“投标保证金缴纳码”后，投标人须电汇或转账缴纳投标保证金。付款人名称必须为投标单位全称，摘要或附言一栏中须填写“投标保证金缴纳码”；</w:t>
      </w:r>
    </w:p>
    <w:p>
      <w:pPr>
        <w:rPr>
          <w:rFonts w:ascii="宋体" w:hAnsi="宋体"/>
          <w:szCs w:val="28"/>
        </w:rPr>
      </w:pPr>
      <w:r>
        <w:rPr>
          <w:rFonts w:hint="eastAsia" w:ascii="宋体" w:hAnsi="宋体"/>
          <w:szCs w:val="28"/>
        </w:rPr>
        <w:t xml:space="preserve">    4.查看报名状况。用“回执码登录”可查看报名状况；只有缴纳投标保证金后，报名才能成功，并将以短信的方式进行提示。</w:t>
      </w:r>
    </w:p>
    <w:p>
      <w:pPr>
        <w:rPr>
          <w:rFonts w:ascii="宋体" w:hAnsi="宋体"/>
          <w:szCs w:val="28"/>
        </w:rPr>
      </w:pPr>
      <w:r>
        <w:rPr>
          <w:rFonts w:hint="eastAsia" w:ascii="宋体" w:hAnsi="宋体"/>
          <w:szCs w:val="28"/>
        </w:rPr>
        <w:t xml:space="preserve">    5.报名时间：2017年7月14日至2017年7月21日下午17:30分。</w:t>
      </w:r>
    </w:p>
    <w:p>
      <w:pPr>
        <w:spacing w:line="400" w:lineRule="exact"/>
        <w:ind w:firstLine="422" w:firstLineChars="150"/>
        <w:rPr>
          <w:rFonts w:ascii="宋体" w:hAnsi="宋体"/>
          <w:b/>
          <w:szCs w:val="28"/>
        </w:rPr>
      </w:pPr>
      <w:r>
        <w:rPr>
          <w:rFonts w:hint="eastAsia" w:ascii="宋体" w:hAnsi="宋体"/>
          <w:b/>
          <w:szCs w:val="28"/>
        </w:rPr>
        <w:t>五、采购文件售价</w:t>
      </w:r>
    </w:p>
    <w:p>
      <w:pPr>
        <w:rPr>
          <w:rFonts w:ascii="宋体" w:hAnsi="宋体"/>
          <w:szCs w:val="28"/>
        </w:rPr>
      </w:pPr>
      <w:r>
        <w:rPr>
          <w:rFonts w:hint="eastAsia" w:ascii="宋体" w:hAnsi="宋体"/>
          <w:szCs w:val="28"/>
        </w:rPr>
        <w:t xml:space="preserve">    本次采购文件的售价为500元人民币，文件费在开标现场交纳给采购代理机构，拒不交纳者将不予接收响应文件。</w:t>
      </w:r>
    </w:p>
    <w:p>
      <w:pPr>
        <w:spacing w:line="400" w:lineRule="exact"/>
        <w:ind w:firstLine="422" w:firstLineChars="150"/>
        <w:rPr>
          <w:rFonts w:ascii="宋体" w:hAnsi="宋体"/>
          <w:b/>
          <w:szCs w:val="28"/>
        </w:rPr>
      </w:pPr>
      <w:r>
        <w:rPr>
          <w:rFonts w:hint="eastAsia" w:ascii="宋体" w:hAnsi="宋体"/>
          <w:b/>
          <w:szCs w:val="28"/>
        </w:rPr>
        <w:t>六、投标文件递交截止时间及递交要求：</w:t>
      </w:r>
    </w:p>
    <w:p>
      <w:pPr>
        <w:rPr>
          <w:rFonts w:ascii="宋体" w:hAnsi="宋体"/>
          <w:szCs w:val="28"/>
        </w:rPr>
      </w:pPr>
      <w:r>
        <w:rPr>
          <w:rFonts w:hint="eastAsia" w:ascii="宋体" w:hAnsi="宋体"/>
          <w:szCs w:val="28"/>
        </w:rPr>
        <w:t xml:space="preserve">   1.拟参加投标的供应商应该使用简体中文编制响应文件，且必须在 2017年8月7日下午15:00前送达鄂尔多斯市杭锦旗锡尼镇杭锦大街武装部西侧办公楼6楼开标室；</w:t>
      </w:r>
    </w:p>
    <w:p>
      <w:pPr>
        <w:rPr>
          <w:rFonts w:ascii="宋体" w:hAnsi="宋体"/>
          <w:szCs w:val="28"/>
        </w:rPr>
      </w:pPr>
      <w:r>
        <w:rPr>
          <w:rFonts w:hint="eastAsia" w:ascii="宋体" w:hAnsi="宋体"/>
          <w:szCs w:val="28"/>
        </w:rPr>
        <w:t xml:space="preserve">    2.投标文件递交要求：拟参加投标的供应商必须在响应文件递交截止时间前将另行单独密封的“开标一览表”及响应文件的正、副本送到公共资源交易中心6楼开标室，并签到确认，拒收投标截止时间后送达的“开标一览表”及响应文件。</w:t>
      </w:r>
    </w:p>
    <w:p>
      <w:pPr>
        <w:rPr>
          <w:rFonts w:ascii="宋体" w:hAnsi="宋体"/>
          <w:szCs w:val="28"/>
        </w:rPr>
      </w:pPr>
      <w:r>
        <w:rPr>
          <w:rFonts w:hint="eastAsia" w:ascii="宋体" w:hAnsi="宋体"/>
          <w:szCs w:val="28"/>
        </w:rPr>
        <w:t xml:space="preserve">    3.开标时需带载有统一社会信用代码的营业执照副本原件（或者营业执照副本原件、税务登记证副本原件、组织机构代码证副本原件）、企业安全生产许可证、基本账户开户许可证、检查机关出具有效的“查询行贿犯罪档案结果告知函”、法人代表授权书原件、投标代理人身份证原件等及其他投标人认为有必要提供的原件，以备查验。</w:t>
      </w:r>
    </w:p>
    <w:p>
      <w:pPr>
        <w:rPr>
          <w:rFonts w:ascii="宋体" w:hAnsi="宋体"/>
          <w:szCs w:val="28"/>
        </w:rPr>
      </w:pPr>
      <w:r>
        <w:rPr>
          <w:rFonts w:hint="eastAsia" w:ascii="宋体" w:hAnsi="宋体"/>
          <w:szCs w:val="28"/>
        </w:rPr>
        <w:t>（注：开标时提供以上资料原件。评标委员会要求查阅以上资料原件时，以上资料不全或不符合要求，导致投标被废标的风险由投标人自行承担）</w:t>
      </w:r>
    </w:p>
    <w:p>
      <w:pPr>
        <w:spacing w:line="400" w:lineRule="exact"/>
        <w:ind w:firstLine="422" w:firstLineChars="150"/>
        <w:rPr>
          <w:rFonts w:ascii="宋体" w:hAnsi="宋体"/>
          <w:b/>
          <w:szCs w:val="28"/>
        </w:rPr>
      </w:pPr>
      <w:r>
        <w:rPr>
          <w:rFonts w:hint="eastAsia" w:ascii="宋体" w:hAnsi="宋体"/>
          <w:b/>
          <w:szCs w:val="28"/>
        </w:rPr>
        <w:t>七、开标时间及地点：</w:t>
      </w:r>
    </w:p>
    <w:p>
      <w:pPr>
        <w:rPr>
          <w:rFonts w:ascii="宋体" w:hAnsi="宋体"/>
          <w:szCs w:val="28"/>
        </w:rPr>
      </w:pPr>
      <w:r>
        <w:rPr>
          <w:rFonts w:hint="eastAsia" w:ascii="宋体" w:hAnsi="宋体"/>
          <w:szCs w:val="28"/>
        </w:rPr>
        <w:t xml:space="preserve">  1.开标时间：2017年8月7日下午15:00时整</w:t>
      </w:r>
    </w:p>
    <w:p>
      <w:pPr>
        <w:rPr>
          <w:rFonts w:ascii="宋体" w:hAnsi="宋体"/>
          <w:szCs w:val="28"/>
        </w:rPr>
      </w:pPr>
      <w:r>
        <w:rPr>
          <w:rFonts w:hint="eastAsia" w:ascii="宋体" w:hAnsi="宋体"/>
          <w:szCs w:val="28"/>
        </w:rPr>
        <w:t xml:space="preserve">  2.开标地点：杭锦旗锡尼镇杭锦大街武装部西侧办公楼6楼开标室。</w:t>
      </w:r>
    </w:p>
    <w:p>
      <w:pPr>
        <w:spacing w:line="400" w:lineRule="exact"/>
        <w:ind w:firstLine="422" w:firstLineChars="150"/>
        <w:rPr>
          <w:rFonts w:ascii="宋体" w:hAnsi="宋体"/>
          <w:b/>
          <w:szCs w:val="28"/>
        </w:rPr>
      </w:pPr>
      <w:r>
        <w:rPr>
          <w:rFonts w:hint="eastAsia" w:ascii="宋体" w:hAnsi="宋体"/>
          <w:b/>
          <w:szCs w:val="28"/>
        </w:rPr>
        <w:t>八、发布公告的媒介</w:t>
      </w:r>
    </w:p>
    <w:p>
      <w:pPr>
        <w:rPr>
          <w:rFonts w:ascii="宋体" w:hAnsi="宋体"/>
          <w:szCs w:val="28"/>
        </w:rPr>
      </w:pPr>
      <w:r>
        <w:rPr>
          <w:rFonts w:hint="eastAsia" w:ascii="宋体" w:hAnsi="宋体"/>
          <w:szCs w:val="28"/>
        </w:rPr>
        <w:t xml:space="preserve">   本次招标公告同时在《中国采购与招标网》、《内蒙古自治区公共资源交易网》、《</w:t>
      </w:r>
      <w:r>
        <w:rPr>
          <w:rFonts w:hint="eastAsia" w:ascii="宋体" w:hAnsi="宋体"/>
          <w:szCs w:val="28"/>
          <w:lang w:eastAsia="zh-CN"/>
        </w:rPr>
        <w:t>内蒙古自治区</w:t>
      </w:r>
      <w:r>
        <w:rPr>
          <w:rFonts w:hint="eastAsia" w:ascii="宋体" w:hAnsi="宋体"/>
          <w:szCs w:val="28"/>
        </w:rPr>
        <w:t>政府采购网》</w:t>
      </w:r>
      <w:r>
        <w:rPr>
          <w:rFonts w:hint="eastAsia" w:ascii="宋体" w:hAnsi="宋体"/>
          <w:szCs w:val="28"/>
          <w:lang w:eastAsia="zh-CN"/>
        </w:rPr>
        <w:t>、</w:t>
      </w:r>
      <w:r>
        <w:rPr>
          <w:rFonts w:hint="eastAsia" w:ascii="宋体" w:hAnsi="宋体"/>
          <w:szCs w:val="28"/>
        </w:rPr>
        <w:t>《鄂尔多斯市政府采购网》、《鄂尔多斯市公共资源交易网》、《杭锦旗公共资源交易网》上发布。</w:t>
      </w:r>
    </w:p>
    <w:p>
      <w:pPr>
        <w:spacing w:line="400" w:lineRule="exact"/>
        <w:ind w:firstLine="422" w:firstLineChars="150"/>
        <w:rPr>
          <w:rFonts w:ascii="宋体" w:hAnsi="宋体"/>
          <w:b/>
          <w:szCs w:val="28"/>
        </w:rPr>
      </w:pPr>
      <w:r>
        <w:rPr>
          <w:rFonts w:hint="eastAsia" w:ascii="宋体" w:hAnsi="宋体"/>
          <w:b/>
          <w:szCs w:val="28"/>
        </w:rPr>
        <w:t>九、联系方式：</w:t>
      </w:r>
    </w:p>
    <w:p>
      <w:pPr>
        <w:rPr>
          <w:rFonts w:ascii="宋体" w:hAnsi="宋体"/>
          <w:szCs w:val="28"/>
        </w:rPr>
      </w:pPr>
      <w:r>
        <w:rPr>
          <w:rFonts w:hint="eastAsia" w:ascii="宋体" w:hAnsi="宋体"/>
          <w:szCs w:val="28"/>
        </w:rPr>
        <w:t xml:space="preserve">   采购人：鄂尔多斯新能源产业示范区管理委员会</w:t>
      </w:r>
    </w:p>
    <w:p>
      <w:pPr>
        <w:rPr>
          <w:rFonts w:ascii="宋体" w:hAnsi="宋体"/>
          <w:szCs w:val="28"/>
        </w:rPr>
      </w:pPr>
      <w:r>
        <w:rPr>
          <w:rFonts w:hint="eastAsia" w:ascii="宋体" w:hAnsi="宋体"/>
          <w:szCs w:val="28"/>
        </w:rPr>
        <w:t xml:space="preserve">   地址：杭锦旗锡尼镇</w:t>
      </w:r>
    </w:p>
    <w:p>
      <w:pPr>
        <w:rPr>
          <w:rFonts w:ascii="宋体" w:hAnsi="宋体"/>
          <w:szCs w:val="28"/>
        </w:rPr>
      </w:pPr>
      <w:r>
        <w:rPr>
          <w:rFonts w:hint="eastAsia" w:ascii="宋体" w:hAnsi="宋体"/>
          <w:szCs w:val="28"/>
        </w:rPr>
        <w:t xml:space="preserve">   联系人：黄勇       </w:t>
      </w:r>
    </w:p>
    <w:p>
      <w:pPr>
        <w:rPr>
          <w:rFonts w:ascii="宋体" w:hAnsi="宋体"/>
          <w:szCs w:val="28"/>
        </w:rPr>
      </w:pPr>
      <w:r>
        <w:rPr>
          <w:rFonts w:hint="eastAsia" w:ascii="宋体" w:hAnsi="宋体"/>
          <w:szCs w:val="28"/>
        </w:rPr>
        <w:t xml:space="preserve">   联系电话：15847093936</w:t>
      </w:r>
    </w:p>
    <w:p>
      <w:pPr>
        <w:rPr>
          <w:rFonts w:ascii="宋体" w:hAnsi="宋体"/>
          <w:szCs w:val="28"/>
        </w:rPr>
      </w:pPr>
      <w:r>
        <w:rPr>
          <w:rFonts w:hint="eastAsia" w:ascii="宋体" w:hAnsi="宋体"/>
          <w:szCs w:val="28"/>
        </w:rPr>
        <w:t xml:space="preserve">   采购代理机构：鄂尔多斯市远瑞工程项目管理有限公司</w:t>
      </w:r>
    </w:p>
    <w:p>
      <w:pPr>
        <w:rPr>
          <w:rFonts w:ascii="宋体" w:hAnsi="宋体"/>
          <w:szCs w:val="28"/>
        </w:rPr>
      </w:pPr>
      <w:r>
        <w:rPr>
          <w:rFonts w:hint="eastAsia" w:ascii="宋体" w:hAnsi="宋体"/>
          <w:szCs w:val="28"/>
        </w:rPr>
        <w:t xml:space="preserve">   地址：鄂尔多斯市东胜区天骄北路安厦19层</w:t>
      </w:r>
    </w:p>
    <w:p>
      <w:pPr>
        <w:rPr>
          <w:rFonts w:ascii="宋体" w:hAnsi="宋体"/>
          <w:szCs w:val="28"/>
        </w:rPr>
      </w:pPr>
      <w:r>
        <w:rPr>
          <w:rFonts w:hint="eastAsia" w:ascii="宋体" w:hAnsi="宋体"/>
          <w:szCs w:val="28"/>
        </w:rPr>
        <w:t xml:space="preserve">   联系人：白宝生  </w:t>
      </w:r>
    </w:p>
    <w:p>
      <w:pPr>
        <w:rPr>
          <w:rFonts w:ascii="宋体" w:hAnsi="宋体"/>
          <w:szCs w:val="28"/>
        </w:rPr>
      </w:pPr>
      <w:r>
        <w:rPr>
          <w:rFonts w:hint="eastAsia" w:ascii="宋体" w:hAnsi="宋体"/>
          <w:szCs w:val="28"/>
        </w:rPr>
        <w:t xml:space="preserve">   联系电话：0477-3880681   18904772662</w:t>
      </w:r>
      <w:r>
        <w:rPr>
          <w:rFonts w:hint="eastAsia" w:ascii="宋体" w:hAnsi="宋体"/>
          <w:szCs w:val="28"/>
          <w:lang w:val="en-US" w:eastAsia="zh-CN"/>
        </w:rPr>
        <w:t xml:space="preserve">       </w:t>
      </w:r>
      <w:r>
        <w:rPr>
          <w:rFonts w:hint="eastAsia" w:ascii="宋体" w:hAnsi="宋体"/>
          <w:szCs w:val="28"/>
        </w:rPr>
        <w:t>2017年7月14日</w:t>
      </w:r>
    </w:p>
    <w:p/>
    <w:p>
      <w:pPr>
        <w:tabs>
          <w:tab w:val="left" w:pos="3025"/>
          <w:tab w:val="center" w:pos="4595"/>
        </w:tabs>
        <w:spacing w:line="360" w:lineRule="auto"/>
        <w:ind w:firstLine="3240" w:firstLineChars="900"/>
        <w:rPr>
          <w:rFonts w:ascii="宋体" w:hAnsi="宋体"/>
          <w:bCs/>
          <w:color w:val="000000"/>
          <w:sz w:val="36"/>
          <w:szCs w:val="36"/>
        </w:rPr>
      </w:pPr>
      <w:r>
        <w:rPr>
          <w:rFonts w:hint="eastAsia" w:ascii="宋体" w:hAnsi="宋体"/>
          <w:bCs/>
          <w:color w:val="000000"/>
          <w:sz w:val="36"/>
          <w:szCs w:val="36"/>
        </w:rPr>
        <w:t>投标须知前附表</w:t>
      </w:r>
    </w:p>
    <w:tbl>
      <w:tblPr>
        <w:tblStyle w:val="48"/>
        <w:tblW w:w="917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2241"/>
        <w:gridCol w:w="608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序号</w:t>
            </w:r>
          </w:p>
        </w:tc>
        <w:tc>
          <w:tcPr>
            <w:tcW w:w="2241" w:type="dxa"/>
            <w:tcBorders>
              <w:top w:val="single" w:color="auto" w:sz="4" w:space="0"/>
              <w:left w:val="single" w:color="auto" w:sz="4" w:space="0"/>
              <w:bottom w:val="single" w:color="auto" w:sz="4" w:space="0"/>
              <w:right w:val="single" w:color="auto" w:sz="4" w:space="0"/>
            </w:tcBorders>
            <w:vAlign w:val="center"/>
          </w:tcPr>
          <w:p>
            <w:pPr>
              <w:ind w:left="57" w:right="57" w:firstLine="57"/>
              <w:jc w:val="center"/>
              <w:rPr>
                <w:rFonts w:ascii="宋体" w:hAnsi="宋体"/>
                <w:color w:val="000000"/>
                <w:sz w:val="24"/>
                <w:szCs w:val="24"/>
              </w:rPr>
            </w:pPr>
            <w:r>
              <w:rPr>
                <w:rFonts w:hint="eastAsia" w:ascii="宋体" w:hAnsi="宋体"/>
                <w:color w:val="000000"/>
                <w:sz w:val="24"/>
                <w:szCs w:val="24"/>
              </w:rPr>
              <w:t>项    目</w:t>
            </w:r>
          </w:p>
        </w:tc>
        <w:tc>
          <w:tcPr>
            <w:tcW w:w="6081" w:type="dxa"/>
            <w:tcBorders>
              <w:top w:val="single" w:color="auto" w:sz="4" w:space="0"/>
              <w:left w:val="single" w:color="auto" w:sz="4" w:space="0"/>
              <w:bottom w:val="single" w:color="auto" w:sz="4" w:space="0"/>
              <w:right w:val="single" w:color="auto" w:sz="4" w:space="0"/>
            </w:tcBorders>
            <w:vAlign w:val="center"/>
          </w:tcPr>
          <w:p>
            <w:pPr>
              <w:ind w:left="57" w:right="57" w:firstLine="57"/>
              <w:jc w:val="center"/>
              <w:rPr>
                <w:rFonts w:ascii="宋体" w:hAnsi="宋体"/>
                <w:color w:val="000000"/>
                <w:sz w:val="24"/>
                <w:szCs w:val="24"/>
              </w:rPr>
            </w:pPr>
            <w:r>
              <w:rPr>
                <w:rFonts w:hint="eastAsia" w:ascii="宋体" w:hAnsi="宋体"/>
                <w:color w:val="000000"/>
                <w:sz w:val="24"/>
                <w:szCs w:val="24"/>
              </w:rPr>
              <w:t>内           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ind w:left="57" w:right="57" w:firstLine="57"/>
              <w:jc w:val="center"/>
              <w:rPr>
                <w:rFonts w:ascii="宋体" w:hAnsi="宋体"/>
                <w:color w:val="000000"/>
                <w:sz w:val="24"/>
                <w:szCs w:val="24"/>
              </w:rPr>
            </w:pPr>
            <w:r>
              <w:rPr>
                <w:rFonts w:hint="eastAsia" w:ascii="宋体" w:hAnsi="宋体"/>
                <w:color w:val="000000"/>
                <w:sz w:val="24"/>
                <w:szCs w:val="24"/>
              </w:rPr>
              <w:t>1</w:t>
            </w:r>
          </w:p>
        </w:tc>
        <w:tc>
          <w:tcPr>
            <w:tcW w:w="22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项目名称</w:t>
            </w:r>
          </w:p>
        </w:tc>
        <w:tc>
          <w:tcPr>
            <w:tcW w:w="6081" w:type="dxa"/>
            <w:tcBorders>
              <w:top w:val="single" w:color="auto" w:sz="4" w:space="0"/>
              <w:left w:val="single" w:color="auto" w:sz="4" w:space="0"/>
              <w:bottom w:val="single" w:color="auto" w:sz="4" w:space="0"/>
              <w:right w:val="single" w:color="auto" w:sz="4" w:space="0"/>
            </w:tcBorders>
            <w:vAlign w:val="center"/>
          </w:tcPr>
          <w:p>
            <w:pPr>
              <w:spacing w:beforeLines="50"/>
              <w:textAlignment w:val="baseline"/>
              <w:rPr>
                <w:rFonts w:ascii="宋体" w:hAnsi="宋体"/>
                <w:color w:val="000000"/>
                <w:sz w:val="24"/>
                <w:szCs w:val="24"/>
              </w:rPr>
            </w:pPr>
            <w:r>
              <w:rPr>
                <w:rFonts w:hint="eastAsia" w:ascii="宋体" w:hAnsi="宋体"/>
                <w:color w:val="000000"/>
                <w:sz w:val="24"/>
                <w:szCs w:val="24"/>
              </w:rPr>
              <w:t>新兴产业园区专用停车场工程项目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ind w:left="57" w:right="57" w:firstLine="57"/>
              <w:jc w:val="center"/>
              <w:rPr>
                <w:rFonts w:ascii="宋体" w:hAnsi="宋体"/>
                <w:color w:val="000000"/>
                <w:sz w:val="24"/>
                <w:szCs w:val="24"/>
              </w:rPr>
            </w:pPr>
            <w:r>
              <w:rPr>
                <w:rFonts w:hint="eastAsia" w:ascii="宋体" w:hAnsi="宋体"/>
                <w:color w:val="000000"/>
                <w:sz w:val="24"/>
                <w:szCs w:val="24"/>
              </w:rPr>
              <w:t>2</w:t>
            </w:r>
          </w:p>
        </w:tc>
        <w:tc>
          <w:tcPr>
            <w:tcW w:w="22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项目编号</w:t>
            </w:r>
          </w:p>
        </w:tc>
        <w:tc>
          <w:tcPr>
            <w:tcW w:w="6081"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sz w:val="24"/>
                <w:szCs w:val="24"/>
              </w:rPr>
            </w:pPr>
            <w:r>
              <w:rPr>
                <w:rFonts w:hint="eastAsia" w:ascii="宋体" w:hAnsi="宋体"/>
                <w:color w:val="000000"/>
                <w:sz w:val="24"/>
                <w:szCs w:val="24"/>
              </w:rPr>
              <w:t>CG2017GGK1499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8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ind w:left="57" w:right="57" w:firstLine="57"/>
              <w:jc w:val="center"/>
              <w:rPr>
                <w:rFonts w:ascii="宋体" w:hAnsi="宋体"/>
                <w:color w:val="000000"/>
                <w:sz w:val="24"/>
                <w:szCs w:val="24"/>
              </w:rPr>
            </w:pPr>
            <w:r>
              <w:rPr>
                <w:rFonts w:hint="eastAsia" w:ascii="宋体" w:hAnsi="宋体"/>
                <w:color w:val="000000"/>
                <w:sz w:val="24"/>
                <w:szCs w:val="24"/>
              </w:rPr>
              <w:t>3</w:t>
            </w:r>
          </w:p>
        </w:tc>
        <w:tc>
          <w:tcPr>
            <w:tcW w:w="22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采购人</w:t>
            </w:r>
          </w:p>
        </w:tc>
        <w:tc>
          <w:tcPr>
            <w:tcW w:w="6081"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sz w:val="24"/>
                <w:szCs w:val="24"/>
              </w:rPr>
            </w:pPr>
            <w:r>
              <w:rPr>
                <w:rFonts w:hint="eastAsia" w:ascii="宋体" w:hAnsi="宋体"/>
                <w:color w:val="000000"/>
                <w:sz w:val="24"/>
                <w:szCs w:val="24"/>
              </w:rPr>
              <w:t>单位名称：鄂尔多斯新能源产业示范区管理委员会</w:t>
            </w:r>
          </w:p>
          <w:p>
            <w:pPr>
              <w:jc w:val="left"/>
              <w:rPr>
                <w:rFonts w:ascii="宋体" w:hAnsi="宋体"/>
                <w:color w:val="000000"/>
                <w:sz w:val="24"/>
                <w:szCs w:val="24"/>
              </w:rPr>
            </w:pPr>
            <w:r>
              <w:rPr>
                <w:rFonts w:hint="eastAsia" w:ascii="宋体" w:hAnsi="宋体"/>
                <w:color w:val="000000"/>
                <w:sz w:val="24"/>
                <w:szCs w:val="24"/>
              </w:rPr>
              <w:t>地址：杭锦旗锡尼镇</w:t>
            </w:r>
          </w:p>
          <w:p>
            <w:pPr>
              <w:jc w:val="left"/>
              <w:rPr>
                <w:rFonts w:ascii="宋体" w:hAnsi="宋体"/>
                <w:color w:val="000000"/>
                <w:sz w:val="24"/>
                <w:szCs w:val="24"/>
              </w:rPr>
            </w:pPr>
            <w:r>
              <w:rPr>
                <w:rFonts w:hint="eastAsia" w:ascii="宋体" w:hAnsi="宋体"/>
                <w:color w:val="000000"/>
                <w:sz w:val="24"/>
                <w:szCs w:val="24"/>
              </w:rPr>
              <w:t>联系人：黄勇</w:t>
            </w:r>
          </w:p>
          <w:p>
            <w:pPr>
              <w:jc w:val="left"/>
              <w:rPr>
                <w:rFonts w:ascii="宋体" w:hAnsi="宋体"/>
                <w:color w:val="000000"/>
                <w:sz w:val="24"/>
                <w:szCs w:val="24"/>
              </w:rPr>
            </w:pPr>
            <w:r>
              <w:rPr>
                <w:rFonts w:hint="eastAsia" w:ascii="宋体" w:hAnsi="宋体"/>
                <w:color w:val="000000"/>
                <w:sz w:val="24"/>
                <w:szCs w:val="24"/>
              </w:rPr>
              <w:t>电  话：15847093936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9"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ind w:left="57" w:right="57" w:firstLine="57"/>
              <w:jc w:val="center"/>
              <w:rPr>
                <w:rFonts w:ascii="宋体" w:hAnsi="宋体"/>
                <w:color w:val="000000"/>
                <w:sz w:val="24"/>
                <w:szCs w:val="24"/>
              </w:rPr>
            </w:pPr>
            <w:r>
              <w:rPr>
                <w:rFonts w:hint="eastAsia" w:ascii="宋体" w:hAnsi="宋体"/>
                <w:color w:val="000000"/>
                <w:sz w:val="24"/>
                <w:szCs w:val="24"/>
              </w:rPr>
              <w:t>4</w:t>
            </w:r>
          </w:p>
        </w:tc>
        <w:tc>
          <w:tcPr>
            <w:tcW w:w="22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采购机构</w:t>
            </w:r>
          </w:p>
        </w:tc>
        <w:tc>
          <w:tcPr>
            <w:tcW w:w="6081"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sz w:val="24"/>
                <w:szCs w:val="24"/>
              </w:rPr>
            </w:pPr>
            <w:r>
              <w:rPr>
                <w:rFonts w:hint="eastAsia" w:ascii="宋体" w:hAnsi="宋体"/>
                <w:color w:val="000000"/>
                <w:sz w:val="24"/>
                <w:szCs w:val="24"/>
              </w:rPr>
              <w:t>名称：鄂尔多斯市远瑞工程项目管理有限公司</w:t>
            </w:r>
          </w:p>
          <w:p>
            <w:pPr>
              <w:jc w:val="left"/>
              <w:rPr>
                <w:rFonts w:ascii="宋体" w:hAnsi="宋体"/>
                <w:color w:val="000000"/>
                <w:sz w:val="24"/>
                <w:szCs w:val="24"/>
              </w:rPr>
            </w:pPr>
            <w:r>
              <w:rPr>
                <w:rFonts w:hint="eastAsia" w:ascii="宋体" w:hAnsi="宋体"/>
                <w:color w:val="000000"/>
                <w:sz w:val="24"/>
                <w:szCs w:val="24"/>
              </w:rPr>
              <w:t>地址：鄂尔多斯市东胜区天骄北路安厦19层</w:t>
            </w:r>
          </w:p>
          <w:p>
            <w:pPr>
              <w:jc w:val="left"/>
              <w:rPr>
                <w:rFonts w:ascii="宋体" w:hAnsi="宋体"/>
                <w:color w:val="000000"/>
                <w:sz w:val="24"/>
                <w:szCs w:val="24"/>
              </w:rPr>
            </w:pPr>
            <w:r>
              <w:rPr>
                <w:rFonts w:hint="eastAsia" w:ascii="宋体" w:hAnsi="宋体"/>
                <w:color w:val="000000"/>
                <w:sz w:val="24"/>
                <w:szCs w:val="24"/>
              </w:rPr>
              <w:t>联系人：白宝生</w:t>
            </w:r>
          </w:p>
          <w:p>
            <w:pPr>
              <w:jc w:val="left"/>
              <w:rPr>
                <w:rFonts w:ascii="宋体" w:hAnsi="宋体"/>
                <w:color w:val="000000"/>
                <w:sz w:val="24"/>
                <w:szCs w:val="24"/>
              </w:rPr>
            </w:pPr>
            <w:r>
              <w:rPr>
                <w:rFonts w:hint="eastAsia" w:ascii="宋体" w:hAnsi="宋体"/>
                <w:color w:val="000000"/>
                <w:sz w:val="24"/>
                <w:szCs w:val="24"/>
              </w:rPr>
              <w:t>联系电话：0477-3880681   18904772662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ind w:left="57" w:right="57" w:firstLine="57"/>
              <w:jc w:val="center"/>
              <w:rPr>
                <w:rFonts w:ascii="宋体" w:hAnsi="宋体"/>
                <w:color w:val="000000"/>
                <w:sz w:val="24"/>
                <w:szCs w:val="24"/>
              </w:rPr>
            </w:pPr>
            <w:r>
              <w:rPr>
                <w:rFonts w:hint="eastAsia" w:ascii="宋体" w:hAnsi="宋体"/>
                <w:color w:val="000000"/>
                <w:sz w:val="24"/>
                <w:szCs w:val="24"/>
              </w:rPr>
              <w:t>5</w:t>
            </w:r>
          </w:p>
        </w:tc>
        <w:tc>
          <w:tcPr>
            <w:tcW w:w="22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投标文件数量</w:t>
            </w:r>
          </w:p>
        </w:tc>
        <w:tc>
          <w:tcPr>
            <w:tcW w:w="6081" w:type="dxa"/>
            <w:tcBorders>
              <w:top w:val="single" w:color="auto" w:sz="4" w:space="0"/>
              <w:left w:val="single" w:color="auto" w:sz="4" w:space="0"/>
              <w:bottom w:val="single" w:color="auto" w:sz="4" w:space="0"/>
              <w:right w:val="single" w:color="auto" w:sz="4" w:space="0"/>
            </w:tcBorders>
            <w:vAlign w:val="center"/>
          </w:tcPr>
          <w:p>
            <w:pPr>
              <w:ind w:left="-140" w:leftChars="-50" w:right="-140" w:rightChars="-50"/>
              <w:rPr>
                <w:rFonts w:ascii="宋体" w:hAnsi="宋体"/>
                <w:color w:val="000000"/>
                <w:sz w:val="24"/>
                <w:szCs w:val="24"/>
              </w:rPr>
            </w:pPr>
            <w:r>
              <w:rPr>
                <w:rFonts w:hint="eastAsia" w:ascii="宋体" w:hAnsi="宋体"/>
                <w:color w:val="000000"/>
                <w:sz w:val="24"/>
                <w:szCs w:val="24"/>
              </w:rPr>
              <w:t>正本1份  副本 4 份，电子光盘1份（光盘上标明供应商名称）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ind w:left="57" w:right="57" w:firstLine="57"/>
              <w:rPr>
                <w:rFonts w:ascii="宋体" w:hAnsi="宋体"/>
                <w:color w:val="000000"/>
                <w:sz w:val="24"/>
                <w:szCs w:val="24"/>
              </w:rPr>
            </w:pPr>
            <w:r>
              <w:rPr>
                <w:rFonts w:hint="eastAsia" w:ascii="宋体" w:hAnsi="宋体"/>
                <w:color w:val="000000"/>
                <w:sz w:val="24"/>
                <w:szCs w:val="24"/>
              </w:rPr>
              <w:t xml:space="preserve"> 6</w:t>
            </w:r>
          </w:p>
        </w:tc>
        <w:tc>
          <w:tcPr>
            <w:tcW w:w="22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投标文件技术部分</w:t>
            </w:r>
          </w:p>
        </w:tc>
        <w:tc>
          <w:tcPr>
            <w:tcW w:w="6081" w:type="dxa"/>
            <w:tcBorders>
              <w:top w:val="single" w:color="auto" w:sz="4" w:space="0"/>
              <w:left w:val="single" w:color="auto" w:sz="4" w:space="0"/>
              <w:bottom w:val="single" w:color="auto" w:sz="4" w:space="0"/>
              <w:right w:val="single" w:color="auto" w:sz="4" w:space="0"/>
            </w:tcBorders>
            <w:vAlign w:val="center"/>
          </w:tcPr>
          <w:p>
            <w:pPr>
              <w:ind w:left="-140" w:leftChars="-50" w:right="-140" w:rightChars="-50" w:firstLine="120" w:firstLineChars="50"/>
              <w:rPr>
                <w:rFonts w:ascii="宋体" w:hAnsi="宋体"/>
                <w:color w:val="000000"/>
                <w:sz w:val="24"/>
                <w:szCs w:val="24"/>
              </w:rPr>
            </w:pPr>
            <w:r>
              <w:rPr>
                <w:rFonts w:hint="eastAsia" w:ascii="宋体" w:hAnsi="宋体"/>
                <w:color w:val="000000"/>
                <w:sz w:val="24"/>
                <w:szCs w:val="24"/>
              </w:rPr>
              <w:t>明标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ind w:left="57" w:right="57" w:firstLine="57"/>
              <w:rPr>
                <w:rFonts w:ascii="宋体" w:hAnsi="宋体"/>
                <w:color w:val="000000"/>
                <w:sz w:val="24"/>
                <w:szCs w:val="24"/>
              </w:rPr>
            </w:pPr>
            <w:r>
              <w:rPr>
                <w:rFonts w:hint="eastAsia" w:ascii="宋体" w:hAnsi="宋体"/>
                <w:color w:val="000000"/>
                <w:sz w:val="24"/>
                <w:szCs w:val="24"/>
              </w:rPr>
              <w:t xml:space="preserve"> 7</w:t>
            </w:r>
          </w:p>
        </w:tc>
        <w:tc>
          <w:tcPr>
            <w:tcW w:w="22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建设规模</w:t>
            </w:r>
          </w:p>
        </w:tc>
        <w:tc>
          <w:tcPr>
            <w:tcW w:w="6081" w:type="dxa"/>
            <w:tcBorders>
              <w:top w:val="single" w:color="auto" w:sz="4" w:space="0"/>
              <w:left w:val="single" w:color="auto" w:sz="4" w:space="0"/>
              <w:bottom w:val="single" w:color="auto" w:sz="4" w:space="0"/>
              <w:right w:val="single" w:color="auto" w:sz="4" w:space="0"/>
            </w:tcBorders>
            <w:vAlign w:val="center"/>
          </w:tcPr>
          <w:p>
            <w:pPr>
              <w:ind w:left="-20" w:right="-140" w:rightChars="-50"/>
              <w:rPr>
                <w:rFonts w:ascii="宋体" w:hAnsi="宋体"/>
                <w:color w:val="000000"/>
                <w:sz w:val="24"/>
                <w:szCs w:val="24"/>
              </w:rPr>
            </w:pPr>
            <w:r>
              <w:rPr>
                <w:rFonts w:hint="eastAsia" w:ascii="宋体" w:hAnsi="宋体"/>
                <w:color w:val="000000"/>
                <w:sz w:val="24"/>
                <w:szCs w:val="24"/>
              </w:rPr>
              <w:t>停车场面积30270㎡，整平，碾压后铺筑下层20cm天然砂砾垫层，面层铺筑5cm级配机轧碎石；两个路口总面积为433.5㎡，为C35砼面层；停车场采用护栏围封。护栏高度2.0m，周长868m</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ind w:left="57" w:right="57" w:firstLine="57"/>
              <w:rPr>
                <w:rFonts w:ascii="宋体" w:hAnsi="宋体"/>
                <w:color w:val="000000"/>
                <w:sz w:val="24"/>
                <w:szCs w:val="24"/>
              </w:rPr>
            </w:pPr>
            <w:r>
              <w:rPr>
                <w:rFonts w:hint="eastAsia" w:ascii="宋体" w:hAnsi="宋体"/>
                <w:color w:val="000000"/>
                <w:sz w:val="24"/>
                <w:szCs w:val="24"/>
              </w:rPr>
              <w:t xml:space="preserve"> 8</w:t>
            </w:r>
          </w:p>
        </w:tc>
        <w:tc>
          <w:tcPr>
            <w:tcW w:w="22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评标办法</w:t>
            </w:r>
          </w:p>
        </w:tc>
        <w:tc>
          <w:tcPr>
            <w:tcW w:w="6081" w:type="dxa"/>
            <w:tcBorders>
              <w:top w:val="single" w:color="auto" w:sz="4" w:space="0"/>
              <w:left w:val="single" w:color="auto" w:sz="4" w:space="0"/>
              <w:bottom w:val="single" w:color="auto" w:sz="4" w:space="0"/>
              <w:right w:val="single" w:color="auto" w:sz="4" w:space="0"/>
            </w:tcBorders>
            <w:vAlign w:val="center"/>
          </w:tcPr>
          <w:p>
            <w:pPr>
              <w:ind w:left="-140" w:leftChars="-50" w:right="-140" w:rightChars="-50" w:firstLine="120" w:firstLineChars="50"/>
              <w:rPr>
                <w:rFonts w:ascii="宋体" w:hAnsi="宋体"/>
                <w:color w:val="000000"/>
                <w:sz w:val="24"/>
                <w:szCs w:val="24"/>
              </w:rPr>
            </w:pPr>
            <w:r>
              <w:rPr>
                <w:rFonts w:hint="eastAsia" w:ascii="宋体" w:hAnsi="宋体"/>
                <w:color w:val="000000"/>
                <w:sz w:val="24"/>
                <w:szCs w:val="24"/>
              </w:rPr>
              <w:t>最低评标价法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ind w:left="57" w:right="57" w:firstLine="57"/>
              <w:jc w:val="center"/>
              <w:rPr>
                <w:rFonts w:ascii="宋体" w:hAnsi="宋体"/>
                <w:color w:val="000000"/>
                <w:sz w:val="24"/>
                <w:szCs w:val="24"/>
              </w:rPr>
            </w:pPr>
            <w:r>
              <w:rPr>
                <w:rFonts w:hint="eastAsia" w:ascii="宋体" w:hAnsi="宋体"/>
                <w:color w:val="000000"/>
                <w:sz w:val="24"/>
                <w:szCs w:val="24"/>
              </w:rPr>
              <w:t>9</w:t>
            </w:r>
          </w:p>
        </w:tc>
        <w:tc>
          <w:tcPr>
            <w:tcW w:w="22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投标有效期</w:t>
            </w:r>
          </w:p>
        </w:tc>
        <w:tc>
          <w:tcPr>
            <w:tcW w:w="6081" w:type="dxa"/>
            <w:tcBorders>
              <w:top w:val="single" w:color="auto" w:sz="4" w:space="0"/>
              <w:left w:val="single" w:color="auto" w:sz="4" w:space="0"/>
              <w:bottom w:val="single" w:color="auto" w:sz="4" w:space="0"/>
              <w:right w:val="single" w:color="auto" w:sz="4" w:space="0"/>
            </w:tcBorders>
            <w:vAlign w:val="center"/>
          </w:tcPr>
          <w:p>
            <w:pPr>
              <w:ind w:left="-140" w:leftChars="-50" w:right="-140" w:rightChars="-50" w:firstLine="175" w:firstLineChars="73"/>
              <w:rPr>
                <w:rFonts w:ascii="宋体" w:hAnsi="宋体"/>
                <w:color w:val="000000"/>
                <w:sz w:val="24"/>
                <w:szCs w:val="24"/>
              </w:rPr>
            </w:pPr>
            <w:r>
              <w:rPr>
                <w:rFonts w:hint="eastAsia" w:ascii="宋体" w:hAnsi="宋体"/>
                <w:color w:val="000000"/>
                <w:sz w:val="24"/>
                <w:szCs w:val="24"/>
              </w:rPr>
              <w:t>投标截止之日起60日历天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ind w:left="57" w:right="57" w:firstLine="57"/>
              <w:jc w:val="center"/>
              <w:rPr>
                <w:rFonts w:ascii="宋体" w:hAnsi="宋体"/>
                <w:color w:val="000000"/>
                <w:sz w:val="24"/>
                <w:szCs w:val="24"/>
              </w:rPr>
            </w:pPr>
            <w:r>
              <w:rPr>
                <w:rFonts w:hint="eastAsia" w:ascii="宋体" w:hAnsi="宋体"/>
                <w:color w:val="000000"/>
                <w:sz w:val="24"/>
                <w:szCs w:val="24"/>
              </w:rPr>
              <w:t>10</w:t>
            </w:r>
          </w:p>
        </w:tc>
        <w:tc>
          <w:tcPr>
            <w:tcW w:w="22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投标文件递交时间</w:t>
            </w:r>
          </w:p>
        </w:tc>
        <w:tc>
          <w:tcPr>
            <w:tcW w:w="6081" w:type="dxa"/>
            <w:tcBorders>
              <w:top w:val="single" w:color="auto" w:sz="4" w:space="0"/>
              <w:left w:val="single" w:color="auto" w:sz="4" w:space="0"/>
              <w:bottom w:val="single" w:color="auto" w:sz="4" w:space="0"/>
              <w:right w:val="single" w:color="auto" w:sz="4" w:space="0"/>
            </w:tcBorders>
            <w:vAlign w:val="center"/>
          </w:tcPr>
          <w:p>
            <w:pPr>
              <w:ind w:left="-140" w:leftChars="-50" w:right="-140" w:rightChars="-50" w:firstLine="175" w:firstLineChars="73"/>
              <w:rPr>
                <w:rFonts w:ascii="宋体" w:hAnsi="宋体"/>
                <w:color w:val="000000"/>
                <w:sz w:val="24"/>
                <w:szCs w:val="24"/>
              </w:rPr>
            </w:pPr>
            <w:r>
              <w:rPr>
                <w:rFonts w:hint="eastAsia" w:ascii="宋体" w:hAnsi="宋体"/>
                <w:color w:val="000000"/>
                <w:sz w:val="24"/>
                <w:szCs w:val="24"/>
              </w:rPr>
              <w:t>2017年8月7日下午14:30-15:00时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ind w:left="57" w:right="57" w:firstLine="57"/>
              <w:jc w:val="center"/>
              <w:rPr>
                <w:rFonts w:ascii="宋体" w:hAnsi="宋体"/>
                <w:color w:val="000000"/>
                <w:sz w:val="24"/>
                <w:szCs w:val="24"/>
              </w:rPr>
            </w:pPr>
            <w:r>
              <w:rPr>
                <w:rFonts w:hint="eastAsia" w:ascii="宋体" w:hAnsi="宋体"/>
                <w:color w:val="000000"/>
                <w:sz w:val="24"/>
                <w:szCs w:val="24"/>
              </w:rPr>
              <w:t>11</w:t>
            </w:r>
          </w:p>
        </w:tc>
        <w:tc>
          <w:tcPr>
            <w:tcW w:w="22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开标时间</w:t>
            </w:r>
          </w:p>
        </w:tc>
        <w:tc>
          <w:tcPr>
            <w:tcW w:w="6081" w:type="dxa"/>
            <w:tcBorders>
              <w:top w:val="single" w:color="auto" w:sz="4" w:space="0"/>
              <w:left w:val="single" w:color="auto" w:sz="4" w:space="0"/>
              <w:bottom w:val="single" w:color="auto" w:sz="4" w:space="0"/>
              <w:right w:val="single" w:color="auto" w:sz="4" w:space="0"/>
            </w:tcBorders>
            <w:vAlign w:val="center"/>
          </w:tcPr>
          <w:p>
            <w:pPr>
              <w:ind w:left="-140" w:leftChars="-50" w:right="-140" w:rightChars="-50" w:firstLine="175" w:firstLineChars="73"/>
              <w:rPr>
                <w:rFonts w:ascii="宋体" w:hAnsi="宋体"/>
                <w:color w:val="000000"/>
                <w:sz w:val="24"/>
                <w:szCs w:val="24"/>
              </w:rPr>
            </w:pPr>
            <w:r>
              <w:rPr>
                <w:rFonts w:hint="eastAsia" w:ascii="宋体" w:hAnsi="宋体"/>
                <w:color w:val="000000"/>
                <w:sz w:val="24"/>
                <w:szCs w:val="24"/>
              </w:rPr>
              <w:t>2017年8月7日上午15:00时整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3"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ind w:left="57" w:right="57" w:firstLine="57"/>
              <w:jc w:val="center"/>
              <w:rPr>
                <w:rFonts w:ascii="宋体" w:hAnsi="宋体"/>
                <w:color w:val="000000"/>
                <w:sz w:val="24"/>
                <w:szCs w:val="24"/>
              </w:rPr>
            </w:pPr>
            <w:r>
              <w:rPr>
                <w:rFonts w:hint="eastAsia" w:ascii="宋体" w:hAnsi="宋体"/>
                <w:color w:val="000000"/>
                <w:sz w:val="24"/>
                <w:szCs w:val="24"/>
              </w:rPr>
              <w:t>12</w:t>
            </w:r>
          </w:p>
        </w:tc>
        <w:tc>
          <w:tcPr>
            <w:tcW w:w="22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开标地点</w:t>
            </w:r>
          </w:p>
        </w:tc>
        <w:tc>
          <w:tcPr>
            <w:tcW w:w="6081" w:type="dxa"/>
            <w:tcBorders>
              <w:top w:val="single" w:color="auto" w:sz="4" w:space="0"/>
              <w:left w:val="single" w:color="auto" w:sz="4" w:space="0"/>
              <w:bottom w:val="single" w:color="auto" w:sz="4" w:space="0"/>
              <w:right w:val="single" w:color="auto" w:sz="4" w:space="0"/>
            </w:tcBorders>
            <w:vAlign w:val="center"/>
          </w:tcPr>
          <w:p>
            <w:pPr>
              <w:ind w:left="-140" w:leftChars="-50" w:right="-140" w:rightChars="-50" w:firstLine="175" w:firstLineChars="73"/>
              <w:rPr>
                <w:rFonts w:ascii="宋体" w:hAnsi="宋体"/>
                <w:color w:val="000000"/>
                <w:sz w:val="24"/>
                <w:szCs w:val="24"/>
              </w:rPr>
            </w:pPr>
            <w:r>
              <w:rPr>
                <w:rFonts w:hint="eastAsia" w:ascii="宋体" w:hAnsi="宋体"/>
                <w:color w:val="000000"/>
                <w:kern w:val="0"/>
                <w:sz w:val="24"/>
                <w:szCs w:val="24"/>
              </w:rPr>
              <w:t>杭锦旗锡尼镇杭锦大街武装部西侧办公楼6楼开标室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ind w:left="57" w:right="57" w:firstLine="57"/>
              <w:jc w:val="center"/>
              <w:rPr>
                <w:rFonts w:ascii="宋体" w:hAnsi="宋体"/>
                <w:color w:val="000000"/>
                <w:sz w:val="24"/>
                <w:szCs w:val="24"/>
              </w:rPr>
            </w:pPr>
            <w:r>
              <w:rPr>
                <w:rFonts w:hint="eastAsia" w:ascii="宋体" w:hAnsi="宋体"/>
                <w:color w:val="000000"/>
                <w:sz w:val="24"/>
                <w:szCs w:val="24"/>
              </w:rPr>
              <w:t>13</w:t>
            </w:r>
          </w:p>
        </w:tc>
        <w:tc>
          <w:tcPr>
            <w:tcW w:w="22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工期、工程质量及地点</w:t>
            </w:r>
          </w:p>
        </w:tc>
        <w:tc>
          <w:tcPr>
            <w:tcW w:w="6081" w:type="dxa"/>
            <w:tcBorders>
              <w:top w:val="single" w:color="auto" w:sz="4" w:space="0"/>
              <w:left w:val="single" w:color="auto" w:sz="4" w:space="0"/>
              <w:bottom w:val="single" w:color="auto" w:sz="4" w:space="0"/>
              <w:right w:val="single" w:color="auto" w:sz="4" w:space="0"/>
            </w:tcBorders>
            <w:vAlign w:val="center"/>
          </w:tcPr>
          <w:p>
            <w:pPr>
              <w:pStyle w:val="43"/>
              <w:snapToGrid w:val="0"/>
              <w:spacing w:before="0" w:beforeAutospacing="0" w:after="0" w:afterAutospacing="0" w:line="340" w:lineRule="exact"/>
              <w:rPr>
                <w:color w:val="000000"/>
                <w:kern w:val="2"/>
              </w:rPr>
            </w:pPr>
            <w:r>
              <w:rPr>
                <w:rFonts w:hint="eastAsia"/>
                <w:color w:val="000000"/>
                <w:kern w:val="2"/>
              </w:rPr>
              <w:t>工期：签订合同后20日历天</w:t>
            </w:r>
          </w:p>
          <w:p>
            <w:pPr>
              <w:pStyle w:val="43"/>
              <w:snapToGrid w:val="0"/>
              <w:spacing w:before="0" w:beforeAutospacing="0" w:after="0" w:afterAutospacing="0" w:line="340" w:lineRule="exact"/>
              <w:rPr>
                <w:color w:val="000000"/>
                <w:kern w:val="2"/>
              </w:rPr>
            </w:pPr>
            <w:r>
              <w:rPr>
                <w:rFonts w:hint="eastAsia"/>
                <w:color w:val="000000"/>
                <w:kern w:val="2"/>
              </w:rPr>
              <w:t>工程质量：符合国家质量验收标准，达到合格工程</w:t>
            </w:r>
          </w:p>
          <w:p>
            <w:pPr>
              <w:pStyle w:val="43"/>
              <w:snapToGrid w:val="0"/>
              <w:spacing w:before="0" w:beforeAutospacing="0" w:after="0" w:afterAutospacing="0" w:line="340" w:lineRule="exact"/>
              <w:rPr>
                <w:color w:val="000000"/>
              </w:rPr>
            </w:pPr>
            <w:r>
              <w:rPr>
                <w:rFonts w:hint="eastAsia"/>
                <w:color w:val="000000"/>
              </w:rPr>
              <w:t>地点：杭锦旗锡尼镇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ind w:left="57" w:right="57" w:firstLine="57"/>
              <w:jc w:val="center"/>
              <w:rPr>
                <w:rFonts w:ascii="宋体" w:hAnsi="宋体"/>
                <w:color w:val="000000"/>
                <w:sz w:val="24"/>
                <w:szCs w:val="24"/>
              </w:rPr>
            </w:pPr>
            <w:r>
              <w:rPr>
                <w:rFonts w:hint="eastAsia" w:ascii="宋体" w:hAnsi="宋体"/>
                <w:color w:val="000000"/>
                <w:sz w:val="24"/>
                <w:szCs w:val="24"/>
              </w:rPr>
              <w:t>14</w:t>
            </w:r>
          </w:p>
        </w:tc>
        <w:tc>
          <w:tcPr>
            <w:tcW w:w="22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投标保证金</w:t>
            </w:r>
          </w:p>
        </w:tc>
        <w:tc>
          <w:tcPr>
            <w:tcW w:w="6081" w:type="dxa"/>
            <w:tcBorders>
              <w:top w:val="single" w:color="auto" w:sz="4" w:space="0"/>
              <w:left w:val="single" w:color="auto" w:sz="4" w:space="0"/>
              <w:bottom w:val="single" w:color="auto" w:sz="4" w:space="0"/>
              <w:right w:val="single" w:color="auto" w:sz="4" w:space="0"/>
            </w:tcBorders>
            <w:vAlign w:val="center"/>
          </w:tcPr>
          <w:p>
            <w:pPr>
              <w:ind w:left="-140" w:leftChars="-50" w:right="-140" w:rightChars="-50" w:firstLine="175" w:firstLineChars="73"/>
              <w:rPr>
                <w:rFonts w:ascii="宋体" w:hAnsi="宋体"/>
                <w:color w:val="000000"/>
                <w:kern w:val="0"/>
                <w:sz w:val="24"/>
                <w:szCs w:val="24"/>
              </w:rPr>
            </w:pPr>
            <w:r>
              <w:rPr>
                <w:rFonts w:hint="eastAsia" w:ascii="宋体" w:hAnsi="宋体"/>
                <w:color w:val="000000"/>
                <w:kern w:val="0"/>
                <w:sz w:val="24"/>
                <w:szCs w:val="24"/>
              </w:rPr>
              <w:t>缴纳金额：20000元</w:t>
            </w:r>
          </w:p>
          <w:p>
            <w:pPr>
              <w:ind w:left="-140" w:leftChars="-50" w:right="-140" w:rightChars="-50" w:firstLine="175" w:firstLineChars="73"/>
              <w:rPr>
                <w:rFonts w:ascii="宋体" w:hAnsi="宋体"/>
                <w:color w:val="000000"/>
                <w:kern w:val="0"/>
                <w:sz w:val="24"/>
                <w:szCs w:val="24"/>
              </w:rPr>
            </w:pPr>
            <w:r>
              <w:rPr>
                <w:rFonts w:hint="eastAsia" w:ascii="宋体" w:hAnsi="宋体"/>
                <w:color w:val="000000"/>
                <w:kern w:val="0"/>
                <w:sz w:val="24"/>
                <w:szCs w:val="24"/>
              </w:rPr>
              <w:t>户名：杭锦旗公共资源交易中心</w:t>
            </w:r>
          </w:p>
          <w:p>
            <w:pPr>
              <w:ind w:left="-140" w:leftChars="-50" w:right="-140" w:rightChars="-50" w:firstLine="175" w:firstLineChars="73"/>
              <w:rPr>
                <w:rFonts w:ascii="宋体" w:hAnsi="宋体"/>
                <w:color w:val="000000"/>
                <w:kern w:val="0"/>
                <w:sz w:val="24"/>
                <w:szCs w:val="24"/>
              </w:rPr>
            </w:pPr>
            <w:r>
              <w:rPr>
                <w:rFonts w:hint="eastAsia" w:ascii="宋体" w:hAnsi="宋体"/>
                <w:color w:val="000000"/>
                <w:kern w:val="0"/>
                <w:sz w:val="24"/>
                <w:szCs w:val="24"/>
              </w:rPr>
              <w:t>账号：0473，5301，2000，0000，4605</w:t>
            </w:r>
          </w:p>
          <w:p>
            <w:pPr>
              <w:ind w:left="-140" w:leftChars="-50" w:right="-140" w:rightChars="-50" w:firstLine="175" w:firstLineChars="73"/>
              <w:rPr>
                <w:rFonts w:ascii="宋体" w:hAnsi="宋体"/>
                <w:color w:val="000000"/>
                <w:kern w:val="0"/>
                <w:sz w:val="24"/>
                <w:szCs w:val="24"/>
              </w:rPr>
            </w:pPr>
            <w:r>
              <w:rPr>
                <w:rFonts w:hint="eastAsia" w:ascii="宋体" w:hAnsi="宋体"/>
                <w:color w:val="000000"/>
                <w:kern w:val="0"/>
                <w:sz w:val="24"/>
                <w:szCs w:val="24"/>
              </w:rPr>
              <w:t>开户行号：3202，0560，0537</w:t>
            </w:r>
          </w:p>
          <w:p>
            <w:pPr>
              <w:ind w:left="-140" w:leftChars="-50" w:right="-140" w:rightChars="-50" w:firstLine="175" w:firstLineChars="73"/>
              <w:rPr>
                <w:rFonts w:ascii="宋体" w:hAnsi="宋体"/>
                <w:color w:val="000000"/>
                <w:kern w:val="0"/>
                <w:sz w:val="24"/>
                <w:szCs w:val="24"/>
              </w:rPr>
            </w:pPr>
            <w:r>
              <w:rPr>
                <w:rFonts w:hint="eastAsia" w:ascii="宋体" w:hAnsi="宋体"/>
                <w:color w:val="000000"/>
                <w:kern w:val="0"/>
                <w:sz w:val="24"/>
                <w:szCs w:val="24"/>
              </w:rPr>
              <w:t>开户行：杭锦大众村镇银行有限责任公司</w:t>
            </w:r>
          </w:p>
          <w:p>
            <w:pPr>
              <w:ind w:left="-140" w:leftChars="-50" w:right="-140" w:rightChars="-50" w:firstLine="175" w:firstLineChars="73"/>
              <w:rPr>
                <w:rFonts w:ascii="宋体" w:hAnsi="宋体"/>
                <w:color w:val="000000"/>
                <w:kern w:val="0"/>
                <w:sz w:val="24"/>
                <w:szCs w:val="24"/>
              </w:rPr>
            </w:pPr>
            <w:r>
              <w:rPr>
                <w:rFonts w:hint="eastAsia" w:ascii="宋体" w:hAnsi="宋体"/>
                <w:color w:val="000000"/>
                <w:kern w:val="0"/>
                <w:sz w:val="24"/>
                <w:szCs w:val="24"/>
              </w:rPr>
              <w:t>联系人：吴鹏</w:t>
            </w:r>
          </w:p>
          <w:p>
            <w:pPr>
              <w:ind w:left="-140" w:leftChars="-50" w:right="-140" w:rightChars="-50" w:firstLine="175" w:firstLineChars="73"/>
              <w:rPr>
                <w:rFonts w:ascii="宋体" w:hAnsi="宋体"/>
                <w:color w:val="000000"/>
                <w:kern w:val="0"/>
                <w:sz w:val="24"/>
                <w:szCs w:val="24"/>
              </w:rPr>
            </w:pPr>
            <w:r>
              <w:rPr>
                <w:rFonts w:hint="eastAsia" w:ascii="宋体" w:hAnsi="宋体"/>
                <w:color w:val="000000"/>
                <w:kern w:val="0"/>
                <w:sz w:val="24"/>
                <w:szCs w:val="24"/>
              </w:rPr>
              <w:t>电话：0477-6860810</w:t>
            </w:r>
          </w:p>
          <w:p>
            <w:pPr>
              <w:ind w:left="-140" w:leftChars="-50" w:right="-140" w:rightChars="-50" w:firstLine="175" w:firstLineChars="73"/>
              <w:rPr>
                <w:rFonts w:ascii="宋体" w:hAnsi="宋体"/>
                <w:color w:val="000000"/>
                <w:kern w:val="0"/>
                <w:sz w:val="24"/>
                <w:szCs w:val="24"/>
              </w:rPr>
            </w:pPr>
            <w:r>
              <w:rPr>
                <w:rFonts w:hint="eastAsia" w:ascii="宋体" w:hAnsi="宋体"/>
                <w:color w:val="000000"/>
                <w:kern w:val="0"/>
                <w:sz w:val="24"/>
                <w:szCs w:val="24"/>
              </w:rPr>
              <w:t>缴纳方式：投标单位从账户电汇或转账形式转入投标保证金</w:t>
            </w:r>
          </w:p>
          <w:p>
            <w:pPr>
              <w:ind w:left="-140" w:leftChars="-50" w:right="-140" w:rightChars="-50" w:firstLine="175" w:firstLineChars="73"/>
              <w:rPr>
                <w:rFonts w:ascii="宋体" w:hAnsi="宋体"/>
                <w:color w:val="000000"/>
                <w:kern w:val="0"/>
                <w:sz w:val="24"/>
                <w:szCs w:val="24"/>
              </w:rPr>
            </w:pPr>
            <w:r>
              <w:rPr>
                <w:rFonts w:hint="eastAsia" w:ascii="宋体" w:hAnsi="宋体"/>
                <w:color w:val="000000"/>
                <w:kern w:val="0"/>
                <w:sz w:val="24"/>
                <w:szCs w:val="24"/>
              </w:rPr>
              <w:t>缴纳截止时间：2017年7月21日下午17:30时之前（以“投标保证金汇划来账回单”上时间为准）</w:t>
            </w:r>
          </w:p>
          <w:p>
            <w:pPr>
              <w:ind w:left="-140" w:leftChars="-50" w:right="-140" w:rightChars="-50" w:firstLine="175" w:firstLineChars="73"/>
              <w:rPr>
                <w:rFonts w:ascii="宋体" w:hAnsi="宋体"/>
                <w:color w:val="000000"/>
                <w:kern w:val="0"/>
                <w:sz w:val="24"/>
                <w:szCs w:val="24"/>
              </w:rPr>
            </w:pPr>
            <w:r>
              <w:rPr>
                <w:rFonts w:hint="eastAsia" w:ascii="宋体" w:hAnsi="宋体"/>
                <w:color w:val="FF0000"/>
                <w:kern w:val="0"/>
                <w:sz w:val="24"/>
                <w:szCs w:val="24"/>
              </w:rPr>
              <w:t>缴纳要求：投标单位在电汇或转账时在汇款用途或转账用途一栏中，必须注明‘投标保证金缴纳码’。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ind w:left="57" w:right="57" w:firstLine="57"/>
              <w:jc w:val="center"/>
              <w:rPr>
                <w:rFonts w:ascii="宋体" w:hAnsi="宋体"/>
                <w:color w:val="000000"/>
                <w:sz w:val="24"/>
                <w:szCs w:val="24"/>
              </w:rPr>
            </w:pPr>
            <w:r>
              <w:rPr>
                <w:rFonts w:hint="eastAsia" w:ascii="宋体" w:hAnsi="宋体"/>
                <w:color w:val="000000"/>
                <w:sz w:val="24"/>
                <w:szCs w:val="24"/>
              </w:rPr>
              <w:t>15</w:t>
            </w:r>
          </w:p>
        </w:tc>
        <w:tc>
          <w:tcPr>
            <w:tcW w:w="2241" w:type="dxa"/>
            <w:tcBorders>
              <w:top w:val="single" w:color="auto" w:sz="4" w:space="0"/>
              <w:left w:val="single" w:color="auto" w:sz="4" w:space="0"/>
              <w:bottom w:val="single" w:color="auto" w:sz="4" w:space="0"/>
              <w:right w:val="single" w:color="auto" w:sz="4" w:space="0"/>
            </w:tcBorders>
            <w:vAlign w:val="center"/>
          </w:tcPr>
          <w:p>
            <w:pPr>
              <w:pStyle w:val="43"/>
              <w:snapToGrid w:val="0"/>
              <w:spacing w:before="0" w:beforeAutospacing="0" w:after="0" w:afterAutospacing="0" w:line="340" w:lineRule="exact"/>
              <w:jc w:val="center"/>
              <w:rPr>
                <w:color w:val="000000"/>
                <w:kern w:val="2"/>
              </w:rPr>
            </w:pPr>
            <w:r>
              <w:rPr>
                <w:rFonts w:hint="eastAsia"/>
                <w:color w:val="000000"/>
                <w:kern w:val="2"/>
              </w:rPr>
              <w:t>最高限价</w:t>
            </w:r>
          </w:p>
        </w:tc>
        <w:tc>
          <w:tcPr>
            <w:tcW w:w="6081" w:type="dxa"/>
            <w:tcBorders>
              <w:top w:val="single" w:color="auto" w:sz="4" w:space="0"/>
              <w:left w:val="single" w:color="auto" w:sz="4" w:space="0"/>
              <w:bottom w:val="single" w:color="auto" w:sz="4" w:space="0"/>
              <w:right w:val="single" w:color="auto" w:sz="4" w:space="0"/>
            </w:tcBorders>
            <w:vAlign w:val="center"/>
          </w:tcPr>
          <w:p>
            <w:pPr>
              <w:pStyle w:val="43"/>
              <w:snapToGrid w:val="0"/>
              <w:spacing w:before="0" w:beforeAutospacing="0" w:after="0" w:afterAutospacing="0" w:line="340" w:lineRule="exact"/>
              <w:rPr>
                <w:color w:val="000000"/>
                <w:kern w:val="2"/>
              </w:rPr>
            </w:pPr>
            <w:r>
              <w:rPr>
                <w:rFonts w:hint="eastAsia"/>
                <w:color w:val="000000"/>
                <w:kern w:val="2"/>
              </w:rPr>
              <w:t>最高限价：</w:t>
            </w:r>
            <w:r>
              <w:rPr>
                <w:rFonts w:hint="eastAsia"/>
                <w:b/>
                <w:color w:val="000000"/>
                <w:kern w:val="2"/>
              </w:rPr>
              <w:t>1178666元</w:t>
            </w:r>
            <w:r>
              <w:rPr>
                <w:rFonts w:hint="eastAsia"/>
                <w:color w:val="000000"/>
                <w:kern w:val="2"/>
              </w:rPr>
              <w:t>；投标人投标报价不得高于最高限价，否则视为无效投标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ind w:left="57" w:right="57" w:firstLine="57"/>
              <w:jc w:val="center"/>
              <w:rPr>
                <w:rFonts w:ascii="宋体" w:hAnsi="宋体"/>
                <w:color w:val="000000"/>
                <w:sz w:val="24"/>
                <w:szCs w:val="24"/>
              </w:rPr>
            </w:pPr>
            <w:r>
              <w:rPr>
                <w:rFonts w:hint="eastAsia" w:ascii="宋体" w:hAnsi="宋体"/>
                <w:color w:val="000000"/>
                <w:sz w:val="24"/>
                <w:szCs w:val="24"/>
              </w:rPr>
              <w:t>16</w:t>
            </w:r>
          </w:p>
        </w:tc>
        <w:tc>
          <w:tcPr>
            <w:tcW w:w="2241" w:type="dxa"/>
            <w:tcBorders>
              <w:top w:val="single" w:color="auto" w:sz="4" w:space="0"/>
              <w:left w:val="single" w:color="auto" w:sz="4" w:space="0"/>
              <w:bottom w:val="single" w:color="auto" w:sz="4" w:space="0"/>
              <w:right w:val="single" w:color="auto" w:sz="4" w:space="0"/>
            </w:tcBorders>
            <w:vAlign w:val="center"/>
          </w:tcPr>
          <w:p>
            <w:pPr>
              <w:pStyle w:val="43"/>
              <w:snapToGrid w:val="0"/>
              <w:spacing w:before="0" w:beforeAutospacing="0" w:after="0" w:afterAutospacing="0" w:line="340" w:lineRule="exact"/>
              <w:jc w:val="center"/>
              <w:rPr>
                <w:color w:val="000000"/>
                <w:kern w:val="2"/>
              </w:rPr>
            </w:pPr>
            <w:r>
              <w:rPr>
                <w:rFonts w:hint="eastAsia"/>
                <w:color w:val="000000"/>
                <w:kern w:val="2"/>
              </w:rPr>
              <w:t>付款方式</w:t>
            </w:r>
          </w:p>
        </w:tc>
        <w:tc>
          <w:tcPr>
            <w:tcW w:w="6081" w:type="dxa"/>
            <w:tcBorders>
              <w:top w:val="single" w:color="auto" w:sz="4" w:space="0"/>
              <w:left w:val="single" w:color="auto" w:sz="4" w:space="0"/>
              <w:bottom w:val="single" w:color="auto" w:sz="4" w:space="0"/>
              <w:right w:val="single" w:color="auto" w:sz="4" w:space="0"/>
            </w:tcBorders>
            <w:vAlign w:val="center"/>
          </w:tcPr>
          <w:p>
            <w:pPr>
              <w:pStyle w:val="43"/>
              <w:snapToGrid w:val="0"/>
              <w:spacing w:before="0" w:beforeAutospacing="0" w:after="0" w:afterAutospacing="0" w:line="340" w:lineRule="exact"/>
              <w:rPr>
                <w:color w:val="000000"/>
                <w:kern w:val="2"/>
              </w:rPr>
            </w:pPr>
            <w:r>
              <w:rPr>
                <w:rFonts w:hint="eastAsia"/>
                <w:color w:val="000000"/>
                <w:kern w:val="2"/>
              </w:rPr>
              <w:t>本项目无预付款，为分期付款，工程完工后第一年支付合同价的30%，第二年支付合同价的30%，第三年支付合同价的40%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ind w:left="57" w:right="57" w:firstLine="57"/>
              <w:jc w:val="center"/>
              <w:rPr>
                <w:rFonts w:ascii="宋体" w:hAnsi="宋体"/>
                <w:color w:val="000000"/>
                <w:sz w:val="24"/>
                <w:szCs w:val="24"/>
              </w:rPr>
            </w:pPr>
            <w:r>
              <w:rPr>
                <w:rFonts w:hint="eastAsia" w:ascii="宋体" w:hAnsi="宋体"/>
                <w:color w:val="000000"/>
                <w:sz w:val="24"/>
                <w:szCs w:val="24"/>
              </w:rPr>
              <w:t>17</w:t>
            </w:r>
          </w:p>
        </w:tc>
        <w:tc>
          <w:tcPr>
            <w:tcW w:w="2241"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b/>
                <w:bCs/>
                <w:sz w:val="24"/>
              </w:rPr>
              <w:t>履约担保</w:t>
            </w:r>
          </w:p>
        </w:tc>
        <w:tc>
          <w:tcPr>
            <w:tcW w:w="6081" w:type="dxa"/>
            <w:tcBorders>
              <w:top w:val="single" w:color="auto" w:sz="4" w:space="0"/>
              <w:left w:val="single" w:color="auto" w:sz="4" w:space="0"/>
              <w:bottom w:val="single" w:color="auto" w:sz="4" w:space="0"/>
              <w:right w:val="single" w:color="auto" w:sz="4" w:space="0"/>
            </w:tcBorders>
            <w:vAlign w:val="center"/>
          </w:tcPr>
          <w:p>
            <w:pPr>
              <w:spacing w:line="288" w:lineRule="auto"/>
              <w:rPr>
                <w:sz w:val="24"/>
              </w:rPr>
            </w:pPr>
            <w:r>
              <w:rPr>
                <w:rFonts w:hint="eastAsia"/>
                <w:sz w:val="24"/>
              </w:rPr>
              <w:t>履约担保金额：</w:t>
            </w:r>
            <w:r>
              <w:rPr>
                <w:rFonts w:hint="eastAsia"/>
                <w:b/>
                <w:bCs/>
                <w:sz w:val="24"/>
              </w:rPr>
              <w:t>10%签约合同价</w:t>
            </w:r>
          </w:p>
          <w:p>
            <w:pPr>
              <w:spacing w:line="288" w:lineRule="auto"/>
              <w:rPr>
                <w:sz w:val="24"/>
              </w:rPr>
            </w:pPr>
            <w:r>
              <w:rPr>
                <w:rFonts w:hint="eastAsia"/>
                <w:sz w:val="24"/>
              </w:rPr>
              <w:t>履约担保形式：现金、电汇或银行保函</w:t>
            </w:r>
          </w:p>
          <w:p>
            <w:pPr>
              <w:rPr>
                <w:sz w:val="24"/>
              </w:rPr>
            </w:pPr>
            <w:r>
              <w:rPr>
                <w:rFonts w:hint="eastAsia"/>
                <w:sz w:val="24"/>
              </w:rPr>
              <w:t>履约担保的提交时间：收到中标通知书30天内，并在签订合同书之前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ind w:left="57" w:right="57" w:firstLine="57"/>
              <w:jc w:val="center"/>
              <w:rPr>
                <w:rFonts w:ascii="宋体" w:hAnsi="宋体"/>
                <w:color w:val="000000"/>
                <w:sz w:val="24"/>
                <w:szCs w:val="24"/>
              </w:rPr>
            </w:pPr>
            <w:r>
              <w:rPr>
                <w:rFonts w:hint="eastAsia" w:ascii="宋体" w:hAnsi="宋体"/>
                <w:color w:val="000000"/>
                <w:sz w:val="24"/>
                <w:szCs w:val="24"/>
              </w:rPr>
              <w:t>18</w:t>
            </w:r>
          </w:p>
        </w:tc>
        <w:tc>
          <w:tcPr>
            <w:tcW w:w="2241" w:type="dxa"/>
            <w:tcBorders>
              <w:top w:val="single" w:color="auto" w:sz="4" w:space="0"/>
              <w:left w:val="single" w:color="auto" w:sz="4" w:space="0"/>
              <w:bottom w:val="single" w:color="auto" w:sz="4" w:space="0"/>
              <w:right w:val="single" w:color="auto" w:sz="4" w:space="0"/>
            </w:tcBorders>
            <w:vAlign w:val="center"/>
          </w:tcPr>
          <w:p>
            <w:pPr>
              <w:pStyle w:val="43"/>
              <w:snapToGrid w:val="0"/>
              <w:spacing w:before="0" w:beforeAutospacing="0" w:after="0" w:afterAutospacing="0" w:line="340" w:lineRule="exact"/>
              <w:jc w:val="center"/>
              <w:rPr>
                <w:color w:val="000000"/>
                <w:kern w:val="2"/>
              </w:rPr>
            </w:pPr>
            <w:r>
              <w:rPr>
                <w:rFonts w:hint="eastAsia"/>
                <w:color w:val="000000"/>
                <w:kern w:val="2"/>
              </w:rPr>
              <w:t>中标服务费</w:t>
            </w:r>
          </w:p>
        </w:tc>
        <w:tc>
          <w:tcPr>
            <w:tcW w:w="6081" w:type="dxa"/>
            <w:tcBorders>
              <w:top w:val="single" w:color="auto" w:sz="4" w:space="0"/>
              <w:left w:val="single" w:color="auto" w:sz="4" w:space="0"/>
              <w:bottom w:val="single" w:color="auto" w:sz="4" w:space="0"/>
              <w:right w:val="single" w:color="auto" w:sz="4" w:space="0"/>
            </w:tcBorders>
            <w:vAlign w:val="center"/>
          </w:tcPr>
          <w:p>
            <w:pPr>
              <w:pStyle w:val="43"/>
              <w:snapToGrid w:val="0"/>
              <w:spacing w:before="0" w:beforeAutospacing="0" w:after="0" w:afterAutospacing="0" w:line="340" w:lineRule="exact"/>
              <w:rPr>
                <w:color w:val="000000"/>
                <w:kern w:val="2"/>
              </w:rPr>
            </w:pPr>
            <w:r>
              <w:rPr>
                <w:rFonts w:hint="eastAsia"/>
                <w:color w:val="000000"/>
                <w:kern w:val="2"/>
              </w:rPr>
              <w:t>中标服务费：中标服务费由中标人支付。</w:t>
            </w:r>
          </w:p>
          <w:p>
            <w:pPr>
              <w:pStyle w:val="43"/>
              <w:snapToGrid w:val="0"/>
              <w:spacing w:before="0" w:beforeAutospacing="0" w:after="0" w:afterAutospacing="0" w:line="340" w:lineRule="exact"/>
              <w:rPr>
                <w:color w:val="000000"/>
                <w:kern w:val="2"/>
              </w:rPr>
            </w:pPr>
            <w:r>
              <w:rPr>
                <w:rFonts w:hint="eastAsia"/>
                <w:color w:val="000000"/>
                <w:kern w:val="2"/>
              </w:rPr>
              <w:t>以中标通知书中确定的中标总价为计算基数，按照内蒙古自治区工程建设协会文件内工建协（2016）17 号文规定计取收费。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ind w:left="57" w:right="57" w:firstLine="57"/>
              <w:jc w:val="center"/>
              <w:rPr>
                <w:rFonts w:ascii="宋体" w:hAnsi="宋体"/>
                <w:color w:val="000000"/>
                <w:sz w:val="24"/>
                <w:szCs w:val="24"/>
              </w:rPr>
            </w:pPr>
            <w:r>
              <w:rPr>
                <w:rFonts w:hint="eastAsia" w:ascii="宋体" w:hAnsi="宋体"/>
                <w:color w:val="000000"/>
                <w:sz w:val="24"/>
                <w:szCs w:val="24"/>
              </w:rPr>
              <w:t>19</w:t>
            </w:r>
          </w:p>
        </w:tc>
        <w:tc>
          <w:tcPr>
            <w:tcW w:w="2241" w:type="dxa"/>
            <w:tcBorders>
              <w:top w:val="single" w:color="auto" w:sz="4" w:space="0"/>
              <w:left w:val="single" w:color="auto" w:sz="4" w:space="0"/>
              <w:bottom w:val="single" w:color="auto" w:sz="4" w:space="0"/>
              <w:right w:val="single" w:color="auto" w:sz="4" w:space="0"/>
            </w:tcBorders>
            <w:vAlign w:val="center"/>
          </w:tcPr>
          <w:p>
            <w:pPr>
              <w:pStyle w:val="43"/>
              <w:snapToGrid w:val="0"/>
              <w:spacing w:before="0" w:beforeAutospacing="0" w:after="0" w:afterAutospacing="0" w:line="340" w:lineRule="exact"/>
              <w:jc w:val="center"/>
              <w:rPr>
                <w:color w:val="000000"/>
                <w:kern w:val="2"/>
              </w:rPr>
            </w:pPr>
            <w:r>
              <w:rPr>
                <w:rFonts w:hint="eastAsia"/>
                <w:color w:val="000000"/>
                <w:kern w:val="2"/>
              </w:rPr>
              <w:t>授权委托代理人</w:t>
            </w:r>
          </w:p>
        </w:tc>
        <w:tc>
          <w:tcPr>
            <w:tcW w:w="6081" w:type="dxa"/>
            <w:tcBorders>
              <w:top w:val="single" w:color="auto" w:sz="4" w:space="0"/>
              <w:left w:val="single" w:color="auto" w:sz="4" w:space="0"/>
              <w:bottom w:val="single" w:color="auto" w:sz="4" w:space="0"/>
              <w:right w:val="single" w:color="auto" w:sz="4" w:space="0"/>
            </w:tcBorders>
            <w:vAlign w:val="center"/>
          </w:tcPr>
          <w:p>
            <w:pPr>
              <w:pStyle w:val="43"/>
              <w:snapToGrid w:val="0"/>
              <w:spacing w:before="0" w:beforeAutospacing="0" w:after="0" w:afterAutospacing="0" w:line="340" w:lineRule="exact"/>
              <w:rPr>
                <w:color w:val="000000"/>
                <w:kern w:val="2"/>
              </w:rPr>
            </w:pPr>
            <w:r>
              <w:rPr>
                <w:rFonts w:hint="eastAsia"/>
                <w:color w:val="000000"/>
                <w:kern w:val="2"/>
              </w:rPr>
              <w:t>采购人邀请所有投标人的法定代表人或其委托代理人参加开标会，且拟派本项目的项目经理（项目负责人）本人必须到场参加开标会，并在提交投标文件时，向采购人（采购代理机构）提交法定代表人身份证明文件或法定代表人授权委托书，出示本人身份证原件，否则，其投标文件将不予接收（委托代理人必须为本项目的拟派项目经理，提供建造师注册证书、建造师执业资格证、建造师安全生产考核合格证书原件）</w:t>
            </w:r>
          </w:p>
        </w:tc>
      </w:tr>
    </w:tbl>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pStyle w:val="45"/>
        <w:spacing w:line="360" w:lineRule="auto"/>
        <w:rPr>
          <w:rFonts w:ascii="宋体" w:hAnsi="宋体" w:eastAsia="宋体"/>
          <w:b w:val="0"/>
          <w:color w:val="000000"/>
          <w:sz w:val="24"/>
          <w:szCs w:val="24"/>
        </w:rPr>
      </w:pPr>
      <w:bookmarkStart w:id="6" w:name="_Toc487792132"/>
      <w:r>
        <w:rPr>
          <w:rFonts w:hint="eastAsia" w:ascii="宋体" w:hAnsi="宋体" w:eastAsia="宋体"/>
          <w:color w:val="000000"/>
          <w:sz w:val="36"/>
          <w:szCs w:val="36"/>
        </w:rPr>
        <w:t>第一章  报名须知</w:t>
      </w:r>
      <w:bookmarkEnd w:id="6"/>
    </w:p>
    <w:p>
      <w:pPr>
        <w:pStyle w:val="3"/>
        <w:spacing w:line="276" w:lineRule="auto"/>
        <w:rPr>
          <w:rFonts w:ascii="宋体" w:hAnsi="宋体" w:eastAsia="宋体"/>
          <w:color w:val="000000"/>
          <w:sz w:val="28"/>
          <w:szCs w:val="28"/>
        </w:rPr>
      </w:pPr>
      <w:bookmarkStart w:id="7" w:name="_Toc487792133"/>
      <w:bookmarkStart w:id="8" w:name="_Toc422403353"/>
      <w:r>
        <w:rPr>
          <w:rFonts w:hint="eastAsia" w:ascii="宋体" w:hAnsi="宋体" w:eastAsia="宋体"/>
          <w:color w:val="000000"/>
          <w:sz w:val="28"/>
          <w:szCs w:val="28"/>
        </w:rPr>
        <w:t>一、报名方式</w:t>
      </w:r>
      <w:bookmarkEnd w:id="7"/>
    </w:p>
    <w:p>
      <w:pPr>
        <w:pStyle w:val="26"/>
        <w:adjustRightInd w:val="0"/>
        <w:snapToGrid w:val="0"/>
        <w:spacing w:line="360" w:lineRule="auto"/>
        <w:ind w:firstLine="560" w:firstLineChars="200"/>
        <w:rPr>
          <w:rFonts w:hAnsi="宋体" w:cs="Arial"/>
          <w:color w:val="000000"/>
          <w:sz w:val="28"/>
          <w:szCs w:val="28"/>
        </w:rPr>
      </w:pPr>
      <w:r>
        <w:rPr>
          <w:rFonts w:hint="eastAsia" w:hAnsi="宋体" w:cs="Arial"/>
          <w:color w:val="000000"/>
          <w:sz w:val="28"/>
          <w:szCs w:val="28"/>
        </w:rPr>
        <w:t xml:space="preserve"> 1.报名方式采用网上报名</w:t>
      </w:r>
    </w:p>
    <w:p>
      <w:pPr>
        <w:pStyle w:val="26"/>
        <w:adjustRightInd w:val="0"/>
        <w:snapToGrid w:val="0"/>
        <w:spacing w:line="360" w:lineRule="auto"/>
        <w:ind w:firstLine="560" w:firstLineChars="200"/>
        <w:rPr>
          <w:rFonts w:hAnsi="宋体" w:cs="Arial"/>
          <w:color w:val="000000"/>
          <w:sz w:val="28"/>
          <w:szCs w:val="28"/>
        </w:rPr>
      </w:pPr>
      <w:r>
        <w:rPr>
          <w:rFonts w:hint="eastAsia" w:hAnsi="宋体" w:cs="Arial"/>
          <w:color w:val="000000"/>
          <w:sz w:val="28"/>
          <w:szCs w:val="28"/>
        </w:rPr>
        <w:t xml:space="preserve"> 2.填写报名信息。登录鄂尔多斯市公共资源交易中心网站（</w:t>
      </w:r>
      <w:r>
        <w:fldChar w:fldCharType="begin"/>
      </w:r>
      <w:r>
        <w:instrText xml:space="preserve"> HYPERLINK "http://www.ordosggzyjy.com" </w:instrText>
      </w:r>
      <w:r>
        <w:fldChar w:fldCharType="separate"/>
      </w:r>
      <w:r>
        <w:rPr>
          <w:rFonts w:hint="eastAsia" w:hAnsi="宋体" w:cs="Arial"/>
          <w:color w:val="000000"/>
          <w:sz w:val="28"/>
          <w:szCs w:val="28"/>
        </w:rPr>
        <w:t>http://www.ordosggzyjy.com</w:t>
      </w:r>
      <w:r>
        <w:rPr>
          <w:rFonts w:hint="eastAsia" w:hAnsi="宋体" w:cs="Arial"/>
          <w:color w:val="000000"/>
          <w:sz w:val="28"/>
          <w:szCs w:val="28"/>
        </w:rPr>
        <w:fldChar w:fldCharType="end"/>
      </w:r>
      <w:r>
        <w:rPr>
          <w:rFonts w:hint="eastAsia" w:hAnsi="宋体" w:cs="Arial"/>
          <w:color w:val="000000"/>
          <w:sz w:val="28"/>
          <w:szCs w:val="28"/>
        </w:rPr>
        <w:t>）或杭锦旗公共资源交易网（</w:t>
      </w:r>
      <w:r>
        <w:fldChar w:fldCharType="begin"/>
      </w:r>
      <w:r>
        <w:instrText xml:space="preserve"> HYPERLINK "http://www.ordosggzyjy.com/TPFront_hjq/" </w:instrText>
      </w:r>
      <w:r>
        <w:fldChar w:fldCharType="separate"/>
      </w:r>
      <w:r>
        <w:rPr>
          <w:rFonts w:hint="eastAsia" w:hAnsi="宋体" w:cs="Arial"/>
          <w:color w:val="000000"/>
          <w:sz w:val="28"/>
          <w:szCs w:val="28"/>
          <w:lang w:eastAsia="zh-CN"/>
        </w:rPr>
        <w:t>http://www.ordosggzyjy.org.cn/</w:t>
      </w:r>
      <w:r>
        <w:rPr>
          <w:rFonts w:hint="eastAsia" w:hAnsi="宋体" w:cs="Arial"/>
          <w:color w:val="000000"/>
          <w:sz w:val="28"/>
          <w:szCs w:val="28"/>
        </w:rPr>
        <w:t>TPFront_hjq/</w:t>
      </w:r>
      <w:r>
        <w:rPr>
          <w:rFonts w:hint="eastAsia" w:hAnsi="宋体" w:cs="Arial"/>
          <w:color w:val="000000"/>
          <w:sz w:val="28"/>
          <w:szCs w:val="28"/>
        </w:rPr>
        <w:fldChar w:fldCharType="end"/>
      </w:r>
      <w:r>
        <w:rPr>
          <w:rFonts w:hint="eastAsia" w:hAnsi="宋体" w:cs="Arial"/>
          <w:color w:val="000000"/>
          <w:sz w:val="28"/>
          <w:szCs w:val="28"/>
        </w:rPr>
        <w:t>）页面，点击“政府采购”中的“信息公告”栏，打开公告，点击公告页面的“网上报名”进入“鄂尔多斯政府采购网上报名系统”，填写报名信息，按照页面提示点击“点击此处”，进入下一页面后按照提示，获得“投标保证金缴纳码”；</w:t>
      </w:r>
    </w:p>
    <w:p>
      <w:pPr>
        <w:pStyle w:val="26"/>
        <w:adjustRightInd w:val="0"/>
        <w:snapToGrid w:val="0"/>
        <w:spacing w:line="360" w:lineRule="auto"/>
        <w:rPr>
          <w:rFonts w:hAnsi="宋体" w:cs="Arial"/>
          <w:color w:val="000000"/>
          <w:sz w:val="28"/>
          <w:szCs w:val="28"/>
        </w:rPr>
      </w:pPr>
      <w:r>
        <w:rPr>
          <w:rFonts w:hint="eastAsia" w:hAnsi="宋体" w:cs="Arial"/>
          <w:color w:val="000000"/>
          <w:sz w:val="28"/>
          <w:szCs w:val="28"/>
        </w:rPr>
        <w:t>3.缴纳投标保证金。获取“投标保证金缴纳码”后，投标人须电汇或转账缴纳投标保证金。付款人名称必须为投标单位全称，摘要或附言一栏中须填写“投标保证金缴纳码”；</w:t>
      </w:r>
    </w:p>
    <w:p>
      <w:pPr>
        <w:pStyle w:val="26"/>
        <w:adjustRightInd w:val="0"/>
        <w:snapToGrid w:val="0"/>
        <w:spacing w:line="360" w:lineRule="auto"/>
        <w:ind w:firstLine="560" w:firstLineChars="200"/>
        <w:rPr>
          <w:rFonts w:hAnsi="宋体" w:cs="Arial"/>
          <w:color w:val="000000"/>
          <w:sz w:val="28"/>
          <w:szCs w:val="28"/>
        </w:rPr>
      </w:pPr>
      <w:r>
        <w:rPr>
          <w:rFonts w:hint="eastAsia" w:hAnsi="宋体" w:cs="Arial"/>
          <w:color w:val="000000"/>
          <w:sz w:val="28"/>
          <w:szCs w:val="28"/>
        </w:rPr>
        <w:t>4.查看报名状况。用“回执码登录”可查看报名状况；只有缴纳投标保证金后，报名才能成功，并将以短信的方式进行提示。</w:t>
      </w:r>
    </w:p>
    <w:p>
      <w:pPr>
        <w:pStyle w:val="26"/>
        <w:adjustRightInd w:val="0"/>
        <w:snapToGrid w:val="0"/>
        <w:spacing w:line="360" w:lineRule="auto"/>
        <w:ind w:firstLine="560" w:firstLineChars="200"/>
        <w:rPr>
          <w:rFonts w:hAnsi="宋体" w:cs="Arial"/>
          <w:color w:val="000000"/>
          <w:sz w:val="28"/>
          <w:szCs w:val="28"/>
        </w:rPr>
      </w:pPr>
      <w:r>
        <w:rPr>
          <w:rFonts w:hint="eastAsia" w:hAnsi="宋体" w:cs="Arial"/>
          <w:color w:val="000000"/>
          <w:sz w:val="28"/>
          <w:szCs w:val="28"/>
        </w:rPr>
        <w:t>5.报名时间：2017年7月14日至2017年7月21日下午17:30分。</w:t>
      </w:r>
    </w:p>
    <w:p>
      <w:pPr>
        <w:pStyle w:val="26"/>
        <w:adjustRightInd w:val="0"/>
        <w:snapToGrid w:val="0"/>
        <w:spacing w:line="360" w:lineRule="auto"/>
        <w:ind w:firstLine="560" w:firstLineChars="200"/>
        <w:rPr>
          <w:rFonts w:hAnsi="宋体" w:cs="Arial"/>
          <w:color w:val="000000"/>
          <w:sz w:val="28"/>
          <w:szCs w:val="28"/>
        </w:rPr>
      </w:pPr>
      <w:r>
        <w:rPr>
          <w:rFonts w:hint="eastAsia" w:hAnsi="宋体" w:cs="Arial"/>
          <w:color w:val="000000"/>
          <w:sz w:val="28"/>
          <w:szCs w:val="28"/>
        </w:rPr>
        <w:t>6.投标保证金缴纳截止时间：2017年7月21日下午17:30时</w:t>
      </w:r>
    </w:p>
    <w:p>
      <w:pPr>
        <w:pStyle w:val="26"/>
        <w:adjustRightInd w:val="0"/>
        <w:snapToGrid w:val="0"/>
        <w:spacing w:line="360" w:lineRule="auto"/>
        <w:ind w:firstLine="560" w:firstLineChars="200"/>
        <w:rPr>
          <w:rFonts w:hAnsi="宋体" w:cs="Arial"/>
          <w:color w:val="000000"/>
          <w:sz w:val="28"/>
          <w:szCs w:val="28"/>
        </w:rPr>
      </w:pPr>
      <w:r>
        <w:rPr>
          <w:rFonts w:hint="eastAsia" w:hAnsi="宋体" w:cs="Arial"/>
          <w:color w:val="000000"/>
          <w:sz w:val="28"/>
          <w:szCs w:val="28"/>
        </w:rPr>
        <w:t>7.投标截止时间：2017年8月7日下午15:00时</w:t>
      </w:r>
    </w:p>
    <w:bookmarkEnd w:id="8"/>
    <w:p>
      <w:pPr>
        <w:pStyle w:val="2"/>
        <w:spacing w:line="432" w:lineRule="auto"/>
        <w:rPr>
          <w:rFonts w:hint="eastAsia"/>
          <w:color w:val="000000"/>
        </w:rPr>
      </w:pPr>
      <w:bookmarkStart w:id="9" w:name="_Toc487792134"/>
    </w:p>
    <w:p>
      <w:pPr>
        <w:rPr>
          <w:rFonts w:hint="eastAsia"/>
          <w:color w:val="000000"/>
        </w:rPr>
      </w:pPr>
    </w:p>
    <w:p>
      <w:pPr>
        <w:rPr>
          <w:rFonts w:hint="eastAsia"/>
          <w:color w:val="000000"/>
        </w:rPr>
      </w:pPr>
    </w:p>
    <w:p>
      <w:pPr>
        <w:pStyle w:val="2"/>
        <w:spacing w:line="432" w:lineRule="auto"/>
        <w:rPr>
          <w:color w:val="000000"/>
        </w:rPr>
      </w:pPr>
      <w:r>
        <w:rPr>
          <w:rFonts w:hint="eastAsia"/>
          <w:color w:val="000000"/>
        </w:rPr>
        <w:t>第二章   投标须知</w:t>
      </w:r>
      <w:bookmarkEnd w:id="2"/>
      <w:bookmarkEnd w:id="3"/>
      <w:bookmarkEnd w:id="9"/>
    </w:p>
    <w:p>
      <w:pPr>
        <w:pStyle w:val="3"/>
        <w:spacing w:line="360" w:lineRule="auto"/>
        <w:rPr>
          <w:rFonts w:ascii="宋体" w:hAnsi="宋体" w:eastAsia="宋体"/>
          <w:color w:val="000000"/>
        </w:rPr>
      </w:pPr>
      <w:bookmarkStart w:id="10" w:name="_Toc266431117"/>
      <w:bookmarkStart w:id="11" w:name="_Toc487792135"/>
      <w:r>
        <w:rPr>
          <w:rFonts w:hint="eastAsia" w:ascii="宋体" w:hAnsi="宋体" w:eastAsia="宋体"/>
          <w:color w:val="000000"/>
        </w:rPr>
        <w:t>一.说明</w:t>
      </w:r>
      <w:bookmarkEnd w:id="10"/>
      <w:bookmarkEnd w:id="11"/>
    </w:p>
    <w:p>
      <w:pPr>
        <w:spacing w:line="360" w:lineRule="auto"/>
        <w:ind w:firstLine="560" w:firstLineChars="200"/>
        <w:jc w:val="left"/>
        <w:rPr>
          <w:rFonts w:ascii="宋体" w:hAnsi="宋体"/>
          <w:bCs/>
          <w:color w:val="000000"/>
          <w:szCs w:val="28"/>
        </w:rPr>
      </w:pPr>
      <w:r>
        <w:rPr>
          <w:rFonts w:hint="eastAsia" w:ascii="宋体" w:hAnsi="宋体"/>
          <w:bCs/>
          <w:color w:val="000000"/>
          <w:szCs w:val="28"/>
        </w:rPr>
        <w:t>本招标文件依据《中华人民共和国政府采购法》和《政府采购货物和服务招投标管理办法》（财政部令第18号）等及有关法律、法规、规章制度编制。</w:t>
      </w:r>
    </w:p>
    <w:p>
      <w:pPr>
        <w:pStyle w:val="26"/>
        <w:adjustRightInd w:val="0"/>
        <w:snapToGrid w:val="0"/>
        <w:spacing w:line="360" w:lineRule="auto"/>
        <w:ind w:firstLine="551" w:firstLineChars="196"/>
        <w:rPr>
          <w:rFonts w:hAnsi="宋体"/>
          <w:b/>
          <w:color w:val="000000"/>
          <w:sz w:val="28"/>
          <w:szCs w:val="28"/>
        </w:rPr>
      </w:pPr>
      <w:r>
        <w:rPr>
          <w:rFonts w:hint="eastAsia" w:hAnsi="宋体"/>
          <w:b/>
          <w:color w:val="000000"/>
          <w:sz w:val="28"/>
          <w:szCs w:val="28"/>
        </w:rPr>
        <w:t>（一）适用范围</w:t>
      </w:r>
    </w:p>
    <w:p>
      <w:pPr>
        <w:spacing w:line="360" w:lineRule="auto"/>
        <w:ind w:firstLine="548" w:firstLineChars="196"/>
        <w:rPr>
          <w:rFonts w:ascii="宋体" w:hAnsi="宋体"/>
          <w:color w:val="000000"/>
          <w:szCs w:val="28"/>
        </w:rPr>
      </w:pPr>
      <w:r>
        <w:rPr>
          <w:rFonts w:hint="eastAsia" w:ascii="宋体" w:hAnsi="宋体"/>
          <w:color w:val="000000"/>
          <w:szCs w:val="28"/>
        </w:rPr>
        <w:t>1.本招标文件仅适用于本次招标公告中所涉及的项目和内容。</w:t>
      </w:r>
    </w:p>
    <w:p>
      <w:pPr>
        <w:spacing w:line="360" w:lineRule="auto"/>
        <w:ind w:firstLine="548" w:firstLineChars="196"/>
        <w:rPr>
          <w:rFonts w:ascii="宋体" w:hAnsi="宋体"/>
          <w:color w:val="000000"/>
          <w:szCs w:val="28"/>
        </w:rPr>
      </w:pPr>
      <w:r>
        <w:rPr>
          <w:rFonts w:hint="eastAsia" w:ascii="宋体" w:hAnsi="宋体"/>
          <w:color w:val="000000"/>
          <w:szCs w:val="28"/>
        </w:rPr>
        <w:t>2.本招标文件的解释权为</w:t>
      </w:r>
      <w:r>
        <w:rPr>
          <w:rFonts w:hint="eastAsia" w:ascii="宋体" w:hAnsi="宋体"/>
          <w:szCs w:val="28"/>
        </w:rPr>
        <w:t>组织本次采购活动</w:t>
      </w:r>
      <w:r>
        <w:rPr>
          <w:rFonts w:hint="eastAsia" w:ascii="宋体" w:hAnsi="宋体"/>
          <w:kern w:val="0"/>
          <w:szCs w:val="28"/>
        </w:rPr>
        <w:t>的采购代理机构</w:t>
      </w:r>
      <w:r>
        <w:rPr>
          <w:rFonts w:hint="eastAsia" w:ascii="宋体" w:hAnsi="宋体"/>
          <w:color w:val="000000"/>
          <w:szCs w:val="28"/>
        </w:rPr>
        <w:t>。</w:t>
      </w:r>
    </w:p>
    <w:p>
      <w:pPr>
        <w:pStyle w:val="26"/>
        <w:adjustRightInd w:val="0"/>
        <w:snapToGrid w:val="0"/>
        <w:spacing w:line="360" w:lineRule="auto"/>
        <w:ind w:firstLine="551" w:firstLineChars="196"/>
        <w:rPr>
          <w:rFonts w:hAnsi="宋体"/>
          <w:b/>
          <w:color w:val="000000"/>
          <w:sz w:val="28"/>
          <w:szCs w:val="28"/>
        </w:rPr>
      </w:pPr>
      <w:r>
        <w:rPr>
          <w:rFonts w:hint="eastAsia" w:hAnsi="宋体"/>
          <w:b/>
          <w:color w:val="000000"/>
          <w:sz w:val="28"/>
          <w:szCs w:val="28"/>
        </w:rPr>
        <w:t>（二）定义</w:t>
      </w:r>
    </w:p>
    <w:p>
      <w:pPr>
        <w:pStyle w:val="26"/>
        <w:adjustRightInd w:val="0"/>
        <w:snapToGrid w:val="0"/>
        <w:spacing w:line="360" w:lineRule="auto"/>
        <w:ind w:firstLine="560" w:firstLineChars="200"/>
        <w:rPr>
          <w:rFonts w:hAnsi="宋体"/>
          <w:color w:val="000000"/>
          <w:sz w:val="28"/>
          <w:szCs w:val="28"/>
        </w:rPr>
      </w:pPr>
      <w:r>
        <w:rPr>
          <w:rFonts w:hint="eastAsia" w:hAnsi="宋体"/>
          <w:color w:val="000000"/>
          <w:sz w:val="28"/>
          <w:szCs w:val="28"/>
        </w:rPr>
        <w:t>1.</w:t>
      </w:r>
      <w:r>
        <w:rPr>
          <w:rFonts w:hint="eastAsia" w:hAnsi="宋体" w:cs="Arial"/>
          <w:color w:val="000000"/>
          <w:sz w:val="28"/>
          <w:szCs w:val="28"/>
        </w:rPr>
        <w:t>“采购人”是指依法进行政府采购的国家机关、事业单位、团体组织。本项目招标文件的采购人特指</w:t>
      </w:r>
      <w:r>
        <w:rPr>
          <w:rFonts w:hint="eastAsia" w:hAnsi="宋体" w:cs="Arial"/>
          <w:b/>
          <w:color w:val="000000"/>
          <w:sz w:val="28"/>
          <w:szCs w:val="28"/>
        </w:rPr>
        <w:t>鄂尔多斯新能源产业示范区管理委员会</w:t>
      </w:r>
      <w:r>
        <w:rPr>
          <w:rFonts w:hint="eastAsia" w:hAnsi="宋体"/>
          <w:color w:val="000000"/>
          <w:sz w:val="28"/>
          <w:szCs w:val="28"/>
        </w:rPr>
        <w:t>。</w:t>
      </w:r>
    </w:p>
    <w:p>
      <w:pPr>
        <w:pStyle w:val="26"/>
        <w:adjustRightInd w:val="0"/>
        <w:snapToGrid w:val="0"/>
        <w:spacing w:line="360" w:lineRule="auto"/>
        <w:ind w:firstLine="560" w:firstLineChars="200"/>
        <w:rPr>
          <w:rFonts w:hAnsi="宋体"/>
          <w:color w:val="000000"/>
          <w:sz w:val="28"/>
          <w:szCs w:val="28"/>
        </w:rPr>
      </w:pPr>
      <w:r>
        <w:rPr>
          <w:rFonts w:hint="eastAsia" w:hAnsi="宋体"/>
          <w:color w:val="000000"/>
          <w:sz w:val="28"/>
          <w:szCs w:val="28"/>
        </w:rPr>
        <w:t>2.“采购代理机构”是</w:t>
      </w:r>
      <w:r>
        <w:rPr>
          <w:rFonts w:hint="eastAsia" w:hAnsi="宋体" w:cs="Arial"/>
          <w:color w:val="000000"/>
          <w:sz w:val="28"/>
          <w:szCs w:val="28"/>
        </w:rPr>
        <w:t>指</w:t>
      </w:r>
      <w:r>
        <w:rPr>
          <w:rFonts w:hint="eastAsia" w:hAnsi="宋体" w:cs="Arial"/>
          <w:sz w:val="28"/>
          <w:szCs w:val="28"/>
        </w:rPr>
        <w:t>财政主管部门的专门颁发的政府采购代理机构</w:t>
      </w:r>
      <w:r>
        <w:rPr>
          <w:rFonts w:hint="eastAsia" w:hAnsi="宋体" w:cs="Arial"/>
          <w:color w:val="000000"/>
          <w:sz w:val="28"/>
          <w:szCs w:val="28"/>
        </w:rPr>
        <w:t>。本招标文件的</w:t>
      </w:r>
      <w:r>
        <w:rPr>
          <w:rFonts w:hint="eastAsia" w:hAnsi="宋体"/>
          <w:color w:val="000000"/>
          <w:sz w:val="28"/>
          <w:szCs w:val="28"/>
        </w:rPr>
        <w:t>采购代理机构</w:t>
      </w:r>
      <w:r>
        <w:rPr>
          <w:rFonts w:hint="eastAsia" w:hAnsi="宋体" w:cs="Arial"/>
          <w:color w:val="000000"/>
          <w:sz w:val="28"/>
          <w:szCs w:val="28"/>
        </w:rPr>
        <w:t>特指鄂尔多斯市远瑞工程项目管理有限公司（以下简称代理机构）。</w:t>
      </w:r>
    </w:p>
    <w:p>
      <w:pPr>
        <w:spacing w:line="360" w:lineRule="auto"/>
        <w:ind w:firstLine="560" w:firstLineChars="200"/>
        <w:rPr>
          <w:rFonts w:ascii="宋体" w:hAnsi="宋体"/>
          <w:color w:val="000000"/>
          <w:szCs w:val="28"/>
        </w:rPr>
      </w:pPr>
      <w:r>
        <w:rPr>
          <w:rFonts w:hint="eastAsia" w:ascii="宋体" w:hAnsi="宋体"/>
          <w:color w:val="000000"/>
          <w:szCs w:val="28"/>
        </w:rPr>
        <w:t>3.“供应商”是指向采购人提供货物、工程或者服务的法人、其他组织或者自然人。</w:t>
      </w:r>
      <w:r>
        <w:rPr>
          <w:rFonts w:hint="eastAsia" w:ascii="宋体" w:hAnsi="宋体" w:cs="Arial"/>
          <w:color w:val="000000"/>
          <w:szCs w:val="28"/>
        </w:rPr>
        <w:t>本项目招标文件的</w:t>
      </w:r>
      <w:r>
        <w:rPr>
          <w:rFonts w:hint="eastAsia" w:ascii="宋体" w:hAnsi="宋体"/>
          <w:color w:val="000000"/>
          <w:szCs w:val="28"/>
        </w:rPr>
        <w:t>供应商</w:t>
      </w:r>
      <w:r>
        <w:rPr>
          <w:rFonts w:hint="eastAsia" w:ascii="宋体" w:hAnsi="宋体" w:cs="Arial"/>
          <w:color w:val="000000"/>
          <w:szCs w:val="28"/>
        </w:rPr>
        <w:t>特指</w:t>
      </w:r>
      <w:r>
        <w:rPr>
          <w:rFonts w:hint="eastAsia" w:ascii="宋体" w:hAnsi="宋体"/>
          <w:color w:val="000000"/>
          <w:szCs w:val="28"/>
        </w:rPr>
        <w:t>响应本次招标文件要求，向代理机构提交投标文件的供应商。</w:t>
      </w:r>
      <w:r>
        <w:rPr>
          <w:rFonts w:hint="eastAsia" w:ascii="宋体" w:hAnsi="宋体"/>
          <w:color w:val="000000"/>
          <w:kern w:val="0"/>
          <w:szCs w:val="28"/>
        </w:rPr>
        <w:t>供应商在参加采购活动中也被称为投标人。</w:t>
      </w:r>
    </w:p>
    <w:p>
      <w:pPr>
        <w:pStyle w:val="26"/>
        <w:adjustRightInd w:val="0"/>
        <w:snapToGrid w:val="0"/>
        <w:spacing w:line="360" w:lineRule="auto"/>
        <w:ind w:firstLine="560" w:firstLineChars="200"/>
        <w:rPr>
          <w:rFonts w:hAnsi="宋体"/>
          <w:color w:val="000000"/>
          <w:sz w:val="28"/>
          <w:szCs w:val="28"/>
        </w:rPr>
      </w:pPr>
      <w:r>
        <w:rPr>
          <w:rFonts w:hint="eastAsia" w:hAnsi="宋体"/>
          <w:color w:val="000000"/>
          <w:sz w:val="28"/>
          <w:szCs w:val="28"/>
        </w:rPr>
        <w:t>4.“中标人”是指经评标委员会评审，授予合同的投标人。</w:t>
      </w:r>
    </w:p>
    <w:p>
      <w:pPr>
        <w:pStyle w:val="26"/>
        <w:adjustRightInd w:val="0"/>
        <w:snapToGrid w:val="0"/>
        <w:spacing w:line="360" w:lineRule="auto"/>
        <w:ind w:firstLine="551" w:firstLineChars="196"/>
        <w:rPr>
          <w:rFonts w:hAnsi="宋体"/>
          <w:b/>
          <w:color w:val="000000"/>
          <w:sz w:val="28"/>
          <w:szCs w:val="28"/>
        </w:rPr>
      </w:pPr>
      <w:r>
        <w:rPr>
          <w:rFonts w:hint="eastAsia" w:hAnsi="宋体"/>
          <w:b/>
          <w:color w:val="000000"/>
          <w:sz w:val="28"/>
          <w:szCs w:val="28"/>
        </w:rPr>
        <w:t>（三）合格的货物和服务</w:t>
      </w:r>
    </w:p>
    <w:p>
      <w:pPr>
        <w:adjustRightInd w:val="0"/>
        <w:snapToGrid w:val="0"/>
        <w:spacing w:line="360" w:lineRule="auto"/>
        <w:ind w:firstLine="560" w:firstLineChars="200"/>
        <w:rPr>
          <w:rFonts w:ascii="宋体" w:hAnsi="宋体"/>
          <w:color w:val="000000"/>
          <w:szCs w:val="28"/>
        </w:rPr>
      </w:pPr>
      <w:r>
        <w:rPr>
          <w:rFonts w:hint="eastAsia" w:ascii="宋体" w:hAnsi="宋体"/>
          <w:color w:val="000000"/>
          <w:szCs w:val="28"/>
        </w:rPr>
        <w:t>1.“货物”是指</w:t>
      </w:r>
      <w:r>
        <w:rPr>
          <w:rFonts w:hint="eastAsia" w:ascii="宋体" w:hAnsi="宋体"/>
          <w:color w:val="000000"/>
          <w:kern w:val="0"/>
          <w:szCs w:val="28"/>
        </w:rPr>
        <w:t>投标人</w:t>
      </w:r>
      <w:r>
        <w:rPr>
          <w:rFonts w:hint="eastAsia" w:ascii="宋体" w:hAnsi="宋体"/>
          <w:color w:val="000000"/>
          <w:szCs w:val="28"/>
        </w:rPr>
        <w:t>制造或组织的符合招标文件要求的货物等。</w:t>
      </w:r>
      <w:r>
        <w:rPr>
          <w:rFonts w:hint="eastAsia" w:ascii="宋体" w:hAnsi="宋体"/>
          <w:snapToGrid w:val="0"/>
          <w:color w:val="000000"/>
          <w:kern w:val="0"/>
          <w:szCs w:val="28"/>
        </w:rPr>
        <w:t>提供的货物必须是合法生产的符合国家有关标准要求的货物，并符合采购合同规定的品牌、产地、质量、价格和有效期等。</w:t>
      </w:r>
    </w:p>
    <w:p>
      <w:pPr>
        <w:spacing w:after="78" w:line="360" w:lineRule="auto"/>
        <w:ind w:firstLine="560" w:firstLineChars="200"/>
        <w:rPr>
          <w:rFonts w:ascii="宋体" w:hAnsi="宋体"/>
          <w:color w:val="000000"/>
          <w:szCs w:val="28"/>
        </w:rPr>
      </w:pPr>
      <w:r>
        <w:rPr>
          <w:rFonts w:hint="eastAsia" w:ascii="宋体" w:hAnsi="宋体"/>
          <w:color w:val="000000"/>
          <w:szCs w:val="28"/>
        </w:rPr>
        <w:t>2.“服务”是指除货物以外的其他政府采购对象,包括</w:t>
      </w:r>
      <w:r>
        <w:rPr>
          <w:rFonts w:hint="eastAsia" w:ascii="宋体" w:hAnsi="宋体"/>
          <w:color w:val="000000"/>
          <w:kern w:val="0"/>
          <w:szCs w:val="28"/>
        </w:rPr>
        <w:t>投标人</w:t>
      </w:r>
      <w:r>
        <w:rPr>
          <w:rFonts w:hint="eastAsia" w:ascii="宋体" w:hAnsi="宋体"/>
          <w:color w:val="000000"/>
          <w:szCs w:val="28"/>
        </w:rPr>
        <w:t>须承担的运输、安装、技术支持、培训以及其它类似附加服务的义务。</w:t>
      </w:r>
      <w:r>
        <w:rPr>
          <w:rFonts w:hint="eastAsia" w:ascii="宋体" w:hAnsi="宋体" w:cs="Arial"/>
          <w:color w:val="000000"/>
          <w:szCs w:val="28"/>
        </w:rPr>
        <w:t>投标人应保证，采购人在中华人民共和国使用该服务的任何一部分时，免受第三方提出的侵犯其专利权、商标权或工业设计权的起诉。</w:t>
      </w:r>
    </w:p>
    <w:p>
      <w:pPr>
        <w:pStyle w:val="26"/>
        <w:adjustRightInd w:val="0"/>
        <w:snapToGrid w:val="0"/>
        <w:spacing w:line="360" w:lineRule="auto"/>
        <w:ind w:firstLine="551" w:firstLineChars="196"/>
        <w:rPr>
          <w:rFonts w:hAnsi="宋体"/>
          <w:b/>
          <w:color w:val="000000"/>
          <w:sz w:val="28"/>
          <w:szCs w:val="28"/>
        </w:rPr>
      </w:pPr>
      <w:r>
        <w:rPr>
          <w:rFonts w:hint="eastAsia" w:hAnsi="宋体"/>
          <w:b/>
          <w:color w:val="000000"/>
          <w:sz w:val="28"/>
          <w:szCs w:val="28"/>
        </w:rPr>
        <w:t>（四）投标费用</w:t>
      </w:r>
    </w:p>
    <w:p>
      <w:pPr>
        <w:pStyle w:val="26"/>
        <w:adjustRightInd w:val="0"/>
        <w:snapToGrid w:val="0"/>
        <w:spacing w:line="360" w:lineRule="auto"/>
        <w:ind w:firstLine="560" w:firstLineChars="200"/>
        <w:rPr>
          <w:rFonts w:hAnsi="宋体"/>
          <w:sz w:val="28"/>
          <w:szCs w:val="28"/>
        </w:rPr>
      </w:pPr>
      <w:r>
        <w:rPr>
          <w:rFonts w:hint="eastAsia" w:hAnsi="宋体"/>
          <w:sz w:val="28"/>
          <w:szCs w:val="28"/>
        </w:rPr>
        <w:t>1.投标人应承担所有与准备和参加投标有关的费用。不论投标结果如何，公共资源交易中心、代理机构和采购人均无义务和责任承担这些费用。</w:t>
      </w:r>
    </w:p>
    <w:p>
      <w:pPr>
        <w:pStyle w:val="26"/>
        <w:adjustRightInd w:val="0"/>
        <w:snapToGrid w:val="0"/>
        <w:spacing w:line="360" w:lineRule="auto"/>
        <w:ind w:firstLine="560" w:firstLineChars="200"/>
        <w:rPr>
          <w:rFonts w:hAnsi="宋体"/>
          <w:sz w:val="28"/>
          <w:szCs w:val="28"/>
        </w:rPr>
      </w:pPr>
      <w:r>
        <w:rPr>
          <w:rFonts w:hint="eastAsia" w:hAnsi="宋体"/>
          <w:sz w:val="28"/>
          <w:szCs w:val="28"/>
        </w:rPr>
        <w:t>2.中标服务费：中标服务费由中标人支付。</w:t>
      </w:r>
    </w:p>
    <w:p>
      <w:pPr>
        <w:pStyle w:val="26"/>
        <w:adjustRightInd w:val="0"/>
        <w:snapToGrid w:val="0"/>
        <w:spacing w:line="360" w:lineRule="auto"/>
        <w:ind w:firstLine="560" w:firstLineChars="200"/>
        <w:rPr>
          <w:rFonts w:hAnsi="宋体"/>
          <w:sz w:val="28"/>
          <w:szCs w:val="28"/>
        </w:rPr>
      </w:pPr>
      <w:r>
        <w:rPr>
          <w:rFonts w:hint="eastAsia" w:hAnsi="宋体"/>
          <w:sz w:val="28"/>
          <w:szCs w:val="28"/>
        </w:rPr>
        <w:t>1)以中标通知书中确定的中标总价为计算基数，按内蒙古自治区工程建设协会文件内工建协（2016）17 号文规定</w:t>
      </w:r>
      <w:r>
        <w:rPr>
          <w:rFonts w:hint="eastAsia" w:hAnsi="宋体"/>
          <w:color w:val="000000"/>
          <w:sz w:val="28"/>
          <w:szCs w:val="28"/>
        </w:rPr>
        <w:t>计取收费</w:t>
      </w:r>
      <w:r>
        <w:rPr>
          <w:rFonts w:hint="eastAsia" w:hAnsi="宋体"/>
          <w:sz w:val="28"/>
          <w:szCs w:val="28"/>
        </w:rPr>
        <w:t>。</w:t>
      </w:r>
    </w:p>
    <w:p>
      <w:pPr>
        <w:pStyle w:val="26"/>
        <w:adjustRightInd w:val="0"/>
        <w:snapToGrid w:val="0"/>
        <w:spacing w:line="360" w:lineRule="auto"/>
        <w:ind w:firstLine="560" w:firstLineChars="200"/>
        <w:rPr>
          <w:rFonts w:hAnsi="宋体"/>
          <w:sz w:val="28"/>
          <w:szCs w:val="28"/>
        </w:rPr>
      </w:pPr>
      <w:r>
        <w:rPr>
          <w:rFonts w:hint="eastAsia" w:hAnsi="宋体"/>
          <w:sz w:val="28"/>
          <w:szCs w:val="28"/>
        </w:rPr>
        <w:t>2）中标服务费的交纳形式：用汇票方式，一次向招标代理机构交清。</w:t>
      </w:r>
    </w:p>
    <w:p>
      <w:pPr>
        <w:pStyle w:val="26"/>
        <w:adjustRightInd w:val="0"/>
        <w:snapToGrid w:val="0"/>
        <w:spacing w:line="360" w:lineRule="auto"/>
        <w:ind w:firstLine="560" w:firstLineChars="200"/>
        <w:rPr>
          <w:rFonts w:hAnsi="宋体"/>
          <w:sz w:val="28"/>
          <w:szCs w:val="28"/>
        </w:rPr>
      </w:pPr>
      <w:r>
        <w:rPr>
          <w:rFonts w:hint="eastAsia" w:hAnsi="宋体"/>
          <w:sz w:val="28"/>
          <w:szCs w:val="28"/>
        </w:rPr>
        <w:t>3）中标人如不按期缴纳中标服务费，招标机构有权从其投标保证金中扣除。</w:t>
      </w:r>
    </w:p>
    <w:p>
      <w:pPr>
        <w:pStyle w:val="3"/>
        <w:spacing w:line="360" w:lineRule="auto"/>
        <w:rPr>
          <w:rFonts w:ascii="宋体" w:hAnsi="宋体" w:eastAsia="宋体"/>
          <w:color w:val="000000"/>
        </w:rPr>
      </w:pPr>
      <w:bookmarkStart w:id="12" w:name="_Toc487792136"/>
      <w:bookmarkStart w:id="13" w:name="_Toc266431119"/>
      <w:r>
        <w:rPr>
          <w:rFonts w:hint="eastAsia" w:ascii="宋体" w:hAnsi="宋体" w:eastAsia="宋体"/>
          <w:color w:val="000000"/>
        </w:rPr>
        <w:t>二.招标文件</w:t>
      </w:r>
      <w:bookmarkEnd w:id="12"/>
      <w:bookmarkEnd w:id="13"/>
    </w:p>
    <w:p>
      <w:pPr>
        <w:pStyle w:val="26"/>
        <w:adjustRightInd w:val="0"/>
        <w:snapToGrid w:val="0"/>
        <w:spacing w:line="360" w:lineRule="auto"/>
        <w:ind w:firstLine="562" w:firstLineChars="200"/>
        <w:rPr>
          <w:rFonts w:hAnsi="宋体"/>
          <w:color w:val="000000"/>
          <w:sz w:val="28"/>
          <w:szCs w:val="28"/>
        </w:rPr>
      </w:pPr>
      <w:r>
        <w:rPr>
          <w:rFonts w:hint="eastAsia" w:hAnsi="宋体"/>
          <w:b/>
          <w:color w:val="000000"/>
          <w:sz w:val="28"/>
          <w:szCs w:val="28"/>
        </w:rPr>
        <w:t>（一）招标文件的构成</w:t>
      </w:r>
    </w:p>
    <w:p>
      <w:pPr>
        <w:pStyle w:val="26"/>
        <w:adjustRightInd w:val="0"/>
        <w:snapToGrid w:val="0"/>
        <w:spacing w:line="360" w:lineRule="auto"/>
        <w:ind w:firstLine="560" w:firstLineChars="200"/>
        <w:rPr>
          <w:rFonts w:hAnsi="宋体"/>
          <w:color w:val="000000"/>
          <w:sz w:val="28"/>
          <w:szCs w:val="28"/>
        </w:rPr>
      </w:pPr>
      <w:r>
        <w:rPr>
          <w:rFonts w:hint="eastAsia" w:hAnsi="宋体"/>
          <w:color w:val="000000"/>
          <w:sz w:val="28"/>
          <w:szCs w:val="28"/>
        </w:rPr>
        <w:t>1.招标文件由下列文件组成：</w:t>
      </w:r>
    </w:p>
    <w:p>
      <w:pPr>
        <w:pStyle w:val="26"/>
        <w:adjustRightInd w:val="0"/>
        <w:snapToGrid w:val="0"/>
        <w:spacing w:line="360" w:lineRule="auto"/>
        <w:ind w:firstLine="498" w:firstLineChars="178"/>
        <w:rPr>
          <w:rFonts w:hAnsi="宋体"/>
          <w:color w:val="000000"/>
          <w:sz w:val="28"/>
          <w:szCs w:val="28"/>
        </w:rPr>
      </w:pPr>
      <w:r>
        <w:rPr>
          <w:rFonts w:hint="eastAsia" w:hAnsi="宋体"/>
          <w:color w:val="000000"/>
          <w:sz w:val="28"/>
          <w:szCs w:val="28"/>
        </w:rPr>
        <w:t>（1）招标公告</w:t>
      </w:r>
    </w:p>
    <w:p>
      <w:pPr>
        <w:pStyle w:val="26"/>
        <w:adjustRightInd w:val="0"/>
        <w:snapToGrid w:val="0"/>
        <w:spacing w:line="360" w:lineRule="auto"/>
        <w:ind w:firstLine="498" w:firstLineChars="178"/>
        <w:rPr>
          <w:rFonts w:hAnsi="宋体"/>
          <w:color w:val="000000"/>
          <w:sz w:val="28"/>
          <w:szCs w:val="28"/>
        </w:rPr>
      </w:pPr>
      <w:r>
        <w:rPr>
          <w:rFonts w:hint="eastAsia" w:hAnsi="宋体"/>
          <w:color w:val="000000"/>
          <w:sz w:val="28"/>
          <w:szCs w:val="28"/>
        </w:rPr>
        <w:t>（2）报名须知</w:t>
      </w:r>
    </w:p>
    <w:p>
      <w:pPr>
        <w:pStyle w:val="26"/>
        <w:adjustRightInd w:val="0"/>
        <w:snapToGrid w:val="0"/>
        <w:spacing w:line="360" w:lineRule="auto"/>
        <w:ind w:firstLine="498" w:firstLineChars="178"/>
        <w:rPr>
          <w:rFonts w:hAnsi="宋体"/>
          <w:color w:val="000000"/>
          <w:sz w:val="28"/>
          <w:szCs w:val="28"/>
        </w:rPr>
      </w:pPr>
      <w:r>
        <w:rPr>
          <w:rFonts w:hint="eastAsia" w:hAnsi="宋体"/>
          <w:color w:val="000000"/>
          <w:sz w:val="28"/>
          <w:szCs w:val="28"/>
        </w:rPr>
        <w:t>（3）投标须知</w:t>
      </w:r>
    </w:p>
    <w:p>
      <w:pPr>
        <w:pStyle w:val="26"/>
        <w:adjustRightInd w:val="0"/>
        <w:snapToGrid w:val="0"/>
        <w:spacing w:line="360" w:lineRule="auto"/>
        <w:ind w:firstLine="498" w:firstLineChars="178"/>
        <w:rPr>
          <w:rFonts w:hAnsi="宋体"/>
          <w:color w:val="000000"/>
          <w:sz w:val="28"/>
          <w:szCs w:val="28"/>
        </w:rPr>
      </w:pPr>
      <w:r>
        <w:rPr>
          <w:rFonts w:hint="eastAsia" w:hAnsi="宋体"/>
          <w:color w:val="000000"/>
          <w:sz w:val="28"/>
          <w:szCs w:val="28"/>
        </w:rPr>
        <w:t>（4）商务须知</w:t>
      </w:r>
    </w:p>
    <w:p>
      <w:pPr>
        <w:pStyle w:val="26"/>
        <w:adjustRightInd w:val="0"/>
        <w:snapToGrid w:val="0"/>
        <w:spacing w:line="360" w:lineRule="auto"/>
        <w:ind w:firstLine="498" w:firstLineChars="178"/>
        <w:rPr>
          <w:rFonts w:hAnsi="宋体"/>
          <w:color w:val="000000"/>
          <w:sz w:val="28"/>
          <w:szCs w:val="28"/>
        </w:rPr>
      </w:pPr>
      <w:r>
        <w:rPr>
          <w:rFonts w:hint="eastAsia" w:hAnsi="宋体"/>
          <w:color w:val="000000"/>
          <w:sz w:val="28"/>
          <w:szCs w:val="28"/>
        </w:rPr>
        <w:t>（5）招标内容与技术要求</w:t>
      </w:r>
    </w:p>
    <w:p>
      <w:pPr>
        <w:pStyle w:val="26"/>
        <w:adjustRightInd w:val="0"/>
        <w:snapToGrid w:val="0"/>
        <w:spacing w:line="360" w:lineRule="auto"/>
        <w:ind w:firstLine="498" w:firstLineChars="178"/>
        <w:rPr>
          <w:rFonts w:hAnsi="宋体"/>
          <w:color w:val="000000"/>
          <w:sz w:val="28"/>
          <w:szCs w:val="28"/>
        </w:rPr>
      </w:pPr>
      <w:r>
        <w:rPr>
          <w:rFonts w:hint="eastAsia" w:hAnsi="宋体"/>
          <w:color w:val="000000"/>
          <w:sz w:val="28"/>
          <w:szCs w:val="28"/>
        </w:rPr>
        <w:t>（6）投标人资质证明及相关文件要求</w:t>
      </w:r>
    </w:p>
    <w:p>
      <w:pPr>
        <w:pStyle w:val="26"/>
        <w:adjustRightInd w:val="0"/>
        <w:snapToGrid w:val="0"/>
        <w:spacing w:line="360" w:lineRule="auto"/>
        <w:ind w:firstLine="498" w:firstLineChars="178"/>
        <w:rPr>
          <w:rFonts w:hAnsi="宋体"/>
          <w:color w:val="000000"/>
          <w:sz w:val="28"/>
          <w:szCs w:val="28"/>
        </w:rPr>
      </w:pPr>
      <w:r>
        <w:rPr>
          <w:rFonts w:hint="eastAsia" w:hAnsi="宋体"/>
          <w:color w:val="000000"/>
          <w:sz w:val="28"/>
          <w:szCs w:val="28"/>
        </w:rPr>
        <w:t>（7）评标原则和方法</w:t>
      </w:r>
    </w:p>
    <w:p>
      <w:pPr>
        <w:pStyle w:val="26"/>
        <w:adjustRightInd w:val="0"/>
        <w:snapToGrid w:val="0"/>
        <w:spacing w:line="360" w:lineRule="auto"/>
        <w:ind w:firstLine="498" w:firstLineChars="178"/>
        <w:rPr>
          <w:rFonts w:hAnsi="宋体"/>
          <w:color w:val="000000"/>
          <w:sz w:val="28"/>
          <w:szCs w:val="28"/>
        </w:rPr>
      </w:pPr>
      <w:r>
        <w:rPr>
          <w:rFonts w:hint="eastAsia" w:hAnsi="宋体"/>
          <w:color w:val="000000"/>
          <w:sz w:val="28"/>
          <w:szCs w:val="28"/>
        </w:rPr>
        <w:t>（8）投标文件格式与要求</w:t>
      </w:r>
    </w:p>
    <w:p>
      <w:pPr>
        <w:pStyle w:val="26"/>
        <w:adjustRightInd w:val="0"/>
        <w:snapToGrid w:val="0"/>
        <w:spacing w:line="360" w:lineRule="auto"/>
        <w:ind w:firstLine="498" w:firstLineChars="178"/>
        <w:rPr>
          <w:rFonts w:hAnsi="宋体"/>
          <w:color w:val="000000"/>
          <w:sz w:val="28"/>
          <w:szCs w:val="28"/>
        </w:rPr>
      </w:pPr>
      <w:r>
        <w:rPr>
          <w:rFonts w:hint="eastAsia" w:hAnsi="宋体"/>
          <w:color w:val="000000"/>
          <w:sz w:val="28"/>
          <w:szCs w:val="28"/>
        </w:rPr>
        <w:t>（9）在采购过程中由采购人或代理机构发出的修正和补充文件等</w:t>
      </w:r>
    </w:p>
    <w:p>
      <w:pPr>
        <w:pStyle w:val="26"/>
        <w:adjustRightInd w:val="0"/>
        <w:snapToGrid w:val="0"/>
        <w:spacing w:line="360" w:lineRule="auto"/>
        <w:ind w:firstLine="560" w:firstLineChars="200"/>
        <w:rPr>
          <w:rFonts w:hAnsi="宋体"/>
          <w:color w:val="000000"/>
          <w:sz w:val="28"/>
          <w:szCs w:val="28"/>
        </w:rPr>
      </w:pPr>
      <w:r>
        <w:rPr>
          <w:rFonts w:hint="eastAsia" w:hAnsi="宋体"/>
          <w:color w:val="000000"/>
          <w:sz w:val="28"/>
          <w:szCs w:val="28"/>
        </w:rPr>
        <w:t>2.投标人应认真阅读招标文件中所有的事项、格式、条款和技术规范、参数及要求等，如果投标人没有按照招标文件要求提交全部资料，或者投标人没有对招标文件在各方面都做出实质性响应，其风险应由投标人自行承担并根据有关政策和条款规定，其投标有可能被拒绝，或者被认定为无效投标。</w:t>
      </w:r>
    </w:p>
    <w:p>
      <w:pPr>
        <w:pStyle w:val="26"/>
        <w:adjustRightInd w:val="0"/>
        <w:snapToGrid w:val="0"/>
        <w:spacing w:line="360" w:lineRule="auto"/>
        <w:ind w:firstLine="551" w:firstLineChars="196"/>
        <w:rPr>
          <w:rFonts w:hAnsi="宋体"/>
          <w:b/>
          <w:color w:val="000000"/>
          <w:sz w:val="28"/>
          <w:szCs w:val="28"/>
        </w:rPr>
      </w:pPr>
      <w:r>
        <w:rPr>
          <w:rFonts w:hint="eastAsia" w:hAnsi="宋体"/>
          <w:b/>
          <w:color w:val="000000"/>
          <w:sz w:val="28"/>
          <w:szCs w:val="28"/>
        </w:rPr>
        <w:t>（二）招标文件的澄清</w:t>
      </w:r>
    </w:p>
    <w:p>
      <w:pPr>
        <w:pStyle w:val="26"/>
        <w:adjustRightInd w:val="0"/>
        <w:snapToGrid w:val="0"/>
        <w:spacing w:line="360" w:lineRule="auto"/>
        <w:ind w:firstLine="552" w:firstLineChars="200"/>
        <w:rPr>
          <w:rFonts w:hAnsi="宋体"/>
          <w:color w:val="000000"/>
          <w:spacing w:val="-2"/>
          <w:sz w:val="28"/>
          <w:szCs w:val="28"/>
        </w:rPr>
      </w:pPr>
      <w:r>
        <w:rPr>
          <w:rFonts w:hint="eastAsia" w:hAnsi="宋体"/>
          <w:color w:val="000000"/>
          <w:spacing w:val="-2"/>
          <w:sz w:val="28"/>
          <w:szCs w:val="28"/>
        </w:rPr>
        <w:t>1.任何对</w:t>
      </w:r>
      <w:r>
        <w:rPr>
          <w:rFonts w:hint="eastAsia" w:hAnsi="宋体"/>
          <w:color w:val="000000"/>
          <w:sz w:val="28"/>
          <w:szCs w:val="28"/>
        </w:rPr>
        <w:t>招标</w:t>
      </w:r>
      <w:r>
        <w:rPr>
          <w:rFonts w:hint="eastAsia" w:hAnsi="宋体"/>
          <w:color w:val="000000"/>
          <w:spacing w:val="-2"/>
          <w:sz w:val="28"/>
          <w:szCs w:val="28"/>
        </w:rPr>
        <w:t>文件提出质疑或要求澄清的</w:t>
      </w:r>
      <w:r>
        <w:rPr>
          <w:rFonts w:hint="eastAsia" w:hAnsi="宋体"/>
          <w:color w:val="000000"/>
          <w:sz w:val="28"/>
          <w:szCs w:val="28"/>
        </w:rPr>
        <w:t>投标人</w:t>
      </w:r>
      <w:r>
        <w:rPr>
          <w:rFonts w:hint="eastAsia" w:hAnsi="宋体"/>
          <w:color w:val="000000"/>
          <w:spacing w:val="-2"/>
          <w:sz w:val="28"/>
          <w:szCs w:val="28"/>
        </w:rPr>
        <w:t>，均应以书面形式在投标文件提交截止时间15日以前通知代理机构或采购人。书面形式是指投标人出具正式公函（原件），公函上要有投标人的公章和联系人、联系方式等，传真件、复印件均不是有效文件。代理机构将协同采购人对投标人要求澄清的内容以书面形式予以答复。必要时，组织相关专家召开答疑会，并将会议内容以书面形式发给每个报名参加投标的潜在投标人，答复中不包括问题的来源。</w:t>
      </w:r>
    </w:p>
    <w:p>
      <w:pPr>
        <w:pStyle w:val="26"/>
        <w:tabs>
          <w:tab w:val="left" w:pos="0"/>
        </w:tabs>
        <w:adjustRightInd w:val="0"/>
        <w:snapToGrid w:val="0"/>
        <w:spacing w:line="360" w:lineRule="auto"/>
        <w:ind w:firstLine="536" w:firstLineChars="200"/>
        <w:rPr>
          <w:rFonts w:hAnsi="宋体"/>
          <w:color w:val="000000"/>
          <w:spacing w:val="-6"/>
          <w:sz w:val="28"/>
          <w:szCs w:val="28"/>
        </w:rPr>
      </w:pPr>
      <w:r>
        <w:rPr>
          <w:rFonts w:hint="eastAsia" w:hAnsi="宋体"/>
          <w:color w:val="000000"/>
          <w:spacing w:val="-6"/>
          <w:sz w:val="28"/>
          <w:szCs w:val="28"/>
        </w:rPr>
        <w:t>2.投标人在规定的时间内未对</w:t>
      </w:r>
      <w:r>
        <w:rPr>
          <w:rFonts w:hint="eastAsia" w:hAnsi="宋体"/>
          <w:color w:val="000000"/>
          <w:sz w:val="28"/>
          <w:szCs w:val="28"/>
        </w:rPr>
        <w:t>招标</w:t>
      </w:r>
      <w:r>
        <w:rPr>
          <w:rFonts w:hint="eastAsia" w:hAnsi="宋体"/>
          <w:color w:val="000000"/>
          <w:spacing w:val="-6"/>
          <w:sz w:val="28"/>
          <w:szCs w:val="28"/>
        </w:rPr>
        <w:t>文件要求澄清或提出疑问的，代理机构</w:t>
      </w:r>
      <w:r>
        <w:rPr>
          <w:rFonts w:hint="eastAsia" w:hAnsi="宋体"/>
          <w:color w:val="000000"/>
          <w:sz w:val="28"/>
          <w:szCs w:val="28"/>
        </w:rPr>
        <w:t>将</w:t>
      </w:r>
      <w:r>
        <w:rPr>
          <w:rFonts w:hint="eastAsia" w:hAnsi="宋体"/>
          <w:color w:val="000000"/>
          <w:spacing w:val="-6"/>
          <w:sz w:val="28"/>
          <w:szCs w:val="28"/>
        </w:rPr>
        <w:t>视其为同意。</w:t>
      </w:r>
    </w:p>
    <w:p>
      <w:pPr>
        <w:pStyle w:val="26"/>
        <w:adjustRightInd w:val="0"/>
        <w:snapToGrid w:val="0"/>
        <w:spacing w:line="360" w:lineRule="auto"/>
        <w:ind w:firstLine="551" w:firstLineChars="196"/>
        <w:rPr>
          <w:rFonts w:hAnsi="宋体"/>
          <w:b/>
          <w:color w:val="000000"/>
          <w:sz w:val="28"/>
          <w:szCs w:val="28"/>
        </w:rPr>
      </w:pPr>
      <w:r>
        <w:rPr>
          <w:rFonts w:hint="eastAsia" w:hAnsi="宋体"/>
          <w:b/>
          <w:color w:val="000000"/>
          <w:sz w:val="28"/>
          <w:szCs w:val="28"/>
        </w:rPr>
        <w:t>（三）招标文件的修改</w:t>
      </w:r>
    </w:p>
    <w:p>
      <w:pPr>
        <w:pStyle w:val="26"/>
        <w:adjustRightInd w:val="0"/>
        <w:snapToGrid w:val="0"/>
        <w:spacing w:line="360" w:lineRule="auto"/>
        <w:ind w:firstLine="560" w:firstLineChars="200"/>
        <w:rPr>
          <w:rFonts w:hAnsi="宋体"/>
          <w:color w:val="000000"/>
          <w:sz w:val="28"/>
          <w:szCs w:val="28"/>
        </w:rPr>
      </w:pPr>
      <w:r>
        <w:rPr>
          <w:rFonts w:hint="eastAsia" w:hAnsi="宋体"/>
          <w:color w:val="000000"/>
          <w:sz w:val="28"/>
          <w:szCs w:val="28"/>
        </w:rPr>
        <w:t>1.在投标文件提交截止时间15日以前，无论出于何种原因，代理机构或采购人可主动或在解答投标人提出的疑问时对招标文件进行修改。</w:t>
      </w:r>
    </w:p>
    <w:p>
      <w:pPr>
        <w:spacing w:line="360" w:lineRule="auto"/>
        <w:ind w:firstLine="550"/>
        <w:rPr>
          <w:rFonts w:ascii="宋体" w:hAnsi="宋体"/>
          <w:color w:val="000000"/>
          <w:szCs w:val="28"/>
        </w:rPr>
      </w:pPr>
      <w:r>
        <w:rPr>
          <w:rFonts w:hint="eastAsia" w:ascii="宋体" w:hAnsi="宋体"/>
          <w:color w:val="000000"/>
          <w:szCs w:val="28"/>
        </w:rPr>
        <w:t>2.代理机构对招标文件进行的澄清、更正或更改，将在相关网站上及时发布，该公告内容为招标文件的组成部分，对投标人具有约束力。投标人应主动上网查询。代理机构不承担投标人未及时关注相关信息的责任。</w:t>
      </w:r>
    </w:p>
    <w:p>
      <w:pPr>
        <w:spacing w:line="360" w:lineRule="auto"/>
        <w:ind w:firstLine="550"/>
        <w:rPr>
          <w:rFonts w:ascii="宋体" w:hAnsi="宋体"/>
          <w:color w:val="000000"/>
          <w:szCs w:val="28"/>
        </w:rPr>
      </w:pPr>
      <w:r>
        <w:rPr>
          <w:rFonts w:hint="eastAsia" w:ascii="宋体" w:hAnsi="宋体"/>
          <w:color w:val="000000"/>
          <w:szCs w:val="28"/>
        </w:rPr>
        <w:t>3.在投标文件提交截止时间前，代理机构可以视采购具体情况，延长投标文件提交截止时间和开标时间，并在招标文件要求提交投标文件的截止时间三日前，在相关网站上发布变更公告。在上述情况下，代理机构和投标人在投标截止期方面的全部权力、责任和义务，将适用于延长后新的投标截止期。</w:t>
      </w:r>
    </w:p>
    <w:p>
      <w:pPr>
        <w:pStyle w:val="3"/>
        <w:spacing w:line="360" w:lineRule="auto"/>
        <w:rPr>
          <w:rFonts w:ascii="宋体" w:hAnsi="宋体" w:eastAsia="宋体"/>
          <w:color w:val="000000"/>
        </w:rPr>
      </w:pPr>
      <w:bookmarkStart w:id="14" w:name="_Toc487792137"/>
      <w:bookmarkStart w:id="15" w:name="_Toc266431120"/>
      <w:r>
        <w:rPr>
          <w:rFonts w:hint="eastAsia" w:ascii="宋体" w:hAnsi="宋体" w:eastAsia="宋体"/>
          <w:color w:val="000000"/>
        </w:rPr>
        <w:t>三.投标文件的编制</w:t>
      </w:r>
      <w:bookmarkEnd w:id="14"/>
      <w:bookmarkEnd w:id="15"/>
    </w:p>
    <w:p>
      <w:pPr>
        <w:spacing w:line="360" w:lineRule="auto"/>
        <w:ind w:right="57" w:firstLine="562" w:firstLineChars="200"/>
        <w:rPr>
          <w:rFonts w:ascii="宋体" w:hAnsi="宋体"/>
          <w:b/>
          <w:color w:val="000000"/>
          <w:szCs w:val="28"/>
        </w:rPr>
      </w:pPr>
      <w:r>
        <w:rPr>
          <w:rFonts w:hint="eastAsia" w:ascii="宋体" w:hAnsi="宋体"/>
          <w:b/>
          <w:color w:val="000000"/>
          <w:szCs w:val="28"/>
        </w:rPr>
        <w:t>（一）编制要求</w:t>
      </w:r>
    </w:p>
    <w:p>
      <w:pPr>
        <w:spacing w:line="360" w:lineRule="auto"/>
        <w:ind w:firstLine="560" w:firstLineChars="200"/>
        <w:rPr>
          <w:rFonts w:ascii="宋体" w:hAnsi="宋体"/>
          <w:color w:val="000000"/>
          <w:szCs w:val="28"/>
        </w:rPr>
      </w:pPr>
      <w:r>
        <w:rPr>
          <w:rFonts w:hint="eastAsia" w:ascii="宋体" w:hAnsi="宋体"/>
          <w:color w:val="000000"/>
          <w:szCs w:val="28"/>
        </w:rPr>
        <w:t>1.投标人编写的投标文件和往来信件、信函应以简体中文书写。如果投标文件或与投标有关的其它文件、信件及来往函电以其它语言书写的，投标人应将其译成中文。</w:t>
      </w:r>
    </w:p>
    <w:p>
      <w:pPr>
        <w:spacing w:line="360" w:lineRule="auto"/>
        <w:ind w:right="114" w:firstLine="560" w:firstLineChars="200"/>
        <w:rPr>
          <w:rFonts w:ascii="宋体" w:hAnsi="宋体"/>
          <w:color w:val="000000"/>
          <w:szCs w:val="28"/>
        </w:rPr>
      </w:pPr>
      <w:r>
        <w:rPr>
          <w:rFonts w:hint="eastAsia" w:ascii="宋体" w:hAnsi="宋体"/>
          <w:color w:val="000000"/>
          <w:szCs w:val="28"/>
        </w:rPr>
        <w:t>2.投标文件中使用的计量单位应使</w:t>
      </w:r>
      <w:r>
        <w:rPr>
          <w:rFonts w:hint="eastAsia" w:ascii="宋体" w:hAnsi="宋体"/>
          <w:color w:val="000000"/>
          <w:szCs w:val="28"/>
          <w:u w:val="single"/>
        </w:rPr>
        <w:t>用</w:t>
      </w:r>
      <w:r>
        <w:rPr>
          <w:rFonts w:hint="eastAsia" w:ascii="宋体" w:hAnsi="宋体"/>
          <w:color w:val="000000"/>
          <w:szCs w:val="28"/>
        </w:rPr>
        <w:t>中华人民共和国法定计量单位。</w:t>
      </w:r>
    </w:p>
    <w:p>
      <w:pPr>
        <w:spacing w:line="360" w:lineRule="auto"/>
        <w:ind w:right="113" w:firstLine="560" w:firstLineChars="200"/>
        <w:rPr>
          <w:rFonts w:ascii="宋体" w:hAnsi="宋体"/>
          <w:color w:val="000000"/>
          <w:szCs w:val="28"/>
        </w:rPr>
      </w:pPr>
      <w:r>
        <w:rPr>
          <w:rFonts w:hint="eastAsia" w:ascii="宋体" w:hAnsi="宋体"/>
          <w:color w:val="000000"/>
          <w:szCs w:val="28"/>
        </w:rPr>
        <w:t>3.投标人必须保证投标文件所提供的全部资料真实可靠，并接受采购人或代理机构对其中任何资料进行进一步核实的要求。如果因为投标文件填报的内容不详，或没有提供招标文件中所要求的全部资料及数据，或提供虚假资料，由此造成的后果由投标人自负。</w:t>
      </w:r>
    </w:p>
    <w:p>
      <w:pPr>
        <w:spacing w:line="360" w:lineRule="auto"/>
        <w:ind w:right="114" w:firstLine="560" w:firstLineChars="200"/>
        <w:rPr>
          <w:rFonts w:ascii="宋体" w:hAnsi="宋体"/>
          <w:color w:val="000000"/>
          <w:szCs w:val="28"/>
        </w:rPr>
      </w:pPr>
      <w:r>
        <w:rPr>
          <w:rFonts w:hint="eastAsia" w:ascii="宋体" w:hAnsi="宋体"/>
          <w:color w:val="000000"/>
          <w:szCs w:val="28"/>
        </w:rPr>
        <w:t>4.投标人应按照招标文件中提供的投标文件格式，</w:t>
      </w:r>
      <w:r>
        <w:rPr>
          <w:rFonts w:hint="eastAsia" w:ascii="宋体" w:hAnsi="宋体"/>
          <w:color w:val="000000"/>
          <w:kern w:val="0"/>
          <w:szCs w:val="28"/>
        </w:rPr>
        <w:t>编制</w:t>
      </w:r>
      <w:r>
        <w:rPr>
          <w:rFonts w:hint="eastAsia" w:ascii="宋体" w:hAnsi="宋体"/>
          <w:color w:val="000000"/>
          <w:szCs w:val="28"/>
        </w:rPr>
        <w:t>投标文件，投标文件统一使用A4规格打印，并编写目录，页码必须连续（所附的图纸、不能重新打印的资料和印刷品等除外），投标文件的装订应采用胶订方式牢固装订成册，不可插页抽页，不可采用活页纸进行装订。同时，投标人应将其投标文件复制成电子版文档（U盘）。</w:t>
      </w:r>
    </w:p>
    <w:p>
      <w:pPr>
        <w:spacing w:line="360" w:lineRule="auto"/>
        <w:ind w:right="57" w:firstLine="560" w:firstLineChars="200"/>
        <w:rPr>
          <w:rFonts w:ascii="宋体" w:hAnsi="宋体"/>
          <w:color w:val="000000"/>
          <w:szCs w:val="28"/>
        </w:rPr>
      </w:pPr>
      <w:r>
        <w:rPr>
          <w:rFonts w:hint="eastAsia" w:ascii="宋体" w:hAnsi="宋体"/>
          <w:color w:val="000000"/>
          <w:szCs w:val="28"/>
        </w:rPr>
        <w:t>5.投标文件具有法律效力，投标人与代理机构或采购人任何人的口头协议不影响投标文件的任何条款和内容。</w:t>
      </w:r>
    </w:p>
    <w:p>
      <w:pPr>
        <w:spacing w:line="360" w:lineRule="auto"/>
        <w:ind w:right="114" w:firstLine="560" w:firstLineChars="200"/>
        <w:rPr>
          <w:rFonts w:ascii="宋体" w:hAnsi="宋体"/>
          <w:color w:val="000000"/>
          <w:szCs w:val="28"/>
        </w:rPr>
      </w:pPr>
      <w:r>
        <w:rPr>
          <w:rFonts w:hint="eastAsia" w:ascii="宋体" w:hAnsi="宋体"/>
          <w:color w:val="000000"/>
          <w:szCs w:val="28"/>
        </w:rPr>
        <w:t>6.投标文件及资料无论投标人是否中标均不予退还。</w:t>
      </w:r>
    </w:p>
    <w:p>
      <w:pPr>
        <w:spacing w:line="360" w:lineRule="auto"/>
        <w:ind w:right="114" w:firstLine="560" w:firstLineChars="200"/>
        <w:rPr>
          <w:rFonts w:ascii="宋体" w:hAnsi="宋体"/>
          <w:b/>
          <w:color w:val="000000"/>
          <w:szCs w:val="28"/>
        </w:rPr>
      </w:pPr>
      <w:r>
        <w:rPr>
          <w:rFonts w:hint="eastAsia" w:ascii="宋体" w:hAnsi="宋体"/>
          <w:color w:val="000000"/>
          <w:szCs w:val="28"/>
        </w:rPr>
        <w:t>7.投标人投两个或两个以上标段的，投标人必须按标包分别编制投标文件，否则为无效投标。</w:t>
      </w:r>
    </w:p>
    <w:p>
      <w:pPr>
        <w:spacing w:line="360" w:lineRule="auto"/>
        <w:ind w:firstLine="562" w:firstLineChars="200"/>
        <w:rPr>
          <w:rFonts w:ascii="宋体" w:hAnsi="宋体"/>
          <w:b/>
          <w:color w:val="000000"/>
          <w:szCs w:val="28"/>
        </w:rPr>
      </w:pPr>
      <w:r>
        <w:rPr>
          <w:rFonts w:hint="eastAsia" w:ascii="宋体" w:hAnsi="宋体"/>
          <w:b/>
          <w:color w:val="000000"/>
          <w:szCs w:val="28"/>
        </w:rPr>
        <w:t>（二）文件构成</w:t>
      </w:r>
    </w:p>
    <w:p>
      <w:pPr>
        <w:pStyle w:val="26"/>
        <w:adjustRightInd w:val="0"/>
        <w:snapToGrid w:val="0"/>
        <w:spacing w:line="360" w:lineRule="auto"/>
        <w:ind w:firstLine="560" w:firstLineChars="200"/>
        <w:rPr>
          <w:rFonts w:hAnsi="宋体"/>
          <w:color w:val="000000"/>
          <w:sz w:val="28"/>
          <w:szCs w:val="28"/>
        </w:rPr>
      </w:pPr>
      <w:r>
        <w:rPr>
          <w:rFonts w:hint="eastAsia" w:hAnsi="宋体"/>
          <w:color w:val="000000"/>
          <w:sz w:val="28"/>
          <w:szCs w:val="28"/>
        </w:rPr>
        <w:t>投标人编制的投标文件应包括但不少于下列内容：</w:t>
      </w:r>
    </w:p>
    <w:p>
      <w:pPr>
        <w:spacing w:line="360" w:lineRule="auto"/>
        <w:ind w:right="57" w:firstLine="616" w:firstLineChars="220"/>
        <w:jc w:val="left"/>
        <w:rPr>
          <w:rFonts w:ascii="宋体" w:hAnsi="宋体"/>
          <w:color w:val="000000"/>
          <w:szCs w:val="28"/>
        </w:rPr>
      </w:pPr>
      <w:r>
        <w:rPr>
          <w:rFonts w:hint="eastAsia" w:ascii="宋体" w:hAnsi="宋体"/>
          <w:color w:val="000000"/>
          <w:szCs w:val="28"/>
        </w:rPr>
        <w:t>1.投标文件封面</w:t>
      </w:r>
    </w:p>
    <w:p>
      <w:pPr>
        <w:spacing w:line="360" w:lineRule="auto"/>
        <w:ind w:right="57" w:firstLine="616" w:firstLineChars="220"/>
        <w:jc w:val="left"/>
        <w:rPr>
          <w:rFonts w:ascii="宋体" w:hAnsi="宋体"/>
          <w:color w:val="000000"/>
          <w:szCs w:val="28"/>
        </w:rPr>
      </w:pPr>
      <w:r>
        <w:rPr>
          <w:rFonts w:hint="eastAsia" w:ascii="宋体" w:hAnsi="宋体"/>
          <w:color w:val="000000"/>
          <w:szCs w:val="28"/>
        </w:rPr>
        <w:t>2.投标文件目录</w:t>
      </w:r>
    </w:p>
    <w:p>
      <w:pPr>
        <w:spacing w:line="360" w:lineRule="auto"/>
        <w:ind w:right="57" w:firstLine="616" w:firstLineChars="220"/>
        <w:jc w:val="left"/>
        <w:rPr>
          <w:rFonts w:ascii="宋体" w:hAnsi="宋体"/>
          <w:color w:val="000000"/>
          <w:szCs w:val="28"/>
        </w:rPr>
      </w:pPr>
      <w:r>
        <w:rPr>
          <w:rFonts w:hint="eastAsia" w:ascii="宋体" w:hAnsi="宋体"/>
          <w:color w:val="000000"/>
          <w:szCs w:val="28"/>
        </w:rPr>
        <w:t>3.投标承诺书</w:t>
      </w:r>
    </w:p>
    <w:p>
      <w:pPr>
        <w:spacing w:line="360" w:lineRule="auto"/>
        <w:ind w:right="57" w:firstLine="616" w:firstLineChars="220"/>
        <w:jc w:val="left"/>
        <w:rPr>
          <w:rFonts w:ascii="宋体" w:hAnsi="宋体"/>
          <w:color w:val="000000"/>
          <w:szCs w:val="28"/>
        </w:rPr>
      </w:pPr>
      <w:r>
        <w:rPr>
          <w:rFonts w:hint="eastAsia" w:ascii="宋体" w:hAnsi="宋体"/>
          <w:color w:val="000000"/>
          <w:szCs w:val="28"/>
        </w:rPr>
        <w:t>4.法定代表人授权委托书</w:t>
      </w:r>
    </w:p>
    <w:p>
      <w:pPr>
        <w:spacing w:line="360" w:lineRule="auto"/>
        <w:ind w:right="57" w:firstLine="616" w:firstLineChars="220"/>
        <w:jc w:val="left"/>
        <w:rPr>
          <w:rFonts w:ascii="宋体" w:hAnsi="宋体"/>
          <w:color w:val="000000"/>
          <w:szCs w:val="28"/>
        </w:rPr>
      </w:pPr>
      <w:r>
        <w:rPr>
          <w:rFonts w:hint="eastAsia" w:ascii="宋体" w:hAnsi="宋体"/>
          <w:color w:val="000000"/>
          <w:szCs w:val="28"/>
        </w:rPr>
        <w:t>5.开标一览表</w:t>
      </w:r>
    </w:p>
    <w:p>
      <w:pPr>
        <w:pStyle w:val="26"/>
        <w:adjustRightInd w:val="0"/>
        <w:snapToGrid w:val="0"/>
        <w:spacing w:line="360" w:lineRule="auto"/>
        <w:ind w:firstLine="560" w:firstLineChars="200"/>
        <w:rPr>
          <w:rFonts w:hAnsi="宋体" w:cs="Times New Roman"/>
          <w:color w:val="000000"/>
          <w:sz w:val="28"/>
          <w:szCs w:val="28"/>
        </w:rPr>
      </w:pPr>
      <w:r>
        <w:rPr>
          <w:rFonts w:hint="eastAsia" w:hAnsi="宋体" w:cs="Times New Roman"/>
          <w:color w:val="000000"/>
          <w:sz w:val="28"/>
          <w:szCs w:val="28"/>
        </w:rPr>
        <w:t>6. 已标价工程量清单</w:t>
      </w:r>
    </w:p>
    <w:p>
      <w:pPr>
        <w:pStyle w:val="26"/>
        <w:adjustRightInd w:val="0"/>
        <w:snapToGrid w:val="0"/>
        <w:spacing w:line="360" w:lineRule="auto"/>
        <w:ind w:firstLine="560" w:firstLineChars="200"/>
        <w:rPr>
          <w:rFonts w:hAnsi="宋体" w:cs="Times New Roman"/>
          <w:color w:val="000000"/>
          <w:sz w:val="28"/>
          <w:szCs w:val="28"/>
        </w:rPr>
      </w:pPr>
      <w:r>
        <w:rPr>
          <w:rFonts w:hint="eastAsia" w:hAnsi="宋体" w:cs="Times New Roman"/>
          <w:color w:val="000000"/>
          <w:sz w:val="28"/>
          <w:szCs w:val="28"/>
        </w:rPr>
        <w:t>7. 施工组织设计</w:t>
      </w:r>
    </w:p>
    <w:p>
      <w:pPr>
        <w:pStyle w:val="26"/>
        <w:adjustRightInd w:val="0"/>
        <w:snapToGrid w:val="0"/>
        <w:spacing w:line="360" w:lineRule="auto"/>
        <w:ind w:firstLine="560" w:firstLineChars="200"/>
        <w:rPr>
          <w:rFonts w:hAnsi="宋体" w:cs="Times New Roman"/>
          <w:color w:val="000000"/>
          <w:sz w:val="28"/>
          <w:szCs w:val="28"/>
        </w:rPr>
      </w:pPr>
      <w:r>
        <w:rPr>
          <w:rFonts w:hint="eastAsia" w:hAnsi="宋体" w:cs="Times New Roman"/>
          <w:color w:val="000000"/>
          <w:sz w:val="28"/>
          <w:szCs w:val="28"/>
        </w:rPr>
        <w:t>8. 项目管理机构</w:t>
      </w:r>
    </w:p>
    <w:p>
      <w:pPr>
        <w:pStyle w:val="26"/>
        <w:adjustRightInd w:val="0"/>
        <w:snapToGrid w:val="0"/>
        <w:spacing w:line="360" w:lineRule="auto"/>
        <w:ind w:firstLine="560" w:firstLineChars="200"/>
        <w:rPr>
          <w:rFonts w:hAnsi="宋体" w:cs="Times New Roman"/>
          <w:color w:val="000000"/>
          <w:sz w:val="28"/>
          <w:szCs w:val="28"/>
        </w:rPr>
      </w:pPr>
      <w:r>
        <w:rPr>
          <w:rFonts w:hint="eastAsia" w:hAnsi="宋体" w:cs="Times New Roman"/>
          <w:color w:val="000000"/>
          <w:sz w:val="28"/>
          <w:szCs w:val="28"/>
        </w:rPr>
        <w:t>9. 资格审查资料</w:t>
      </w:r>
    </w:p>
    <w:p>
      <w:pPr>
        <w:pStyle w:val="26"/>
        <w:adjustRightInd w:val="0"/>
        <w:snapToGrid w:val="0"/>
        <w:spacing w:line="360" w:lineRule="auto"/>
        <w:ind w:firstLine="560" w:firstLineChars="200"/>
        <w:rPr>
          <w:rFonts w:hAnsi="宋体" w:cs="Times New Roman"/>
          <w:color w:val="000000"/>
          <w:sz w:val="28"/>
          <w:szCs w:val="28"/>
        </w:rPr>
      </w:pPr>
      <w:r>
        <w:rPr>
          <w:rFonts w:hint="eastAsia" w:hAnsi="宋体" w:cs="Times New Roman"/>
          <w:color w:val="000000"/>
          <w:sz w:val="28"/>
          <w:szCs w:val="28"/>
        </w:rPr>
        <w:t>10.其他材料</w:t>
      </w:r>
    </w:p>
    <w:p>
      <w:pPr>
        <w:pStyle w:val="26"/>
        <w:adjustRightInd w:val="0"/>
        <w:snapToGrid w:val="0"/>
        <w:spacing w:line="360" w:lineRule="auto"/>
        <w:ind w:firstLine="551" w:firstLineChars="196"/>
        <w:rPr>
          <w:rFonts w:hAnsi="宋体"/>
          <w:b/>
          <w:color w:val="000000"/>
          <w:sz w:val="28"/>
          <w:szCs w:val="28"/>
        </w:rPr>
      </w:pPr>
      <w:r>
        <w:rPr>
          <w:rFonts w:hint="eastAsia" w:hAnsi="宋体"/>
          <w:b/>
          <w:color w:val="000000"/>
          <w:sz w:val="28"/>
          <w:szCs w:val="28"/>
        </w:rPr>
        <w:t>（三）投标报价</w:t>
      </w:r>
    </w:p>
    <w:p>
      <w:pPr>
        <w:autoSpaceDE w:val="0"/>
        <w:autoSpaceDN w:val="0"/>
        <w:adjustRightInd w:val="0"/>
        <w:snapToGrid w:val="0"/>
        <w:spacing w:line="360" w:lineRule="auto"/>
        <w:ind w:right="-148" w:firstLine="560" w:firstLineChars="200"/>
        <w:rPr>
          <w:rFonts w:ascii="宋体" w:hAnsi="宋体"/>
          <w:color w:val="000000"/>
          <w:kern w:val="0"/>
          <w:szCs w:val="28"/>
        </w:rPr>
      </w:pPr>
      <w:r>
        <w:rPr>
          <w:rFonts w:hint="eastAsia" w:ascii="宋体" w:hAnsi="宋体"/>
          <w:color w:val="000000"/>
          <w:szCs w:val="28"/>
        </w:rPr>
        <w:t>1.</w:t>
      </w:r>
      <w:r>
        <w:rPr>
          <w:rFonts w:hint="eastAsia" w:ascii="宋体" w:hAnsi="宋体"/>
          <w:color w:val="000000"/>
          <w:kern w:val="0"/>
          <w:szCs w:val="28"/>
        </w:rPr>
        <w:t>投标人所提供的货物和服务均以人民币报价。</w:t>
      </w:r>
    </w:p>
    <w:p>
      <w:pPr>
        <w:autoSpaceDE w:val="0"/>
        <w:autoSpaceDN w:val="0"/>
        <w:adjustRightInd w:val="0"/>
        <w:snapToGrid w:val="0"/>
        <w:spacing w:line="360" w:lineRule="auto"/>
        <w:ind w:right="-148" w:firstLine="560" w:firstLineChars="200"/>
        <w:rPr>
          <w:rFonts w:ascii="宋体" w:hAnsi="宋体"/>
          <w:color w:val="000000"/>
          <w:kern w:val="0"/>
          <w:szCs w:val="28"/>
        </w:rPr>
      </w:pPr>
      <w:r>
        <w:rPr>
          <w:rFonts w:hint="eastAsia" w:ascii="宋体" w:hAnsi="宋体"/>
          <w:color w:val="000000"/>
          <w:kern w:val="0"/>
          <w:szCs w:val="28"/>
        </w:rPr>
        <w:t>2.</w:t>
      </w:r>
      <w:r>
        <w:rPr>
          <w:rFonts w:hint="eastAsia" w:ascii="宋体" w:hAnsi="宋体"/>
          <w:color w:val="000000"/>
          <w:szCs w:val="28"/>
        </w:rPr>
        <w:t>投标人应按照“第四章招标内容与技术要求”的供货内容、责任范围以及合同条款进行报价。并按</w:t>
      </w:r>
      <w:r>
        <w:rPr>
          <w:rFonts w:ascii="宋体" w:hAnsi="宋体"/>
          <w:color w:val="000000"/>
          <w:szCs w:val="28"/>
        </w:rPr>
        <w:t>”</w:t>
      </w:r>
      <w:r>
        <w:rPr>
          <w:rFonts w:hint="eastAsia" w:ascii="宋体" w:hAnsi="宋体"/>
          <w:color w:val="000000"/>
          <w:szCs w:val="28"/>
        </w:rPr>
        <w:t>开标一览表</w:t>
      </w:r>
      <w:r>
        <w:rPr>
          <w:rFonts w:ascii="宋体" w:hAnsi="宋体"/>
          <w:color w:val="000000"/>
          <w:szCs w:val="28"/>
        </w:rPr>
        <w:t>”</w:t>
      </w:r>
      <w:r>
        <w:rPr>
          <w:rFonts w:hint="eastAsia" w:ascii="宋体" w:hAnsi="宋体"/>
          <w:color w:val="000000"/>
          <w:szCs w:val="28"/>
        </w:rPr>
        <w:t>和</w:t>
      </w:r>
      <w:r>
        <w:rPr>
          <w:rFonts w:ascii="宋体" w:hAnsi="宋体"/>
          <w:color w:val="000000"/>
          <w:szCs w:val="28"/>
        </w:rPr>
        <w:t>”</w:t>
      </w:r>
      <w:r>
        <w:rPr>
          <w:rFonts w:hint="eastAsia" w:ascii="宋体" w:hAnsi="宋体"/>
          <w:color w:val="000000"/>
          <w:szCs w:val="28"/>
        </w:rPr>
        <w:t>投标货物分项报价明细表</w:t>
      </w:r>
      <w:r>
        <w:rPr>
          <w:rFonts w:ascii="宋体" w:hAnsi="宋体"/>
          <w:color w:val="000000"/>
          <w:szCs w:val="28"/>
        </w:rPr>
        <w:t>”</w:t>
      </w:r>
      <w:r>
        <w:rPr>
          <w:rFonts w:hint="eastAsia" w:ascii="宋体" w:hAnsi="宋体"/>
          <w:color w:val="000000"/>
          <w:szCs w:val="28"/>
        </w:rPr>
        <w:t>规定的格式报出分项价格和总价</w:t>
      </w:r>
      <w:r>
        <w:rPr>
          <w:rFonts w:hint="eastAsia" w:ascii="宋体" w:hAnsi="宋体"/>
          <w:color w:val="000000"/>
          <w:kern w:val="0"/>
          <w:szCs w:val="28"/>
        </w:rPr>
        <w:t>。投标总价中不得包含招标文件要求以外的内容，否则，在评审时不予核减。</w:t>
      </w:r>
    </w:p>
    <w:p>
      <w:pPr>
        <w:spacing w:line="360" w:lineRule="auto"/>
        <w:ind w:firstLine="560" w:firstLineChars="200"/>
        <w:rPr>
          <w:rFonts w:ascii="宋体" w:hAnsi="宋体"/>
          <w:color w:val="000000"/>
          <w:kern w:val="0"/>
          <w:szCs w:val="28"/>
        </w:rPr>
      </w:pPr>
      <w:r>
        <w:rPr>
          <w:rFonts w:hint="eastAsia" w:ascii="宋体" w:hAnsi="宋体"/>
          <w:color w:val="000000"/>
          <w:szCs w:val="28"/>
        </w:rPr>
        <w:t>3.投标人应按招标文件《开标一览表》要求的统一格式填写，并由法人代表或授权代表签署并加盖公章。此表除在标书中提供外，还要将另一份完全相同的《开标一览表》放入密封的信封内，投标时单独递交，在开标大会上供唱标使用</w:t>
      </w:r>
      <w:r>
        <w:rPr>
          <w:rFonts w:hint="eastAsia" w:ascii="宋体" w:hAnsi="宋体"/>
          <w:b/>
          <w:bCs/>
          <w:color w:val="000000"/>
          <w:szCs w:val="28"/>
        </w:rPr>
        <w:t>，</w:t>
      </w:r>
      <w:r>
        <w:rPr>
          <w:rFonts w:hint="eastAsia" w:ascii="宋体" w:hAnsi="宋体"/>
          <w:color w:val="000000"/>
          <w:szCs w:val="28"/>
        </w:rPr>
        <w:t>以上内容缺一不可。</w:t>
      </w:r>
    </w:p>
    <w:p>
      <w:pPr>
        <w:pStyle w:val="26"/>
        <w:adjustRightInd w:val="0"/>
        <w:snapToGrid w:val="0"/>
        <w:spacing w:line="360" w:lineRule="auto"/>
        <w:ind w:firstLine="560" w:firstLineChars="200"/>
        <w:rPr>
          <w:rFonts w:hAnsi="宋体"/>
          <w:color w:val="000000"/>
          <w:sz w:val="28"/>
          <w:szCs w:val="28"/>
        </w:rPr>
      </w:pPr>
      <w:r>
        <w:rPr>
          <w:rFonts w:hint="eastAsia" w:hAnsi="宋体"/>
          <w:color w:val="000000"/>
          <w:sz w:val="28"/>
          <w:szCs w:val="28"/>
        </w:rPr>
        <w:t>4.《投标货物分项报价明细表》填写时应响应下列要求：</w:t>
      </w:r>
    </w:p>
    <w:p>
      <w:pPr>
        <w:pStyle w:val="26"/>
        <w:adjustRightInd w:val="0"/>
        <w:snapToGrid w:val="0"/>
        <w:spacing w:line="360" w:lineRule="auto"/>
        <w:ind w:firstLine="560" w:firstLineChars="200"/>
        <w:rPr>
          <w:rFonts w:hAnsi="宋体"/>
          <w:color w:val="000000"/>
          <w:sz w:val="28"/>
          <w:szCs w:val="28"/>
        </w:rPr>
      </w:pPr>
      <w:r>
        <w:rPr>
          <w:rFonts w:hint="eastAsia" w:hAnsi="宋体"/>
          <w:color w:val="000000"/>
          <w:sz w:val="28"/>
          <w:szCs w:val="28"/>
        </w:rPr>
        <w:t>（1）对于报价免费的项目应标明“免费”；</w:t>
      </w:r>
    </w:p>
    <w:p>
      <w:pPr>
        <w:pStyle w:val="26"/>
        <w:adjustRightInd w:val="0"/>
        <w:snapToGrid w:val="0"/>
        <w:spacing w:line="360" w:lineRule="auto"/>
        <w:ind w:firstLine="560" w:firstLineChars="200"/>
        <w:rPr>
          <w:rFonts w:hAnsi="宋体"/>
          <w:color w:val="000000"/>
          <w:sz w:val="28"/>
          <w:szCs w:val="28"/>
        </w:rPr>
      </w:pPr>
      <w:r>
        <w:rPr>
          <w:rFonts w:hint="eastAsia" w:hAnsi="宋体"/>
          <w:color w:val="000000"/>
          <w:sz w:val="28"/>
          <w:szCs w:val="28"/>
        </w:rPr>
        <w:t>（2）所有根据合同或其它原因应由投标人支付的税款和其它应交纳的费用都要包括在投标人提交的报价中；</w:t>
      </w:r>
    </w:p>
    <w:p>
      <w:pPr>
        <w:pStyle w:val="26"/>
        <w:adjustRightInd w:val="0"/>
        <w:snapToGrid w:val="0"/>
        <w:spacing w:line="360" w:lineRule="auto"/>
        <w:ind w:firstLine="560" w:firstLineChars="200"/>
        <w:rPr>
          <w:rFonts w:hAnsi="宋体"/>
          <w:color w:val="000000"/>
          <w:sz w:val="28"/>
          <w:szCs w:val="28"/>
        </w:rPr>
      </w:pPr>
      <w:r>
        <w:rPr>
          <w:rFonts w:hint="eastAsia" w:hAnsi="宋体"/>
          <w:color w:val="000000"/>
          <w:sz w:val="28"/>
          <w:szCs w:val="28"/>
        </w:rPr>
        <w:t>（3）投标报价应包含货物运至最终目的地的运输、保险和伴随货物服务的有关费用。</w:t>
      </w:r>
    </w:p>
    <w:p>
      <w:pPr>
        <w:pStyle w:val="26"/>
        <w:adjustRightInd w:val="0"/>
        <w:snapToGrid w:val="0"/>
        <w:spacing w:line="360" w:lineRule="auto"/>
        <w:ind w:firstLine="560" w:firstLineChars="200"/>
        <w:rPr>
          <w:rFonts w:hAnsi="宋体"/>
          <w:color w:val="000000"/>
          <w:sz w:val="28"/>
          <w:szCs w:val="28"/>
        </w:rPr>
      </w:pPr>
      <w:r>
        <w:rPr>
          <w:rFonts w:hint="eastAsia" w:hAnsi="宋体"/>
          <w:color w:val="000000"/>
          <w:sz w:val="28"/>
          <w:szCs w:val="28"/>
        </w:rPr>
        <w:t>5. 每一种规格的货物只允许有一个报价。</w:t>
      </w:r>
    </w:p>
    <w:p>
      <w:pPr>
        <w:pStyle w:val="26"/>
        <w:adjustRightInd w:val="0"/>
        <w:snapToGrid w:val="0"/>
        <w:spacing w:line="360" w:lineRule="auto"/>
        <w:ind w:firstLine="560" w:firstLineChars="200"/>
        <w:rPr>
          <w:rFonts w:hAnsi="宋体"/>
          <w:color w:val="000000"/>
          <w:sz w:val="28"/>
          <w:szCs w:val="28"/>
        </w:rPr>
      </w:pPr>
      <w:r>
        <w:rPr>
          <w:rFonts w:hint="eastAsia" w:hAnsi="宋体"/>
          <w:color w:val="000000"/>
          <w:sz w:val="28"/>
          <w:szCs w:val="28"/>
        </w:rPr>
        <w:t>6.投标人的报价在合同执行过程中是固定不变的，不得以任何理由予以变更。</w:t>
      </w:r>
    </w:p>
    <w:p>
      <w:pPr>
        <w:spacing w:line="360" w:lineRule="auto"/>
        <w:ind w:firstLine="562" w:firstLineChars="200"/>
        <w:rPr>
          <w:rFonts w:ascii="宋体" w:hAnsi="宋体"/>
          <w:b/>
          <w:color w:val="000000"/>
          <w:szCs w:val="28"/>
        </w:rPr>
      </w:pPr>
      <w:r>
        <w:rPr>
          <w:rFonts w:hint="eastAsia" w:ascii="宋体" w:hAnsi="宋体"/>
          <w:b/>
          <w:color w:val="000000"/>
          <w:szCs w:val="28"/>
        </w:rPr>
        <w:t>（四）备选方案</w:t>
      </w:r>
    </w:p>
    <w:p>
      <w:pPr>
        <w:pStyle w:val="26"/>
        <w:adjustRightInd w:val="0"/>
        <w:snapToGrid w:val="0"/>
        <w:spacing w:line="360" w:lineRule="auto"/>
        <w:ind w:firstLine="562" w:firstLineChars="201"/>
        <w:rPr>
          <w:rFonts w:hAnsi="宋体"/>
          <w:color w:val="000000"/>
          <w:sz w:val="28"/>
          <w:szCs w:val="28"/>
        </w:rPr>
      </w:pPr>
      <w:r>
        <w:rPr>
          <w:rFonts w:hint="eastAsia" w:hAnsi="宋体"/>
          <w:color w:val="000000"/>
          <w:sz w:val="28"/>
          <w:szCs w:val="28"/>
        </w:rPr>
        <w:t>本次招标采购项目不允许投标人有备选投标方案。</w:t>
      </w:r>
    </w:p>
    <w:p>
      <w:pPr>
        <w:pStyle w:val="26"/>
        <w:adjustRightInd w:val="0"/>
        <w:snapToGrid w:val="0"/>
        <w:spacing w:line="360" w:lineRule="auto"/>
        <w:ind w:firstLine="551" w:firstLineChars="196"/>
        <w:rPr>
          <w:rFonts w:hAnsi="宋体"/>
          <w:b/>
          <w:sz w:val="28"/>
          <w:szCs w:val="28"/>
        </w:rPr>
      </w:pPr>
      <w:r>
        <w:rPr>
          <w:rFonts w:hint="eastAsia" w:hAnsi="宋体"/>
          <w:b/>
          <w:sz w:val="28"/>
          <w:szCs w:val="28"/>
        </w:rPr>
        <w:t>（五）联合体投标</w:t>
      </w:r>
    </w:p>
    <w:p>
      <w:pPr>
        <w:pStyle w:val="26"/>
        <w:adjustRightInd w:val="0"/>
        <w:snapToGrid w:val="0"/>
        <w:spacing w:line="360" w:lineRule="auto"/>
        <w:ind w:firstLine="548" w:firstLineChars="196"/>
        <w:rPr>
          <w:rFonts w:hAnsi="宋体"/>
          <w:sz w:val="28"/>
          <w:szCs w:val="28"/>
        </w:rPr>
      </w:pPr>
      <w:r>
        <w:rPr>
          <w:rFonts w:hint="eastAsia" w:hAnsi="宋体"/>
          <w:sz w:val="28"/>
          <w:szCs w:val="28"/>
        </w:rPr>
        <w:t>本项目不接受联合体投标</w:t>
      </w:r>
    </w:p>
    <w:p>
      <w:pPr>
        <w:pStyle w:val="26"/>
        <w:adjustRightInd w:val="0"/>
        <w:snapToGrid w:val="0"/>
        <w:spacing w:line="360" w:lineRule="auto"/>
        <w:ind w:firstLine="562" w:firstLineChars="200"/>
        <w:rPr>
          <w:rFonts w:hAnsi="宋体"/>
          <w:b/>
          <w:color w:val="000000"/>
          <w:sz w:val="28"/>
          <w:szCs w:val="28"/>
        </w:rPr>
      </w:pPr>
      <w:r>
        <w:rPr>
          <w:rFonts w:hint="eastAsia" w:hAnsi="宋体"/>
          <w:b/>
          <w:color w:val="000000"/>
          <w:sz w:val="28"/>
          <w:szCs w:val="28"/>
        </w:rPr>
        <w:t>（六）投标保证金</w:t>
      </w:r>
    </w:p>
    <w:p>
      <w:pPr>
        <w:pStyle w:val="26"/>
        <w:adjustRightInd w:val="0"/>
        <w:snapToGrid w:val="0"/>
        <w:spacing w:line="360" w:lineRule="auto"/>
        <w:ind w:firstLine="560" w:firstLineChars="200"/>
        <w:rPr>
          <w:rFonts w:hAnsi="宋体"/>
          <w:color w:val="000000"/>
          <w:sz w:val="28"/>
          <w:szCs w:val="28"/>
        </w:rPr>
      </w:pPr>
      <w:r>
        <w:rPr>
          <w:rFonts w:hint="eastAsia" w:hAnsi="宋体"/>
          <w:color w:val="000000"/>
          <w:sz w:val="28"/>
          <w:szCs w:val="28"/>
        </w:rPr>
        <w:t>1.投标人应在2017年7月21日下午17:30时之前缴纳，需缴纳的金额详见投标须知前附表，投标保证金作为响应文件的组成部分。</w:t>
      </w:r>
    </w:p>
    <w:p>
      <w:pPr>
        <w:pStyle w:val="26"/>
        <w:adjustRightInd w:val="0"/>
        <w:snapToGrid w:val="0"/>
        <w:spacing w:line="360" w:lineRule="auto"/>
        <w:ind w:firstLine="560" w:firstLineChars="200"/>
        <w:rPr>
          <w:rFonts w:hAnsi="宋体"/>
          <w:color w:val="000000"/>
          <w:sz w:val="28"/>
          <w:szCs w:val="28"/>
        </w:rPr>
      </w:pPr>
      <w:r>
        <w:rPr>
          <w:rFonts w:hint="eastAsia" w:hAnsi="宋体"/>
          <w:color w:val="000000"/>
          <w:sz w:val="28"/>
          <w:szCs w:val="28"/>
        </w:rPr>
        <w:t>2.投标保证金缴纳方式、要求和时间</w:t>
      </w:r>
    </w:p>
    <w:p>
      <w:pPr>
        <w:pStyle w:val="26"/>
        <w:adjustRightInd w:val="0"/>
        <w:snapToGrid w:val="0"/>
        <w:spacing w:line="360" w:lineRule="auto"/>
        <w:ind w:firstLine="560" w:firstLineChars="200"/>
        <w:rPr>
          <w:rFonts w:hAnsi="宋体"/>
          <w:color w:val="000000"/>
          <w:sz w:val="28"/>
          <w:szCs w:val="28"/>
        </w:rPr>
      </w:pPr>
      <w:r>
        <w:rPr>
          <w:rFonts w:hint="eastAsia" w:hAnsi="宋体"/>
          <w:color w:val="000000"/>
          <w:sz w:val="28"/>
          <w:szCs w:val="28"/>
        </w:rPr>
        <w:t>缴纳方式：从账户电汇或转账（不接受现金、个人名义及其它方式缴纳，投标单位以现金、个人名义及其它方式缴纳投标保证金，一律按无效投标处理）。</w:t>
      </w:r>
    </w:p>
    <w:p>
      <w:pPr>
        <w:pStyle w:val="26"/>
        <w:adjustRightInd w:val="0"/>
        <w:snapToGrid w:val="0"/>
        <w:spacing w:line="360" w:lineRule="auto"/>
        <w:ind w:firstLine="548" w:firstLineChars="196"/>
        <w:rPr>
          <w:rFonts w:hAnsi="宋体"/>
          <w:color w:val="FF0000"/>
          <w:sz w:val="28"/>
          <w:szCs w:val="28"/>
        </w:rPr>
      </w:pPr>
      <w:r>
        <w:rPr>
          <w:rFonts w:hint="eastAsia" w:hAnsi="宋体"/>
          <w:color w:val="FF0000"/>
          <w:sz w:val="28"/>
          <w:szCs w:val="28"/>
        </w:rPr>
        <w:t>缴纳要求：投标单位在电汇或转账时在汇款用途或转账用途一栏中不能写项目名称，必须注明‘投标保证金缴纳码’。</w:t>
      </w:r>
    </w:p>
    <w:p>
      <w:pPr>
        <w:adjustRightInd w:val="0"/>
        <w:snapToGrid w:val="0"/>
        <w:spacing w:line="500" w:lineRule="exact"/>
        <w:ind w:firstLine="560" w:firstLineChars="200"/>
        <w:rPr>
          <w:rFonts w:ascii="宋体" w:hAnsi="宋体"/>
          <w:szCs w:val="28"/>
        </w:rPr>
      </w:pPr>
      <w:r>
        <w:rPr>
          <w:rFonts w:hint="eastAsia" w:ascii="宋体" w:hAnsi="宋体"/>
          <w:szCs w:val="28"/>
        </w:rPr>
        <w:t>缴纳截止时间：2017年7月21日下午17:30时之前（以“投标保证金汇划来账回单”上时间为准），投标有效期截止日后的60天期限内有效。</w:t>
      </w:r>
    </w:p>
    <w:p>
      <w:pPr>
        <w:widowControl/>
        <w:spacing w:line="440" w:lineRule="exact"/>
        <w:rPr>
          <w:rFonts w:ascii="宋体" w:hAnsi="宋体"/>
          <w:kern w:val="0"/>
          <w:szCs w:val="28"/>
        </w:rPr>
      </w:pPr>
      <w:r>
        <w:rPr>
          <w:rFonts w:hint="eastAsia" w:ascii="宋体" w:hAnsi="宋体"/>
          <w:kern w:val="0"/>
          <w:szCs w:val="28"/>
        </w:rPr>
        <w:t>开户单位名称：杭锦旗公共资源交易中心</w:t>
      </w:r>
    </w:p>
    <w:p>
      <w:pPr>
        <w:widowControl/>
        <w:spacing w:line="440" w:lineRule="exact"/>
        <w:rPr>
          <w:rFonts w:ascii="宋体" w:hAnsi="宋体"/>
          <w:kern w:val="0"/>
          <w:szCs w:val="28"/>
        </w:rPr>
      </w:pPr>
      <w:r>
        <w:rPr>
          <w:rFonts w:hint="eastAsia" w:ascii="宋体" w:hAnsi="宋体"/>
          <w:kern w:val="0"/>
          <w:szCs w:val="28"/>
        </w:rPr>
        <w:t>账号：0473，5301，2000，0000，4605</w:t>
      </w:r>
    </w:p>
    <w:p>
      <w:pPr>
        <w:widowControl/>
        <w:spacing w:line="440" w:lineRule="exact"/>
        <w:rPr>
          <w:rFonts w:ascii="宋体" w:hAnsi="宋体"/>
          <w:kern w:val="0"/>
          <w:szCs w:val="28"/>
        </w:rPr>
      </w:pPr>
      <w:r>
        <w:rPr>
          <w:rFonts w:hint="eastAsia" w:ascii="宋体" w:hAnsi="宋体"/>
          <w:kern w:val="0"/>
          <w:szCs w:val="28"/>
        </w:rPr>
        <w:t>开户行号：3202，0560，0537</w:t>
      </w:r>
    </w:p>
    <w:p>
      <w:pPr>
        <w:widowControl/>
        <w:spacing w:line="440" w:lineRule="exact"/>
        <w:rPr>
          <w:rFonts w:ascii="宋体" w:hAnsi="宋体"/>
          <w:kern w:val="0"/>
          <w:szCs w:val="28"/>
        </w:rPr>
      </w:pPr>
      <w:r>
        <w:rPr>
          <w:rFonts w:hint="eastAsia" w:ascii="宋体" w:hAnsi="宋体"/>
          <w:kern w:val="0"/>
          <w:szCs w:val="28"/>
        </w:rPr>
        <w:t>开户行：杭锦大众村镇银行有限责任公司</w:t>
      </w:r>
    </w:p>
    <w:p>
      <w:pPr>
        <w:widowControl/>
        <w:spacing w:line="440" w:lineRule="exact"/>
        <w:rPr>
          <w:rFonts w:ascii="宋体" w:hAnsi="宋体"/>
          <w:kern w:val="0"/>
          <w:szCs w:val="28"/>
        </w:rPr>
      </w:pPr>
      <w:r>
        <w:rPr>
          <w:rFonts w:hint="eastAsia" w:ascii="宋体" w:hAnsi="宋体"/>
          <w:kern w:val="0"/>
          <w:szCs w:val="28"/>
        </w:rPr>
        <w:t>联系人：吴鹏    电话：0477-6860810</w:t>
      </w:r>
    </w:p>
    <w:p>
      <w:pPr>
        <w:spacing w:line="500" w:lineRule="exact"/>
        <w:ind w:firstLine="560" w:firstLineChars="200"/>
        <w:rPr>
          <w:rFonts w:ascii="宋体" w:hAnsi="宋体"/>
          <w:szCs w:val="28"/>
        </w:rPr>
      </w:pPr>
      <w:r>
        <w:rPr>
          <w:rFonts w:hint="eastAsia" w:ascii="宋体" w:hAnsi="宋体"/>
          <w:szCs w:val="28"/>
        </w:rPr>
        <w:t>3.响应文件中在竞标人应提供的各类证明材料中必须有投标单位电汇或转账凭证和“基本账户开户许可证”复印件。</w:t>
      </w:r>
    </w:p>
    <w:p>
      <w:pPr>
        <w:adjustRightInd w:val="0"/>
        <w:snapToGrid w:val="0"/>
        <w:spacing w:line="500" w:lineRule="exact"/>
        <w:rPr>
          <w:rFonts w:ascii="宋体" w:hAnsi="宋体"/>
          <w:szCs w:val="28"/>
        </w:rPr>
      </w:pPr>
      <w:r>
        <w:rPr>
          <w:rFonts w:hint="eastAsia" w:ascii="宋体" w:hAnsi="宋体"/>
          <w:szCs w:val="28"/>
        </w:rPr>
        <w:t xml:space="preserve">    4.未中标的投标人在中标通知书发出5个工作日内，办理退还事宜。</w:t>
      </w:r>
    </w:p>
    <w:p>
      <w:pPr>
        <w:adjustRightInd w:val="0"/>
        <w:snapToGrid w:val="0"/>
        <w:spacing w:line="500" w:lineRule="exact"/>
        <w:ind w:right="42" w:rightChars="15" w:firstLine="560" w:firstLineChars="200"/>
        <w:rPr>
          <w:rFonts w:ascii="宋体" w:hAnsi="宋体"/>
          <w:szCs w:val="28"/>
        </w:rPr>
      </w:pPr>
      <w:r>
        <w:rPr>
          <w:rFonts w:hint="eastAsia" w:ascii="宋体" w:hAnsi="宋体"/>
          <w:szCs w:val="28"/>
        </w:rPr>
        <w:t>5.成交供应商的投标保证金,在签订合同后转为履约保证金，待合同履行后，公共资源交易中心将按照规定全额无息退还。</w:t>
      </w:r>
    </w:p>
    <w:p>
      <w:pPr>
        <w:spacing w:line="500" w:lineRule="exact"/>
        <w:ind w:right="57" w:firstLine="560" w:firstLineChars="200"/>
        <w:jc w:val="left"/>
        <w:rPr>
          <w:rFonts w:ascii="宋体" w:hAnsi="宋体"/>
          <w:szCs w:val="28"/>
        </w:rPr>
      </w:pPr>
      <w:r>
        <w:rPr>
          <w:rFonts w:hint="eastAsia" w:ascii="宋体" w:hAnsi="宋体"/>
          <w:szCs w:val="28"/>
        </w:rPr>
        <w:t>6.发生下列任何情况时，投标保证金不予退还：</w:t>
      </w:r>
    </w:p>
    <w:p>
      <w:pPr>
        <w:tabs>
          <w:tab w:val="left" w:pos="735"/>
        </w:tabs>
        <w:adjustRightInd w:val="0"/>
        <w:snapToGrid w:val="0"/>
        <w:spacing w:line="500" w:lineRule="exact"/>
        <w:ind w:firstLine="560" w:firstLineChars="200"/>
        <w:rPr>
          <w:rFonts w:ascii="宋体" w:hAnsi="宋体"/>
          <w:szCs w:val="28"/>
        </w:rPr>
      </w:pPr>
      <w:r>
        <w:rPr>
          <w:rFonts w:hint="eastAsia" w:ascii="宋体" w:hAnsi="宋体"/>
          <w:szCs w:val="28"/>
        </w:rPr>
        <w:t>（1）成交后无正当理由不签订合同的；</w:t>
      </w:r>
    </w:p>
    <w:p>
      <w:pPr>
        <w:pStyle w:val="26"/>
        <w:adjustRightInd w:val="0"/>
        <w:snapToGrid w:val="0"/>
        <w:spacing w:line="500" w:lineRule="exact"/>
        <w:ind w:firstLine="560" w:firstLineChars="200"/>
        <w:rPr>
          <w:rFonts w:hAnsi="宋体"/>
          <w:sz w:val="28"/>
          <w:szCs w:val="28"/>
        </w:rPr>
      </w:pPr>
      <w:r>
        <w:rPr>
          <w:rFonts w:hint="eastAsia" w:hAnsi="宋体"/>
          <w:sz w:val="28"/>
          <w:szCs w:val="28"/>
        </w:rPr>
        <w:t>（2）将成交项目转让给他人，或未经采购人同意，将成交项目分包给他人的；</w:t>
      </w:r>
    </w:p>
    <w:p>
      <w:pPr>
        <w:spacing w:line="500" w:lineRule="exact"/>
        <w:ind w:right="57" w:firstLine="560" w:firstLineChars="200"/>
        <w:jc w:val="left"/>
        <w:rPr>
          <w:rFonts w:ascii="宋体" w:hAnsi="宋体"/>
          <w:szCs w:val="28"/>
        </w:rPr>
      </w:pPr>
      <w:r>
        <w:rPr>
          <w:rFonts w:hint="eastAsia" w:ascii="宋体" w:hAnsi="宋体"/>
          <w:szCs w:val="28"/>
        </w:rPr>
        <w:t>（3）竞标人在投标有效期内撤回其竞标的；</w:t>
      </w:r>
    </w:p>
    <w:p>
      <w:pPr>
        <w:spacing w:line="500" w:lineRule="exact"/>
        <w:ind w:right="57" w:firstLine="560" w:firstLineChars="200"/>
        <w:jc w:val="left"/>
        <w:rPr>
          <w:rFonts w:ascii="宋体" w:hAnsi="宋体"/>
          <w:szCs w:val="28"/>
        </w:rPr>
      </w:pPr>
      <w:r>
        <w:rPr>
          <w:rFonts w:hint="eastAsia" w:ascii="宋体" w:hAnsi="宋体"/>
          <w:szCs w:val="28"/>
        </w:rPr>
        <w:t>（4）提供虚假响应文件的。</w:t>
      </w:r>
    </w:p>
    <w:p>
      <w:pPr>
        <w:adjustRightInd w:val="0"/>
        <w:snapToGrid w:val="0"/>
        <w:spacing w:line="360" w:lineRule="auto"/>
        <w:ind w:right="-196" w:rightChars="-70" w:firstLine="562" w:firstLineChars="200"/>
        <w:rPr>
          <w:rFonts w:ascii="宋体" w:hAnsi="宋体"/>
          <w:b/>
          <w:color w:val="000000"/>
          <w:szCs w:val="28"/>
        </w:rPr>
      </w:pPr>
      <w:r>
        <w:rPr>
          <w:rFonts w:hint="eastAsia" w:ascii="宋体" w:hAnsi="宋体"/>
          <w:b/>
          <w:color w:val="000000"/>
          <w:szCs w:val="28"/>
        </w:rPr>
        <w:t>（七）投标有效期</w:t>
      </w:r>
    </w:p>
    <w:p>
      <w:pPr>
        <w:tabs>
          <w:tab w:val="left" w:pos="8280"/>
        </w:tabs>
        <w:autoSpaceDE w:val="0"/>
        <w:autoSpaceDN w:val="0"/>
        <w:adjustRightInd w:val="0"/>
        <w:snapToGrid w:val="0"/>
        <w:spacing w:line="360" w:lineRule="auto"/>
        <w:ind w:right="32" w:firstLine="560" w:firstLineChars="200"/>
        <w:rPr>
          <w:rFonts w:ascii="宋体" w:hAnsi="宋体"/>
          <w:color w:val="000000"/>
          <w:kern w:val="0"/>
          <w:szCs w:val="28"/>
        </w:rPr>
      </w:pPr>
      <w:r>
        <w:rPr>
          <w:rFonts w:hint="eastAsia" w:ascii="宋体" w:hAnsi="宋体"/>
          <w:color w:val="000000"/>
          <w:kern w:val="0"/>
          <w:szCs w:val="28"/>
        </w:rPr>
        <w:t>1.投标有效期为开标之日起共60天。</w:t>
      </w:r>
    </w:p>
    <w:p>
      <w:pPr>
        <w:pStyle w:val="26"/>
        <w:adjustRightInd w:val="0"/>
        <w:snapToGrid w:val="0"/>
        <w:spacing w:line="360" w:lineRule="auto"/>
        <w:ind w:firstLine="560" w:firstLineChars="200"/>
        <w:rPr>
          <w:rFonts w:hAnsi="宋体"/>
          <w:color w:val="000000"/>
          <w:sz w:val="28"/>
          <w:szCs w:val="28"/>
        </w:rPr>
      </w:pPr>
      <w:r>
        <w:rPr>
          <w:rFonts w:hint="eastAsia" w:hAnsi="宋体"/>
          <w:color w:val="000000"/>
          <w:sz w:val="28"/>
          <w:szCs w:val="28"/>
        </w:rPr>
        <w:t>2.特殊情况下，在原投标有效期截止之前，代理机构或采购人可要求投标人延长投标有效期。这种要求与答复均应以书面形式提交。投标人可拒绝代理机构或采购人的要求，其投标保证金不会被没收，但其投标在原投标有效期期满后不再有效。同意延长投标有效期的投标人不会被要求和允许修正其投标，而只会被要求相应地延长其投标保证金的有效期。在这种情况下，本须知有关投标保证金的退还和没收的规定将在延长了的有效期内继续有效。</w:t>
      </w:r>
    </w:p>
    <w:p>
      <w:pPr>
        <w:autoSpaceDE w:val="0"/>
        <w:autoSpaceDN w:val="0"/>
        <w:adjustRightInd w:val="0"/>
        <w:snapToGrid w:val="0"/>
        <w:spacing w:line="360" w:lineRule="auto"/>
        <w:ind w:right="32" w:firstLine="551" w:firstLineChars="196"/>
        <w:rPr>
          <w:rFonts w:ascii="宋体" w:hAnsi="宋体"/>
          <w:b/>
          <w:color w:val="000000"/>
          <w:szCs w:val="28"/>
        </w:rPr>
      </w:pPr>
      <w:r>
        <w:rPr>
          <w:rFonts w:hint="eastAsia" w:ascii="宋体" w:hAnsi="宋体"/>
          <w:b/>
          <w:color w:val="000000"/>
          <w:szCs w:val="28"/>
        </w:rPr>
        <w:t>（八）投标文件的数量和签署</w:t>
      </w:r>
    </w:p>
    <w:p>
      <w:pPr>
        <w:spacing w:line="360" w:lineRule="auto"/>
        <w:ind w:right="57" w:firstLine="560" w:firstLineChars="200"/>
        <w:jc w:val="left"/>
        <w:rPr>
          <w:rFonts w:ascii="宋体" w:hAnsi="宋体"/>
          <w:color w:val="000000"/>
          <w:kern w:val="0"/>
          <w:szCs w:val="28"/>
        </w:rPr>
      </w:pPr>
      <w:r>
        <w:rPr>
          <w:rFonts w:hint="eastAsia" w:ascii="宋体" w:hAnsi="宋体"/>
          <w:color w:val="000000"/>
          <w:kern w:val="0"/>
          <w:szCs w:val="28"/>
        </w:rPr>
        <w:t>1. 投标文件应编制正本1份，副本4份，电子文档（U盘）2份</w:t>
      </w:r>
      <w:r>
        <w:rPr>
          <w:rFonts w:hint="eastAsia" w:ascii="宋体" w:hAnsi="宋体"/>
          <w:b/>
          <w:szCs w:val="28"/>
        </w:rPr>
        <w:t>(U盘内容必须与投标文件的内容一致，否则视为无效投标；若格式不符造成评标时光盘无法打开，可能导致投标无效)</w:t>
      </w:r>
      <w:r>
        <w:rPr>
          <w:rFonts w:hint="eastAsia" w:ascii="宋体" w:hAnsi="宋体"/>
          <w:color w:val="000000"/>
          <w:kern w:val="0"/>
          <w:szCs w:val="28"/>
        </w:rPr>
        <w:t>；副本可采用正本的复印件，但需签字、盖章的必须由法定代表人或经其授权的代表签字，并加盖公章。投标文件在封面必须清楚地标明“正本”或“副本”字样。若副本与正本不符，以正本为准。</w:t>
      </w:r>
    </w:p>
    <w:p>
      <w:pPr>
        <w:autoSpaceDE w:val="0"/>
        <w:autoSpaceDN w:val="0"/>
        <w:adjustRightInd w:val="0"/>
        <w:snapToGrid w:val="0"/>
        <w:spacing w:line="360" w:lineRule="auto"/>
        <w:ind w:right="32" w:firstLine="560" w:firstLineChars="200"/>
        <w:rPr>
          <w:rFonts w:ascii="宋体" w:hAnsi="宋体"/>
          <w:color w:val="000000"/>
          <w:kern w:val="0"/>
          <w:szCs w:val="28"/>
        </w:rPr>
      </w:pPr>
      <w:r>
        <w:rPr>
          <w:rFonts w:hint="eastAsia" w:ascii="宋体" w:hAnsi="宋体"/>
          <w:color w:val="000000"/>
          <w:kern w:val="0"/>
          <w:szCs w:val="28"/>
        </w:rPr>
        <w:t>2.投标文件中商务部分的“正本”需A4规格打印，应编制连续页码，加盖公章并由法定代表人或经其授权的代表用不褪色的墨水笔或碳素笔签字。</w:t>
      </w:r>
    </w:p>
    <w:p>
      <w:pPr>
        <w:pStyle w:val="26"/>
        <w:adjustRightInd w:val="0"/>
        <w:snapToGrid w:val="0"/>
        <w:spacing w:line="360" w:lineRule="auto"/>
        <w:ind w:firstLine="560" w:firstLineChars="200"/>
        <w:rPr>
          <w:rFonts w:hAnsi="宋体"/>
          <w:color w:val="000000"/>
          <w:sz w:val="28"/>
          <w:szCs w:val="28"/>
        </w:rPr>
      </w:pPr>
      <w:r>
        <w:rPr>
          <w:rFonts w:hint="eastAsia" w:hAnsi="宋体"/>
          <w:color w:val="000000"/>
          <w:sz w:val="28"/>
          <w:szCs w:val="28"/>
        </w:rPr>
        <w:t>3.投标文件中商务部分的任何行间重要的插字、涂改和增删，必须由法定代表人或经其授权的代表在旁边签字才有效。</w:t>
      </w:r>
    </w:p>
    <w:p>
      <w:pPr>
        <w:pStyle w:val="3"/>
        <w:spacing w:line="360" w:lineRule="auto"/>
        <w:rPr>
          <w:rFonts w:ascii="宋体" w:hAnsi="宋体" w:eastAsia="宋体"/>
          <w:color w:val="000000"/>
        </w:rPr>
      </w:pPr>
      <w:bookmarkStart w:id="16" w:name="_Toc487792138"/>
      <w:bookmarkStart w:id="17" w:name="_Toc266431121"/>
      <w:r>
        <w:rPr>
          <w:rFonts w:hint="eastAsia" w:ascii="宋体" w:hAnsi="宋体" w:eastAsia="宋体"/>
          <w:color w:val="000000"/>
        </w:rPr>
        <w:t>四.投标文件的递交</w:t>
      </w:r>
      <w:bookmarkEnd w:id="16"/>
      <w:bookmarkEnd w:id="17"/>
    </w:p>
    <w:p>
      <w:pPr>
        <w:rPr>
          <w:rFonts w:ascii="宋体" w:hAnsi="宋体"/>
          <w:b/>
          <w:color w:val="000000"/>
          <w:kern w:val="0"/>
          <w:szCs w:val="28"/>
        </w:rPr>
      </w:pPr>
      <w:r>
        <w:rPr>
          <w:rFonts w:hint="eastAsia" w:ascii="宋体" w:hAnsi="宋体"/>
          <w:b/>
          <w:color w:val="000000"/>
          <w:kern w:val="0"/>
          <w:szCs w:val="28"/>
        </w:rPr>
        <w:t>（一）投标文件的密封和标记</w:t>
      </w:r>
    </w:p>
    <w:p>
      <w:pPr>
        <w:autoSpaceDE w:val="0"/>
        <w:autoSpaceDN w:val="0"/>
        <w:adjustRightInd w:val="0"/>
        <w:snapToGrid w:val="0"/>
        <w:spacing w:line="360" w:lineRule="auto"/>
        <w:ind w:right="32" w:firstLine="548" w:firstLineChars="196"/>
        <w:rPr>
          <w:rFonts w:ascii="宋体" w:hAnsi="宋体"/>
          <w:kern w:val="0"/>
          <w:szCs w:val="28"/>
        </w:rPr>
      </w:pPr>
      <w:r>
        <w:rPr>
          <w:rFonts w:hint="eastAsia" w:ascii="宋体" w:hAnsi="宋体"/>
          <w:color w:val="000000"/>
          <w:kern w:val="0"/>
          <w:szCs w:val="28"/>
        </w:rPr>
        <w:t>1. 投标人应使用密封袋将投标文件和投标文件的电子文档（U盘）密封。</w:t>
      </w:r>
      <w:r>
        <w:rPr>
          <w:rFonts w:hint="eastAsia" w:ascii="宋体" w:hAnsi="宋体"/>
          <w:kern w:val="0"/>
          <w:szCs w:val="28"/>
        </w:rPr>
        <w:t>为便于开标，投标人务必将《开标一览表》与“投标文件”分开密封，密封袋外包封面上均需分别注明“项目名称”、“项目编号”、“投标人（单位）名称”和《开标一览表》或“投标文件”字样。字迹须工整、清楚。并粘贴密封条，加盖公章,每一密封条上注明“</w:t>
      </w:r>
      <w:r>
        <w:rPr>
          <w:rFonts w:hint="eastAsia" w:ascii="宋体" w:hAnsi="宋体"/>
          <w:b/>
          <w:kern w:val="0"/>
          <w:szCs w:val="28"/>
        </w:rPr>
        <w:t>于</w:t>
      </w:r>
      <w:r>
        <w:rPr>
          <w:rFonts w:hint="eastAsia" w:ascii="宋体" w:hAnsi="宋体"/>
          <w:b/>
          <w:szCs w:val="28"/>
        </w:rPr>
        <w:t>2017年8月7日下午15:00</w:t>
      </w:r>
      <w:r>
        <w:rPr>
          <w:rFonts w:hint="eastAsia" w:ascii="宋体" w:hAnsi="宋体"/>
          <w:b/>
          <w:kern w:val="0"/>
          <w:szCs w:val="28"/>
        </w:rPr>
        <w:t>时前不准启封</w:t>
      </w:r>
      <w:r>
        <w:rPr>
          <w:rFonts w:hint="eastAsia" w:ascii="宋体" w:hAnsi="宋体"/>
          <w:kern w:val="0"/>
          <w:szCs w:val="28"/>
        </w:rPr>
        <w:t>”的字样。</w:t>
      </w:r>
    </w:p>
    <w:p>
      <w:pPr>
        <w:pStyle w:val="26"/>
        <w:adjustRightInd w:val="0"/>
        <w:snapToGrid w:val="0"/>
        <w:spacing w:line="360" w:lineRule="auto"/>
        <w:ind w:right="32" w:firstLine="560" w:firstLineChars="200"/>
        <w:rPr>
          <w:rFonts w:hAnsi="宋体"/>
          <w:color w:val="000000"/>
          <w:sz w:val="28"/>
          <w:szCs w:val="28"/>
        </w:rPr>
      </w:pPr>
      <w:r>
        <w:rPr>
          <w:rFonts w:hint="eastAsia" w:hAnsi="宋体"/>
          <w:color w:val="000000"/>
          <w:sz w:val="28"/>
          <w:szCs w:val="28"/>
        </w:rPr>
        <w:t>2.</w:t>
      </w:r>
      <w:r>
        <w:rPr>
          <w:rFonts w:hAnsi="宋体"/>
          <w:color w:val="000000"/>
          <w:sz w:val="28"/>
          <w:szCs w:val="28"/>
        </w:rPr>
        <w:t>如果未按上述规定进行密封和标记，</w:t>
      </w:r>
      <w:r>
        <w:rPr>
          <w:rFonts w:hint="eastAsia" w:hAnsi="宋体"/>
          <w:color w:val="000000"/>
          <w:sz w:val="28"/>
          <w:szCs w:val="28"/>
        </w:rPr>
        <w:t>代理机构对误投或提前启封概不负责。</w:t>
      </w:r>
    </w:p>
    <w:p>
      <w:pPr>
        <w:pStyle w:val="26"/>
        <w:adjustRightInd w:val="0"/>
        <w:snapToGrid w:val="0"/>
        <w:spacing w:line="360" w:lineRule="auto"/>
        <w:ind w:firstLine="551" w:firstLineChars="196"/>
        <w:rPr>
          <w:rFonts w:hAnsi="宋体"/>
          <w:b/>
          <w:color w:val="000000"/>
          <w:sz w:val="28"/>
          <w:szCs w:val="28"/>
        </w:rPr>
      </w:pPr>
      <w:r>
        <w:rPr>
          <w:rFonts w:hint="eastAsia" w:hAnsi="宋体"/>
          <w:b/>
          <w:color w:val="000000"/>
          <w:sz w:val="28"/>
          <w:szCs w:val="28"/>
        </w:rPr>
        <w:t>（二）投标文件提交时间及投标截止时间</w:t>
      </w:r>
    </w:p>
    <w:p>
      <w:pPr>
        <w:pStyle w:val="23"/>
        <w:snapToGrid w:val="0"/>
        <w:spacing w:line="360" w:lineRule="auto"/>
        <w:ind w:left="0" w:right="32" w:firstLine="560" w:firstLineChars="200"/>
        <w:rPr>
          <w:rFonts w:ascii="宋体" w:hAnsi="宋体" w:eastAsia="宋体"/>
          <w:color w:val="000000"/>
          <w:sz w:val="28"/>
          <w:szCs w:val="28"/>
        </w:rPr>
      </w:pPr>
      <w:r>
        <w:rPr>
          <w:rFonts w:hint="eastAsia" w:ascii="宋体" w:hAnsi="宋体" w:eastAsia="宋体"/>
          <w:color w:val="000000"/>
          <w:sz w:val="28"/>
          <w:szCs w:val="28"/>
        </w:rPr>
        <w:t xml:space="preserve">1.投标文件递交时间为: </w:t>
      </w:r>
      <w:r>
        <w:rPr>
          <w:rFonts w:hint="eastAsia" w:ascii="宋体" w:hAnsi="宋体" w:eastAsia="宋体"/>
          <w:b/>
          <w:color w:val="000000"/>
          <w:sz w:val="28"/>
          <w:szCs w:val="28"/>
        </w:rPr>
        <w:t>2017年8月7日下午14:30-15:00时；</w:t>
      </w:r>
    </w:p>
    <w:p>
      <w:pPr>
        <w:pStyle w:val="23"/>
        <w:snapToGrid w:val="0"/>
        <w:spacing w:line="360" w:lineRule="auto"/>
        <w:ind w:left="0" w:right="32" w:firstLine="560" w:firstLineChars="200"/>
        <w:rPr>
          <w:rFonts w:ascii="宋体" w:hAnsi="宋体" w:eastAsia="宋体"/>
          <w:color w:val="000000"/>
          <w:sz w:val="28"/>
          <w:szCs w:val="28"/>
        </w:rPr>
      </w:pPr>
      <w:r>
        <w:rPr>
          <w:rFonts w:hint="eastAsia" w:ascii="宋体" w:hAnsi="宋体" w:eastAsia="宋体"/>
          <w:color w:val="000000"/>
          <w:sz w:val="28"/>
          <w:szCs w:val="28"/>
        </w:rPr>
        <w:t>2.投标截止时间为:</w:t>
      </w:r>
      <w:r>
        <w:rPr>
          <w:rFonts w:hint="eastAsia" w:ascii="宋体" w:hAnsi="宋体" w:eastAsia="宋体"/>
          <w:b/>
          <w:color w:val="000000"/>
          <w:sz w:val="28"/>
          <w:szCs w:val="28"/>
        </w:rPr>
        <w:t>2017年8月7日下午15:00时整</w:t>
      </w:r>
      <w:r>
        <w:rPr>
          <w:rFonts w:hint="eastAsia" w:ascii="宋体" w:hAnsi="宋体" w:eastAsia="宋体"/>
          <w:color w:val="000000"/>
          <w:sz w:val="28"/>
          <w:szCs w:val="28"/>
        </w:rPr>
        <w:t>。</w:t>
      </w:r>
    </w:p>
    <w:p>
      <w:pPr>
        <w:spacing w:line="360" w:lineRule="auto"/>
        <w:ind w:left="57" w:right="57" w:firstLine="562" w:firstLineChars="200"/>
        <w:jc w:val="left"/>
        <w:rPr>
          <w:rFonts w:ascii="宋体" w:hAnsi="宋体"/>
          <w:b/>
          <w:color w:val="000000"/>
          <w:szCs w:val="28"/>
        </w:rPr>
      </w:pPr>
      <w:r>
        <w:rPr>
          <w:rFonts w:hint="eastAsia" w:ascii="宋体" w:hAnsi="宋体"/>
          <w:b/>
          <w:color w:val="000000"/>
          <w:kern w:val="0"/>
          <w:szCs w:val="28"/>
        </w:rPr>
        <w:t>（三）投标文件</w:t>
      </w:r>
      <w:r>
        <w:rPr>
          <w:rFonts w:hint="eastAsia" w:ascii="宋体" w:hAnsi="宋体" w:cs="宋体"/>
          <w:b/>
          <w:color w:val="000000"/>
          <w:szCs w:val="28"/>
        </w:rPr>
        <w:t>递交</w:t>
      </w:r>
    </w:p>
    <w:p>
      <w:pPr>
        <w:spacing w:line="360" w:lineRule="auto"/>
        <w:ind w:right="57" w:firstLine="548" w:firstLineChars="196"/>
        <w:jc w:val="left"/>
        <w:rPr>
          <w:rFonts w:ascii="宋体" w:hAnsi="宋体" w:cs="宋体"/>
          <w:color w:val="000000"/>
          <w:szCs w:val="28"/>
        </w:rPr>
      </w:pPr>
      <w:r>
        <w:rPr>
          <w:rFonts w:hint="eastAsia" w:ascii="宋体" w:hAnsi="宋体" w:cs="宋体"/>
          <w:color w:val="000000"/>
          <w:szCs w:val="28"/>
        </w:rPr>
        <w:t>1.投标人按规定将密封、标记后的投标文件在招标文件规定的时间内委派专人递交到指定地点。</w:t>
      </w:r>
    </w:p>
    <w:p>
      <w:pPr>
        <w:spacing w:line="360" w:lineRule="auto"/>
        <w:ind w:right="57" w:firstLine="548" w:firstLineChars="196"/>
        <w:jc w:val="left"/>
        <w:rPr>
          <w:rFonts w:ascii="宋体" w:hAnsi="宋体" w:cs="宋体"/>
          <w:color w:val="000000"/>
          <w:szCs w:val="28"/>
        </w:rPr>
      </w:pPr>
      <w:r>
        <w:rPr>
          <w:rFonts w:hint="eastAsia" w:ascii="宋体" w:hAnsi="宋体" w:cs="宋体"/>
          <w:color w:val="000000"/>
          <w:szCs w:val="28"/>
        </w:rPr>
        <w:t>2.投标文件递交地点：</w:t>
      </w:r>
      <w:r>
        <w:rPr>
          <w:rFonts w:hint="eastAsia" w:ascii="宋体" w:hAnsi="宋体" w:cs="宋体"/>
          <w:b/>
          <w:szCs w:val="28"/>
        </w:rPr>
        <w:t>杭锦旗锡尼镇杭锦大街武装部西侧办公楼6楼开标室</w:t>
      </w:r>
      <w:r>
        <w:rPr>
          <w:rFonts w:hint="eastAsia" w:ascii="宋体" w:hAnsi="宋体" w:cs="宋体"/>
          <w:color w:val="000000"/>
          <w:szCs w:val="28"/>
        </w:rPr>
        <w:t>。</w:t>
      </w:r>
    </w:p>
    <w:p>
      <w:pPr>
        <w:spacing w:line="360" w:lineRule="auto"/>
        <w:ind w:right="57" w:firstLine="548" w:firstLineChars="196"/>
        <w:jc w:val="left"/>
        <w:rPr>
          <w:rFonts w:ascii="宋体" w:hAnsi="宋体"/>
          <w:color w:val="000000"/>
          <w:szCs w:val="28"/>
        </w:rPr>
      </w:pPr>
      <w:r>
        <w:rPr>
          <w:rFonts w:hint="eastAsia" w:ascii="宋体" w:hAnsi="宋体"/>
          <w:color w:val="000000"/>
          <w:szCs w:val="28"/>
        </w:rPr>
        <w:t>3.代理机构</w:t>
      </w:r>
      <w:r>
        <w:rPr>
          <w:rFonts w:hint="eastAsia" w:ascii="宋体" w:hAnsi="宋体"/>
          <w:color w:val="000000"/>
          <w:kern w:val="0"/>
          <w:szCs w:val="28"/>
        </w:rPr>
        <w:t>拒绝并原封退回</w:t>
      </w:r>
      <w:r>
        <w:rPr>
          <w:rFonts w:hint="eastAsia" w:ascii="宋体" w:hAnsi="宋体" w:cs="宋体"/>
          <w:color w:val="000000"/>
          <w:szCs w:val="28"/>
        </w:rPr>
        <w:t>未按规定进行密封、标记的投标文件和</w:t>
      </w:r>
      <w:r>
        <w:rPr>
          <w:rFonts w:hint="eastAsia" w:ascii="宋体" w:hAnsi="宋体"/>
          <w:color w:val="000000"/>
          <w:kern w:val="0"/>
          <w:szCs w:val="28"/>
        </w:rPr>
        <w:t>投标截止时间后递交的投标文件</w:t>
      </w:r>
      <w:r>
        <w:rPr>
          <w:rFonts w:hint="eastAsia" w:ascii="宋体" w:hAnsi="宋体" w:cs="宋体"/>
          <w:color w:val="000000"/>
          <w:szCs w:val="28"/>
        </w:rPr>
        <w:t>。</w:t>
      </w:r>
    </w:p>
    <w:p>
      <w:pPr>
        <w:pStyle w:val="26"/>
        <w:adjustRightInd w:val="0"/>
        <w:snapToGrid w:val="0"/>
        <w:spacing w:line="360" w:lineRule="auto"/>
        <w:ind w:right="32" w:firstLine="551" w:firstLineChars="196"/>
        <w:rPr>
          <w:rFonts w:hAnsi="宋体"/>
          <w:b/>
          <w:color w:val="000000"/>
          <w:sz w:val="28"/>
          <w:szCs w:val="28"/>
        </w:rPr>
      </w:pPr>
      <w:r>
        <w:rPr>
          <w:rFonts w:hint="eastAsia" w:hAnsi="宋体"/>
          <w:b/>
          <w:color w:val="000000"/>
          <w:sz w:val="28"/>
          <w:szCs w:val="28"/>
        </w:rPr>
        <w:t>（四）投标文件的修改和撤回</w:t>
      </w:r>
    </w:p>
    <w:p>
      <w:pPr>
        <w:autoSpaceDE w:val="0"/>
        <w:autoSpaceDN w:val="0"/>
        <w:adjustRightInd w:val="0"/>
        <w:snapToGrid w:val="0"/>
        <w:spacing w:line="360" w:lineRule="auto"/>
        <w:ind w:firstLine="560" w:firstLineChars="200"/>
        <w:rPr>
          <w:rFonts w:ascii="宋体" w:hAnsi="宋体"/>
          <w:color w:val="000000"/>
          <w:kern w:val="0"/>
          <w:szCs w:val="28"/>
        </w:rPr>
      </w:pPr>
      <w:r>
        <w:rPr>
          <w:rFonts w:hint="eastAsia" w:ascii="宋体" w:hAnsi="宋体"/>
          <w:color w:val="000000"/>
          <w:kern w:val="0"/>
          <w:szCs w:val="28"/>
        </w:rPr>
        <w:t>1.投标人在递交投标文件后，可以修改其投标文件，但投标人必须在规定的投标截止时间之前将修改的投标文件递交给代理机构。在投标截止时间之后，投标人不得对其投标文件做任何修改。</w:t>
      </w:r>
    </w:p>
    <w:p>
      <w:pPr>
        <w:autoSpaceDE w:val="0"/>
        <w:autoSpaceDN w:val="0"/>
        <w:adjustRightInd w:val="0"/>
        <w:snapToGrid w:val="0"/>
        <w:spacing w:line="360" w:lineRule="auto"/>
        <w:ind w:firstLine="560" w:firstLineChars="200"/>
        <w:rPr>
          <w:rFonts w:ascii="宋体" w:hAnsi="宋体"/>
          <w:color w:val="000000"/>
          <w:kern w:val="0"/>
          <w:szCs w:val="28"/>
        </w:rPr>
      </w:pPr>
      <w:r>
        <w:rPr>
          <w:rFonts w:hint="eastAsia" w:ascii="宋体" w:hAnsi="宋体"/>
          <w:color w:val="000000"/>
          <w:kern w:val="0"/>
          <w:szCs w:val="28"/>
        </w:rPr>
        <w:t>2.投标人在递交投标文件后，可以撤回其投标，但投标人必须在投标截止时间之前以书面形式告知代理机构。</w:t>
      </w:r>
    </w:p>
    <w:p>
      <w:pPr>
        <w:pStyle w:val="26"/>
        <w:adjustRightInd w:val="0"/>
        <w:snapToGrid w:val="0"/>
        <w:spacing w:line="360" w:lineRule="auto"/>
        <w:ind w:firstLine="560" w:firstLineChars="200"/>
        <w:rPr>
          <w:rFonts w:hAnsi="宋体"/>
          <w:color w:val="000000"/>
          <w:sz w:val="28"/>
          <w:szCs w:val="28"/>
        </w:rPr>
      </w:pPr>
      <w:r>
        <w:rPr>
          <w:rFonts w:hint="eastAsia" w:hAnsi="宋体"/>
          <w:color w:val="000000"/>
          <w:sz w:val="28"/>
          <w:szCs w:val="28"/>
        </w:rPr>
        <w:t>3.从投标截止时间至投标有效期这段时间内，投标人不得撤回其投标文件，否则其投标保证金将按照本须知的有关规定被没收。</w:t>
      </w:r>
    </w:p>
    <w:p>
      <w:pPr>
        <w:pStyle w:val="3"/>
        <w:spacing w:line="360" w:lineRule="auto"/>
        <w:rPr>
          <w:rFonts w:ascii="宋体" w:hAnsi="宋体" w:eastAsia="宋体"/>
          <w:color w:val="000000"/>
          <w:sz w:val="28"/>
          <w:szCs w:val="28"/>
        </w:rPr>
      </w:pPr>
      <w:bookmarkStart w:id="18" w:name="_Toc266431122"/>
      <w:bookmarkStart w:id="19" w:name="_Toc487792139"/>
      <w:r>
        <w:rPr>
          <w:rFonts w:hint="eastAsia" w:ascii="宋体" w:hAnsi="宋体" w:eastAsia="宋体"/>
          <w:color w:val="000000"/>
        </w:rPr>
        <w:t>五.开标与评</w:t>
      </w:r>
      <w:bookmarkEnd w:id="18"/>
      <w:r>
        <w:rPr>
          <w:rFonts w:hint="eastAsia" w:ascii="宋体" w:hAnsi="宋体" w:eastAsia="宋体"/>
          <w:color w:val="000000"/>
        </w:rPr>
        <w:t>标</w:t>
      </w:r>
      <w:bookmarkEnd w:id="19"/>
    </w:p>
    <w:p>
      <w:pPr>
        <w:pStyle w:val="26"/>
        <w:adjustRightInd w:val="0"/>
        <w:snapToGrid w:val="0"/>
        <w:spacing w:line="360" w:lineRule="auto"/>
        <w:ind w:firstLine="551" w:firstLineChars="196"/>
        <w:rPr>
          <w:rFonts w:hAnsi="宋体"/>
          <w:b/>
          <w:color w:val="000000"/>
          <w:sz w:val="28"/>
          <w:szCs w:val="28"/>
        </w:rPr>
      </w:pPr>
      <w:r>
        <w:rPr>
          <w:rFonts w:hint="eastAsia" w:hAnsi="宋体"/>
          <w:b/>
          <w:color w:val="000000"/>
          <w:sz w:val="28"/>
          <w:szCs w:val="28"/>
        </w:rPr>
        <w:t>（一）开标</w:t>
      </w:r>
    </w:p>
    <w:p>
      <w:pPr>
        <w:pStyle w:val="26"/>
        <w:adjustRightInd w:val="0"/>
        <w:snapToGrid w:val="0"/>
        <w:spacing w:line="360" w:lineRule="auto"/>
        <w:ind w:firstLine="548" w:firstLineChars="196"/>
        <w:rPr>
          <w:rFonts w:hAnsi="宋体"/>
          <w:color w:val="000000"/>
          <w:sz w:val="28"/>
          <w:szCs w:val="28"/>
        </w:rPr>
      </w:pPr>
      <w:r>
        <w:rPr>
          <w:rFonts w:hint="eastAsia" w:hAnsi="宋体"/>
          <w:color w:val="000000"/>
          <w:sz w:val="28"/>
          <w:szCs w:val="28"/>
        </w:rPr>
        <w:t>1.代理机构在招标公告规定的时间和地点组织开标。开标时需有采购人代表和投标人代表参加，必要时还将邀请政府采购监督管理部门、纪检、监察、审计等有关单位代表参加。参加开标的代表应签到以证明其出席。</w:t>
      </w:r>
    </w:p>
    <w:p>
      <w:pPr>
        <w:pStyle w:val="26"/>
        <w:spacing w:line="360" w:lineRule="auto"/>
        <w:ind w:firstLine="560" w:firstLineChars="200"/>
        <w:rPr>
          <w:rFonts w:hAnsi="宋体"/>
          <w:color w:val="000000"/>
          <w:sz w:val="28"/>
          <w:szCs w:val="28"/>
        </w:rPr>
      </w:pPr>
      <w:r>
        <w:rPr>
          <w:rFonts w:hint="eastAsia" w:hAnsi="宋体"/>
          <w:color w:val="000000"/>
          <w:sz w:val="28"/>
          <w:szCs w:val="28"/>
        </w:rPr>
        <w:t>2.投标截止时间结束后，投标人不足3家的不得开标。由代理机构组织有关专家对招标文件是否存在不合理条款进行审核并出具审核报告。若招标文件存在不合理条款，或招标公告时间及程序不符合规定的，由采购人、代理机构修改招标文件后重新组织招标；若招标文件没有不合理条款、招标公告时间及程序符合规定的，</w:t>
      </w:r>
      <w:r>
        <w:rPr>
          <w:rFonts w:hint="eastAsia" w:hAnsi="宋体"/>
          <w:sz w:val="28"/>
          <w:szCs w:val="28"/>
        </w:rPr>
        <w:t>如需变更采购方式，经政府采购管理办公室批准，按照《政府采购非招标采购方式管理办法》相关规定执行。</w:t>
      </w:r>
    </w:p>
    <w:p>
      <w:pPr>
        <w:pStyle w:val="26"/>
        <w:adjustRightInd w:val="0"/>
        <w:snapToGrid w:val="0"/>
        <w:spacing w:line="360" w:lineRule="auto"/>
        <w:ind w:firstLine="562" w:firstLineChars="201"/>
        <w:rPr>
          <w:rFonts w:hAnsi="宋体"/>
          <w:color w:val="000000"/>
          <w:sz w:val="28"/>
          <w:szCs w:val="28"/>
        </w:rPr>
      </w:pPr>
      <w:r>
        <w:rPr>
          <w:rFonts w:hint="eastAsia" w:hAnsi="宋体"/>
          <w:color w:val="000000"/>
          <w:sz w:val="28"/>
          <w:szCs w:val="28"/>
        </w:rPr>
        <w:t>3.开标时，由采购人代表、投标人代表或其推选的代表和现场监督人员检查投标文件的密封情况，经确认无误后由代理机构工作人员当众拆封，宣读投标人名称、投标价格、价格折扣和招标文件要求的开标时宣读的有关内容。</w:t>
      </w:r>
    </w:p>
    <w:p>
      <w:pPr>
        <w:spacing w:line="360" w:lineRule="auto"/>
        <w:ind w:firstLine="560" w:firstLineChars="200"/>
        <w:rPr>
          <w:rFonts w:ascii="宋体" w:hAnsi="宋体"/>
          <w:color w:val="000000"/>
          <w:szCs w:val="28"/>
        </w:rPr>
      </w:pPr>
      <w:r>
        <w:rPr>
          <w:rFonts w:hint="eastAsia" w:ascii="宋体" w:hAnsi="宋体"/>
          <w:color w:val="000000"/>
          <w:szCs w:val="28"/>
        </w:rPr>
        <w:t>4.对报价的计算错误按以下原则修正：</w:t>
      </w:r>
    </w:p>
    <w:p>
      <w:pPr>
        <w:spacing w:line="360" w:lineRule="auto"/>
        <w:ind w:firstLine="560" w:firstLineChars="200"/>
        <w:rPr>
          <w:rFonts w:ascii="宋体" w:hAnsi="宋体"/>
          <w:color w:val="000000"/>
          <w:szCs w:val="28"/>
        </w:rPr>
      </w:pPr>
      <w:r>
        <w:rPr>
          <w:rFonts w:hint="eastAsia" w:ascii="宋体" w:hAnsi="宋体"/>
          <w:color w:val="000000"/>
          <w:szCs w:val="28"/>
        </w:rPr>
        <w:t>（1）</w:t>
      </w:r>
      <w:r>
        <w:rPr>
          <w:rFonts w:hint="eastAsia" w:ascii="宋体" w:hAnsi="宋体"/>
          <w:color w:val="000000"/>
          <w:kern w:val="0"/>
          <w:szCs w:val="28"/>
        </w:rPr>
        <w:t>《开标一览表》的报价与《</w:t>
      </w:r>
      <w:r>
        <w:rPr>
          <w:rFonts w:hint="eastAsia" w:ascii="宋体" w:hAnsi="宋体"/>
          <w:color w:val="000000"/>
          <w:szCs w:val="28"/>
        </w:rPr>
        <w:t>竞标货物分项报价明细表》的报价不</w:t>
      </w:r>
      <w:r>
        <w:rPr>
          <w:rFonts w:hint="eastAsia" w:ascii="宋体" w:hAnsi="宋体"/>
          <w:color w:val="000000"/>
          <w:kern w:val="0"/>
          <w:szCs w:val="28"/>
        </w:rPr>
        <w:t>一致的，以《开标一览表》的报价为准。</w:t>
      </w:r>
    </w:p>
    <w:p>
      <w:pPr>
        <w:widowControl/>
        <w:spacing w:line="360" w:lineRule="auto"/>
        <w:ind w:firstLine="570"/>
        <w:jc w:val="left"/>
        <w:rPr>
          <w:rFonts w:ascii="宋体" w:hAnsi="宋体"/>
          <w:color w:val="000000"/>
          <w:kern w:val="0"/>
          <w:szCs w:val="28"/>
        </w:rPr>
      </w:pPr>
      <w:r>
        <w:rPr>
          <w:rFonts w:hint="eastAsia" w:ascii="宋体" w:hAnsi="宋体"/>
          <w:color w:val="000000"/>
          <w:szCs w:val="28"/>
        </w:rPr>
        <w:t>（2）</w:t>
      </w:r>
      <w:r>
        <w:rPr>
          <w:rFonts w:hint="eastAsia" w:ascii="宋体" w:hAnsi="宋体"/>
          <w:color w:val="000000"/>
          <w:kern w:val="0"/>
          <w:szCs w:val="28"/>
        </w:rPr>
        <w:t>大写金额和小写金额不一致的，以大写金额为准。</w:t>
      </w:r>
    </w:p>
    <w:p>
      <w:pPr>
        <w:spacing w:line="360" w:lineRule="auto"/>
        <w:ind w:firstLine="560" w:firstLineChars="200"/>
        <w:rPr>
          <w:rFonts w:ascii="宋体" w:hAnsi="宋体"/>
          <w:color w:val="000000"/>
          <w:kern w:val="0"/>
          <w:szCs w:val="28"/>
        </w:rPr>
      </w:pPr>
      <w:r>
        <w:rPr>
          <w:rFonts w:hint="eastAsia" w:ascii="宋体" w:hAnsi="宋体"/>
          <w:color w:val="000000"/>
          <w:szCs w:val="28"/>
        </w:rPr>
        <w:t>（3）</w:t>
      </w:r>
      <w:r>
        <w:rPr>
          <w:rFonts w:hint="eastAsia" w:ascii="宋体" w:hAnsi="宋体"/>
          <w:color w:val="000000"/>
          <w:kern w:val="0"/>
          <w:szCs w:val="28"/>
        </w:rPr>
        <w:t>单价金额之和与总价不符的，应以总价为准，并修改单价。</w:t>
      </w:r>
    </w:p>
    <w:p>
      <w:pPr>
        <w:spacing w:line="360" w:lineRule="auto"/>
        <w:ind w:firstLine="560" w:firstLineChars="200"/>
        <w:rPr>
          <w:rFonts w:ascii="宋体" w:hAnsi="宋体"/>
          <w:color w:val="000000"/>
          <w:szCs w:val="28"/>
        </w:rPr>
      </w:pPr>
      <w:r>
        <w:rPr>
          <w:rFonts w:hint="eastAsia" w:ascii="宋体" w:hAnsi="宋体"/>
          <w:color w:val="000000"/>
          <w:kern w:val="0"/>
          <w:szCs w:val="28"/>
        </w:rPr>
        <w:t>5.代理机构做好开标纪录，开标纪录由各投标人签字确认。</w:t>
      </w:r>
    </w:p>
    <w:p>
      <w:pPr>
        <w:pStyle w:val="26"/>
        <w:adjustRightInd w:val="0"/>
        <w:snapToGrid w:val="0"/>
        <w:spacing w:line="360" w:lineRule="auto"/>
        <w:ind w:firstLine="551" w:firstLineChars="196"/>
        <w:rPr>
          <w:rFonts w:hAnsi="宋体"/>
          <w:b/>
          <w:color w:val="000000"/>
          <w:sz w:val="28"/>
          <w:szCs w:val="28"/>
        </w:rPr>
      </w:pPr>
      <w:r>
        <w:rPr>
          <w:rFonts w:hint="eastAsia" w:hAnsi="宋体"/>
          <w:b/>
          <w:color w:val="000000"/>
          <w:sz w:val="28"/>
          <w:szCs w:val="28"/>
        </w:rPr>
        <w:t>（二）评标委员会的组成和和评标方法</w:t>
      </w:r>
    </w:p>
    <w:p>
      <w:pPr>
        <w:autoSpaceDE w:val="0"/>
        <w:autoSpaceDN w:val="0"/>
        <w:adjustRightInd w:val="0"/>
        <w:snapToGrid w:val="0"/>
        <w:spacing w:line="360" w:lineRule="auto"/>
        <w:ind w:firstLine="560" w:firstLineChars="200"/>
        <w:rPr>
          <w:rFonts w:ascii="宋体" w:hAnsi="宋体"/>
          <w:color w:val="000000"/>
          <w:kern w:val="0"/>
          <w:szCs w:val="28"/>
        </w:rPr>
      </w:pPr>
      <w:r>
        <w:rPr>
          <w:rFonts w:hint="eastAsia" w:ascii="宋体" w:hAnsi="宋体"/>
          <w:color w:val="000000"/>
          <w:szCs w:val="28"/>
        </w:rPr>
        <w:t>1.</w:t>
      </w:r>
      <w:r>
        <w:rPr>
          <w:rFonts w:hint="eastAsia" w:ascii="宋体" w:hAnsi="宋体"/>
          <w:color w:val="000000"/>
          <w:kern w:val="0"/>
          <w:szCs w:val="28"/>
        </w:rPr>
        <w:t>评审</w:t>
      </w:r>
      <w:r>
        <w:rPr>
          <w:rFonts w:hint="eastAsia" w:ascii="宋体" w:hAnsi="宋体"/>
          <w:color w:val="000000"/>
          <w:szCs w:val="28"/>
        </w:rPr>
        <w:t>工作由代理机构组织，具体评审事务由依法</w:t>
      </w:r>
      <w:r>
        <w:rPr>
          <w:rFonts w:hint="eastAsia" w:ascii="宋体" w:hAnsi="宋体"/>
          <w:color w:val="000000"/>
          <w:kern w:val="0"/>
          <w:szCs w:val="28"/>
        </w:rPr>
        <w:t>组建的评标委员会负责。评标委员会成员由采购人代表和评审专家（技术、经济等方面）组成，评标委员会的专家依法从政府采购专家库中随机抽取。</w:t>
      </w:r>
    </w:p>
    <w:p>
      <w:pPr>
        <w:autoSpaceDE w:val="0"/>
        <w:autoSpaceDN w:val="0"/>
        <w:adjustRightInd w:val="0"/>
        <w:snapToGrid w:val="0"/>
        <w:spacing w:line="360" w:lineRule="auto"/>
        <w:ind w:firstLine="560" w:firstLineChars="200"/>
        <w:rPr>
          <w:rFonts w:ascii="宋体" w:hAnsi="宋体"/>
          <w:color w:val="000000"/>
          <w:kern w:val="0"/>
          <w:szCs w:val="28"/>
        </w:rPr>
      </w:pPr>
      <w:r>
        <w:rPr>
          <w:rFonts w:hint="eastAsia" w:ascii="宋体" w:hAnsi="宋体"/>
          <w:color w:val="000000"/>
          <w:kern w:val="0"/>
          <w:szCs w:val="28"/>
        </w:rPr>
        <w:t>2.采购人和代理机构就招标文件征询意见和参加论证的专家，不得再作为评标专家参加评标。采购人不得以专家身份参与本项目的评标。</w:t>
      </w:r>
      <w:r>
        <w:rPr>
          <w:rFonts w:hint="eastAsia" w:ascii="宋体" w:hAnsi="宋体"/>
          <w:kern w:val="0"/>
          <w:szCs w:val="28"/>
        </w:rPr>
        <w:t>政府采购工作人员不得参加本项目非投标人资格部分的评标。</w:t>
      </w:r>
      <w:r>
        <w:rPr>
          <w:rFonts w:hint="eastAsia" w:ascii="宋体" w:hAnsi="宋体"/>
          <w:color w:val="000000"/>
          <w:kern w:val="0"/>
          <w:szCs w:val="28"/>
        </w:rPr>
        <w:t>采购人和代理机构工作人员离职或退休不满三年的，不能作为专家参加评标工作。</w:t>
      </w:r>
    </w:p>
    <w:p>
      <w:pPr>
        <w:autoSpaceDE w:val="0"/>
        <w:autoSpaceDN w:val="0"/>
        <w:adjustRightInd w:val="0"/>
        <w:snapToGrid w:val="0"/>
        <w:spacing w:line="360" w:lineRule="auto"/>
        <w:ind w:firstLine="560" w:firstLineChars="200"/>
        <w:rPr>
          <w:rFonts w:ascii="宋体" w:hAnsi="宋体"/>
          <w:color w:val="000000"/>
          <w:szCs w:val="28"/>
        </w:rPr>
      </w:pPr>
      <w:r>
        <w:rPr>
          <w:rFonts w:hint="eastAsia" w:ascii="宋体" w:hAnsi="宋体"/>
          <w:color w:val="000000"/>
          <w:szCs w:val="28"/>
        </w:rPr>
        <w:t>3.评标委员会成员职责：</w:t>
      </w:r>
    </w:p>
    <w:p>
      <w:pPr>
        <w:spacing w:line="360" w:lineRule="auto"/>
        <w:ind w:firstLine="560" w:firstLineChars="200"/>
        <w:rPr>
          <w:rFonts w:ascii="宋体" w:hAnsi="宋体"/>
          <w:color w:val="000000"/>
          <w:szCs w:val="28"/>
        </w:rPr>
      </w:pPr>
      <w:r>
        <w:rPr>
          <w:rFonts w:hint="eastAsia" w:ascii="宋体" w:hAnsi="宋体"/>
          <w:color w:val="000000"/>
          <w:szCs w:val="28"/>
        </w:rPr>
        <w:t>（1）评标前，评标委员会成员应当主动确认与投标人及其制造商是否有利害关系。如有利害关系应当主动回避，如无利害关系，应当在含有相关内容的《政府采购项目评审专家承诺书》上签字；</w:t>
      </w:r>
    </w:p>
    <w:p>
      <w:pPr>
        <w:spacing w:line="360" w:lineRule="auto"/>
        <w:ind w:firstLine="560" w:firstLineChars="200"/>
        <w:rPr>
          <w:rFonts w:ascii="宋体" w:hAnsi="宋体"/>
          <w:color w:val="000000"/>
          <w:szCs w:val="28"/>
        </w:rPr>
      </w:pPr>
      <w:r>
        <w:rPr>
          <w:rFonts w:hint="eastAsia" w:ascii="宋体" w:hAnsi="宋体"/>
          <w:color w:val="000000"/>
          <w:szCs w:val="28"/>
        </w:rPr>
        <w:t>（2）按照招标文件中的评标办法，对投标文件中的内容进行评审，并对评审结果承担责任；</w:t>
      </w:r>
    </w:p>
    <w:p>
      <w:pPr>
        <w:spacing w:line="360" w:lineRule="auto"/>
        <w:ind w:firstLine="560" w:firstLineChars="200"/>
        <w:rPr>
          <w:rFonts w:ascii="宋体" w:hAnsi="宋体"/>
          <w:color w:val="000000"/>
          <w:szCs w:val="28"/>
        </w:rPr>
      </w:pPr>
      <w:r>
        <w:rPr>
          <w:rFonts w:hint="eastAsia" w:ascii="宋体" w:hAnsi="宋体"/>
          <w:color w:val="000000"/>
          <w:szCs w:val="28"/>
        </w:rPr>
        <w:t>（3）对评标过程和结果，以及投标人的商业秘密进行保密；</w:t>
      </w:r>
    </w:p>
    <w:p>
      <w:pPr>
        <w:spacing w:line="360" w:lineRule="auto"/>
        <w:ind w:firstLine="560" w:firstLineChars="200"/>
        <w:rPr>
          <w:rFonts w:ascii="宋体" w:hAnsi="宋体"/>
          <w:color w:val="000000"/>
          <w:szCs w:val="28"/>
        </w:rPr>
      </w:pPr>
      <w:r>
        <w:rPr>
          <w:rFonts w:hint="eastAsia" w:ascii="宋体" w:hAnsi="宋体"/>
          <w:color w:val="000000"/>
          <w:szCs w:val="28"/>
        </w:rPr>
        <w:t>（4）在评标委员会集体起草的评标报告上签字；</w:t>
      </w:r>
    </w:p>
    <w:p>
      <w:pPr>
        <w:spacing w:line="360" w:lineRule="auto"/>
        <w:ind w:firstLine="560" w:firstLineChars="200"/>
        <w:rPr>
          <w:rFonts w:ascii="宋体" w:hAnsi="宋体"/>
          <w:color w:val="000000"/>
          <w:szCs w:val="28"/>
        </w:rPr>
      </w:pPr>
      <w:r>
        <w:rPr>
          <w:rFonts w:hint="eastAsia" w:ascii="宋体" w:hAnsi="宋体"/>
          <w:color w:val="000000"/>
          <w:szCs w:val="28"/>
        </w:rPr>
        <w:t>（5）配合代理机构答复投标人质疑；</w:t>
      </w:r>
    </w:p>
    <w:p>
      <w:pPr>
        <w:spacing w:line="360" w:lineRule="auto"/>
        <w:ind w:firstLine="560" w:firstLineChars="200"/>
        <w:rPr>
          <w:rFonts w:ascii="宋体" w:hAnsi="宋体"/>
          <w:kern w:val="0"/>
          <w:szCs w:val="28"/>
        </w:rPr>
      </w:pPr>
      <w:r>
        <w:rPr>
          <w:rFonts w:hint="eastAsia" w:ascii="宋体" w:hAnsi="宋体"/>
          <w:color w:val="000000"/>
          <w:szCs w:val="28"/>
        </w:rPr>
        <w:t>（6）配合</w:t>
      </w:r>
      <w:r>
        <w:rPr>
          <w:rFonts w:hint="eastAsia" w:ascii="宋体" w:hAnsi="宋体"/>
          <w:kern w:val="0"/>
          <w:szCs w:val="28"/>
        </w:rPr>
        <w:t>杭锦旗公共资源综合管理办公室法规与监察股处理投标人投诉；</w:t>
      </w:r>
    </w:p>
    <w:p>
      <w:pPr>
        <w:spacing w:line="360" w:lineRule="auto"/>
        <w:ind w:firstLine="560" w:firstLineChars="200"/>
        <w:rPr>
          <w:rFonts w:ascii="宋体" w:hAnsi="宋体"/>
          <w:color w:val="000000"/>
          <w:szCs w:val="28"/>
        </w:rPr>
      </w:pPr>
      <w:r>
        <w:rPr>
          <w:rFonts w:hint="eastAsia" w:ascii="宋体" w:hAnsi="宋体"/>
          <w:kern w:val="0"/>
          <w:szCs w:val="28"/>
        </w:rPr>
        <w:t>（7）向杭锦旗公共资源综合管理办公室法规与监察股</w:t>
      </w:r>
      <w:r>
        <w:rPr>
          <w:rFonts w:hint="eastAsia" w:ascii="宋体" w:hAnsi="宋体"/>
          <w:color w:val="000000"/>
          <w:szCs w:val="28"/>
        </w:rPr>
        <w:t>与监察科或者有关部门反映评标工作中的问题，提出意见和建议。</w:t>
      </w:r>
    </w:p>
    <w:p>
      <w:pPr>
        <w:spacing w:line="360" w:lineRule="auto"/>
        <w:ind w:firstLine="560" w:firstLineChars="200"/>
        <w:rPr>
          <w:rFonts w:ascii="宋体" w:hAnsi="宋体"/>
          <w:color w:val="000000"/>
          <w:szCs w:val="28"/>
        </w:rPr>
      </w:pPr>
      <w:r>
        <w:rPr>
          <w:rFonts w:hint="eastAsia" w:ascii="宋体" w:hAnsi="宋体"/>
          <w:color w:val="000000"/>
          <w:szCs w:val="28"/>
        </w:rPr>
        <w:t>4.评标委员会集体职责：</w:t>
      </w:r>
    </w:p>
    <w:p>
      <w:pPr>
        <w:spacing w:line="360" w:lineRule="auto"/>
        <w:ind w:firstLine="560" w:firstLineChars="200"/>
        <w:rPr>
          <w:rFonts w:ascii="宋体" w:hAnsi="宋体"/>
          <w:color w:val="000000"/>
          <w:szCs w:val="28"/>
        </w:rPr>
      </w:pPr>
      <w:r>
        <w:rPr>
          <w:rFonts w:hint="eastAsia" w:ascii="宋体" w:hAnsi="宋体"/>
          <w:color w:val="000000"/>
          <w:szCs w:val="28"/>
        </w:rPr>
        <w:t>（1）选定评标委员会评审组长，采购人代表不得担任，评审组长与评标委员会其他成员有同等的表决权。</w:t>
      </w:r>
    </w:p>
    <w:p>
      <w:pPr>
        <w:spacing w:line="360" w:lineRule="auto"/>
        <w:ind w:firstLine="560" w:firstLineChars="200"/>
        <w:rPr>
          <w:rFonts w:ascii="宋体" w:hAnsi="宋体"/>
          <w:color w:val="000000"/>
          <w:szCs w:val="28"/>
        </w:rPr>
      </w:pPr>
      <w:r>
        <w:rPr>
          <w:rFonts w:hint="eastAsia" w:ascii="宋体" w:hAnsi="宋体"/>
          <w:color w:val="000000"/>
          <w:szCs w:val="28"/>
        </w:rPr>
        <w:t>（2）按照各成员评审意见推荐中标候选人，起草评标报告。对评标结论持有异议的评标委员会成员可以书面方式阐述其不同意见和理由。评标委员会成员拒绝在评标报告上签字且不陈述其不同意见和理由的，视为同意评标结论。评标委员会应当对此做出书面说明并记录在案；</w:t>
      </w:r>
    </w:p>
    <w:p>
      <w:pPr>
        <w:spacing w:line="360" w:lineRule="auto"/>
        <w:ind w:firstLine="560" w:firstLineChars="200"/>
        <w:rPr>
          <w:rFonts w:ascii="宋体" w:hAnsi="宋体"/>
          <w:color w:val="000000"/>
          <w:szCs w:val="28"/>
        </w:rPr>
      </w:pPr>
      <w:r>
        <w:rPr>
          <w:rFonts w:hint="eastAsia" w:ascii="宋体" w:hAnsi="宋体"/>
          <w:color w:val="000000"/>
          <w:szCs w:val="28"/>
        </w:rPr>
        <w:t>（3）配合采购人和代理机构答复投标人的质疑；</w:t>
      </w:r>
    </w:p>
    <w:p>
      <w:pPr>
        <w:spacing w:line="360" w:lineRule="auto"/>
        <w:ind w:firstLine="560" w:firstLineChars="200"/>
        <w:rPr>
          <w:rFonts w:ascii="宋体" w:hAnsi="宋体"/>
          <w:color w:val="000000"/>
          <w:szCs w:val="28"/>
        </w:rPr>
      </w:pPr>
      <w:r>
        <w:rPr>
          <w:rFonts w:hint="eastAsia" w:ascii="宋体" w:hAnsi="宋体"/>
          <w:color w:val="000000"/>
          <w:szCs w:val="28"/>
        </w:rPr>
        <w:t>（4）配合</w:t>
      </w:r>
      <w:r>
        <w:rPr>
          <w:rFonts w:hint="eastAsia" w:ascii="宋体" w:hAnsi="宋体"/>
          <w:kern w:val="0"/>
          <w:szCs w:val="28"/>
        </w:rPr>
        <w:t>杭锦旗公共资源综合管理办公室法规与监察股</w:t>
      </w:r>
      <w:r>
        <w:rPr>
          <w:rFonts w:hint="eastAsia" w:ascii="宋体" w:hAnsi="宋体"/>
          <w:color w:val="000000"/>
          <w:szCs w:val="28"/>
        </w:rPr>
        <w:t>做好投诉处理工作；</w:t>
      </w:r>
    </w:p>
    <w:p>
      <w:pPr>
        <w:spacing w:line="360" w:lineRule="auto"/>
        <w:ind w:firstLine="560" w:firstLineChars="200"/>
        <w:rPr>
          <w:rFonts w:ascii="宋体" w:hAnsi="宋体"/>
          <w:color w:val="000000"/>
          <w:szCs w:val="28"/>
        </w:rPr>
      </w:pPr>
      <w:r>
        <w:rPr>
          <w:rFonts w:hint="eastAsia" w:ascii="宋体" w:hAnsi="宋体"/>
          <w:color w:val="000000"/>
          <w:szCs w:val="28"/>
        </w:rPr>
        <w:t>（5）必要时，向投标人解释评标结果；</w:t>
      </w:r>
    </w:p>
    <w:p>
      <w:pPr>
        <w:spacing w:line="360" w:lineRule="auto"/>
        <w:ind w:firstLine="560" w:firstLineChars="200"/>
        <w:rPr>
          <w:rFonts w:ascii="宋体" w:hAnsi="宋体"/>
          <w:color w:val="000000"/>
          <w:szCs w:val="28"/>
        </w:rPr>
      </w:pPr>
      <w:r>
        <w:rPr>
          <w:rFonts w:hint="eastAsia" w:ascii="宋体" w:hAnsi="宋体"/>
          <w:color w:val="000000"/>
          <w:szCs w:val="28"/>
        </w:rPr>
        <w:t>（6）向</w:t>
      </w:r>
      <w:r>
        <w:rPr>
          <w:rFonts w:hint="eastAsia" w:ascii="宋体" w:hAnsi="宋体"/>
          <w:kern w:val="0"/>
          <w:szCs w:val="28"/>
        </w:rPr>
        <w:t>杭锦旗公共资源综合管理办公室法规与监察股</w:t>
      </w:r>
      <w:r>
        <w:rPr>
          <w:rFonts w:hint="eastAsia" w:ascii="宋体" w:hAnsi="宋体"/>
          <w:color w:val="000000"/>
          <w:szCs w:val="28"/>
        </w:rPr>
        <w:t>或者有关部门报告非法干预评标工作的行为。</w:t>
      </w:r>
    </w:p>
    <w:p>
      <w:pPr>
        <w:spacing w:line="360" w:lineRule="auto"/>
        <w:ind w:firstLine="560" w:firstLineChars="200"/>
        <w:rPr>
          <w:rFonts w:ascii="宋体" w:hAnsi="宋体"/>
          <w:color w:val="000000"/>
          <w:szCs w:val="28"/>
        </w:rPr>
      </w:pPr>
      <w:bookmarkStart w:id="20" w:name="_Toc198571830"/>
      <w:r>
        <w:rPr>
          <w:rFonts w:hint="eastAsia" w:ascii="宋体" w:hAnsi="宋体"/>
          <w:color w:val="000000"/>
          <w:szCs w:val="28"/>
        </w:rPr>
        <w:t>5.代理机构</w:t>
      </w:r>
      <w:r>
        <w:rPr>
          <w:rFonts w:hint="eastAsia" w:ascii="宋体" w:hAnsi="宋体"/>
          <w:bCs/>
          <w:color w:val="000000"/>
          <w:szCs w:val="28"/>
        </w:rPr>
        <w:t>的职责</w:t>
      </w:r>
      <w:bookmarkEnd w:id="20"/>
      <w:r>
        <w:rPr>
          <w:rFonts w:hint="eastAsia" w:ascii="宋体" w:hAnsi="宋体"/>
          <w:bCs/>
          <w:color w:val="000000"/>
          <w:szCs w:val="28"/>
        </w:rPr>
        <w:t>：</w:t>
      </w:r>
    </w:p>
    <w:p>
      <w:pPr>
        <w:spacing w:line="360" w:lineRule="auto"/>
        <w:ind w:firstLine="560" w:firstLineChars="200"/>
        <w:rPr>
          <w:rFonts w:ascii="宋体" w:hAnsi="宋体"/>
          <w:color w:val="000000"/>
          <w:szCs w:val="28"/>
        </w:rPr>
      </w:pPr>
      <w:r>
        <w:rPr>
          <w:rFonts w:hint="eastAsia" w:ascii="宋体" w:hAnsi="宋体"/>
          <w:color w:val="000000"/>
          <w:szCs w:val="28"/>
        </w:rPr>
        <w:t>（1）依法组建评标委员会；</w:t>
      </w:r>
    </w:p>
    <w:p>
      <w:pPr>
        <w:spacing w:line="360" w:lineRule="auto"/>
        <w:ind w:firstLine="560" w:firstLineChars="200"/>
        <w:rPr>
          <w:rFonts w:ascii="宋体" w:hAnsi="宋体"/>
          <w:color w:val="000000"/>
          <w:szCs w:val="28"/>
        </w:rPr>
      </w:pPr>
      <w:r>
        <w:rPr>
          <w:rFonts w:hint="eastAsia" w:ascii="宋体" w:hAnsi="宋体"/>
          <w:color w:val="000000"/>
          <w:szCs w:val="28"/>
        </w:rPr>
        <w:t>（2）</w:t>
      </w:r>
      <w:r>
        <w:rPr>
          <w:rFonts w:ascii="宋体" w:hAnsi="宋体"/>
          <w:color w:val="000000"/>
          <w:szCs w:val="28"/>
        </w:rPr>
        <w:t>开标前，不得向评标专家透露其即将参与的评标项目</w:t>
      </w:r>
      <w:r>
        <w:rPr>
          <w:rFonts w:hint="eastAsia" w:ascii="宋体" w:hAnsi="宋体"/>
          <w:color w:val="000000"/>
          <w:szCs w:val="28"/>
        </w:rPr>
        <w:t>名称</w:t>
      </w:r>
      <w:r>
        <w:rPr>
          <w:rFonts w:ascii="宋体" w:hAnsi="宋体"/>
          <w:color w:val="000000"/>
          <w:szCs w:val="28"/>
        </w:rPr>
        <w:t>及</w:t>
      </w:r>
      <w:r>
        <w:rPr>
          <w:rFonts w:hint="eastAsia" w:ascii="宋体" w:hAnsi="宋体"/>
          <w:color w:val="000000"/>
          <w:szCs w:val="28"/>
        </w:rPr>
        <w:t>采购</w:t>
      </w:r>
      <w:r>
        <w:rPr>
          <w:rFonts w:ascii="宋体" w:hAnsi="宋体"/>
          <w:color w:val="000000"/>
          <w:szCs w:val="28"/>
        </w:rPr>
        <w:t>人和投标人有关的情况</w:t>
      </w:r>
      <w:r>
        <w:rPr>
          <w:rFonts w:hint="eastAsia" w:ascii="宋体" w:hAnsi="宋体"/>
          <w:color w:val="000000"/>
          <w:szCs w:val="28"/>
        </w:rPr>
        <w:t>；</w:t>
      </w:r>
    </w:p>
    <w:p>
      <w:pPr>
        <w:spacing w:line="360" w:lineRule="auto"/>
        <w:ind w:firstLine="560" w:firstLineChars="200"/>
        <w:rPr>
          <w:rFonts w:ascii="宋体" w:hAnsi="宋体"/>
          <w:color w:val="000000"/>
          <w:szCs w:val="28"/>
        </w:rPr>
      </w:pPr>
      <w:r>
        <w:rPr>
          <w:rFonts w:hint="eastAsia" w:ascii="宋体" w:hAnsi="宋体"/>
          <w:color w:val="000000"/>
          <w:szCs w:val="28"/>
        </w:rPr>
        <w:t>（3）制定并向评标委员会宣读评标纪律，确认评标委员会成员与投标人是否有利害关系；</w:t>
      </w:r>
    </w:p>
    <w:p>
      <w:pPr>
        <w:spacing w:line="360" w:lineRule="auto"/>
        <w:ind w:firstLine="560" w:firstLineChars="200"/>
        <w:rPr>
          <w:rFonts w:ascii="宋体" w:hAnsi="宋体"/>
          <w:color w:val="000000"/>
          <w:szCs w:val="28"/>
        </w:rPr>
      </w:pPr>
      <w:r>
        <w:rPr>
          <w:rFonts w:hint="eastAsia" w:ascii="宋体" w:hAnsi="宋体"/>
          <w:color w:val="000000"/>
          <w:szCs w:val="28"/>
        </w:rPr>
        <w:t>（4）按照招标文件中的评标办法，协助评标委员会对投标人的资格部分进行评审。未通过资格评审的投标文件，不得提交给评标委员会进入下阶段的评审；</w:t>
      </w:r>
    </w:p>
    <w:p>
      <w:pPr>
        <w:spacing w:line="360" w:lineRule="auto"/>
        <w:ind w:firstLine="560" w:firstLineChars="200"/>
        <w:rPr>
          <w:rFonts w:ascii="宋体" w:hAnsi="宋体"/>
          <w:color w:val="000000"/>
          <w:szCs w:val="28"/>
        </w:rPr>
      </w:pPr>
      <w:r>
        <w:rPr>
          <w:rFonts w:hint="eastAsia" w:ascii="宋体" w:hAnsi="宋体"/>
          <w:color w:val="000000"/>
          <w:szCs w:val="28"/>
        </w:rPr>
        <w:t>（5）协助评标委员会做好有关资料和数据汇总整理、评标报告起草等基础性工作；</w:t>
      </w:r>
    </w:p>
    <w:p>
      <w:pPr>
        <w:spacing w:line="360" w:lineRule="auto"/>
        <w:ind w:firstLine="560" w:firstLineChars="200"/>
        <w:rPr>
          <w:rFonts w:ascii="宋体" w:hAnsi="宋体"/>
          <w:color w:val="000000"/>
          <w:szCs w:val="28"/>
        </w:rPr>
      </w:pPr>
      <w:r>
        <w:rPr>
          <w:rFonts w:hint="eastAsia" w:ascii="宋体" w:hAnsi="宋体"/>
          <w:color w:val="000000"/>
          <w:szCs w:val="28"/>
        </w:rPr>
        <w:t>（6）向</w:t>
      </w:r>
      <w:r>
        <w:rPr>
          <w:rFonts w:hint="eastAsia" w:ascii="宋体" w:hAnsi="宋体"/>
          <w:kern w:val="0"/>
          <w:szCs w:val="28"/>
        </w:rPr>
        <w:t>杭锦旗公共资源综合管理办公室法规与监察股</w:t>
      </w:r>
      <w:r>
        <w:rPr>
          <w:rFonts w:hint="eastAsia" w:ascii="宋体" w:hAnsi="宋体"/>
          <w:color w:val="000000"/>
          <w:szCs w:val="28"/>
        </w:rPr>
        <w:t>或者有关部门报告评标委员会成员的在评审过程中的违法违规行为；</w:t>
      </w:r>
    </w:p>
    <w:p>
      <w:pPr>
        <w:spacing w:line="360" w:lineRule="auto"/>
        <w:ind w:firstLine="560" w:firstLineChars="200"/>
        <w:rPr>
          <w:rFonts w:ascii="宋体" w:hAnsi="宋体"/>
          <w:color w:val="000000"/>
          <w:szCs w:val="28"/>
        </w:rPr>
      </w:pPr>
      <w:r>
        <w:rPr>
          <w:rFonts w:hint="eastAsia" w:ascii="宋体" w:hAnsi="宋体"/>
          <w:color w:val="000000"/>
          <w:szCs w:val="28"/>
        </w:rPr>
        <w:t>（7）负责处理投标人的质疑，并依法组织评标委员会向投标人做出书面答复。</w:t>
      </w:r>
    </w:p>
    <w:p>
      <w:pPr>
        <w:pStyle w:val="26"/>
        <w:spacing w:line="360" w:lineRule="auto"/>
        <w:ind w:left="188" w:leftChars="67" w:firstLine="420" w:firstLineChars="150"/>
        <w:rPr>
          <w:rFonts w:hAnsi="宋体"/>
          <w:color w:val="000000"/>
          <w:sz w:val="28"/>
          <w:szCs w:val="28"/>
        </w:rPr>
      </w:pPr>
      <w:r>
        <w:rPr>
          <w:rFonts w:hint="eastAsia" w:hAnsi="宋体"/>
          <w:color w:val="000000"/>
          <w:sz w:val="28"/>
          <w:szCs w:val="28"/>
        </w:rPr>
        <w:t>6.评标委员会采用集中办公、封闭的方式进行评审。评标前，代理机构工作人员向评标委员会成员宣布和印发评标纪律和工作规则。评标委员会成员签署《政府采购项目评审专家承诺书》，并遵照执行。</w:t>
      </w:r>
    </w:p>
    <w:p>
      <w:pPr>
        <w:pStyle w:val="26"/>
        <w:spacing w:line="360" w:lineRule="auto"/>
        <w:ind w:left="188" w:leftChars="67" w:firstLine="420" w:firstLineChars="150"/>
        <w:rPr>
          <w:rFonts w:hAnsi="宋体"/>
          <w:color w:val="000000"/>
          <w:sz w:val="28"/>
          <w:szCs w:val="28"/>
        </w:rPr>
      </w:pPr>
      <w:r>
        <w:rPr>
          <w:rFonts w:hint="eastAsia" w:hAnsi="宋体"/>
          <w:color w:val="000000"/>
          <w:sz w:val="28"/>
          <w:szCs w:val="28"/>
        </w:rPr>
        <w:t>7.评标委员会成员对与自己有利害关系的评标项目应当主动提出回避。</w:t>
      </w:r>
    </w:p>
    <w:p>
      <w:pPr>
        <w:pStyle w:val="26"/>
        <w:spacing w:line="360" w:lineRule="auto"/>
        <w:ind w:left="188" w:leftChars="67" w:firstLine="420" w:firstLineChars="150"/>
        <w:rPr>
          <w:rFonts w:hAnsi="宋体"/>
          <w:color w:val="000000"/>
          <w:sz w:val="28"/>
          <w:szCs w:val="28"/>
        </w:rPr>
      </w:pPr>
      <w:r>
        <w:rPr>
          <w:rFonts w:hint="eastAsia" w:hAnsi="宋体"/>
          <w:color w:val="000000"/>
          <w:sz w:val="28"/>
          <w:szCs w:val="28"/>
        </w:rPr>
        <w:t>8.评标委员会将按照招标文件确定的评标方法进行评标。评标委员会对投标文件的评审分为资格性审查、符合性审查、商务评议、技术评议和价格评议。</w:t>
      </w:r>
    </w:p>
    <w:p>
      <w:pPr>
        <w:pStyle w:val="26"/>
        <w:spacing w:line="360" w:lineRule="auto"/>
        <w:ind w:left="188" w:leftChars="67" w:firstLine="420" w:firstLineChars="150"/>
        <w:rPr>
          <w:rFonts w:hAnsi="宋体"/>
          <w:color w:val="000000"/>
          <w:sz w:val="28"/>
          <w:szCs w:val="28"/>
        </w:rPr>
      </w:pPr>
      <w:r>
        <w:rPr>
          <w:rFonts w:hint="eastAsia" w:hAnsi="宋体"/>
          <w:color w:val="000000"/>
          <w:sz w:val="28"/>
          <w:szCs w:val="28"/>
        </w:rPr>
        <w:t>9.</w:t>
      </w:r>
      <w:r>
        <w:rPr>
          <w:rFonts w:hint="eastAsia" w:hAnsi="宋体"/>
          <w:bCs/>
          <w:color w:val="000000"/>
          <w:sz w:val="28"/>
          <w:szCs w:val="28"/>
        </w:rPr>
        <w:t>评标委员会独立履行下列职责：</w:t>
      </w:r>
    </w:p>
    <w:p>
      <w:pPr>
        <w:pStyle w:val="29"/>
        <w:spacing w:after="0" w:line="360" w:lineRule="auto"/>
        <w:ind w:left="0" w:leftChars="0" w:firstLine="560"/>
        <w:rPr>
          <w:rFonts w:ascii="宋体" w:hAnsi="宋体"/>
          <w:bCs/>
          <w:color w:val="000000"/>
          <w:sz w:val="28"/>
          <w:szCs w:val="28"/>
        </w:rPr>
      </w:pPr>
      <w:r>
        <w:rPr>
          <w:rFonts w:hint="eastAsia" w:ascii="宋体" w:hAnsi="宋体"/>
          <w:bCs/>
          <w:color w:val="000000"/>
          <w:sz w:val="28"/>
          <w:szCs w:val="28"/>
        </w:rPr>
        <w:t>（1）认真阅读、领会招标文件规定的各项条款，按照</w:t>
      </w:r>
      <w:r>
        <w:rPr>
          <w:rFonts w:hint="eastAsia" w:ascii="宋体" w:hAnsi="宋体"/>
          <w:color w:val="000000"/>
          <w:sz w:val="28"/>
          <w:szCs w:val="28"/>
        </w:rPr>
        <w:t>资格性和符合性审查的要求逐项审查投标文件是否符合招标文件的要求；</w:t>
      </w:r>
    </w:p>
    <w:p>
      <w:pPr>
        <w:pStyle w:val="29"/>
        <w:spacing w:after="0" w:line="360" w:lineRule="auto"/>
        <w:ind w:left="0" w:leftChars="0" w:firstLine="560"/>
        <w:rPr>
          <w:rFonts w:ascii="宋体" w:hAnsi="宋体"/>
          <w:color w:val="000000"/>
          <w:sz w:val="28"/>
          <w:szCs w:val="28"/>
        </w:rPr>
      </w:pPr>
      <w:r>
        <w:rPr>
          <w:rFonts w:hint="eastAsia" w:ascii="宋体" w:hAnsi="宋体"/>
          <w:color w:val="000000"/>
          <w:sz w:val="28"/>
          <w:szCs w:val="28"/>
        </w:rPr>
        <w:t>（2）按照评标原则和评审办法逐一对合格投标人的投标做出比较和评价；并对评审结果承担责任；</w:t>
      </w:r>
    </w:p>
    <w:p>
      <w:pPr>
        <w:pStyle w:val="29"/>
        <w:spacing w:after="0" w:line="360" w:lineRule="auto"/>
        <w:ind w:left="0" w:leftChars="0" w:firstLine="560" w:firstLineChars="200"/>
        <w:rPr>
          <w:rFonts w:ascii="宋体" w:hAnsi="宋体"/>
          <w:color w:val="000000"/>
          <w:sz w:val="28"/>
          <w:szCs w:val="28"/>
        </w:rPr>
      </w:pPr>
      <w:r>
        <w:rPr>
          <w:rFonts w:hint="eastAsia" w:ascii="宋体" w:hAnsi="宋体"/>
          <w:bCs/>
          <w:color w:val="000000"/>
          <w:sz w:val="28"/>
          <w:szCs w:val="28"/>
        </w:rPr>
        <w:t>（3）</w:t>
      </w:r>
      <w:r>
        <w:rPr>
          <w:rFonts w:hint="eastAsia" w:ascii="宋体" w:hAnsi="宋体"/>
          <w:color w:val="000000"/>
          <w:sz w:val="28"/>
          <w:szCs w:val="28"/>
        </w:rPr>
        <w:t>要求投标人对投标文件有关事项做出解释或者澄清；</w:t>
      </w:r>
    </w:p>
    <w:p>
      <w:pPr>
        <w:pStyle w:val="29"/>
        <w:spacing w:after="0" w:line="360" w:lineRule="auto"/>
        <w:ind w:left="0" w:leftChars="0" w:firstLine="560"/>
        <w:rPr>
          <w:rFonts w:ascii="宋体" w:hAnsi="宋体"/>
          <w:sz w:val="28"/>
          <w:szCs w:val="28"/>
        </w:rPr>
      </w:pPr>
      <w:r>
        <w:rPr>
          <w:rFonts w:hint="eastAsia" w:ascii="宋体" w:hAnsi="宋体"/>
          <w:bCs/>
          <w:sz w:val="28"/>
          <w:szCs w:val="28"/>
        </w:rPr>
        <w:t>（4）按评审得分高低确定中标供应商，或向采购人提出授标顺序</w:t>
      </w:r>
      <w:r>
        <w:rPr>
          <w:rFonts w:hint="eastAsia" w:ascii="宋体" w:hAnsi="宋体"/>
          <w:sz w:val="28"/>
          <w:szCs w:val="28"/>
        </w:rPr>
        <w:t>。</w:t>
      </w:r>
    </w:p>
    <w:p>
      <w:pPr>
        <w:pStyle w:val="26"/>
        <w:adjustRightInd w:val="0"/>
        <w:snapToGrid w:val="0"/>
        <w:spacing w:line="360" w:lineRule="auto"/>
        <w:ind w:firstLine="551" w:firstLineChars="196"/>
        <w:rPr>
          <w:rFonts w:hAnsi="宋体"/>
          <w:b/>
          <w:color w:val="000000"/>
          <w:sz w:val="28"/>
          <w:szCs w:val="28"/>
        </w:rPr>
      </w:pPr>
      <w:r>
        <w:rPr>
          <w:rFonts w:hint="eastAsia" w:hAnsi="宋体"/>
          <w:b/>
          <w:color w:val="000000"/>
          <w:sz w:val="28"/>
          <w:szCs w:val="28"/>
        </w:rPr>
        <w:t>（三）投标文件的初审</w:t>
      </w:r>
    </w:p>
    <w:p>
      <w:pPr>
        <w:spacing w:line="360" w:lineRule="auto"/>
        <w:ind w:firstLine="560" w:firstLineChars="200"/>
        <w:rPr>
          <w:rFonts w:ascii="宋体" w:hAnsi="宋体"/>
          <w:color w:val="000000"/>
          <w:szCs w:val="28"/>
        </w:rPr>
      </w:pPr>
      <w:r>
        <w:rPr>
          <w:rFonts w:hint="eastAsia" w:ascii="宋体" w:hAnsi="宋体"/>
          <w:color w:val="000000"/>
          <w:szCs w:val="28"/>
        </w:rPr>
        <w:t>在</w:t>
      </w:r>
      <w:r>
        <w:rPr>
          <w:rFonts w:hint="eastAsia" w:ascii="宋体" w:hAnsi="宋体"/>
          <w:color w:val="000000"/>
          <w:kern w:val="0"/>
          <w:szCs w:val="28"/>
        </w:rPr>
        <w:t>评标委员会</w:t>
      </w:r>
      <w:r>
        <w:rPr>
          <w:rFonts w:hint="eastAsia" w:ascii="宋体" w:hAnsi="宋体"/>
          <w:color w:val="000000"/>
          <w:szCs w:val="28"/>
        </w:rPr>
        <w:t>对投标文件进行评议之前,</w:t>
      </w:r>
      <w:r>
        <w:rPr>
          <w:rFonts w:hint="eastAsia" w:ascii="宋体" w:hAnsi="宋体"/>
          <w:color w:val="000000"/>
          <w:kern w:val="0"/>
          <w:szCs w:val="28"/>
        </w:rPr>
        <w:t>评标委员会首先</w:t>
      </w:r>
      <w:r>
        <w:rPr>
          <w:rFonts w:hint="eastAsia" w:ascii="宋体" w:hAnsi="宋体"/>
          <w:color w:val="000000"/>
          <w:szCs w:val="28"/>
        </w:rPr>
        <w:t>对投标文件进行初审。初审分为资格性审查和符合性审查。</w:t>
      </w:r>
    </w:p>
    <w:p>
      <w:pPr>
        <w:spacing w:line="360" w:lineRule="auto"/>
        <w:ind w:firstLine="560" w:firstLineChars="200"/>
        <w:rPr>
          <w:rFonts w:ascii="宋体" w:hAnsi="宋体"/>
          <w:color w:val="000000"/>
          <w:kern w:val="0"/>
          <w:szCs w:val="28"/>
        </w:rPr>
      </w:pPr>
      <w:r>
        <w:rPr>
          <w:rFonts w:hint="eastAsia" w:ascii="宋体" w:hAnsi="宋体"/>
          <w:color w:val="000000"/>
          <w:szCs w:val="28"/>
        </w:rPr>
        <w:t>1.资格性审查。依据有关法律和招标文件的规定,对投标文件提供的资格证明文件进行审查，以确定投标人和投标货物是否具备有效的投标资格。</w:t>
      </w:r>
      <w:r>
        <w:rPr>
          <w:rFonts w:hint="eastAsia" w:ascii="宋体" w:hAnsi="宋体"/>
          <w:color w:val="000000"/>
          <w:kern w:val="0"/>
          <w:szCs w:val="28"/>
        </w:rPr>
        <w:t>在资格性检查时,</w:t>
      </w:r>
      <w:r>
        <w:rPr>
          <w:rFonts w:hint="eastAsia" w:ascii="宋体" w:hAnsi="宋体"/>
          <w:color w:val="000000"/>
          <w:szCs w:val="28"/>
        </w:rPr>
        <w:t>如有下列情况之一的，经</w:t>
      </w:r>
      <w:r>
        <w:rPr>
          <w:rFonts w:hint="eastAsia" w:ascii="宋体" w:hAnsi="宋体"/>
          <w:color w:val="000000"/>
          <w:kern w:val="0"/>
          <w:szCs w:val="28"/>
        </w:rPr>
        <w:t>评标委员会认定，视</w:t>
      </w:r>
      <w:r>
        <w:rPr>
          <w:rFonts w:hint="eastAsia" w:ascii="宋体" w:hAnsi="宋体"/>
          <w:color w:val="000000"/>
          <w:szCs w:val="28"/>
        </w:rPr>
        <w:t>为非实质性响应，将视为无效投标：</w:t>
      </w:r>
    </w:p>
    <w:p>
      <w:pPr>
        <w:spacing w:line="360" w:lineRule="auto"/>
        <w:ind w:firstLine="560" w:firstLineChars="200"/>
        <w:rPr>
          <w:rFonts w:ascii="宋体" w:hAnsi="宋体"/>
          <w:color w:val="000000"/>
          <w:szCs w:val="28"/>
        </w:rPr>
      </w:pPr>
      <w:r>
        <w:rPr>
          <w:rFonts w:hint="eastAsia" w:ascii="宋体" w:hAnsi="宋体"/>
          <w:color w:val="000000"/>
          <w:szCs w:val="28"/>
        </w:rPr>
        <w:t>（1）投标人未提供投标保证金或金额不足的；</w:t>
      </w:r>
    </w:p>
    <w:p>
      <w:pPr>
        <w:spacing w:line="360" w:lineRule="auto"/>
        <w:ind w:firstLine="560" w:firstLineChars="200"/>
        <w:rPr>
          <w:rFonts w:ascii="宋体" w:hAnsi="宋体"/>
          <w:color w:val="000000"/>
          <w:szCs w:val="28"/>
        </w:rPr>
      </w:pPr>
      <w:r>
        <w:rPr>
          <w:rFonts w:hint="eastAsia" w:ascii="宋体" w:hAnsi="宋体"/>
          <w:color w:val="000000"/>
          <w:szCs w:val="28"/>
        </w:rPr>
        <w:t>（2）投标产品超出其经营范围的；</w:t>
      </w:r>
    </w:p>
    <w:p>
      <w:pPr>
        <w:spacing w:line="360" w:lineRule="auto"/>
        <w:ind w:firstLine="560" w:firstLineChars="200"/>
        <w:rPr>
          <w:rFonts w:ascii="宋体" w:hAnsi="宋体"/>
          <w:color w:val="000000"/>
          <w:szCs w:val="28"/>
        </w:rPr>
      </w:pPr>
      <w:r>
        <w:rPr>
          <w:rFonts w:hint="eastAsia" w:ascii="宋体" w:hAnsi="宋体"/>
          <w:color w:val="000000"/>
          <w:szCs w:val="28"/>
        </w:rPr>
        <w:t>（3）投标人和投标货物资格证明文件不能满足招标文件要求或资格证明文件过期失效的。</w:t>
      </w:r>
    </w:p>
    <w:p>
      <w:pPr>
        <w:spacing w:line="360" w:lineRule="auto"/>
        <w:ind w:firstLine="560" w:firstLineChars="200"/>
        <w:rPr>
          <w:rFonts w:ascii="宋体" w:hAnsi="宋体"/>
          <w:color w:val="000000"/>
          <w:kern w:val="0"/>
          <w:szCs w:val="28"/>
        </w:rPr>
      </w:pPr>
      <w:r>
        <w:rPr>
          <w:rFonts w:hint="eastAsia" w:ascii="宋体" w:hAnsi="宋体"/>
          <w:color w:val="000000"/>
          <w:szCs w:val="28"/>
        </w:rPr>
        <w:t>2.符合性审查。依据招标文件规定，从投标文件的有效性、完整性和对招标文件的响应程度进行审查，以确定是否对招标文件的实质性要求做出响应。</w:t>
      </w:r>
      <w:r>
        <w:rPr>
          <w:rFonts w:hint="eastAsia" w:ascii="宋体" w:hAnsi="宋体"/>
          <w:color w:val="000000"/>
          <w:kern w:val="0"/>
          <w:szCs w:val="28"/>
        </w:rPr>
        <w:t>评标委员会决定投标的响应性只根据投标文件本身的内容，而不依据外部的证据。在符合性检查时,</w:t>
      </w:r>
      <w:r>
        <w:rPr>
          <w:rFonts w:hint="eastAsia" w:ascii="宋体" w:hAnsi="宋体"/>
          <w:color w:val="000000"/>
          <w:szCs w:val="28"/>
        </w:rPr>
        <w:t>如有下列情况之一的，经</w:t>
      </w:r>
      <w:r>
        <w:rPr>
          <w:rFonts w:hint="eastAsia" w:ascii="宋体" w:hAnsi="宋体"/>
          <w:color w:val="000000"/>
          <w:kern w:val="0"/>
          <w:szCs w:val="28"/>
        </w:rPr>
        <w:t>评标委员会认定，视</w:t>
      </w:r>
      <w:r>
        <w:rPr>
          <w:rFonts w:hint="eastAsia" w:ascii="宋体" w:hAnsi="宋体"/>
          <w:color w:val="000000"/>
          <w:szCs w:val="28"/>
        </w:rPr>
        <w:t>为非实质性响应，将视为无效投标：</w:t>
      </w:r>
    </w:p>
    <w:p>
      <w:pPr>
        <w:spacing w:line="360" w:lineRule="auto"/>
        <w:ind w:firstLine="560" w:firstLineChars="200"/>
        <w:rPr>
          <w:rFonts w:ascii="宋体" w:hAnsi="宋体"/>
          <w:szCs w:val="28"/>
        </w:rPr>
      </w:pPr>
      <w:r>
        <w:rPr>
          <w:rFonts w:hint="eastAsia" w:ascii="宋体" w:hAnsi="宋体"/>
          <w:szCs w:val="28"/>
        </w:rPr>
        <w:t>（1）投标人编写的投标文件或与投标有关的其它文件未按要求使用简体中文书写；</w:t>
      </w:r>
    </w:p>
    <w:p>
      <w:pPr>
        <w:spacing w:line="360" w:lineRule="auto"/>
        <w:ind w:firstLine="560" w:firstLineChars="200"/>
        <w:rPr>
          <w:rFonts w:ascii="宋体" w:hAnsi="宋体"/>
          <w:szCs w:val="28"/>
        </w:rPr>
      </w:pPr>
      <w:r>
        <w:rPr>
          <w:rFonts w:hint="eastAsia" w:ascii="宋体" w:hAnsi="宋体"/>
          <w:szCs w:val="28"/>
        </w:rPr>
        <w:t>（2）投标文件正本未使用A4规格打印，编写目录，投标文件的装订未采用胶订方式牢固装订成册，可插页抽页，采用活页纸进行装订；</w:t>
      </w:r>
    </w:p>
    <w:p>
      <w:pPr>
        <w:spacing w:line="360" w:lineRule="auto"/>
        <w:ind w:firstLine="560" w:firstLineChars="200"/>
        <w:rPr>
          <w:rFonts w:ascii="宋体" w:hAnsi="宋体"/>
          <w:szCs w:val="28"/>
        </w:rPr>
      </w:pPr>
      <w:r>
        <w:rPr>
          <w:rFonts w:hint="eastAsia" w:ascii="宋体" w:hAnsi="宋体"/>
          <w:szCs w:val="28"/>
        </w:rPr>
        <w:t>（3）投标人未将其投标文件复制成电子版文档（U盘）；</w:t>
      </w:r>
    </w:p>
    <w:p>
      <w:pPr>
        <w:spacing w:line="360" w:lineRule="auto"/>
        <w:ind w:firstLine="560" w:firstLineChars="200"/>
        <w:rPr>
          <w:rFonts w:ascii="宋体" w:hAnsi="宋体"/>
          <w:szCs w:val="28"/>
        </w:rPr>
      </w:pPr>
      <w:r>
        <w:rPr>
          <w:rFonts w:hint="eastAsia" w:ascii="宋体" w:hAnsi="宋体"/>
          <w:szCs w:val="28"/>
        </w:rPr>
        <w:t>（4）</w:t>
      </w:r>
      <w:r>
        <w:rPr>
          <w:rFonts w:hint="eastAsia"/>
        </w:rPr>
        <w:t>未单独提供</w:t>
      </w:r>
      <w:r>
        <w:rPr>
          <w:rFonts w:hint="eastAsia" w:ascii="宋体" w:hAnsi="宋体"/>
          <w:szCs w:val="28"/>
        </w:rPr>
        <w:t>《开标一览表》或《开标一览表》法人代表或授权代表未签署、未加盖公章；</w:t>
      </w:r>
    </w:p>
    <w:p>
      <w:pPr>
        <w:spacing w:line="360" w:lineRule="auto"/>
        <w:ind w:firstLine="560" w:firstLineChars="200"/>
        <w:rPr>
          <w:rFonts w:ascii="宋体" w:hAnsi="宋体"/>
          <w:szCs w:val="28"/>
        </w:rPr>
      </w:pPr>
      <w:r>
        <w:rPr>
          <w:rFonts w:hint="eastAsia" w:ascii="宋体" w:hAnsi="宋体"/>
          <w:szCs w:val="28"/>
        </w:rPr>
        <w:t>（5）</w:t>
      </w:r>
      <w:r>
        <w:rPr>
          <w:rFonts w:hint="eastAsia" w:ascii="宋体" w:hAnsi="宋体"/>
          <w:kern w:val="0"/>
          <w:szCs w:val="28"/>
        </w:rPr>
        <w:t>一种货物出现两个或两个以上报价和</w:t>
      </w:r>
      <w:r>
        <w:rPr>
          <w:rFonts w:hint="eastAsia" w:ascii="宋体" w:hAnsi="宋体"/>
          <w:szCs w:val="28"/>
        </w:rPr>
        <w:t>投标报价有缺漏项，或不符合招标文件要求的（投标内容有缺、漏项的）；</w:t>
      </w:r>
    </w:p>
    <w:p>
      <w:pPr>
        <w:spacing w:line="360" w:lineRule="auto"/>
        <w:ind w:firstLine="560" w:firstLineChars="200"/>
        <w:rPr>
          <w:rFonts w:ascii="宋体" w:hAnsi="宋体"/>
          <w:szCs w:val="28"/>
        </w:rPr>
      </w:pPr>
      <w:r>
        <w:rPr>
          <w:rFonts w:hint="eastAsia" w:ascii="宋体" w:hAnsi="宋体"/>
          <w:szCs w:val="28"/>
        </w:rPr>
        <w:t>（6）联合体投标不符合《政府采购法》等相关法律、法规规定的；</w:t>
      </w:r>
    </w:p>
    <w:p>
      <w:pPr>
        <w:spacing w:line="360" w:lineRule="auto"/>
        <w:ind w:firstLine="560" w:firstLineChars="200"/>
        <w:rPr>
          <w:rFonts w:ascii="宋体" w:hAnsi="宋体"/>
          <w:szCs w:val="28"/>
        </w:rPr>
      </w:pPr>
      <w:r>
        <w:rPr>
          <w:rFonts w:hint="eastAsia" w:ascii="宋体" w:hAnsi="宋体"/>
          <w:szCs w:val="28"/>
        </w:rPr>
        <w:t>（7）</w:t>
      </w:r>
      <w:r>
        <w:rPr>
          <w:rFonts w:hint="eastAsia" w:ascii="宋体" w:hAnsi="宋体"/>
          <w:kern w:val="0"/>
          <w:szCs w:val="28"/>
        </w:rPr>
        <w:t>投标有效期不足的；</w:t>
      </w:r>
    </w:p>
    <w:p>
      <w:pPr>
        <w:spacing w:line="360" w:lineRule="auto"/>
        <w:ind w:firstLine="560" w:firstLineChars="200"/>
        <w:rPr>
          <w:rFonts w:ascii="宋体" w:hAnsi="宋体"/>
          <w:kern w:val="0"/>
          <w:szCs w:val="28"/>
        </w:rPr>
      </w:pPr>
      <w:r>
        <w:rPr>
          <w:rFonts w:hint="eastAsia" w:ascii="宋体" w:hAnsi="宋体"/>
          <w:kern w:val="0"/>
          <w:szCs w:val="28"/>
        </w:rPr>
        <w:t>（8</w:t>
      </w:r>
      <w:r>
        <w:rPr>
          <w:rFonts w:hint="eastAsia" w:ascii="宋体" w:hAnsi="宋体"/>
          <w:szCs w:val="28"/>
        </w:rPr>
        <w:t>）法定代表人不能参加投标，又无法定代表人授权委托书的；</w:t>
      </w:r>
    </w:p>
    <w:p>
      <w:pPr>
        <w:spacing w:line="360" w:lineRule="auto"/>
        <w:ind w:firstLine="560" w:firstLineChars="200"/>
        <w:rPr>
          <w:rFonts w:ascii="宋体" w:hAnsi="宋体"/>
          <w:szCs w:val="28"/>
        </w:rPr>
      </w:pPr>
      <w:r>
        <w:rPr>
          <w:rFonts w:hint="eastAsia" w:ascii="宋体" w:hAnsi="宋体"/>
          <w:szCs w:val="28"/>
        </w:rPr>
        <w:t>（9）投标报价超出已公布的采购预算的；</w:t>
      </w:r>
    </w:p>
    <w:p>
      <w:pPr>
        <w:autoSpaceDE w:val="0"/>
        <w:autoSpaceDN w:val="0"/>
        <w:adjustRightInd w:val="0"/>
        <w:snapToGrid w:val="0"/>
        <w:spacing w:line="360" w:lineRule="auto"/>
        <w:ind w:right="32" w:firstLine="560" w:firstLineChars="200"/>
        <w:rPr>
          <w:rFonts w:ascii="宋体" w:hAnsi="宋体"/>
          <w:kern w:val="0"/>
          <w:szCs w:val="28"/>
        </w:rPr>
      </w:pPr>
      <w:r>
        <w:rPr>
          <w:rFonts w:hint="eastAsia" w:ascii="宋体" w:hAnsi="宋体"/>
          <w:szCs w:val="28"/>
        </w:rPr>
        <w:t>（10）投标文件未完全响应主要商务条款的，如</w:t>
      </w:r>
      <w:r>
        <w:rPr>
          <w:rFonts w:hint="eastAsia" w:ascii="宋体" w:hAnsi="宋体"/>
          <w:kern w:val="0"/>
          <w:szCs w:val="28"/>
        </w:rPr>
        <w:t>交货时间、质保期和付款方式等；</w:t>
      </w:r>
    </w:p>
    <w:p>
      <w:pPr>
        <w:autoSpaceDE w:val="0"/>
        <w:autoSpaceDN w:val="0"/>
        <w:adjustRightInd w:val="0"/>
        <w:snapToGrid w:val="0"/>
        <w:spacing w:line="360" w:lineRule="auto"/>
        <w:ind w:firstLine="560" w:firstLineChars="200"/>
        <w:rPr>
          <w:rFonts w:ascii="宋体" w:hAnsi="宋体"/>
          <w:kern w:val="0"/>
          <w:szCs w:val="28"/>
        </w:rPr>
      </w:pPr>
      <w:r>
        <w:rPr>
          <w:rFonts w:hint="eastAsia" w:ascii="宋体" w:hAnsi="宋体"/>
          <w:kern w:val="0"/>
          <w:szCs w:val="28"/>
        </w:rPr>
        <w:t>（11</w:t>
      </w:r>
      <w:r>
        <w:rPr>
          <w:rFonts w:hint="eastAsia" w:ascii="宋体" w:hAnsi="宋体"/>
          <w:szCs w:val="28"/>
        </w:rPr>
        <w:t>）投标文件</w:t>
      </w:r>
      <w:r>
        <w:rPr>
          <w:rFonts w:hint="eastAsia" w:ascii="宋体" w:hAnsi="宋体"/>
          <w:kern w:val="0"/>
          <w:szCs w:val="28"/>
        </w:rPr>
        <w:t>未提供所投货物的产品品牌、型号和具体参数，或者直接原文复制招标文件要求的参数充当所投货物的参数，但与佐证材料不符的；</w:t>
      </w:r>
    </w:p>
    <w:p>
      <w:pPr>
        <w:autoSpaceDE w:val="0"/>
        <w:autoSpaceDN w:val="0"/>
        <w:adjustRightInd w:val="0"/>
        <w:snapToGrid w:val="0"/>
        <w:spacing w:line="360" w:lineRule="auto"/>
        <w:ind w:firstLine="600" w:firstLineChars="250"/>
        <w:rPr>
          <w:rFonts w:ascii="宋体" w:hAnsi="宋体"/>
          <w:kern w:val="0"/>
          <w:szCs w:val="28"/>
        </w:rPr>
      </w:pPr>
      <w:r>
        <w:rPr>
          <w:rFonts w:hint="eastAsia" w:ascii="宋体" w:hAnsi="宋体"/>
          <w:spacing w:val="-20"/>
          <w:szCs w:val="28"/>
        </w:rPr>
        <w:t>（12）</w:t>
      </w:r>
      <w:r>
        <w:rPr>
          <w:rFonts w:hint="eastAsia" w:ascii="宋体" w:hAnsi="宋体"/>
          <w:kern w:val="0"/>
          <w:szCs w:val="28"/>
        </w:rPr>
        <w:t>对招标文件重要参数项有负偏离的（标*号）；</w:t>
      </w:r>
    </w:p>
    <w:p>
      <w:pPr>
        <w:autoSpaceDE w:val="0"/>
        <w:autoSpaceDN w:val="0"/>
        <w:adjustRightInd w:val="0"/>
        <w:snapToGrid w:val="0"/>
        <w:spacing w:line="360" w:lineRule="auto"/>
        <w:ind w:right="32" w:firstLine="560" w:firstLineChars="200"/>
        <w:rPr>
          <w:rFonts w:ascii="宋体" w:hAnsi="宋体"/>
          <w:kern w:val="0"/>
          <w:szCs w:val="28"/>
        </w:rPr>
      </w:pPr>
      <w:r>
        <w:rPr>
          <w:rFonts w:hint="eastAsia" w:ascii="宋体" w:hAnsi="宋体"/>
          <w:kern w:val="0"/>
          <w:szCs w:val="28"/>
        </w:rPr>
        <w:t>（13）有不良经济纠纷记录和违法行为的；</w:t>
      </w:r>
    </w:p>
    <w:p>
      <w:pPr>
        <w:autoSpaceDE w:val="0"/>
        <w:autoSpaceDN w:val="0"/>
        <w:adjustRightInd w:val="0"/>
        <w:snapToGrid w:val="0"/>
        <w:spacing w:line="360" w:lineRule="auto"/>
        <w:ind w:right="32" w:firstLine="560" w:firstLineChars="200"/>
        <w:rPr>
          <w:rFonts w:ascii="宋体" w:hAnsi="宋体"/>
          <w:kern w:val="0"/>
          <w:szCs w:val="28"/>
        </w:rPr>
      </w:pPr>
      <w:r>
        <w:rPr>
          <w:rFonts w:hint="eastAsia" w:ascii="宋体" w:hAnsi="宋体"/>
          <w:szCs w:val="28"/>
        </w:rPr>
        <w:t>（14）</w:t>
      </w:r>
      <w:r>
        <w:rPr>
          <w:rFonts w:hint="eastAsia" w:ascii="宋体" w:hAnsi="宋体"/>
          <w:kern w:val="0"/>
          <w:szCs w:val="28"/>
        </w:rPr>
        <w:t>有招标文件规定的其它无效条款的。</w:t>
      </w:r>
    </w:p>
    <w:p>
      <w:pPr>
        <w:autoSpaceDE w:val="0"/>
        <w:autoSpaceDN w:val="0"/>
        <w:adjustRightInd w:val="0"/>
        <w:snapToGrid w:val="0"/>
        <w:spacing w:line="360" w:lineRule="auto"/>
        <w:ind w:firstLine="551" w:firstLineChars="196"/>
        <w:rPr>
          <w:rFonts w:ascii="宋体" w:hAnsi="宋体"/>
          <w:color w:val="000000"/>
          <w:kern w:val="0"/>
          <w:szCs w:val="28"/>
        </w:rPr>
      </w:pPr>
      <w:r>
        <w:rPr>
          <w:rFonts w:hint="eastAsia" w:ascii="宋体" w:hAnsi="宋体"/>
          <w:b/>
          <w:color w:val="000000"/>
          <w:szCs w:val="28"/>
        </w:rPr>
        <w:t>（四）投标文件的澄清</w:t>
      </w:r>
    </w:p>
    <w:p>
      <w:pPr>
        <w:spacing w:line="360" w:lineRule="auto"/>
        <w:ind w:firstLine="560" w:firstLineChars="200"/>
        <w:rPr>
          <w:rFonts w:ascii="宋体" w:hAnsi="宋体"/>
          <w:color w:val="000000"/>
          <w:szCs w:val="28"/>
        </w:rPr>
      </w:pPr>
      <w:r>
        <w:rPr>
          <w:rFonts w:hint="eastAsia" w:ascii="宋体" w:hAnsi="宋体"/>
          <w:color w:val="000000"/>
          <w:szCs w:val="28"/>
        </w:rPr>
        <w:t>1.评标委员会有权向投标人询标，请投标人澄清其投标内容，投标人法人代表或其授权人必须接受</w:t>
      </w:r>
      <w:r>
        <w:rPr>
          <w:rFonts w:hint="eastAsia" w:ascii="宋体" w:hAnsi="宋体"/>
          <w:color w:val="000000"/>
          <w:kern w:val="0"/>
          <w:szCs w:val="28"/>
        </w:rPr>
        <w:t>评标委员会</w:t>
      </w:r>
      <w:r>
        <w:rPr>
          <w:rFonts w:hint="eastAsia" w:ascii="宋体" w:hAnsi="宋体"/>
          <w:color w:val="000000"/>
          <w:szCs w:val="28"/>
        </w:rPr>
        <w:t>的询标，在规定的时间内，对重大关键问题投标人未进行答疑和澄清，经评标委员会确认可视为投标人放弃投标。</w:t>
      </w:r>
    </w:p>
    <w:p>
      <w:pPr>
        <w:spacing w:line="360" w:lineRule="auto"/>
        <w:ind w:firstLine="560" w:firstLineChars="200"/>
        <w:rPr>
          <w:rFonts w:ascii="宋体" w:hAnsi="宋体"/>
          <w:color w:val="000000"/>
          <w:szCs w:val="28"/>
        </w:rPr>
      </w:pPr>
      <w:r>
        <w:rPr>
          <w:rFonts w:hint="eastAsia" w:ascii="宋体" w:hAnsi="宋体"/>
          <w:color w:val="000000"/>
          <w:szCs w:val="28"/>
        </w:rPr>
        <w:t>2.重要澄清的答复应是书面的，并由法人代表或授权代表签署，但不得对投标内容进行实质性修改。此书面文件是投标文件的组成部分。</w:t>
      </w:r>
    </w:p>
    <w:p>
      <w:pPr>
        <w:tabs>
          <w:tab w:val="left" w:pos="8280"/>
        </w:tabs>
        <w:autoSpaceDE w:val="0"/>
        <w:autoSpaceDN w:val="0"/>
        <w:adjustRightInd w:val="0"/>
        <w:snapToGrid w:val="0"/>
        <w:spacing w:line="360" w:lineRule="auto"/>
        <w:ind w:right="32" w:firstLine="551" w:firstLineChars="196"/>
        <w:rPr>
          <w:rFonts w:ascii="宋体" w:hAnsi="宋体"/>
          <w:b/>
          <w:color w:val="000000"/>
          <w:kern w:val="0"/>
          <w:szCs w:val="28"/>
        </w:rPr>
      </w:pPr>
      <w:r>
        <w:rPr>
          <w:rFonts w:hint="eastAsia" w:ascii="宋体" w:hAnsi="宋体"/>
          <w:b/>
          <w:color w:val="000000"/>
          <w:kern w:val="0"/>
          <w:szCs w:val="28"/>
        </w:rPr>
        <w:t>（五）</w:t>
      </w:r>
      <w:r>
        <w:rPr>
          <w:rFonts w:hint="eastAsia" w:ascii="宋体" w:hAnsi="宋体"/>
          <w:b/>
          <w:color w:val="000000"/>
          <w:szCs w:val="28"/>
        </w:rPr>
        <w:t>投标文件的</w:t>
      </w:r>
      <w:r>
        <w:rPr>
          <w:rFonts w:hint="eastAsia" w:ascii="宋体" w:hAnsi="宋体"/>
          <w:b/>
          <w:color w:val="000000"/>
          <w:kern w:val="0"/>
          <w:szCs w:val="28"/>
        </w:rPr>
        <w:t>评价</w:t>
      </w:r>
    </w:p>
    <w:p>
      <w:pPr>
        <w:autoSpaceDE w:val="0"/>
        <w:autoSpaceDN w:val="0"/>
        <w:adjustRightInd w:val="0"/>
        <w:snapToGrid w:val="0"/>
        <w:spacing w:line="360" w:lineRule="auto"/>
        <w:ind w:right="32" w:firstLine="560" w:firstLineChars="200"/>
        <w:rPr>
          <w:rFonts w:ascii="宋体" w:hAnsi="宋体"/>
          <w:color w:val="000000"/>
          <w:szCs w:val="28"/>
        </w:rPr>
      </w:pPr>
      <w:r>
        <w:rPr>
          <w:rFonts w:hint="eastAsia" w:ascii="宋体" w:hAnsi="宋体"/>
          <w:color w:val="000000"/>
          <w:kern w:val="0"/>
          <w:szCs w:val="28"/>
        </w:rPr>
        <w:t>1.评标委员会只对确定为实质响应招标文件要求的投标文件进行评价和比较。</w:t>
      </w:r>
      <w:r>
        <w:rPr>
          <w:rFonts w:hint="eastAsia" w:ascii="宋体" w:hAnsi="宋体"/>
          <w:color w:val="000000"/>
          <w:szCs w:val="28"/>
        </w:rPr>
        <w:t>必要时需标明评审理由。</w:t>
      </w:r>
    </w:p>
    <w:p>
      <w:pPr>
        <w:pStyle w:val="26"/>
        <w:spacing w:line="360" w:lineRule="auto"/>
        <w:ind w:firstLine="560" w:firstLineChars="200"/>
        <w:rPr>
          <w:rFonts w:hAnsi="宋体"/>
          <w:color w:val="000000"/>
          <w:sz w:val="28"/>
          <w:szCs w:val="28"/>
        </w:rPr>
      </w:pPr>
      <w:r>
        <w:rPr>
          <w:rFonts w:hint="eastAsia" w:hAnsi="宋体"/>
          <w:color w:val="000000"/>
          <w:sz w:val="28"/>
          <w:szCs w:val="28"/>
        </w:rPr>
        <w:t>2.评标采用最低评标价法的，价格分值由代理机构工作人员协助经济专家根据公式计算，其结果由评标委员会所有成员签字确认。</w:t>
      </w:r>
    </w:p>
    <w:p>
      <w:pPr>
        <w:pStyle w:val="26"/>
        <w:spacing w:line="360" w:lineRule="auto"/>
        <w:ind w:firstLine="560" w:firstLineChars="200"/>
        <w:rPr>
          <w:rFonts w:hAnsi="宋体"/>
          <w:color w:val="000000"/>
          <w:sz w:val="28"/>
          <w:szCs w:val="28"/>
        </w:rPr>
      </w:pPr>
      <w:r>
        <w:rPr>
          <w:rFonts w:hint="eastAsia" w:hAnsi="宋体"/>
          <w:color w:val="000000"/>
          <w:sz w:val="28"/>
          <w:szCs w:val="28"/>
        </w:rPr>
        <w:t>3.代理机构工作人员和现场监督人员负责复核、统计评标委员会成员的评审情况，发现评审意见有失公正时，提请该评标委员会成员修改评审意见，并形成书面意见备查。</w:t>
      </w:r>
    </w:p>
    <w:p>
      <w:pPr>
        <w:autoSpaceDE w:val="0"/>
        <w:autoSpaceDN w:val="0"/>
        <w:adjustRightInd w:val="0"/>
        <w:snapToGrid w:val="0"/>
        <w:spacing w:line="360" w:lineRule="auto"/>
        <w:ind w:firstLine="560" w:firstLineChars="200"/>
        <w:rPr>
          <w:rFonts w:ascii="宋体" w:hAnsi="宋体"/>
          <w:color w:val="000000"/>
          <w:kern w:val="0"/>
          <w:szCs w:val="28"/>
        </w:rPr>
      </w:pPr>
      <w:r>
        <w:rPr>
          <w:rFonts w:hint="eastAsia" w:ascii="宋体" w:hAnsi="宋体"/>
          <w:color w:val="000000"/>
          <w:kern w:val="0"/>
          <w:szCs w:val="28"/>
        </w:rPr>
        <w:t>4.评审时除考虑投标人的技术方案与报价之外，还将考虑以下因素 ：</w:t>
      </w:r>
    </w:p>
    <w:p>
      <w:pPr>
        <w:autoSpaceDE w:val="0"/>
        <w:autoSpaceDN w:val="0"/>
        <w:adjustRightInd w:val="0"/>
        <w:snapToGrid w:val="0"/>
        <w:spacing w:line="360" w:lineRule="auto"/>
        <w:ind w:right="32" w:firstLine="498" w:firstLineChars="178"/>
        <w:rPr>
          <w:rFonts w:ascii="宋体" w:hAnsi="宋体"/>
          <w:color w:val="000000"/>
          <w:kern w:val="0"/>
          <w:szCs w:val="28"/>
        </w:rPr>
      </w:pPr>
      <w:r>
        <w:rPr>
          <w:rFonts w:hint="eastAsia" w:ascii="宋体" w:hAnsi="宋体"/>
          <w:color w:val="000000"/>
          <w:kern w:val="0"/>
          <w:szCs w:val="28"/>
        </w:rPr>
        <w:t>（1</w:t>
      </w:r>
      <w:r>
        <w:rPr>
          <w:rFonts w:hint="eastAsia" w:ascii="宋体" w:hAnsi="宋体"/>
          <w:color w:val="000000"/>
          <w:szCs w:val="28"/>
        </w:rPr>
        <w:t>）</w:t>
      </w:r>
      <w:r>
        <w:rPr>
          <w:rFonts w:hint="eastAsia" w:ascii="宋体" w:hAnsi="宋体"/>
          <w:color w:val="000000"/>
          <w:kern w:val="0"/>
          <w:szCs w:val="28"/>
        </w:rPr>
        <w:t>投标文件的响应状况（包括是否按照采购文件要求制作）；</w:t>
      </w:r>
    </w:p>
    <w:p>
      <w:pPr>
        <w:autoSpaceDE w:val="0"/>
        <w:autoSpaceDN w:val="0"/>
        <w:adjustRightInd w:val="0"/>
        <w:snapToGrid w:val="0"/>
        <w:spacing w:line="360" w:lineRule="auto"/>
        <w:ind w:right="32" w:firstLine="498" w:firstLineChars="178"/>
        <w:rPr>
          <w:rFonts w:ascii="宋体" w:hAnsi="宋体"/>
          <w:color w:val="000000"/>
          <w:kern w:val="0"/>
          <w:szCs w:val="28"/>
        </w:rPr>
      </w:pPr>
      <w:r>
        <w:rPr>
          <w:rFonts w:hint="eastAsia" w:ascii="宋体" w:hAnsi="宋体"/>
          <w:color w:val="000000"/>
          <w:kern w:val="0"/>
          <w:szCs w:val="28"/>
        </w:rPr>
        <w:t>（2）公司状况（企业资质、财务状况、技术力量，交纳税金、社会保障资金情况等）；</w:t>
      </w:r>
    </w:p>
    <w:p>
      <w:pPr>
        <w:autoSpaceDE w:val="0"/>
        <w:autoSpaceDN w:val="0"/>
        <w:adjustRightInd w:val="0"/>
        <w:snapToGrid w:val="0"/>
        <w:spacing w:line="360" w:lineRule="auto"/>
        <w:ind w:right="32" w:firstLine="498" w:firstLineChars="178"/>
        <w:rPr>
          <w:rFonts w:ascii="宋体" w:hAnsi="宋体"/>
          <w:kern w:val="0"/>
          <w:szCs w:val="28"/>
        </w:rPr>
      </w:pPr>
      <w:r>
        <w:rPr>
          <w:rFonts w:hint="eastAsia" w:ascii="宋体" w:hAnsi="宋体"/>
          <w:kern w:val="0"/>
          <w:szCs w:val="28"/>
        </w:rPr>
        <w:t>（3</w:t>
      </w:r>
      <w:r>
        <w:rPr>
          <w:rFonts w:hint="eastAsia" w:ascii="宋体" w:hAnsi="宋体"/>
          <w:szCs w:val="28"/>
        </w:rPr>
        <w:t>）</w:t>
      </w:r>
      <w:r>
        <w:rPr>
          <w:rFonts w:hint="eastAsia" w:ascii="宋体" w:hAnsi="宋体"/>
          <w:kern w:val="0"/>
          <w:szCs w:val="28"/>
        </w:rPr>
        <w:t>投标货物的技术性能、功能、质量等指标；</w:t>
      </w:r>
    </w:p>
    <w:p>
      <w:pPr>
        <w:autoSpaceDE w:val="0"/>
        <w:autoSpaceDN w:val="0"/>
        <w:adjustRightInd w:val="0"/>
        <w:snapToGrid w:val="0"/>
        <w:spacing w:line="360" w:lineRule="auto"/>
        <w:ind w:right="32" w:firstLine="498" w:firstLineChars="178"/>
        <w:rPr>
          <w:rFonts w:ascii="宋体" w:hAnsi="宋体"/>
          <w:kern w:val="0"/>
          <w:szCs w:val="28"/>
        </w:rPr>
      </w:pPr>
      <w:r>
        <w:rPr>
          <w:rFonts w:hint="eastAsia" w:ascii="宋体" w:hAnsi="宋体"/>
          <w:kern w:val="0"/>
          <w:szCs w:val="28"/>
        </w:rPr>
        <w:t>（4</w:t>
      </w:r>
      <w:r>
        <w:rPr>
          <w:rFonts w:hint="eastAsia" w:ascii="宋体" w:hAnsi="宋体"/>
          <w:szCs w:val="28"/>
        </w:rPr>
        <w:t>）</w:t>
      </w:r>
      <w:r>
        <w:rPr>
          <w:rFonts w:hint="eastAsia" w:ascii="宋体" w:hAnsi="宋体"/>
          <w:kern w:val="0"/>
          <w:szCs w:val="28"/>
        </w:rPr>
        <w:t>售后服务承诺、服务体系、质保期、安装调试、培训方案、本地化服务机构和人员、服务响应时间，业绩等。</w:t>
      </w:r>
    </w:p>
    <w:p>
      <w:pPr>
        <w:autoSpaceDE w:val="0"/>
        <w:autoSpaceDN w:val="0"/>
        <w:adjustRightInd w:val="0"/>
        <w:snapToGrid w:val="0"/>
        <w:spacing w:line="360" w:lineRule="auto"/>
        <w:ind w:right="32" w:firstLine="500" w:firstLineChars="178"/>
        <w:rPr>
          <w:rFonts w:hAnsi="宋体"/>
          <w:b/>
          <w:color w:val="000000"/>
          <w:szCs w:val="28"/>
        </w:rPr>
      </w:pPr>
      <w:r>
        <w:rPr>
          <w:rFonts w:hint="eastAsia" w:hAnsi="宋体"/>
          <w:b/>
          <w:color w:val="000000"/>
          <w:szCs w:val="28"/>
        </w:rPr>
        <w:t>（六）废标条款</w:t>
      </w:r>
    </w:p>
    <w:p>
      <w:pPr>
        <w:pStyle w:val="26"/>
        <w:adjustRightInd w:val="0"/>
        <w:snapToGrid w:val="0"/>
        <w:spacing w:line="360" w:lineRule="auto"/>
        <w:ind w:firstLine="560" w:firstLineChars="200"/>
        <w:rPr>
          <w:rFonts w:hAnsi="宋体"/>
          <w:color w:val="000000"/>
          <w:sz w:val="28"/>
          <w:szCs w:val="28"/>
        </w:rPr>
      </w:pPr>
      <w:r>
        <w:rPr>
          <w:rFonts w:hint="eastAsia" w:hAnsi="宋体"/>
          <w:color w:val="000000"/>
          <w:sz w:val="28"/>
          <w:szCs w:val="28"/>
        </w:rPr>
        <w:t>在招标采购中，出现下列情形之一的，应予废标：</w:t>
      </w:r>
    </w:p>
    <w:p>
      <w:pPr>
        <w:pStyle w:val="26"/>
        <w:adjustRightInd w:val="0"/>
        <w:snapToGrid w:val="0"/>
        <w:spacing w:line="360" w:lineRule="auto"/>
        <w:ind w:firstLine="560" w:firstLineChars="200"/>
        <w:rPr>
          <w:rFonts w:hAnsi="宋体"/>
          <w:color w:val="000000"/>
          <w:sz w:val="28"/>
          <w:szCs w:val="28"/>
        </w:rPr>
      </w:pPr>
      <w:r>
        <w:rPr>
          <w:rFonts w:hint="eastAsia" w:hAnsi="宋体"/>
          <w:color w:val="000000"/>
          <w:sz w:val="28"/>
          <w:szCs w:val="28"/>
        </w:rPr>
        <w:t>1.符合专业条件的供应商或者对招标文件作实质响应的供应商不足3家的（经政府采购监督管理部门同意变更采购方式的除外）；</w:t>
      </w:r>
    </w:p>
    <w:p>
      <w:pPr>
        <w:pStyle w:val="26"/>
        <w:adjustRightInd w:val="0"/>
        <w:snapToGrid w:val="0"/>
        <w:spacing w:line="360" w:lineRule="auto"/>
        <w:ind w:firstLine="560" w:firstLineChars="200"/>
        <w:rPr>
          <w:rFonts w:hAnsi="宋体"/>
          <w:color w:val="000000"/>
          <w:sz w:val="28"/>
          <w:szCs w:val="28"/>
        </w:rPr>
      </w:pPr>
      <w:r>
        <w:rPr>
          <w:rFonts w:hint="eastAsia" w:hAnsi="宋体"/>
          <w:color w:val="000000"/>
          <w:sz w:val="28"/>
          <w:szCs w:val="28"/>
        </w:rPr>
        <w:t>2.出现影响采购公正的违法、违规行为的；</w:t>
      </w:r>
    </w:p>
    <w:p>
      <w:pPr>
        <w:pStyle w:val="26"/>
        <w:adjustRightInd w:val="0"/>
        <w:snapToGrid w:val="0"/>
        <w:spacing w:line="360" w:lineRule="auto"/>
        <w:ind w:firstLine="560" w:firstLineChars="200"/>
        <w:rPr>
          <w:rFonts w:hAnsi="宋体"/>
          <w:color w:val="000000"/>
          <w:sz w:val="28"/>
          <w:szCs w:val="28"/>
        </w:rPr>
      </w:pPr>
      <w:r>
        <w:rPr>
          <w:rFonts w:hint="eastAsia" w:hAnsi="宋体"/>
          <w:color w:val="000000"/>
          <w:sz w:val="28"/>
          <w:szCs w:val="28"/>
        </w:rPr>
        <w:t>3.投标报价均超出采购预算，采购人不能支付的；</w:t>
      </w:r>
    </w:p>
    <w:p>
      <w:pPr>
        <w:pStyle w:val="26"/>
        <w:adjustRightInd w:val="0"/>
        <w:snapToGrid w:val="0"/>
        <w:spacing w:line="360" w:lineRule="auto"/>
        <w:ind w:firstLine="560" w:firstLineChars="200"/>
        <w:rPr>
          <w:rFonts w:hAnsi="宋体"/>
          <w:color w:val="000000"/>
          <w:sz w:val="28"/>
          <w:szCs w:val="28"/>
        </w:rPr>
      </w:pPr>
      <w:r>
        <w:rPr>
          <w:rFonts w:hint="eastAsia" w:hAnsi="宋体"/>
          <w:color w:val="000000"/>
          <w:sz w:val="28"/>
          <w:szCs w:val="28"/>
        </w:rPr>
        <w:t>4.因重大变故，采购任务取消的。</w:t>
      </w:r>
    </w:p>
    <w:p>
      <w:pPr>
        <w:pStyle w:val="3"/>
        <w:spacing w:line="360" w:lineRule="auto"/>
        <w:rPr>
          <w:rFonts w:ascii="宋体" w:hAnsi="宋体" w:eastAsia="宋体"/>
          <w:color w:val="000000"/>
        </w:rPr>
      </w:pPr>
      <w:bookmarkStart w:id="21" w:name="_Toc487792140"/>
      <w:bookmarkStart w:id="22" w:name="_Toc266431123"/>
      <w:r>
        <w:rPr>
          <w:rFonts w:hint="eastAsia" w:ascii="宋体" w:hAnsi="宋体" w:eastAsia="宋体"/>
          <w:color w:val="000000"/>
        </w:rPr>
        <w:t>六.定标</w:t>
      </w:r>
      <w:bookmarkEnd w:id="21"/>
      <w:bookmarkEnd w:id="22"/>
    </w:p>
    <w:p>
      <w:pPr>
        <w:spacing w:line="360" w:lineRule="auto"/>
        <w:ind w:firstLine="562" w:firstLineChars="200"/>
        <w:rPr>
          <w:rFonts w:ascii="宋体" w:hAnsi="宋体"/>
          <w:b/>
          <w:color w:val="000000"/>
        </w:rPr>
      </w:pPr>
      <w:r>
        <w:rPr>
          <w:rFonts w:hint="eastAsia" w:ascii="宋体" w:hAnsi="宋体"/>
          <w:b/>
          <w:color w:val="000000"/>
        </w:rPr>
        <w:t>（一）编制评标报告</w:t>
      </w:r>
    </w:p>
    <w:p>
      <w:pPr>
        <w:pStyle w:val="26"/>
        <w:spacing w:line="360" w:lineRule="auto"/>
        <w:ind w:firstLine="560" w:firstLineChars="200"/>
        <w:rPr>
          <w:rFonts w:hAnsi="宋体"/>
          <w:color w:val="000000"/>
          <w:sz w:val="28"/>
          <w:szCs w:val="28"/>
        </w:rPr>
      </w:pPr>
      <w:r>
        <w:rPr>
          <w:rFonts w:hint="eastAsia" w:hAnsi="宋体"/>
          <w:color w:val="000000"/>
          <w:sz w:val="28"/>
          <w:szCs w:val="28"/>
        </w:rPr>
        <w:t>评标委员会按照招标文件确定的评标方法、步骤、标准，对投标文件进行评审。评标结束后，对投标人的评审名次进行排序，确定中标候选人排序，</w:t>
      </w:r>
      <w:r>
        <w:rPr>
          <w:rFonts w:hAnsi="宋体"/>
          <w:color w:val="000000"/>
          <w:sz w:val="28"/>
          <w:szCs w:val="28"/>
        </w:rPr>
        <w:t>根据全体评标成员签字的原始评标记录和评标结果</w:t>
      </w:r>
      <w:r>
        <w:rPr>
          <w:rFonts w:hint="eastAsia" w:hAnsi="宋体"/>
          <w:color w:val="000000"/>
          <w:sz w:val="28"/>
          <w:szCs w:val="28"/>
        </w:rPr>
        <w:t>编写评标报告。</w:t>
      </w:r>
    </w:p>
    <w:p>
      <w:pPr>
        <w:spacing w:line="360" w:lineRule="auto"/>
        <w:ind w:firstLine="560" w:firstLineChars="200"/>
        <w:rPr>
          <w:rFonts w:ascii="宋体" w:hAnsi="宋体"/>
          <w:color w:val="000000"/>
          <w:szCs w:val="28"/>
        </w:rPr>
      </w:pPr>
      <w:r>
        <w:rPr>
          <w:rFonts w:hint="eastAsia" w:ascii="宋体" w:hAnsi="宋体"/>
          <w:color w:val="000000"/>
          <w:szCs w:val="28"/>
        </w:rPr>
        <w:t>评标委员会所有成员应当在评标报告上签字确认，评标报告的</w:t>
      </w:r>
      <w:r>
        <w:rPr>
          <w:rFonts w:ascii="宋体" w:hAnsi="宋体"/>
          <w:color w:val="000000"/>
          <w:szCs w:val="28"/>
        </w:rPr>
        <w:t>主要内容包括：</w:t>
      </w:r>
    </w:p>
    <w:p>
      <w:pPr>
        <w:spacing w:line="360" w:lineRule="auto"/>
        <w:ind w:firstLine="560" w:firstLineChars="200"/>
        <w:rPr>
          <w:rFonts w:ascii="宋体" w:hAnsi="宋体"/>
          <w:color w:val="000000"/>
          <w:szCs w:val="28"/>
        </w:rPr>
      </w:pPr>
      <w:r>
        <w:rPr>
          <w:rFonts w:hint="eastAsia" w:ascii="宋体" w:hAnsi="宋体"/>
          <w:color w:val="000000"/>
          <w:szCs w:val="28"/>
        </w:rPr>
        <w:t>1.</w:t>
      </w:r>
      <w:r>
        <w:rPr>
          <w:rFonts w:ascii="宋体" w:hAnsi="宋体"/>
          <w:color w:val="000000"/>
          <w:szCs w:val="28"/>
        </w:rPr>
        <w:t>招标公告刊登的媒体名称、开标日期和地点；</w:t>
      </w:r>
    </w:p>
    <w:p>
      <w:pPr>
        <w:spacing w:line="360" w:lineRule="auto"/>
        <w:ind w:firstLine="560" w:firstLineChars="200"/>
        <w:rPr>
          <w:rFonts w:ascii="宋体" w:hAnsi="宋体"/>
          <w:color w:val="000000"/>
          <w:szCs w:val="28"/>
        </w:rPr>
      </w:pPr>
      <w:r>
        <w:rPr>
          <w:rFonts w:hint="eastAsia" w:ascii="宋体" w:hAnsi="宋体"/>
          <w:color w:val="000000"/>
          <w:szCs w:val="28"/>
        </w:rPr>
        <w:t>2.</w:t>
      </w:r>
      <w:r>
        <w:rPr>
          <w:rFonts w:ascii="宋体" w:hAnsi="宋体"/>
          <w:color w:val="000000"/>
          <w:szCs w:val="28"/>
        </w:rPr>
        <w:t>投标人名单和评标委员会成员名单；</w:t>
      </w:r>
    </w:p>
    <w:p>
      <w:pPr>
        <w:spacing w:line="360" w:lineRule="auto"/>
        <w:ind w:firstLine="560" w:firstLineChars="200"/>
        <w:rPr>
          <w:rFonts w:ascii="宋体" w:hAnsi="宋体"/>
          <w:color w:val="000000"/>
          <w:szCs w:val="28"/>
        </w:rPr>
      </w:pPr>
      <w:r>
        <w:rPr>
          <w:rFonts w:hint="eastAsia" w:ascii="宋体" w:hAnsi="宋体"/>
          <w:color w:val="000000"/>
          <w:szCs w:val="28"/>
        </w:rPr>
        <w:t>3.</w:t>
      </w:r>
      <w:r>
        <w:rPr>
          <w:rFonts w:ascii="宋体" w:hAnsi="宋体"/>
          <w:color w:val="000000"/>
          <w:szCs w:val="28"/>
        </w:rPr>
        <w:t>评标方法和评标标准；</w:t>
      </w:r>
    </w:p>
    <w:p>
      <w:pPr>
        <w:spacing w:line="360" w:lineRule="auto"/>
        <w:ind w:firstLine="560" w:firstLineChars="200"/>
        <w:rPr>
          <w:rFonts w:ascii="宋体" w:hAnsi="宋体"/>
          <w:color w:val="000000"/>
          <w:szCs w:val="28"/>
        </w:rPr>
      </w:pPr>
      <w:r>
        <w:rPr>
          <w:rFonts w:hint="eastAsia" w:ascii="宋体" w:hAnsi="宋体"/>
          <w:color w:val="000000"/>
          <w:szCs w:val="28"/>
        </w:rPr>
        <w:t>4.</w:t>
      </w:r>
      <w:r>
        <w:rPr>
          <w:rFonts w:ascii="宋体" w:hAnsi="宋体"/>
          <w:color w:val="000000"/>
          <w:szCs w:val="28"/>
        </w:rPr>
        <w:t>开标记录和评标情况及说明，包括投标无效投标人名单及原因；</w:t>
      </w:r>
    </w:p>
    <w:p>
      <w:pPr>
        <w:spacing w:line="360" w:lineRule="auto"/>
        <w:ind w:firstLine="560" w:firstLineChars="200"/>
        <w:rPr>
          <w:rFonts w:ascii="宋体" w:hAnsi="宋体"/>
          <w:color w:val="000000"/>
          <w:szCs w:val="28"/>
        </w:rPr>
      </w:pPr>
      <w:r>
        <w:rPr>
          <w:rFonts w:hint="eastAsia" w:ascii="宋体" w:hAnsi="宋体"/>
          <w:color w:val="000000"/>
          <w:szCs w:val="28"/>
        </w:rPr>
        <w:t>5.</w:t>
      </w:r>
      <w:r>
        <w:rPr>
          <w:rFonts w:ascii="宋体" w:hAnsi="宋体"/>
          <w:color w:val="000000"/>
          <w:szCs w:val="28"/>
        </w:rPr>
        <w:t>评标结果和中标候选</w:t>
      </w:r>
      <w:r>
        <w:rPr>
          <w:rFonts w:hint="eastAsia" w:ascii="宋体" w:hAnsi="宋体"/>
          <w:color w:val="000000"/>
          <w:szCs w:val="28"/>
        </w:rPr>
        <w:t>人</w:t>
      </w:r>
      <w:r>
        <w:rPr>
          <w:rFonts w:ascii="宋体" w:hAnsi="宋体"/>
          <w:color w:val="000000"/>
          <w:szCs w:val="28"/>
        </w:rPr>
        <w:t>排序；</w:t>
      </w:r>
    </w:p>
    <w:p>
      <w:pPr>
        <w:spacing w:line="360" w:lineRule="auto"/>
        <w:ind w:firstLine="560" w:firstLineChars="200"/>
        <w:rPr>
          <w:rFonts w:ascii="宋体" w:hAnsi="宋体"/>
          <w:color w:val="000000"/>
          <w:szCs w:val="28"/>
        </w:rPr>
      </w:pPr>
      <w:r>
        <w:rPr>
          <w:rFonts w:hint="eastAsia" w:ascii="宋体" w:hAnsi="宋体"/>
          <w:color w:val="000000"/>
          <w:szCs w:val="28"/>
        </w:rPr>
        <w:t>6.</w:t>
      </w:r>
      <w:r>
        <w:rPr>
          <w:rFonts w:ascii="宋体" w:hAnsi="宋体"/>
          <w:color w:val="000000"/>
          <w:szCs w:val="28"/>
        </w:rPr>
        <w:t>评标委员会的</w:t>
      </w:r>
      <w:r>
        <w:rPr>
          <w:rFonts w:hint="eastAsia" w:ascii="宋体" w:hAnsi="宋体"/>
          <w:color w:val="000000"/>
          <w:szCs w:val="28"/>
        </w:rPr>
        <w:t>其他</w:t>
      </w:r>
      <w:r>
        <w:rPr>
          <w:rFonts w:ascii="宋体" w:hAnsi="宋体"/>
          <w:color w:val="000000"/>
          <w:szCs w:val="28"/>
        </w:rPr>
        <w:t>建议。</w:t>
      </w:r>
    </w:p>
    <w:p>
      <w:pPr>
        <w:spacing w:line="360" w:lineRule="auto"/>
        <w:ind w:firstLine="562" w:firstLineChars="200"/>
        <w:rPr>
          <w:rFonts w:hAnsi="宋体"/>
          <w:b/>
          <w:color w:val="000000"/>
          <w:szCs w:val="28"/>
        </w:rPr>
      </w:pPr>
      <w:r>
        <w:rPr>
          <w:rFonts w:hint="eastAsia" w:ascii="宋体" w:hAnsi="宋体"/>
          <w:b/>
          <w:color w:val="000000"/>
          <w:szCs w:val="28"/>
        </w:rPr>
        <w:t>（二）确定中标人</w:t>
      </w:r>
    </w:p>
    <w:p>
      <w:pPr>
        <w:tabs>
          <w:tab w:val="left" w:pos="0"/>
        </w:tabs>
        <w:adjustRightInd w:val="0"/>
        <w:snapToGrid w:val="0"/>
        <w:spacing w:line="360" w:lineRule="auto"/>
        <w:ind w:firstLine="560" w:firstLineChars="200"/>
        <w:rPr>
          <w:rFonts w:ascii="宋体" w:hAnsi="宋体"/>
          <w:color w:val="000000"/>
          <w:szCs w:val="28"/>
        </w:rPr>
      </w:pPr>
      <w:r>
        <w:rPr>
          <w:rFonts w:hint="eastAsia" w:ascii="宋体" w:hAnsi="宋体"/>
          <w:color w:val="000000"/>
          <w:szCs w:val="28"/>
        </w:rPr>
        <w:t>1.采购人按照</w:t>
      </w:r>
      <w:r>
        <w:rPr>
          <w:rFonts w:hint="eastAsia" w:ascii="宋体" w:hAnsi="宋体"/>
          <w:color w:val="000000"/>
          <w:kern w:val="0"/>
          <w:szCs w:val="28"/>
        </w:rPr>
        <w:t>评审委员会</w:t>
      </w:r>
      <w:r>
        <w:rPr>
          <w:rFonts w:hint="eastAsia" w:ascii="宋体" w:hAnsi="宋体"/>
          <w:color w:val="000000"/>
          <w:szCs w:val="28"/>
        </w:rPr>
        <w:t>推荐中标候选人顺序确定中标人。</w:t>
      </w:r>
    </w:p>
    <w:p>
      <w:pPr>
        <w:tabs>
          <w:tab w:val="left" w:pos="0"/>
        </w:tabs>
        <w:adjustRightInd w:val="0"/>
        <w:snapToGrid w:val="0"/>
        <w:spacing w:line="360" w:lineRule="auto"/>
        <w:ind w:firstLine="560" w:firstLineChars="200"/>
        <w:rPr>
          <w:rFonts w:ascii="宋体" w:hAnsi="宋体"/>
          <w:color w:val="000000"/>
          <w:szCs w:val="28"/>
        </w:rPr>
      </w:pPr>
      <w:r>
        <w:rPr>
          <w:rFonts w:hint="eastAsia" w:ascii="宋体" w:hAnsi="宋体"/>
          <w:color w:val="000000"/>
          <w:szCs w:val="28"/>
        </w:rPr>
        <w:t>2.中标人因不可抗力或者自身原因不能履行政府采购合同的，采购人可以与排位在中标人之后第一位的中标候选人签订政府采购合同，以此类推。</w:t>
      </w:r>
    </w:p>
    <w:p>
      <w:pPr>
        <w:pStyle w:val="3"/>
        <w:spacing w:line="360" w:lineRule="auto"/>
        <w:rPr>
          <w:rFonts w:ascii="宋体" w:hAnsi="宋体" w:eastAsia="宋体"/>
          <w:color w:val="000000"/>
        </w:rPr>
      </w:pPr>
      <w:bookmarkStart w:id="23" w:name="_Toc266431124"/>
      <w:bookmarkStart w:id="24" w:name="_Toc487792141"/>
      <w:r>
        <w:rPr>
          <w:rFonts w:hint="eastAsia" w:ascii="宋体" w:hAnsi="宋体" w:eastAsia="宋体"/>
          <w:color w:val="000000"/>
        </w:rPr>
        <w:t>七.公告</w:t>
      </w:r>
      <w:bookmarkEnd w:id="23"/>
      <w:bookmarkEnd w:id="24"/>
    </w:p>
    <w:p>
      <w:pPr>
        <w:adjustRightInd w:val="0"/>
        <w:snapToGrid w:val="0"/>
        <w:spacing w:line="360" w:lineRule="auto"/>
        <w:ind w:firstLine="560" w:firstLineChars="200"/>
        <w:rPr>
          <w:rFonts w:ascii="宋体" w:hAnsi="宋体"/>
          <w:color w:val="000000"/>
          <w:kern w:val="0"/>
          <w:szCs w:val="28"/>
        </w:rPr>
      </w:pPr>
      <w:r>
        <w:rPr>
          <w:rFonts w:hint="eastAsia" w:ascii="宋体" w:hAnsi="宋体"/>
          <w:color w:val="000000"/>
          <w:kern w:val="0"/>
          <w:szCs w:val="28"/>
        </w:rPr>
        <w:t>1.中标人确定后，代理机构将在中国采购与招标网、鄂尔多斯市政府采购网、鄂尔多斯市公共资源交易网站和杭锦旗公共资源交易网站上发布中标结果公告，中标公告期不得少于七个工作日。中标公告应包括下列内容：</w:t>
      </w:r>
    </w:p>
    <w:p>
      <w:pPr>
        <w:spacing w:line="360" w:lineRule="auto"/>
        <w:ind w:firstLine="560" w:firstLineChars="200"/>
        <w:rPr>
          <w:rFonts w:ascii="宋体" w:hAnsi="宋体"/>
          <w:szCs w:val="28"/>
        </w:rPr>
      </w:pPr>
      <w:r>
        <w:rPr>
          <w:rFonts w:hint="eastAsia" w:ascii="宋体" w:hAnsi="宋体"/>
          <w:szCs w:val="28"/>
        </w:rPr>
        <w:t>（1）采购人、代理机构的名称、地址和联系方式；</w:t>
      </w:r>
    </w:p>
    <w:p>
      <w:pPr>
        <w:spacing w:line="360" w:lineRule="auto"/>
        <w:ind w:firstLine="560" w:firstLineChars="200"/>
        <w:rPr>
          <w:rFonts w:ascii="宋体" w:hAnsi="宋体"/>
          <w:szCs w:val="28"/>
        </w:rPr>
      </w:pPr>
      <w:r>
        <w:rPr>
          <w:rFonts w:hint="eastAsia" w:ascii="宋体" w:hAnsi="宋体"/>
          <w:szCs w:val="28"/>
        </w:rPr>
        <w:t>（2）招标文件编号；</w:t>
      </w:r>
    </w:p>
    <w:p>
      <w:pPr>
        <w:spacing w:line="360" w:lineRule="auto"/>
        <w:ind w:firstLine="560" w:firstLineChars="200"/>
        <w:rPr>
          <w:rFonts w:ascii="宋体" w:hAnsi="宋体"/>
          <w:szCs w:val="28"/>
        </w:rPr>
      </w:pPr>
      <w:r>
        <w:rPr>
          <w:rFonts w:hint="eastAsia" w:ascii="宋体" w:hAnsi="宋体"/>
          <w:szCs w:val="28"/>
        </w:rPr>
        <w:t>（3）中标人名称、地址和中标金额；</w:t>
      </w:r>
    </w:p>
    <w:p>
      <w:pPr>
        <w:spacing w:line="360" w:lineRule="auto"/>
        <w:ind w:firstLine="560" w:firstLineChars="200"/>
        <w:rPr>
          <w:rFonts w:ascii="宋体" w:hAnsi="宋体"/>
          <w:szCs w:val="28"/>
        </w:rPr>
      </w:pPr>
      <w:r>
        <w:rPr>
          <w:rFonts w:hint="eastAsia" w:ascii="宋体" w:hAnsi="宋体"/>
          <w:szCs w:val="28"/>
        </w:rPr>
        <w:t>（4）采购项目名称、中标产品的品牌、型号、产地、数量、单价及合同履行日期；</w:t>
      </w:r>
    </w:p>
    <w:p>
      <w:pPr>
        <w:spacing w:line="360" w:lineRule="auto"/>
        <w:ind w:firstLine="560" w:firstLineChars="200"/>
        <w:rPr>
          <w:rFonts w:ascii="宋体" w:hAnsi="宋体"/>
          <w:szCs w:val="28"/>
        </w:rPr>
      </w:pPr>
      <w:r>
        <w:rPr>
          <w:rFonts w:hint="eastAsia" w:ascii="宋体" w:hAnsi="宋体"/>
          <w:szCs w:val="28"/>
        </w:rPr>
        <w:t>（5）定标日期；</w:t>
      </w:r>
    </w:p>
    <w:p>
      <w:pPr>
        <w:spacing w:line="360" w:lineRule="auto"/>
        <w:ind w:firstLine="560" w:firstLineChars="200"/>
        <w:rPr>
          <w:rFonts w:ascii="宋体" w:hAnsi="宋体"/>
          <w:szCs w:val="28"/>
        </w:rPr>
      </w:pPr>
      <w:r>
        <w:rPr>
          <w:rFonts w:hint="eastAsia" w:ascii="宋体" w:hAnsi="宋体"/>
          <w:szCs w:val="28"/>
        </w:rPr>
        <w:t>（6）本项目招标公告日期；</w:t>
      </w:r>
    </w:p>
    <w:p>
      <w:pPr>
        <w:spacing w:line="360" w:lineRule="auto"/>
        <w:ind w:firstLine="560" w:firstLineChars="200"/>
        <w:rPr>
          <w:rFonts w:ascii="宋体" w:hAnsi="宋体"/>
          <w:szCs w:val="28"/>
        </w:rPr>
      </w:pPr>
      <w:r>
        <w:rPr>
          <w:rFonts w:hint="eastAsia" w:ascii="宋体" w:hAnsi="宋体"/>
          <w:szCs w:val="28"/>
        </w:rPr>
        <w:t>（7）评标委员会成员名单；</w:t>
      </w:r>
    </w:p>
    <w:p>
      <w:pPr>
        <w:spacing w:line="360" w:lineRule="auto"/>
        <w:ind w:firstLine="560" w:firstLineChars="200"/>
        <w:rPr>
          <w:rFonts w:ascii="宋体" w:hAnsi="宋体"/>
          <w:szCs w:val="28"/>
        </w:rPr>
      </w:pPr>
      <w:r>
        <w:rPr>
          <w:rFonts w:hint="eastAsia" w:ascii="宋体" w:hAnsi="宋体"/>
          <w:szCs w:val="28"/>
        </w:rPr>
        <w:t>（8）政府采购监督员名单。</w:t>
      </w:r>
    </w:p>
    <w:p>
      <w:pPr>
        <w:tabs>
          <w:tab w:val="left" w:pos="0"/>
        </w:tabs>
        <w:adjustRightInd w:val="0"/>
        <w:snapToGrid w:val="0"/>
        <w:spacing w:line="360" w:lineRule="auto"/>
        <w:ind w:firstLine="560" w:firstLineChars="200"/>
        <w:rPr>
          <w:rFonts w:ascii="宋体" w:hAnsi="宋体"/>
          <w:color w:val="000000"/>
          <w:szCs w:val="28"/>
        </w:rPr>
      </w:pPr>
      <w:r>
        <w:rPr>
          <w:rFonts w:hint="eastAsia" w:ascii="宋体" w:hAnsi="宋体"/>
          <w:color w:val="000000"/>
          <w:szCs w:val="28"/>
        </w:rPr>
        <w:t>2.《中标通知书》。中标公告期结束内没有投标人书面质疑的，代理机构向中标人发出《中标通知书》。《中标通知书》对采购人和中标人具有同等法律效力。《中标通知书》发出后，采购人改变中标结果，或者中标人放弃中标，应当承担相应的法律责任。</w:t>
      </w:r>
    </w:p>
    <w:p>
      <w:pPr>
        <w:pStyle w:val="3"/>
        <w:rPr>
          <w:rFonts w:ascii="宋体" w:hAnsi="宋体"/>
          <w:color w:val="000000"/>
        </w:rPr>
      </w:pPr>
      <w:bookmarkStart w:id="25" w:name="_Toc487792142"/>
      <w:r>
        <w:rPr>
          <w:rFonts w:hint="eastAsia" w:ascii="宋体" w:hAnsi="宋体"/>
          <w:color w:val="000000"/>
        </w:rPr>
        <w:t>八.质疑</w:t>
      </w:r>
      <w:bookmarkEnd w:id="25"/>
    </w:p>
    <w:p>
      <w:pPr>
        <w:autoSpaceDE w:val="0"/>
        <w:autoSpaceDN w:val="0"/>
        <w:adjustRightInd w:val="0"/>
        <w:snapToGrid w:val="0"/>
        <w:spacing w:line="360" w:lineRule="auto"/>
        <w:ind w:right="32" w:firstLine="560" w:firstLineChars="200"/>
        <w:rPr>
          <w:rFonts w:ascii="宋体" w:hAnsi="宋体"/>
          <w:color w:val="000000"/>
          <w:kern w:val="0"/>
          <w:szCs w:val="28"/>
        </w:rPr>
      </w:pPr>
      <w:bookmarkStart w:id="26" w:name="_Toc266431125"/>
      <w:r>
        <w:rPr>
          <w:rFonts w:hint="eastAsia" w:ascii="宋体" w:hAnsi="宋体"/>
          <w:color w:val="000000"/>
          <w:kern w:val="0"/>
          <w:szCs w:val="28"/>
        </w:rPr>
        <w:t>1.</w:t>
      </w:r>
      <w:r>
        <w:rPr>
          <w:rFonts w:hint="eastAsia" w:ascii="宋体" w:hAnsi="宋体"/>
          <w:color w:val="000000"/>
          <w:szCs w:val="28"/>
        </w:rPr>
        <w:t>投标人对政府采购活动事项有疑问的，可以向采购人和代理机构提出询问，采购人和代理机构应当及时做出答复，但答复的内容不得涉及商业秘密。</w:t>
      </w:r>
    </w:p>
    <w:p>
      <w:pPr>
        <w:pStyle w:val="26"/>
        <w:adjustRightInd w:val="0"/>
        <w:snapToGrid w:val="0"/>
        <w:spacing w:line="360" w:lineRule="auto"/>
        <w:ind w:firstLine="560" w:firstLineChars="200"/>
        <w:rPr>
          <w:rFonts w:hAnsi="宋体"/>
          <w:color w:val="000000"/>
          <w:sz w:val="28"/>
          <w:szCs w:val="28"/>
        </w:rPr>
      </w:pPr>
      <w:r>
        <w:rPr>
          <w:rFonts w:hint="eastAsia" w:hAnsi="宋体"/>
          <w:color w:val="000000"/>
          <w:sz w:val="28"/>
          <w:szCs w:val="28"/>
        </w:rPr>
        <w:t>2.投标人认为招标文件、采购过程和中标、成交结果使自己的权益受到损害的，可以在知道或者应知其权益受到损害之日起七个工作日内，以书面形式向采购人和代理机构提出质疑。采购人和代理机构应当在收到投标人的书面质疑后七个工作日内做出书面答复，并以书面形式通知质疑人和其他有关投标人，但答复的内容不得涉及商业秘密。</w:t>
      </w:r>
    </w:p>
    <w:p>
      <w:pPr>
        <w:spacing w:line="360" w:lineRule="auto"/>
        <w:ind w:firstLine="560" w:firstLineChars="200"/>
        <w:rPr>
          <w:rFonts w:ascii="宋体" w:hAnsi="宋体" w:cs="宋体"/>
          <w:color w:val="000000"/>
          <w:kern w:val="0"/>
          <w:szCs w:val="28"/>
        </w:rPr>
      </w:pPr>
      <w:r>
        <w:rPr>
          <w:rFonts w:hint="eastAsia" w:ascii="宋体" w:hAnsi="宋体" w:cs="宋体"/>
          <w:color w:val="000000"/>
          <w:kern w:val="0"/>
          <w:szCs w:val="28"/>
        </w:rPr>
        <w:t>3.</w:t>
      </w:r>
      <w:r>
        <w:rPr>
          <w:rFonts w:ascii="宋体" w:hAnsi="宋体" w:cs="宋体"/>
          <w:color w:val="000000"/>
          <w:kern w:val="0"/>
          <w:szCs w:val="28"/>
        </w:rPr>
        <w:t>质疑采用实名制，为了使提出的质疑事项在规定时间内得到有效答复、处理，递交的质疑函务必提供以下信息和内容</w:t>
      </w:r>
      <w:r>
        <w:rPr>
          <w:rFonts w:hint="eastAsia" w:ascii="宋体" w:hAnsi="宋体" w:cs="宋体"/>
          <w:color w:val="000000"/>
          <w:kern w:val="0"/>
          <w:szCs w:val="28"/>
        </w:rPr>
        <w:t>，且质疑人</w:t>
      </w:r>
      <w:r>
        <w:rPr>
          <w:rFonts w:ascii="宋体" w:hAnsi="宋体" w:cs="宋体"/>
          <w:color w:val="000000"/>
          <w:kern w:val="0"/>
          <w:szCs w:val="28"/>
        </w:rPr>
        <w:t>必须为本次采购活动当事人。否则，可能被视为无效质疑</w:t>
      </w:r>
      <w:r>
        <w:rPr>
          <w:rFonts w:hint="eastAsia" w:ascii="宋体" w:hAnsi="宋体" w:cs="宋体"/>
          <w:color w:val="000000"/>
          <w:kern w:val="0"/>
          <w:szCs w:val="28"/>
        </w:rPr>
        <w:t>。</w:t>
      </w:r>
    </w:p>
    <w:p>
      <w:pPr>
        <w:spacing w:line="360" w:lineRule="auto"/>
        <w:ind w:firstLine="560" w:firstLineChars="200"/>
        <w:rPr>
          <w:rFonts w:ascii="宋体" w:hAnsi="宋体" w:cs="宋体"/>
          <w:color w:val="000000"/>
          <w:kern w:val="0"/>
          <w:szCs w:val="28"/>
        </w:rPr>
      </w:pPr>
      <w:r>
        <w:rPr>
          <w:rFonts w:hint="eastAsia" w:ascii="宋体" w:hAnsi="宋体" w:cs="宋体"/>
          <w:color w:val="000000"/>
          <w:kern w:val="0"/>
          <w:szCs w:val="28"/>
        </w:rPr>
        <w:t>（1）</w:t>
      </w:r>
      <w:r>
        <w:rPr>
          <w:rFonts w:ascii="宋体" w:hAnsi="宋体" w:cs="宋体"/>
          <w:color w:val="000000"/>
          <w:kern w:val="0"/>
          <w:szCs w:val="28"/>
        </w:rPr>
        <w:t>质疑人的单位名称或姓名、详细地址、邮政编码、联系电话、身份证明、法人授权</w:t>
      </w:r>
      <w:r>
        <w:rPr>
          <w:rFonts w:hint="eastAsia" w:ascii="宋体" w:hAnsi="宋体" w:cs="宋体"/>
          <w:color w:val="000000"/>
          <w:kern w:val="0"/>
          <w:szCs w:val="28"/>
        </w:rPr>
        <w:t>委托</w:t>
      </w:r>
      <w:r>
        <w:rPr>
          <w:rFonts w:ascii="宋体" w:hAnsi="宋体" w:cs="宋体"/>
          <w:color w:val="000000"/>
          <w:kern w:val="0"/>
          <w:szCs w:val="28"/>
        </w:rPr>
        <w:t>书</w:t>
      </w:r>
      <w:r>
        <w:rPr>
          <w:rFonts w:hint="eastAsia" w:ascii="宋体" w:hAnsi="宋体" w:cs="宋体"/>
          <w:color w:val="000000"/>
          <w:kern w:val="0"/>
          <w:szCs w:val="28"/>
        </w:rPr>
        <w:t>；</w:t>
      </w:r>
    </w:p>
    <w:p>
      <w:pPr>
        <w:spacing w:line="360" w:lineRule="auto"/>
        <w:ind w:firstLine="560" w:firstLineChars="200"/>
        <w:rPr>
          <w:rFonts w:ascii="宋体" w:hAnsi="宋体" w:cs="宋体"/>
          <w:color w:val="000000"/>
          <w:kern w:val="0"/>
          <w:szCs w:val="28"/>
        </w:rPr>
      </w:pPr>
      <w:r>
        <w:rPr>
          <w:rFonts w:hint="eastAsia" w:ascii="宋体" w:hAnsi="宋体" w:cs="宋体"/>
          <w:color w:val="000000"/>
          <w:kern w:val="0"/>
          <w:szCs w:val="28"/>
        </w:rPr>
        <w:t>（</w:t>
      </w:r>
      <w:r>
        <w:rPr>
          <w:rFonts w:ascii="宋体" w:hAnsi="宋体" w:cs="宋体"/>
          <w:color w:val="000000"/>
          <w:kern w:val="0"/>
          <w:szCs w:val="28"/>
        </w:rPr>
        <w:t>2</w:t>
      </w:r>
      <w:r>
        <w:rPr>
          <w:rFonts w:hint="eastAsia" w:ascii="宋体" w:hAnsi="宋体" w:cs="宋体"/>
          <w:color w:val="000000"/>
          <w:kern w:val="0"/>
          <w:szCs w:val="28"/>
        </w:rPr>
        <w:t>）</w:t>
      </w:r>
      <w:r>
        <w:rPr>
          <w:rFonts w:ascii="宋体" w:hAnsi="宋体" w:cs="宋体"/>
          <w:color w:val="000000"/>
          <w:kern w:val="0"/>
          <w:szCs w:val="28"/>
        </w:rPr>
        <w:t>被质疑人的单位名称或姓名等</w:t>
      </w:r>
      <w:r>
        <w:rPr>
          <w:rFonts w:hint="eastAsia" w:ascii="宋体" w:hAnsi="宋体" w:cs="宋体"/>
          <w:color w:val="000000"/>
          <w:kern w:val="0"/>
          <w:szCs w:val="28"/>
        </w:rPr>
        <w:t>；</w:t>
      </w:r>
    </w:p>
    <w:p>
      <w:pPr>
        <w:spacing w:line="360" w:lineRule="auto"/>
        <w:ind w:firstLine="560" w:firstLineChars="200"/>
        <w:rPr>
          <w:rFonts w:ascii="宋体" w:hAnsi="宋体" w:cs="宋体"/>
          <w:color w:val="000000"/>
          <w:kern w:val="0"/>
          <w:szCs w:val="28"/>
        </w:rPr>
      </w:pPr>
      <w:r>
        <w:rPr>
          <w:rFonts w:hint="eastAsia" w:ascii="宋体" w:hAnsi="宋体" w:cs="宋体"/>
          <w:color w:val="000000"/>
          <w:kern w:val="0"/>
          <w:szCs w:val="28"/>
        </w:rPr>
        <w:t>（3）</w:t>
      </w:r>
      <w:r>
        <w:rPr>
          <w:rFonts w:ascii="宋体" w:hAnsi="宋体" w:cs="宋体"/>
          <w:color w:val="000000"/>
          <w:kern w:val="0"/>
          <w:szCs w:val="28"/>
        </w:rPr>
        <w:t>质疑的具体事项和理由及合法有效证明材料</w:t>
      </w:r>
      <w:r>
        <w:rPr>
          <w:rFonts w:hint="eastAsia" w:ascii="宋体" w:hAnsi="宋体" w:cs="宋体"/>
          <w:color w:val="000000"/>
          <w:kern w:val="0"/>
          <w:szCs w:val="28"/>
        </w:rPr>
        <w:t>；</w:t>
      </w:r>
    </w:p>
    <w:p>
      <w:pPr>
        <w:spacing w:line="360" w:lineRule="auto"/>
        <w:ind w:firstLine="560" w:firstLineChars="200"/>
        <w:rPr>
          <w:rFonts w:ascii="宋体" w:hAnsi="宋体"/>
          <w:color w:val="000000"/>
          <w:szCs w:val="28"/>
        </w:rPr>
      </w:pPr>
      <w:r>
        <w:rPr>
          <w:rFonts w:hint="eastAsia" w:ascii="宋体" w:hAnsi="宋体" w:cs="宋体"/>
          <w:color w:val="000000"/>
          <w:kern w:val="0"/>
          <w:szCs w:val="28"/>
        </w:rPr>
        <w:t>（4）</w:t>
      </w:r>
      <w:r>
        <w:rPr>
          <w:rFonts w:ascii="宋体" w:hAnsi="宋体" w:cs="宋体"/>
          <w:color w:val="000000"/>
          <w:kern w:val="0"/>
          <w:szCs w:val="28"/>
        </w:rPr>
        <w:t>质疑人的签章及提出质疑的准确时间</w:t>
      </w:r>
      <w:r>
        <w:rPr>
          <w:rFonts w:hint="eastAsia" w:ascii="宋体" w:hAnsi="宋体" w:cs="宋体"/>
          <w:color w:val="000000"/>
          <w:kern w:val="0"/>
          <w:szCs w:val="28"/>
        </w:rPr>
        <w:t>。</w:t>
      </w:r>
    </w:p>
    <w:p>
      <w:pPr>
        <w:spacing w:line="360" w:lineRule="auto"/>
        <w:ind w:firstLine="560" w:firstLineChars="200"/>
        <w:rPr>
          <w:rFonts w:ascii="宋体" w:hAnsi="宋体"/>
          <w:color w:val="000000"/>
          <w:szCs w:val="28"/>
        </w:rPr>
      </w:pPr>
      <w:r>
        <w:rPr>
          <w:rFonts w:hint="eastAsia" w:ascii="宋体" w:hAnsi="宋体"/>
          <w:color w:val="000000"/>
          <w:szCs w:val="28"/>
        </w:rPr>
        <w:t>4.质疑人对采购人和代理机构的答复不满意或者采购人和代理机构未在规定的时间内做出书面答复的，可以在答复期满后十五个工作日内向鄂尔多斯市公共资源交易综合管理办公室法规与监察科进行投诉。投诉程序按照财政部《政府采购供应商投诉处理办法》及相关规定执行。</w:t>
      </w:r>
    </w:p>
    <w:p>
      <w:pPr>
        <w:spacing w:line="360" w:lineRule="auto"/>
        <w:ind w:firstLine="560" w:firstLineChars="200"/>
        <w:rPr>
          <w:rFonts w:ascii="宋体" w:hAnsi="宋体"/>
          <w:color w:val="000000"/>
          <w:szCs w:val="28"/>
        </w:rPr>
      </w:pPr>
      <w:r>
        <w:rPr>
          <w:rFonts w:hint="eastAsia" w:ascii="宋体" w:hAnsi="宋体"/>
          <w:color w:val="000000"/>
          <w:szCs w:val="28"/>
        </w:rPr>
        <w:t>5.有下列情况之一的质疑不予受理：</w:t>
      </w:r>
    </w:p>
    <w:p>
      <w:pPr>
        <w:spacing w:line="360" w:lineRule="auto"/>
        <w:ind w:firstLine="560" w:firstLineChars="200"/>
        <w:rPr>
          <w:rFonts w:ascii="宋体" w:hAnsi="宋体"/>
          <w:color w:val="000000"/>
          <w:szCs w:val="28"/>
        </w:rPr>
      </w:pPr>
      <w:r>
        <w:rPr>
          <w:rFonts w:hint="eastAsia" w:ascii="宋体" w:hAnsi="宋体"/>
          <w:color w:val="000000"/>
          <w:szCs w:val="28"/>
        </w:rPr>
        <w:t>（1）非投标人提出的质疑；</w:t>
      </w:r>
    </w:p>
    <w:p>
      <w:pPr>
        <w:spacing w:line="360" w:lineRule="auto"/>
        <w:ind w:firstLine="560" w:firstLineChars="200"/>
        <w:rPr>
          <w:rFonts w:ascii="宋体" w:hAnsi="宋体"/>
          <w:color w:val="000000"/>
          <w:szCs w:val="28"/>
        </w:rPr>
      </w:pPr>
      <w:r>
        <w:rPr>
          <w:rFonts w:hint="eastAsia" w:ascii="宋体" w:hAnsi="宋体"/>
          <w:color w:val="000000"/>
          <w:szCs w:val="28"/>
        </w:rPr>
        <w:t>（2）对中标结果没有实质性影响的质疑；</w:t>
      </w:r>
    </w:p>
    <w:p>
      <w:pPr>
        <w:spacing w:line="360" w:lineRule="auto"/>
        <w:ind w:firstLine="560" w:firstLineChars="200"/>
        <w:rPr>
          <w:rFonts w:ascii="宋体" w:hAnsi="宋体"/>
          <w:color w:val="000000"/>
          <w:szCs w:val="28"/>
        </w:rPr>
      </w:pPr>
      <w:r>
        <w:rPr>
          <w:rFonts w:hint="eastAsia" w:ascii="宋体" w:hAnsi="宋体"/>
          <w:color w:val="000000"/>
          <w:szCs w:val="28"/>
        </w:rPr>
        <w:t>（3）无质疑函件或质疑函件缺少投标人法人印章、投标人法定代表人</w:t>
      </w:r>
      <w:r>
        <w:rPr>
          <w:rFonts w:ascii="宋体" w:hAnsi="宋体"/>
          <w:color w:val="000000"/>
          <w:szCs w:val="28"/>
        </w:rPr>
        <w:t>签字</w:t>
      </w:r>
      <w:r>
        <w:rPr>
          <w:rFonts w:hint="eastAsia" w:ascii="宋体" w:hAnsi="宋体"/>
          <w:color w:val="000000"/>
          <w:szCs w:val="28"/>
        </w:rPr>
        <w:t>、有效授权书和联系方式之一的质疑；</w:t>
      </w:r>
    </w:p>
    <w:p>
      <w:pPr>
        <w:spacing w:line="360" w:lineRule="auto"/>
        <w:ind w:firstLine="560" w:firstLineChars="200"/>
        <w:rPr>
          <w:rFonts w:ascii="宋体" w:hAnsi="宋体"/>
          <w:color w:val="000000"/>
          <w:szCs w:val="28"/>
        </w:rPr>
      </w:pPr>
      <w:r>
        <w:rPr>
          <w:rFonts w:hint="eastAsia" w:ascii="宋体" w:hAnsi="宋体"/>
          <w:color w:val="000000"/>
          <w:szCs w:val="28"/>
        </w:rPr>
        <w:t>（4）相应证明材料不真实或来源不合法的质疑；</w:t>
      </w:r>
    </w:p>
    <w:p>
      <w:pPr>
        <w:spacing w:line="360" w:lineRule="auto"/>
        <w:ind w:firstLine="560" w:firstLineChars="200"/>
        <w:rPr>
          <w:rFonts w:ascii="宋体" w:hAnsi="宋体"/>
          <w:color w:val="000000"/>
          <w:szCs w:val="28"/>
        </w:rPr>
      </w:pPr>
      <w:r>
        <w:rPr>
          <w:rFonts w:hint="eastAsia" w:ascii="宋体" w:hAnsi="宋体"/>
          <w:color w:val="000000"/>
          <w:szCs w:val="28"/>
        </w:rPr>
        <w:t>（5）未按规定时间或超过期限提出的质疑。</w:t>
      </w:r>
    </w:p>
    <w:p>
      <w:pPr>
        <w:spacing w:line="360" w:lineRule="auto"/>
        <w:ind w:firstLine="560" w:firstLineChars="200"/>
        <w:rPr>
          <w:rFonts w:ascii="宋体" w:hAnsi="宋体"/>
          <w:color w:val="000000"/>
          <w:szCs w:val="28"/>
        </w:rPr>
      </w:pPr>
      <w:r>
        <w:rPr>
          <w:rFonts w:hint="eastAsia" w:ascii="宋体" w:hAnsi="宋体"/>
          <w:color w:val="000000"/>
          <w:szCs w:val="28"/>
        </w:rPr>
        <w:t>6.质疑</w:t>
      </w:r>
      <w:r>
        <w:rPr>
          <w:rFonts w:ascii="宋体" w:hAnsi="宋体"/>
          <w:color w:val="000000"/>
          <w:szCs w:val="28"/>
        </w:rPr>
        <w:t>应当有具体的</w:t>
      </w:r>
      <w:r>
        <w:rPr>
          <w:rFonts w:hint="eastAsia" w:ascii="宋体" w:hAnsi="宋体"/>
          <w:color w:val="000000"/>
          <w:szCs w:val="28"/>
        </w:rPr>
        <w:t>质疑</w:t>
      </w:r>
      <w:r>
        <w:rPr>
          <w:rFonts w:ascii="宋体" w:hAnsi="宋体"/>
          <w:color w:val="000000"/>
          <w:szCs w:val="28"/>
        </w:rPr>
        <w:t>事项及事实根据，不得进行虚假、恶意</w:t>
      </w:r>
      <w:r>
        <w:rPr>
          <w:rFonts w:hint="eastAsia" w:ascii="宋体" w:hAnsi="宋体"/>
          <w:color w:val="000000"/>
          <w:szCs w:val="28"/>
        </w:rPr>
        <w:t>质疑</w:t>
      </w:r>
      <w:r>
        <w:rPr>
          <w:rFonts w:ascii="宋体" w:hAnsi="宋体"/>
          <w:color w:val="000000"/>
          <w:szCs w:val="28"/>
        </w:rPr>
        <w:t>。</w:t>
      </w:r>
    </w:p>
    <w:p>
      <w:pPr>
        <w:pStyle w:val="3"/>
        <w:rPr>
          <w:rFonts w:ascii="宋体" w:hAnsi="宋体"/>
          <w:color w:val="000000"/>
        </w:rPr>
      </w:pPr>
      <w:bookmarkStart w:id="27" w:name="_Toc487792143"/>
      <w:bookmarkStart w:id="28" w:name="_Toc397088591"/>
      <w:r>
        <w:rPr>
          <w:rFonts w:hint="eastAsia" w:ascii="宋体" w:hAnsi="宋体"/>
          <w:color w:val="000000"/>
        </w:rPr>
        <w:t>九.投诉</w:t>
      </w:r>
      <w:bookmarkEnd w:id="27"/>
      <w:bookmarkEnd w:id="28"/>
    </w:p>
    <w:p>
      <w:pPr>
        <w:spacing w:line="360" w:lineRule="auto"/>
        <w:ind w:firstLine="560" w:firstLineChars="200"/>
        <w:rPr>
          <w:rFonts w:ascii="宋体" w:hAnsi="宋体"/>
          <w:szCs w:val="28"/>
        </w:rPr>
      </w:pPr>
      <w:r>
        <w:rPr>
          <w:rFonts w:hint="eastAsia" w:ascii="宋体" w:hAnsi="宋体"/>
          <w:szCs w:val="28"/>
        </w:rPr>
        <w:t>供应商提出质疑后，对招标采购单位答复不满意或者招标采购单位未在规定的时间内做出书面答复的，拥有向同级政府采购部门投诉的权利。投诉程序按照财政部《政府采购供应商投诉处理办法》及相关规定执行。</w:t>
      </w:r>
    </w:p>
    <w:p>
      <w:pPr>
        <w:pStyle w:val="3"/>
        <w:rPr>
          <w:rFonts w:ascii="宋体" w:hAnsi="宋体" w:eastAsia="宋体"/>
          <w:color w:val="000000"/>
        </w:rPr>
      </w:pPr>
      <w:bookmarkStart w:id="29" w:name="_Toc487792144"/>
      <w:r>
        <w:rPr>
          <w:rFonts w:hint="eastAsia" w:ascii="宋体" w:hAnsi="宋体" w:eastAsia="宋体"/>
          <w:color w:val="000000"/>
        </w:rPr>
        <w:t>十.签订合同</w:t>
      </w:r>
      <w:bookmarkEnd w:id="26"/>
      <w:r>
        <w:rPr>
          <w:rFonts w:hint="eastAsia" w:ascii="宋体" w:hAnsi="宋体" w:eastAsia="宋体"/>
          <w:color w:val="000000"/>
        </w:rPr>
        <w:t>与验收</w:t>
      </w:r>
      <w:bookmarkEnd w:id="29"/>
    </w:p>
    <w:p>
      <w:pPr>
        <w:adjustRightInd w:val="0"/>
        <w:snapToGrid w:val="0"/>
        <w:spacing w:line="360" w:lineRule="auto"/>
        <w:ind w:firstLine="551" w:firstLineChars="196"/>
        <w:rPr>
          <w:rFonts w:ascii="宋体" w:hAnsi="宋体"/>
          <w:b/>
          <w:color w:val="000000"/>
          <w:kern w:val="0"/>
          <w:szCs w:val="28"/>
        </w:rPr>
      </w:pPr>
      <w:bookmarkStart w:id="30" w:name="_Toc253045126"/>
      <w:r>
        <w:rPr>
          <w:rFonts w:hint="eastAsia" w:ascii="宋体" w:hAnsi="宋体"/>
          <w:b/>
          <w:color w:val="000000"/>
          <w:kern w:val="0"/>
          <w:szCs w:val="28"/>
        </w:rPr>
        <w:t>（一）合同的签订</w:t>
      </w:r>
    </w:p>
    <w:p>
      <w:pPr>
        <w:adjustRightInd w:val="0"/>
        <w:snapToGrid w:val="0"/>
        <w:spacing w:line="360" w:lineRule="auto"/>
        <w:ind w:firstLine="560" w:firstLineChars="200"/>
        <w:rPr>
          <w:rFonts w:ascii="宋体" w:hAnsi="宋体"/>
          <w:color w:val="000000"/>
          <w:szCs w:val="28"/>
        </w:rPr>
      </w:pPr>
      <w:r>
        <w:rPr>
          <w:rFonts w:hint="eastAsia" w:ascii="宋体" w:hAnsi="宋体"/>
          <w:color w:val="000000"/>
          <w:szCs w:val="28"/>
        </w:rPr>
        <w:t>1.采购人应当自中标通知书发出之日起30日内，按照招标文件和中标人投标文件的约定，与中标人签订书面合同。所签订合同不得对招标文件和中标人投标文件作实质性修改。</w:t>
      </w:r>
      <w:r>
        <w:rPr>
          <w:rFonts w:hint="eastAsia" w:ascii="宋体" w:hAnsi="宋体" w:cs="宋体"/>
          <w:color w:val="000000"/>
          <w:szCs w:val="28"/>
        </w:rPr>
        <w:t>采购人与中标人</w:t>
      </w:r>
      <w:r>
        <w:rPr>
          <w:rFonts w:hint="eastAsia" w:ascii="宋体" w:hAnsi="宋体"/>
          <w:color w:val="000000"/>
          <w:szCs w:val="28"/>
        </w:rPr>
        <w:t>不得再行订立背离合同实质性内容的其他协议</w:t>
      </w:r>
      <w:r>
        <w:rPr>
          <w:rFonts w:hint="eastAsia" w:ascii="宋体" w:hAnsi="宋体" w:cs="宋体"/>
          <w:color w:val="000000"/>
          <w:szCs w:val="28"/>
        </w:rPr>
        <w:t>。</w:t>
      </w:r>
    </w:p>
    <w:p>
      <w:pPr>
        <w:spacing w:line="360" w:lineRule="auto"/>
        <w:ind w:firstLine="570"/>
        <w:rPr>
          <w:rFonts w:ascii="宋体" w:hAnsi="宋体" w:cs="宋体"/>
          <w:color w:val="000000"/>
          <w:szCs w:val="28"/>
        </w:rPr>
      </w:pPr>
      <w:r>
        <w:rPr>
          <w:rFonts w:hint="eastAsia" w:ascii="宋体" w:hAnsi="宋体" w:cs="宋体"/>
          <w:color w:val="000000"/>
          <w:szCs w:val="28"/>
        </w:rPr>
        <w:t>2.招标文件、投标文件、中标结果公告和书面承诺均作为政府采购合同的组成部分，且具有法律效力。中标人应严格履行政府采购合同规定的各项义务和责任，否则将依法处理。</w:t>
      </w:r>
    </w:p>
    <w:p>
      <w:pPr>
        <w:spacing w:line="360" w:lineRule="auto"/>
        <w:ind w:firstLine="562" w:firstLineChars="200"/>
        <w:rPr>
          <w:rFonts w:ascii="宋体" w:hAnsi="宋体"/>
          <w:b/>
          <w:color w:val="000000"/>
          <w:szCs w:val="28"/>
        </w:rPr>
      </w:pPr>
      <w:r>
        <w:rPr>
          <w:rFonts w:hint="eastAsia" w:ascii="宋体" w:hAnsi="宋体" w:cs="宋体"/>
          <w:b/>
          <w:color w:val="000000"/>
          <w:szCs w:val="28"/>
        </w:rPr>
        <w:t>（二）履约验收</w:t>
      </w:r>
    </w:p>
    <w:p>
      <w:pPr>
        <w:spacing w:line="360" w:lineRule="auto"/>
        <w:rPr>
          <w:rFonts w:ascii="宋体" w:hAnsi="宋体" w:cs="宋体"/>
          <w:color w:val="000000"/>
          <w:szCs w:val="28"/>
        </w:rPr>
      </w:pPr>
      <w:r>
        <w:rPr>
          <w:rFonts w:hint="eastAsia" w:ascii="宋体" w:hAnsi="宋体" w:cs="宋体"/>
          <w:color w:val="000000"/>
          <w:szCs w:val="28"/>
        </w:rPr>
        <w:t xml:space="preserve">    中标人在供货、工程竣工或服务结束后，采购单位应及时组织验收，并填写验收单。采购人依据合同规定及时支付中标人的货款，采购人在合同期内按合同要求对中标人的履约情况进行监督、检查。</w:t>
      </w:r>
    </w:p>
    <w:p>
      <w:pPr>
        <w:spacing w:line="360" w:lineRule="auto"/>
        <w:rPr>
          <w:color w:val="000000"/>
        </w:rPr>
      </w:pPr>
    </w:p>
    <w:p>
      <w:pPr>
        <w:spacing w:line="360" w:lineRule="auto"/>
        <w:rPr>
          <w:color w:val="000000"/>
        </w:rPr>
      </w:pPr>
    </w:p>
    <w:p>
      <w:pPr>
        <w:spacing w:line="360" w:lineRule="auto"/>
        <w:rPr>
          <w:color w:val="000000"/>
        </w:rPr>
      </w:pPr>
    </w:p>
    <w:p>
      <w:pPr>
        <w:spacing w:line="360" w:lineRule="auto"/>
        <w:rPr>
          <w:color w:val="000000"/>
        </w:rPr>
      </w:pPr>
    </w:p>
    <w:p>
      <w:pPr>
        <w:spacing w:line="360" w:lineRule="auto"/>
        <w:rPr>
          <w:color w:val="000000"/>
        </w:rPr>
      </w:pPr>
    </w:p>
    <w:p>
      <w:pPr>
        <w:spacing w:line="360" w:lineRule="auto"/>
        <w:rPr>
          <w:color w:val="000000"/>
        </w:rPr>
      </w:pPr>
    </w:p>
    <w:p>
      <w:pPr>
        <w:spacing w:line="360" w:lineRule="auto"/>
        <w:rPr>
          <w:color w:val="000000"/>
        </w:rPr>
      </w:pPr>
    </w:p>
    <w:p>
      <w:pPr>
        <w:spacing w:line="360" w:lineRule="auto"/>
        <w:rPr>
          <w:color w:val="000000"/>
        </w:rPr>
      </w:pPr>
    </w:p>
    <w:p>
      <w:pPr>
        <w:spacing w:line="360" w:lineRule="auto"/>
        <w:rPr>
          <w:color w:val="000000"/>
        </w:rPr>
      </w:pPr>
    </w:p>
    <w:p>
      <w:pPr>
        <w:spacing w:line="360" w:lineRule="auto"/>
        <w:rPr>
          <w:color w:val="000000"/>
        </w:rPr>
      </w:pPr>
    </w:p>
    <w:p>
      <w:pPr>
        <w:spacing w:line="360" w:lineRule="auto"/>
        <w:rPr>
          <w:color w:val="000000"/>
        </w:rPr>
      </w:pPr>
    </w:p>
    <w:p>
      <w:pPr>
        <w:spacing w:line="360" w:lineRule="auto"/>
        <w:rPr>
          <w:color w:val="000000"/>
        </w:rPr>
      </w:pPr>
    </w:p>
    <w:p>
      <w:pPr>
        <w:spacing w:line="360" w:lineRule="auto"/>
        <w:rPr>
          <w:color w:val="000000"/>
        </w:rPr>
      </w:pPr>
    </w:p>
    <w:p>
      <w:pPr>
        <w:spacing w:line="360" w:lineRule="auto"/>
        <w:rPr>
          <w:color w:val="000000"/>
        </w:rPr>
      </w:pPr>
    </w:p>
    <w:p>
      <w:pPr>
        <w:spacing w:line="360" w:lineRule="auto"/>
        <w:rPr>
          <w:color w:val="000000"/>
        </w:rPr>
      </w:pPr>
    </w:p>
    <w:p>
      <w:pPr>
        <w:spacing w:line="360" w:lineRule="auto"/>
        <w:rPr>
          <w:color w:val="000000"/>
        </w:rPr>
      </w:pPr>
    </w:p>
    <w:p>
      <w:pPr>
        <w:spacing w:line="360" w:lineRule="auto"/>
        <w:rPr>
          <w:color w:val="000000"/>
        </w:rPr>
      </w:pPr>
    </w:p>
    <w:p>
      <w:pPr>
        <w:spacing w:line="360" w:lineRule="auto"/>
        <w:rPr>
          <w:color w:val="000000"/>
        </w:rPr>
      </w:pPr>
    </w:p>
    <w:p>
      <w:pPr>
        <w:spacing w:line="360" w:lineRule="auto"/>
        <w:rPr>
          <w:color w:val="000000"/>
        </w:rPr>
      </w:pPr>
    </w:p>
    <w:p>
      <w:pPr>
        <w:spacing w:line="360" w:lineRule="auto"/>
        <w:rPr>
          <w:color w:val="000000"/>
        </w:rPr>
      </w:pPr>
    </w:p>
    <w:p>
      <w:pPr>
        <w:spacing w:line="360" w:lineRule="auto"/>
        <w:rPr>
          <w:color w:val="000000"/>
        </w:rPr>
      </w:pPr>
    </w:p>
    <w:bookmarkEnd w:id="30"/>
    <w:p>
      <w:pPr>
        <w:pStyle w:val="2"/>
        <w:spacing w:after="0"/>
        <w:rPr>
          <w:color w:val="000000"/>
        </w:rPr>
      </w:pPr>
      <w:bookmarkStart w:id="31" w:name="_Toc397088593"/>
      <w:bookmarkStart w:id="32" w:name="_Toc487792145"/>
      <w:r>
        <w:rPr>
          <w:rFonts w:hint="eastAsia"/>
          <w:color w:val="000000"/>
        </w:rPr>
        <w:t>第三章 商务须知（合同条款）</w:t>
      </w:r>
      <w:bookmarkEnd w:id="31"/>
      <w:bookmarkEnd w:id="32"/>
    </w:p>
    <w:p>
      <w:pPr>
        <w:pStyle w:val="3"/>
        <w:spacing w:line="360" w:lineRule="auto"/>
        <w:rPr>
          <w:rFonts w:ascii="宋体" w:hAnsi="宋体" w:eastAsia="宋体"/>
          <w:color w:val="000000"/>
        </w:rPr>
      </w:pPr>
      <w:bookmarkStart w:id="33" w:name="_Toc397088594"/>
      <w:bookmarkStart w:id="34" w:name="_Toc487792146"/>
      <w:r>
        <w:rPr>
          <w:rFonts w:hint="eastAsia" w:ascii="宋体" w:hAnsi="宋体" w:eastAsia="宋体"/>
          <w:color w:val="000000"/>
        </w:rPr>
        <w:t>一.通用条款</w:t>
      </w:r>
      <w:bookmarkEnd w:id="33"/>
      <w:bookmarkEnd w:id="34"/>
    </w:p>
    <w:p>
      <w:pPr>
        <w:spacing w:after="120" w:line="360" w:lineRule="auto"/>
        <w:ind w:firstLine="560" w:firstLineChars="200"/>
        <w:rPr>
          <w:rFonts w:ascii="宋体" w:hAnsi="宋体"/>
          <w:szCs w:val="28"/>
        </w:rPr>
      </w:pPr>
      <w:bookmarkStart w:id="35" w:name="_Toc246996255"/>
      <w:bookmarkStart w:id="36" w:name="_Toc247085770"/>
      <w:bookmarkStart w:id="37" w:name="_Toc296602500"/>
      <w:bookmarkStart w:id="38" w:name="_Toc246996998"/>
      <w:bookmarkStart w:id="39" w:name="_Toc266431157"/>
      <w:r>
        <w:rPr>
          <w:rFonts w:hint="eastAsia" w:ascii="宋体" w:hAnsi="宋体"/>
          <w:szCs w:val="28"/>
        </w:rPr>
        <w:t>（一）定义</w:t>
      </w:r>
      <w:bookmarkEnd w:id="35"/>
      <w:bookmarkEnd w:id="36"/>
      <w:bookmarkEnd w:id="37"/>
      <w:bookmarkEnd w:id="38"/>
    </w:p>
    <w:p>
      <w:pPr>
        <w:spacing w:after="120" w:line="360" w:lineRule="auto"/>
        <w:ind w:firstLine="560" w:firstLineChars="200"/>
        <w:rPr>
          <w:rFonts w:ascii="宋体" w:hAnsi="宋体"/>
          <w:szCs w:val="28"/>
        </w:rPr>
      </w:pPr>
      <w:r>
        <w:rPr>
          <w:rFonts w:hint="eastAsia" w:ascii="宋体" w:hAnsi="宋体"/>
          <w:szCs w:val="28"/>
        </w:rPr>
        <w:t>通用合同条款、专用合同条款中的下列词语应具有本款所赋予的含义。</w:t>
      </w:r>
    </w:p>
    <w:p>
      <w:pPr>
        <w:spacing w:after="120" w:line="360" w:lineRule="auto"/>
        <w:ind w:firstLine="560" w:firstLineChars="200"/>
        <w:rPr>
          <w:rFonts w:ascii="宋体" w:hAnsi="宋体"/>
          <w:szCs w:val="28"/>
        </w:rPr>
      </w:pPr>
      <w:r>
        <w:rPr>
          <w:rFonts w:hint="eastAsia" w:ascii="宋体" w:hAnsi="宋体"/>
          <w:szCs w:val="28"/>
        </w:rPr>
        <w:t>1.合同</w:t>
      </w:r>
    </w:p>
    <w:p>
      <w:pPr>
        <w:spacing w:after="120" w:line="360" w:lineRule="auto"/>
        <w:ind w:firstLine="560" w:firstLineChars="200"/>
        <w:rPr>
          <w:rFonts w:ascii="宋体" w:hAnsi="宋体"/>
          <w:szCs w:val="28"/>
        </w:rPr>
      </w:pPr>
      <w:r>
        <w:rPr>
          <w:rFonts w:hint="eastAsia" w:ascii="宋体" w:hAnsi="宋体"/>
          <w:szCs w:val="28"/>
        </w:rPr>
        <w:t>（1）合同文件（或称合同）：指合同协议书、中标通知书、投标函、专用合同条款、通用合同条款、技术标准和要求、图纸、已标价工程量清单，以及其他合同文件。</w:t>
      </w:r>
    </w:p>
    <w:p>
      <w:pPr>
        <w:spacing w:after="120" w:line="360" w:lineRule="auto"/>
        <w:ind w:firstLine="560" w:firstLineChars="200"/>
        <w:rPr>
          <w:rFonts w:ascii="宋体" w:hAnsi="宋体"/>
          <w:szCs w:val="28"/>
        </w:rPr>
      </w:pPr>
      <w:r>
        <w:rPr>
          <w:rFonts w:hint="eastAsia" w:ascii="宋体" w:hAnsi="宋体"/>
          <w:szCs w:val="28"/>
        </w:rPr>
        <w:t>（2）合同协议书：承包人按中标通知书规定的时间与发包人签订合同协议书。除法律另有规定或合同另有约定外，发包人和承包人的法定代表人或其委托代理人在合同协议书上签字并盖单位章后，经采购人确认后，合同生效。</w:t>
      </w:r>
    </w:p>
    <w:p>
      <w:pPr>
        <w:spacing w:after="120" w:line="360" w:lineRule="auto"/>
        <w:ind w:firstLine="560" w:firstLineChars="200"/>
        <w:rPr>
          <w:rFonts w:ascii="宋体" w:hAnsi="宋体"/>
          <w:szCs w:val="28"/>
        </w:rPr>
      </w:pPr>
      <w:r>
        <w:rPr>
          <w:rFonts w:hint="eastAsia" w:ascii="宋体" w:hAnsi="宋体"/>
          <w:szCs w:val="28"/>
        </w:rPr>
        <w:t>（3）中标通知书：指发包人通知承包人中标的函件。中标通知书随附的澄清、说明、补正事项纪要等，是中标通知书的组成部分。</w:t>
      </w:r>
    </w:p>
    <w:p>
      <w:pPr>
        <w:spacing w:after="120" w:line="360" w:lineRule="auto"/>
        <w:ind w:firstLine="560" w:firstLineChars="200"/>
        <w:rPr>
          <w:rFonts w:ascii="宋体" w:hAnsi="宋体"/>
          <w:szCs w:val="28"/>
        </w:rPr>
      </w:pPr>
      <w:r>
        <w:rPr>
          <w:rFonts w:hint="eastAsia" w:ascii="宋体" w:hAnsi="宋体"/>
          <w:szCs w:val="28"/>
        </w:rPr>
        <w:t>（4）投标函：指构成合同文件组成部分的由承包人填写并签署的投标函。</w:t>
      </w:r>
    </w:p>
    <w:p>
      <w:pPr>
        <w:spacing w:after="120" w:line="360" w:lineRule="auto"/>
        <w:ind w:firstLine="560" w:firstLineChars="200"/>
        <w:rPr>
          <w:rFonts w:ascii="宋体" w:hAnsi="宋体"/>
          <w:szCs w:val="28"/>
        </w:rPr>
      </w:pPr>
      <w:r>
        <w:rPr>
          <w:rFonts w:hint="eastAsia" w:ascii="宋体" w:hAnsi="宋体"/>
          <w:szCs w:val="28"/>
        </w:rPr>
        <w:t>（5）技术标准和要求：指构成合同文件组成部分的名为技术标准和要求的文件，以及合同双方当事人约定对其所作的修改或补充。</w:t>
      </w:r>
    </w:p>
    <w:p>
      <w:pPr>
        <w:spacing w:after="120" w:line="360" w:lineRule="auto"/>
        <w:ind w:firstLine="560" w:firstLineChars="200"/>
        <w:rPr>
          <w:rFonts w:ascii="宋体" w:hAnsi="宋体"/>
          <w:szCs w:val="28"/>
        </w:rPr>
      </w:pPr>
      <w:r>
        <w:rPr>
          <w:rFonts w:hint="eastAsia" w:ascii="宋体" w:hAnsi="宋体"/>
          <w:szCs w:val="28"/>
        </w:rPr>
        <w:t>（6）图纸：指包含在合同中的工程图纸，以及由发包人按合同约定提供的任何补充和修改的图纸，包括配套的说明。</w:t>
      </w:r>
    </w:p>
    <w:p>
      <w:pPr>
        <w:spacing w:after="120" w:line="360" w:lineRule="auto"/>
        <w:ind w:firstLine="560" w:firstLineChars="200"/>
        <w:rPr>
          <w:rFonts w:ascii="宋体" w:hAnsi="宋体"/>
          <w:szCs w:val="28"/>
        </w:rPr>
      </w:pPr>
      <w:r>
        <w:rPr>
          <w:rFonts w:hint="eastAsia" w:ascii="宋体" w:hAnsi="宋体"/>
          <w:szCs w:val="28"/>
        </w:rPr>
        <w:t>（7）已标价工程量清单：指构成合同文件组成部分的由承包人按照规定的格式和要求填写并标明价格的工程量清单。</w:t>
      </w:r>
    </w:p>
    <w:p>
      <w:pPr>
        <w:spacing w:after="120" w:line="360" w:lineRule="auto"/>
        <w:ind w:firstLine="560" w:firstLineChars="200"/>
        <w:rPr>
          <w:rFonts w:ascii="宋体" w:hAnsi="宋体"/>
          <w:szCs w:val="28"/>
        </w:rPr>
      </w:pPr>
      <w:r>
        <w:rPr>
          <w:rFonts w:hint="eastAsia" w:ascii="宋体" w:hAnsi="宋体"/>
          <w:szCs w:val="28"/>
        </w:rPr>
        <w:t>（8）其他合同文件：指经合同双方当事人确认构成合同文件的其他文件。</w:t>
      </w:r>
    </w:p>
    <w:p>
      <w:pPr>
        <w:spacing w:after="120" w:line="360" w:lineRule="auto"/>
        <w:ind w:firstLine="560" w:firstLineChars="200"/>
        <w:rPr>
          <w:rFonts w:ascii="宋体" w:hAnsi="宋体"/>
          <w:szCs w:val="28"/>
        </w:rPr>
      </w:pPr>
      <w:r>
        <w:rPr>
          <w:rFonts w:hint="eastAsia" w:ascii="宋体" w:hAnsi="宋体"/>
          <w:szCs w:val="28"/>
        </w:rPr>
        <w:t>2.合同当事人</w:t>
      </w:r>
    </w:p>
    <w:p>
      <w:pPr>
        <w:spacing w:after="120" w:line="360" w:lineRule="auto"/>
        <w:ind w:firstLine="560" w:firstLineChars="200"/>
        <w:rPr>
          <w:rFonts w:ascii="宋体" w:hAnsi="宋体"/>
          <w:szCs w:val="28"/>
        </w:rPr>
      </w:pPr>
      <w:r>
        <w:rPr>
          <w:rFonts w:hint="eastAsia" w:ascii="宋体" w:hAnsi="宋体"/>
          <w:szCs w:val="28"/>
        </w:rPr>
        <w:t>（1）合同当事人：指发包人和（或）承包人。</w:t>
      </w:r>
    </w:p>
    <w:p>
      <w:pPr>
        <w:spacing w:after="120" w:line="360" w:lineRule="auto"/>
        <w:ind w:firstLine="560" w:firstLineChars="200"/>
        <w:rPr>
          <w:rFonts w:ascii="宋体" w:hAnsi="宋体"/>
          <w:szCs w:val="28"/>
        </w:rPr>
      </w:pPr>
      <w:r>
        <w:rPr>
          <w:rFonts w:hint="eastAsia" w:ascii="宋体" w:hAnsi="宋体"/>
          <w:szCs w:val="28"/>
        </w:rPr>
        <w:t xml:space="preserve">（2）发包人：指专用合同条款中指明并与承包人在合同协议书中签字的当事人。 </w:t>
      </w:r>
    </w:p>
    <w:p>
      <w:pPr>
        <w:spacing w:after="120" w:line="360" w:lineRule="auto"/>
        <w:ind w:firstLine="560" w:firstLineChars="200"/>
        <w:rPr>
          <w:rFonts w:ascii="宋体" w:hAnsi="宋体"/>
          <w:szCs w:val="28"/>
        </w:rPr>
      </w:pPr>
      <w:r>
        <w:rPr>
          <w:rFonts w:hint="eastAsia" w:ascii="宋体" w:hAnsi="宋体"/>
          <w:szCs w:val="28"/>
        </w:rPr>
        <w:t>（3）承包人：指与发包人签订合同协议书的当事人。</w:t>
      </w:r>
    </w:p>
    <w:p>
      <w:pPr>
        <w:spacing w:after="120" w:line="360" w:lineRule="auto"/>
        <w:ind w:firstLine="560" w:firstLineChars="200"/>
        <w:rPr>
          <w:rFonts w:ascii="宋体" w:hAnsi="宋体"/>
          <w:szCs w:val="28"/>
        </w:rPr>
      </w:pPr>
      <w:r>
        <w:rPr>
          <w:rFonts w:hint="eastAsia" w:ascii="宋体" w:hAnsi="宋体"/>
          <w:szCs w:val="28"/>
        </w:rPr>
        <w:t>（4）承包人项目经理：指承包人派驻施工场地的全权负责人。</w:t>
      </w:r>
    </w:p>
    <w:p>
      <w:pPr>
        <w:spacing w:after="120" w:line="360" w:lineRule="auto"/>
        <w:ind w:firstLine="560" w:firstLineChars="200"/>
        <w:rPr>
          <w:rFonts w:ascii="宋体" w:hAnsi="宋体"/>
          <w:szCs w:val="28"/>
        </w:rPr>
      </w:pPr>
      <w:r>
        <w:rPr>
          <w:rFonts w:hint="eastAsia" w:ascii="宋体" w:hAnsi="宋体"/>
          <w:szCs w:val="28"/>
        </w:rPr>
        <w:t>（5）监理人：指在专用合同条款中指明的，受发包人委托对合同履行实施管理的法人或其他组织。属于国家强制监理的，监理人应当具有相应的监理资质。</w:t>
      </w:r>
    </w:p>
    <w:p>
      <w:pPr>
        <w:spacing w:after="120" w:line="360" w:lineRule="auto"/>
        <w:ind w:firstLine="560" w:firstLineChars="200"/>
        <w:rPr>
          <w:rFonts w:ascii="宋体" w:hAnsi="宋体"/>
          <w:szCs w:val="28"/>
        </w:rPr>
      </w:pPr>
      <w:r>
        <w:rPr>
          <w:rFonts w:hint="eastAsia" w:ascii="宋体" w:hAnsi="宋体"/>
          <w:szCs w:val="28"/>
        </w:rPr>
        <w:t>（6）总监理工程师（总监）：指由监理人委派常驻施工场地对合同履行实施管理的全权负责人。</w:t>
      </w:r>
    </w:p>
    <w:p>
      <w:pPr>
        <w:spacing w:after="120" w:line="360" w:lineRule="auto"/>
        <w:ind w:firstLine="560" w:firstLineChars="200"/>
        <w:rPr>
          <w:rFonts w:ascii="宋体" w:hAnsi="宋体"/>
          <w:szCs w:val="28"/>
        </w:rPr>
      </w:pPr>
      <w:r>
        <w:rPr>
          <w:rFonts w:hint="eastAsia" w:ascii="宋体" w:hAnsi="宋体"/>
          <w:szCs w:val="28"/>
        </w:rPr>
        <w:t>3.工程和设备</w:t>
      </w:r>
    </w:p>
    <w:p>
      <w:pPr>
        <w:spacing w:after="120" w:line="360" w:lineRule="auto"/>
        <w:ind w:firstLine="560" w:firstLineChars="200"/>
        <w:rPr>
          <w:rFonts w:ascii="宋体" w:hAnsi="宋体"/>
          <w:szCs w:val="28"/>
        </w:rPr>
      </w:pPr>
      <w:r>
        <w:rPr>
          <w:rFonts w:hint="eastAsia" w:ascii="宋体" w:hAnsi="宋体"/>
          <w:szCs w:val="28"/>
        </w:rPr>
        <w:t>（1）工程：指永久工程和（或）临时工程。</w:t>
      </w:r>
    </w:p>
    <w:p>
      <w:pPr>
        <w:spacing w:after="120" w:line="360" w:lineRule="auto"/>
        <w:ind w:firstLine="560" w:firstLineChars="200"/>
        <w:rPr>
          <w:rFonts w:ascii="宋体" w:hAnsi="宋体"/>
          <w:szCs w:val="28"/>
        </w:rPr>
      </w:pPr>
      <w:r>
        <w:rPr>
          <w:rFonts w:hint="eastAsia" w:ascii="宋体" w:hAnsi="宋体"/>
          <w:szCs w:val="28"/>
        </w:rPr>
        <w:t>（2）工程设备：指构成或计划构成永久工程一部分的机电设备、仪器装置、运载工具及其他类似的设备和装置。</w:t>
      </w:r>
    </w:p>
    <w:p>
      <w:pPr>
        <w:spacing w:after="120" w:line="360" w:lineRule="auto"/>
        <w:ind w:firstLine="560" w:firstLineChars="200"/>
        <w:rPr>
          <w:rFonts w:ascii="宋体" w:hAnsi="宋体"/>
          <w:szCs w:val="28"/>
        </w:rPr>
      </w:pPr>
      <w:r>
        <w:rPr>
          <w:rFonts w:hint="eastAsia" w:ascii="宋体" w:hAnsi="宋体"/>
          <w:szCs w:val="28"/>
        </w:rPr>
        <w:t>（3）施工场地（或称工地、现场）：指用于合同工程施工的场所，以及在合同中指定作为施工场地组成部分的其他场所，包括永久占地和临时占地。</w:t>
      </w:r>
    </w:p>
    <w:p>
      <w:pPr>
        <w:spacing w:after="120" w:line="360" w:lineRule="auto"/>
        <w:ind w:firstLine="560" w:firstLineChars="200"/>
        <w:rPr>
          <w:rFonts w:ascii="宋体" w:hAnsi="宋体"/>
          <w:szCs w:val="28"/>
        </w:rPr>
      </w:pPr>
      <w:r>
        <w:rPr>
          <w:rFonts w:hint="eastAsia" w:ascii="宋体" w:hAnsi="宋体"/>
          <w:szCs w:val="28"/>
        </w:rPr>
        <w:t>4.日期</w:t>
      </w:r>
    </w:p>
    <w:p>
      <w:pPr>
        <w:spacing w:after="120" w:line="360" w:lineRule="auto"/>
        <w:ind w:firstLine="560" w:firstLineChars="200"/>
        <w:rPr>
          <w:rFonts w:ascii="宋体" w:hAnsi="宋体"/>
          <w:szCs w:val="28"/>
        </w:rPr>
      </w:pPr>
      <w:r>
        <w:rPr>
          <w:rFonts w:hint="eastAsia" w:ascii="宋体" w:hAnsi="宋体"/>
          <w:szCs w:val="28"/>
        </w:rPr>
        <w:t>（1）开工通知：指监理人按工程实施通知承包人开工的函件。</w:t>
      </w:r>
    </w:p>
    <w:p>
      <w:pPr>
        <w:spacing w:after="120" w:line="360" w:lineRule="auto"/>
        <w:ind w:firstLine="560" w:firstLineChars="200"/>
        <w:rPr>
          <w:rFonts w:ascii="宋体" w:hAnsi="宋体"/>
          <w:szCs w:val="28"/>
        </w:rPr>
      </w:pPr>
      <w:r>
        <w:rPr>
          <w:rFonts w:hint="eastAsia" w:ascii="宋体" w:hAnsi="宋体"/>
          <w:szCs w:val="28"/>
        </w:rPr>
        <w:t>（2）开工日期：指监理人按工程实施发出的开工通知中写明的开工日期。</w:t>
      </w:r>
    </w:p>
    <w:p>
      <w:pPr>
        <w:spacing w:after="120" w:line="360" w:lineRule="auto"/>
        <w:ind w:firstLine="560" w:firstLineChars="200"/>
        <w:rPr>
          <w:rFonts w:ascii="宋体" w:hAnsi="宋体"/>
          <w:szCs w:val="28"/>
        </w:rPr>
      </w:pPr>
      <w:r>
        <w:rPr>
          <w:rFonts w:hint="eastAsia" w:ascii="宋体" w:hAnsi="宋体"/>
          <w:szCs w:val="28"/>
        </w:rPr>
        <w:t>（3）工期：指承包人在投标函中承诺的完成合同工程所需的期限，包括按发包人引起的工期延误和异常恶劣的气候条件约定所作的变更。</w:t>
      </w:r>
    </w:p>
    <w:p>
      <w:pPr>
        <w:spacing w:after="120" w:line="360" w:lineRule="auto"/>
        <w:ind w:firstLine="560" w:firstLineChars="200"/>
        <w:rPr>
          <w:rFonts w:ascii="宋体" w:hAnsi="宋体"/>
          <w:szCs w:val="28"/>
        </w:rPr>
      </w:pPr>
      <w:r>
        <w:rPr>
          <w:rFonts w:hint="eastAsia" w:ascii="宋体" w:hAnsi="宋体"/>
          <w:szCs w:val="28"/>
        </w:rPr>
        <w:t>（4）竣工日期：指承包人在投标函中承诺的完成合同工程所需的工期届满时的日期，包括约定所作的变更等。实际竣工日期以工程接收证书中写明的日期为准。</w:t>
      </w:r>
    </w:p>
    <w:p>
      <w:pPr>
        <w:spacing w:after="120" w:line="360" w:lineRule="auto"/>
        <w:ind w:firstLine="560" w:firstLineChars="200"/>
        <w:rPr>
          <w:rFonts w:ascii="宋体" w:hAnsi="宋体"/>
          <w:szCs w:val="28"/>
        </w:rPr>
      </w:pPr>
      <w:r>
        <w:rPr>
          <w:rFonts w:hint="eastAsia" w:ascii="宋体" w:hAnsi="宋体"/>
          <w:szCs w:val="28"/>
        </w:rPr>
        <w:t>（5）缺陷责任期：指履行后款缺陷责任约定的缺陷责任的期限，具体期限由专用合同条款约定。</w:t>
      </w:r>
    </w:p>
    <w:p>
      <w:pPr>
        <w:spacing w:after="120" w:line="360" w:lineRule="auto"/>
        <w:ind w:firstLine="560" w:firstLineChars="200"/>
        <w:rPr>
          <w:rFonts w:ascii="宋体" w:hAnsi="宋体"/>
          <w:szCs w:val="28"/>
        </w:rPr>
      </w:pPr>
      <w:r>
        <w:rPr>
          <w:rFonts w:hint="eastAsia" w:ascii="宋体" w:hAnsi="宋体"/>
          <w:szCs w:val="28"/>
        </w:rPr>
        <w:t>（6）天：除特别指明外，指日历天。合同中按天计算时间的，开始当天不计入，从次日开始计算。期限最后一天的截止时间为当天24:00。</w:t>
      </w:r>
    </w:p>
    <w:p>
      <w:pPr>
        <w:spacing w:after="120" w:line="360" w:lineRule="auto"/>
        <w:ind w:firstLine="560" w:firstLineChars="200"/>
        <w:rPr>
          <w:rFonts w:ascii="宋体" w:hAnsi="宋体"/>
          <w:szCs w:val="28"/>
        </w:rPr>
      </w:pPr>
      <w:r>
        <w:rPr>
          <w:rFonts w:hint="eastAsia" w:ascii="宋体" w:hAnsi="宋体"/>
          <w:szCs w:val="28"/>
        </w:rPr>
        <w:t>5.合同价格和费用</w:t>
      </w:r>
    </w:p>
    <w:p>
      <w:pPr>
        <w:spacing w:after="120" w:line="360" w:lineRule="auto"/>
        <w:ind w:firstLine="560" w:firstLineChars="200"/>
        <w:rPr>
          <w:rFonts w:ascii="宋体" w:hAnsi="宋体"/>
          <w:szCs w:val="28"/>
        </w:rPr>
      </w:pPr>
      <w:r>
        <w:rPr>
          <w:rFonts w:hint="eastAsia" w:ascii="宋体" w:hAnsi="宋体"/>
          <w:szCs w:val="28"/>
        </w:rPr>
        <w:t>（1）签约合同价：指签定合同时合同协议书中写明的，包括了暂列金额的合同总金额。</w:t>
      </w:r>
    </w:p>
    <w:p>
      <w:pPr>
        <w:spacing w:after="120" w:line="360" w:lineRule="auto"/>
        <w:ind w:firstLine="560" w:firstLineChars="200"/>
        <w:rPr>
          <w:rFonts w:ascii="宋体" w:hAnsi="宋体"/>
          <w:szCs w:val="28"/>
        </w:rPr>
      </w:pPr>
      <w:r>
        <w:rPr>
          <w:rFonts w:hint="eastAsia" w:ascii="宋体" w:hAnsi="宋体"/>
          <w:szCs w:val="28"/>
        </w:rPr>
        <w:t>（2）合同价格：指承包人按合同约定完成了包括缺陷责任期内的全部承包工作后，发包人应付给承包人的金额，包括在履行合同过程中按合同约定进行的变更和调整。</w:t>
      </w:r>
    </w:p>
    <w:p>
      <w:pPr>
        <w:spacing w:after="120" w:line="360" w:lineRule="auto"/>
        <w:ind w:firstLine="560" w:firstLineChars="200"/>
        <w:rPr>
          <w:rFonts w:ascii="宋体" w:hAnsi="宋体"/>
          <w:szCs w:val="28"/>
        </w:rPr>
      </w:pPr>
      <w:r>
        <w:rPr>
          <w:rFonts w:hint="eastAsia" w:ascii="宋体" w:hAnsi="宋体"/>
          <w:szCs w:val="28"/>
        </w:rPr>
        <w:t>（3）费用：指为履行合同所发生的或将要发生的所有合理开支，包括管理费和应分摊的其他费用，但不包括利润。</w:t>
      </w:r>
    </w:p>
    <w:p>
      <w:pPr>
        <w:spacing w:after="120" w:line="360" w:lineRule="auto"/>
        <w:ind w:firstLine="560" w:firstLineChars="200"/>
        <w:rPr>
          <w:rFonts w:ascii="宋体" w:hAnsi="宋体"/>
          <w:szCs w:val="28"/>
        </w:rPr>
      </w:pPr>
      <w:r>
        <w:rPr>
          <w:rFonts w:hint="eastAsia" w:ascii="宋体" w:hAnsi="宋体"/>
          <w:szCs w:val="28"/>
        </w:rPr>
        <w:t>（4）暂列金额：指已标价工程量清单中所列的暂列金额，用于在签订协议书时尚未确定或不可预见变更的施工及其所需材料、工程设备、服务等的金额，包括以计日工方式支付的金额。</w:t>
      </w:r>
    </w:p>
    <w:p>
      <w:pPr>
        <w:spacing w:after="120" w:line="360" w:lineRule="auto"/>
        <w:ind w:firstLine="560" w:firstLineChars="200"/>
        <w:rPr>
          <w:rFonts w:ascii="宋体" w:hAnsi="宋体"/>
          <w:szCs w:val="28"/>
        </w:rPr>
      </w:pPr>
      <w:r>
        <w:rPr>
          <w:rFonts w:hint="eastAsia" w:ascii="宋体" w:hAnsi="宋体"/>
          <w:szCs w:val="28"/>
        </w:rPr>
        <w:t>（5）计日工：指对零星工作采取的一种计价方式，按合同中的计日工子目及其单价计价付款。</w:t>
      </w:r>
    </w:p>
    <w:p>
      <w:pPr>
        <w:spacing w:after="120" w:line="360" w:lineRule="auto"/>
        <w:ind w:firstLine="560" w:firstLineChars="200"/>
        <w:rPr>
          <w:rFonts w:ascii="宋体" w:hAnsi="宋体"/>
          <w:szCs w:val="28"/>
        </w:rPr>
      </w:pPr>
      <w:r>
        <w:rPr>
          <w:rFonts w:hint="eastAsia" w:ascii="宋体" w:hAnsi="宋体"/>
          <w:szCs w:val="28"/>
        </w:rPr>
        <w:t>（6）质量保证金（或称保留金）：指按后款质量保证金约定用于保证在缺陷责任期内履行缺陷修复义务的金额。</w:t>
      </w:r>
    </w:p>
    <w:p>
      <w:pPr>
        <w:spacing w:after="120" w:line="360" w:lineRule="auto"/>
        <w:ind w:firstLine="560" w:firstLineChars="200"/>
        <w:rPr>
          <w:rFonts w:ascii="宋体" w:hAnsi="宋体"/>
          <w:szCs w:val="28"/>
        </w:rPr>
      </w:pPr>
      <w:r>
        <w:rPr>
          <w:rFonts w:hint="eastAsia" w:ascii="宋体" w:hAnsi="宋体"/>
          <w:szCs w:val="28"/>
        </w:rPr>
        <w:t>6.其他</w:t>
      </w:r>
    </w:p>
    <w:p>
      <w:pPr>
        <w:spacing w:after="120" w:line="360" w:lineRule="auto"/>
        <w:ind w:firstLine="560" w:firstLineChars="200"/>
        <w:rPr>
          <w:rFonts w:ascii="宋体" w:hAnsi="宋体"/>
          <w:szCs w:val="28"/>
        </w:rPr>
      </w:pPr>
      <w:r>
        <w:rPr>
          <w:rFonts w:hint="eastAsia" w:ascii="宋体" w:hAnsi="宋体"/>
          <w:szCs w:val="28"/>
        </w:rPr>
        <w:t>（1）书面形式：指合同文件、信函、电报、传真、电子数据交换和电子邮件等可以有形地表现所载内容的形式。</w:t>
      </w:r>
    </w:p>
    <w:p>
      <w:pPr>
        <w:spacing w:after="120" w:line="360" w:lineRule="auto"/>
        <w:ind w:firstLine="560" w:firstLineChars="200"/>
        <w:rPr>
          <w:rFonts w:ascii="宋体" w:hAnsi="宋体"/>
          <w:szCs w:val="28"/>
        </w:rPr>
      </w:pPr>
      <w:bookmarkStart w:id="40" w:name="_Toc296602501"/>
      <w:bookmarkStart w:id="41" w:name="_Toc246996256"/>
      <w:bookmarkStart w:id="42" w:name="_Toc247085771"/>
      <w:bookmarkStart w:id="43" w:name="_Toc246996999"/>
      <w:r>
        <w:rPr>
          <w:rFonts w:hint="eastAsia" w:ascii="宋体" w:hAnsi="宋体"/>
          <w:szCs w:val="28"/>
        </w:rPr>
        <w:t>（二）语言文字</w:t>
      </w:r>
      <w:bookmarkEnd w:id="40"/>
      <w:bookmarkEnd w:id="41"/>
      <w:bookmarkEnd w:id="42"/>
      <w:bookmarkEnd w:id="43"/>
    </w:p>
    <w:p>
      <w:pPr>
        <w:spacing w:after="120" w:line="360" w:lineRule="auto"/>
        <w:ind w:firstLine="560" w:firstLineChars="200"/>
        <w:rPr>
          <w:rFonts w:ascii="宋体" w:hAnsi="宋体"/>
          <w:szCs w:val="28"/>
        </w:rPr>
      </w:pPr>
      <w:bookmarkStart w:id="44" w:name="_Toc246997000"/>
      <w:bookmarkStart w:id="45" w:name="_Toc246996257"/>
      <w:bookmarkStart w:id="46" w:name="_Toc247085772"/>
      <w:r>
        <w:rPr>
          <w:rFonts w:hint="eastAsia" w:ascii="宋体" w:hAnsi="宋体"/>
          <w:szCs w:val="28"/>
        </w:rPr>
        <w:t>合同使用的语言文字为中文。专用术语使用外文的，应附有中文注释。</w:t>
      </w:r>
    </w:p>
    <w:p>
      <w:pPr>
        <w:spacing w:after="120" w:line="360" w:lineRule="auto"/>
        <w:ind w:firstLine="560" w:firstLineChars="200"/>
        <w:rPr>
          <w:rFonts w:ascii="宋体" w:hAnsi="宋体"/>
          <w:szCs w:val="28"/>
        </w:rPr>
      </w:pPr>
      <w:bookmarkStart w:id="47" w:name="_Toc296602502"/>
      <w:r>
        <w:rPr>
          <w:rFonts w:hint="eastAsia" w:ascii="宋体" w:hAnsi="宋体"/>
          <w:szCs w:val="28"/>
        </w:rPr>
        <w:t>（三）法律</w:t>
      </w:r>
      <w:bookmarkEnd w:id="44"/>
      <w:bookmarkEnd w:id="45"/>
      <w:bookmarkEnd w:id="46"/>
      <w:bookmarkEnd w:id="47"/>
    </w:p>
    <w:p>
      <w:pPr>
        <w:spacing w:after="120" w:line="360" w:lineRule="auto"/>
        <w:ind w:firstLine="560" w:firstLineChars="200"/>
        <w:rPr>
          <w:rFonts w:ascii="宋体" w:hAnsi="宋体"/>
          <w:szCs w:val="28"/>
        </w:rPr>
      </w:pPr>
      <w:r>
        <w:rPr>
          <w:rFonts w:hint="eastAsia" w:ascii="宋体" w:hAnsi="宋体"/>
          <w:szCs w:val="28"/>
        </w:rPr>
        <w:t>适用于合同的法律包括中华人民共和国法律、行政法规、部门规章，以及工程所在地的地方法规、自治条例、单行条例和地方政府规章。</w:t>
      </w:r>
    </w:p>
    <w:p>
      <w:pPr>
        <w:spacing w:after="120" w:line="360" w:lineRule="auto"/>
        <w:ind w:firstLine="560" w:firstLineChars="200"/>
        <w:rPr>
          <w:rFonts w:ascii="宋体" w:hAnsi="宋体"/>
          <w:szCs w:val="28"/>
        </w:rPr>
      </w:pPr>
      <w:bookmarkStart w:id="48" w:name="_Toc296602503"/>
      <w:bookmarkStart w:id="49" w:name="_Toc246997001"/>
      <w:bookmarkStart w:id="50" w:name="_Toc247085773"/>
      <w:bookmarkStart w:id="51" w:name="_Toc246996258"/>
      <w:r>
        <w:rPr>
          <w:rFonts w:hint="eastAsia" w:ascii="宋体" w:hAnsi="宋体"/>
          <w:szCs w:val="28"/>
        </w:rPr>
        <w:t>（四）合同文件的优先顺序</w:t>
      </w:r>
      <w:bookmarkEnd w:id="48"/>
      <w:bookmarkEnd w:id="49"/>
      <w:bookmarkEnd w:id="50"/>
      <w:bookmarkEnd w:id="51"/>
    </w:p>
    <w:p>
      <w:pPr>
        <w:spacing w:after="120" w:line="360" w:lineRule="auto"/>
        <w:ind w:firstLine="560" w:firstLineChars="200"/>
        <w:rPr>
          <w:rFonts w:ascii="宋体" w:hAnsi="宋体"/>
          <w:szCs w:val="28"/>
        </w:rPr>
      </w:pPr>
      <w:r>
        <w:rPr>
          <w:rFonts w:hint="eastAsia" w:ascii="宋体" w:hAnsi="宋体"/>
          <w:szCs w:val="28"/>
        </w:rPr>
        <w:t>组成合同的各项文件应互相解释，互为说明。除专用合同条款另有约定外，解释合同文件的优先顺序如下：</w:t>
      </w:r>
    </w:p>
    <w:p>
      <w:pPr>
        <w:spacing w:after="120" w:line="360" w:lineRule="auto"/>
        <w:ind w:firstLine="560" w:firstLineChars="200"/>
        <w:rPr>
          <w:rFonts w:ascii="宋体" w:hAnsi="宋体"/>
          <w:szCs w:val="28"/>
        </w:rPr>
      </w:pPr>
      <w:r>
        <w:rPr>
          <w:rFonts w:hint="eastAsia" w:ascii="宋体" w:hAnsi="宋体"/>
          <w:szCs w:val="28"/>
        </w:rPr>
        <w:t>1.合同协议书；</w:t>
      </w:r>
    </w:p>
    <w:p>
      <w:pPr>
        <w:spacing w:after="120" w:line="360" w:lineRule="auto"/>
        <w:ind w:firstLine="560" w:firstLineChars="200"/>
        <w:rPr>
          <w:rFonts w:ascii="宋体" w:hAnsi="宋体"/>
          <w:szCs w:val="28"/>
        </w:rPr>
      </w:pPr>
      <w:r>
        <w:rPr>
          <w:rFonts w:hint="eastAsia" w:ascii="宋体" w:hAnsi="宋体"/>
          <w:szCs w:val="28"/>
        </w:rPr>
        <w:t>2.中标通知书；</w:t>
      </w:r>
    </w:p>
    <w:p>
      <w:pPr>
        <w:spacing w:after="120" w:line="360" w:lineRule="auto"/>
        <w:ind w:firstLine="560" w:firstLineChars="200"/>
        <w:rPr>
          <w:rFonts w:ascii="宋体" w:hAnsi="宋体"/>
          <w:szCs w:val="28"/>
        </w:rPr>
      </w:pPr>
      <w:r>
        <w:rPr>
          <w:rFonts w:hint="eastAsia" w:ascii="宋体" w:hAnsi="宋体"/>
          <w:szCs w:val="28"/>
        </w:rPr>
        <w:t>3.投标函及投标函附录；</w:t>
      </w:r>
    </w:p>
    <w:p>
      <w:pPr>
        <w:spacing w:after="120" w:line="360" w:lineRule="auto"/>
        <w:ind w:firstLine="560" w:firstLineChars="200"/>
        <w:rPr>
          <w:rFonts w:ascii="宋体" w:hAnsi="宋体"/>
          <w:szCs w:val="28"/>
        </w:rPr>
      </w:pPr>
      <w:r>
        <w:rPr>
          <w:rFonts w:hint="eastAsia" w:ascii="宋体" w:hAnsi="宋体"/>
          <w:szCs w:val="28"/>
        </w:rPr>
        <w:t>4.专用合同条款；</w:t>
      </w:r>
    </w:p>
    <w:p>
      <w:pPr>
        <w:spacing w:after="120" w:line="360" w:lineRule="auto"/>
        <w:ind w:firstLine="560" w:firstLineChars="200"/>
        <w:rPr>
          <w:rFonts w:ascii="宋体" w:hAnsi="宋体"/>
          <w:szCs w:val="28"/>
        </w:rPr>
      </w:pPr>
      <w:r>
        <w:rPr>
          <w:rFonts w:hint="eastAsia" w:ascii="宋体" w:hAnsi="宋体"/>
          <w:szCs w:val="28"/>
        </w:rPr>
        <w:t>5.通用合同条款；</w:t>
      </w:r>
    </w:p>
    <w:p>
      <w:pPr>
        <w:spacing w:after="120" w:line="360" w:lineRule="auto"/>
        <w:ind w:firstLine="560" w:firstLineChars="200"/>
        <w:rPr>
          <w:rFonts w:ascii="宋体" w:hAnsi="宋体"/>
          <w:szCs w:val="28"/>
        </w:rPr>
      </w:pPr>
      <w:r>
        <w:rPr>
          <w:rFonts w:hint="eastAsia" w:ascii="宋体" w:hAnsi="宋体"/>
          <w:szCs w:val="28"/>
        </w:rPr>
        <w:t>6.技术标准和要求；</w:t>
      </w:r>
    </w:p>
    <w:p>
      <w:pPr>
        <w:spacing w:after="120" w:line="360" w:lineRule="auto"/>
        <w:ind w:firstLine="560" w:firstLineChars="200"/>
        <w:rPr>
          <w:rFonts w:ascii="宋体" w:hAnsi="宋体"/>
          <w:szCs w:val="28"/>
        </w:rPr>
      </w:pPr>
      <w:r>
        <w:rPr>
          <w:rFonts w:hint="eastAsia" w:ascii="宋体" w:hAnsi="宋体"/>
          <w:szCs w:val="28"/>
        </w:rPr>
        <w:t>7.图纸；</w:t>
      </w:r>
    </w:p>
    <w:p>
      <w:pPr>
        <w:spacing w:after="120" w:line="360" w:lineRule="auto"/>
        <w:ind w:firstLine="560" w:firstLineChars="200"/>
        <w:rPr>
          <w:rFonts w:ascii="宋体" w:hAnsi="宋体"/>
          <w:szCs w:val="28"/>
        </w:rPr>
      </w:pPr>
      <w:r>
        <w:rPr>
          <w:rFonts w:hint="eastAsia" w:ascii="宋体" w:hAnsi="宋体"/>
          <w:szCs w:val="28"/>
        </w:rPr>
        <w:t>8.已标价工程量清单；</w:t>
      </w:r>
    </w:p>
    <w:p>
      <w:pPr>
        <w:spacing w:after="120" w:line="360" w:lineRule="auto"/>
        <w:ind w:firstLine="560" w:firstLineChars="200"/>
        <w:rPr>
          <w:rFonts w:ascii="宋体" w:hAnsi="宋体"/>
          <w:szCs w:val="28"/>
        </w:rPr>
      </w:pPr>
      <w:r>
        <w:rPr>
          <w:rFonts w:hint="eastAsia" w:ascii="宋体" w:hAnsi="宋体"/>
          <w:szCs w:val="28"/>
        </w:rPr>
        <w:t>9.其他合同文件。</w:t>
      </w:r>
    </w:p>
    <w:p>
      <w:pPr>
        <w:spacing w:after="120" w:line="360" w:lineRule="auto"/>
        <w:ind w:firstLine="560" w:firstLineChars="200"/>
        <w:rPr>
          <w:rFonts w:ascii="宋体" w:hAnsi="宋体"/>
          <w:szCs w:val="28"/>
        </w:rPr>
      </w:pPr>
      <w:bookmarkStart w:id="52" w:name="_Toc296602504"/>
      <w:bookmarkStart w:id="53" w:name="_Toc247085774"/>
      <w:bookmarkStart w:id="54" w:name="_Toc246997002"/>
      <w:bookmarkStart w:id="55" w:name="_Toc246996259"/>
      <w:r>
        <w:rPr>
          <w:rFonts w:hint="eastAsia" w:ascii="宋体" w:hAnsi="宋体"/>
          <w:szCs w:val="28"/>
        </w:rPr>
        <w:t>（五）合同协议书</w:t>
      </w:r>
      <w:bookmarkEnd w:id="52"/>
      <w:bookmarkEnd w:id="53"/>
      <w:bookmarkEnd w:id="54"/>
      <w:bookmarkEnd w:id="55"/>
    </w:p>
    <w:p>
      <w:pPr>
        <w:spacing w:after="120" w:line="360" w:lineRule="auto"/>
        <w:ind w:firstLine="560" w:firstLineChars="200"/>
        <w:rPr>
          <w:rFonts w:ascii="宋体" w:hAnsi="宋体"/>
          <w:szCs w:val="28"/>
        </w:rPr>
      </w:pPr>
      <w:r>
        <w:rPr>
          <w:rFonts w:hint="eastAsia" w:ascii="宋体" w:hAnsi="宋体"/>
          <w:szCs w:val="28"/>
        </w:rPr>
        <w:t>承包人按中标通知书规定的时间与发包人签订合同协议书。除法律另有规定或合同另有约定外，发包人和承包人的法定代表人或其委托代理人在合同协议书上签字并盖单位章后经代理机构确认，合同生效。</w:t>
      </w:r>
    </w:p>
    <w:p>
      <w:pPr>
        <w:spacing w:after="120" w:line="360" w:lineRule="auto"/>
        <w:ind w:firstLine="560" w:firstLineChars="200"/>
        <w:rPr>
          <w:rFonts w:ascii="宋体" w:hAnsi="宋体"/>
          <w:szCs w:val="28"/>
        </w:rPr>
      </w:pPr>
      <w:bookmarkStart w:id="56" w:name="_Toc296602505"/>
      <w:bookmarkStart w:id="57" w:name="_Toc247085775"/>
      <w:bookmarkStart w:id="58" w:name="_Toc246996260"/>
      <w:bookmarkStart w:id="59" w:name="_Toc246997003"/>
      <w:r>
        <w:rPr>
          <w:rFonts w:hint="eastAsia" w:ascii="宋体" w:hAnsi="宋体"/>
          <w:szCs w:val="28"/>
        </w:rPr>
        <w:t>（六）图纸和承包人文件</w:t>
      </w:r>
      <w:bookmarkEnd w:id="56"/>
      <w:bookmarkEnd w:id="57"/>
      <w:bookmarkEnd w:id="58"/>
      <w:bookmarkEnd w:id="59"/>
    </w:p>
    <w:p>
      <w:pPr>
        <w:spacing w:after="120" w:line="360" w:lineRule="auto"/>
        <w:ind w:firstLine="560" w:firstLineChars="200"/>
        <w:rPr>
          <w:rFonts w:ascii="宋体" w:hAnsi="宋体"/>
          <w:szCs w:val="28"/>
        </w:rPr>
      </w:pPr>
      <w:r>
        <w:rPr>
          <w:rFonts w:hint="eastAsia" w:ascii="宋体" w:hAnsi="宋体"/>
          <w:szCs w:val="28"/>
        </w:rPr>
        <w:t>1.发包人提供的图纸</w:t>
      </w:r>
    </w:p>
    <w:p>
      <w:pPr>
        <w:spacing w:after="120" w:line="360" w:lineRule="auto"/>
        <w:ind w:firstLine="560" w:firstLineChars="200"/>
        <w:rPr>
          <w:rFonts w:ascii="宋体" w:hAnsi="宋体"/>
          <w:szCs w:val="28"/>
        </w:rPr>
      </w:pPr>
      <w:r>
        <w:rPr>
          <w:rFonts w:hint="eastAsia" w:ascii="宋体" w:hAnsi="宋体"/>
          <w:szCs w:val="28"/>
        </w:rPr>
        <w:t>除专用合同条款另有约定外，图纸应在合理的期限内按照合同约定的数量提供给承包人。</w:t>
      </w:r>
    </w:p>
    <w:p>
      <w:pPr>
        <w:spacing w:after="120" w:line="360" w:lineRule="auto"/>
        <w:ind w:firstLine="560" w:firstLineChars="200"/>
        <w:rPr>
          <w:rFonts w:ascii="宋体" w:hAnsi="宋体"/>
          <w:szCs w:val="28"/>
        </w:rPr>
      </w:pPr>
      <w:r>
        <w:rPr>
          <w:rFonts w:hint="eastAsia" w:ascii="宋体" w:hAnsi="宋体"/>
          <w:szCs w:val="28"/>
        </w:rPr>
        <w:t>2.承包人提供的文件</w:t>
      </w:r>
    </w:p>
    <w:p>
      <w:pPr>
        <w:spacing w:after="120" w:line="360" w:lineRule="auto"/>
        <w:ind w:firstLine="560" w:firstLineChars="200"/>
        <w:rPr>
          <w:rFonts w:ascii="宋体" w:hAnsi="宋体"/>
          <w:szCs w:val="28"/>
        </w:rPr>
      </w:pPr>
      <w:r>
        <w:rPr>
          <w:rFonts w:hint="eastAsia" w:ascii="宋体" w:hAnsi="宋体"/>
          <w:szCs w:val="28"/>
        </w:rPr>
        <w:t>按专用合同条款约定由承包人提供的文件，包括部分工程的大样图、加工图等，承包人应按约定的数量和期限报送监理人。监理人应在专用合同条款约定的期限内批复。</w:t>
      </w:r>
    </w:p>
    <w:p>
      <w:pPr>
        <w:spacing w:after="120" w:line="360" w:lineRule="auto"/>
        <w:ind w:firstLine="560" w:firstLineChars="200"/>
        <w:rPr>
          <w:rFonts w:ascii="宋体" w:hAnsi="宋体"/>
          <w:szCs w:val="28"/>
        </w:rPr>
      </w:pPr>
      <w:bookmarkStart w:id="60" w:name="_Toc296602506"/>
      <w:bookmarkStart w:id="61" w:name="_Toc246997004"/>
      <w:bookmarkStart w:id="62" w:name="_Toc246996261"/>
      <w:bookmarkStart w:id="63" w:name="_Toc247085776"/>
      <w:r>
        <w:rPr>
          <w:rFonts w:hint="eastAsia" w:ascii="宋体" w:hAnsi="宋体"/>
          <w:szCs w:val="28"/>
        </w:rPr>
        <w:t>（七）联络</w:t>
      </w:r>
      <w:bookmarkEnd w:id="60"/>
      <w:bookmarkEnd w:id="61"/>
      <w:bookmarkEnd w:id="62"/>
      <w:bookmarkEnd w:id="63"/>
    </w:p>
    <w:p>
      <w:pPr>
        <w:spacing w:after="120" w:line="360" w:lineRule="auto"/>
        <w:ind w:firstLine="560" w:firstLineChars="200"/>
        <w:rPr>
          <w:rFonts w:ascii="宋体" w:hAnsi="宋体"/>
          <w:szCs w:val="28"/>
        </w:rPr>
      </w:pPr>
      <w:r>
        <w:rPr>
          <w:rFonts w:hint="eastAsia" w:ascii="宋体" w:hAnsi="宋体"/>
          <w:szCs w:val="28"/>
        </w:rPr>
        <w:t>与合同有关的通知、批准、证明、证书、指示、要求、请求、同意、意见、确定和决定等重要文件，均应采用书面形式。</w:t>
      </w:r>
    </w:p>
    <w:p>
      <w:pPr>
        <w:spacing w:after="120" w:line="360" w:lineRule="auto"/>
        <w:ind w:firstLine="560" w:firstLineChars="200"/>
        <w:rPr>
          <w:rFonts w:ascii="宋体" w:hAnsi="宋体"/>
          <w:szCs w:val="28"/>
        </w:rPr>
      </w:pPr>
      <w:r>
        <w:rPr>
          <w:rFonts w:hint="eastAsia" w:ascii="宋体" w:hAnsi="宋体"/>
          <w:szCs w:val="28"/>
        </w:rPr>
        <w:t>按合同约定应当由监理人审核、批准、确认或者提出修改意见的承包人的要求、请求、申请和报批等，监理人在合同约定的期限内未回复的，视同认可，合同中未明确约定回复期限的，其相应期限均为收到相关文件后7天。</w:t>
      </w:r>
    </w:p>
    <w:p>
      <w:pPr>
        <w:spacing w:after="120" w:line="360" w:lineRule="auto"/>
        <w:ind w:firstLine="560" w:firstLineChars="200"/>
        <w:rPr>
          <w:rFonts w:ascii="宋体" w:hAnsi="宋体"/>
          <w:szCs w:val="28"/>
        </w:rPr>
      </w:pPr>
      <w:bookmarkStart w:id="64" w:name="_Toc296602507"/>
      <w:bookmarkStart w:id="65" w:name="_Toc247085778"/>
      <w:bookmarkStart w:id="66" w:name="_Toc246997006"/>
      <w:bookmarkStart w:id="67" w:name="_Toc184635099"/>
      <w:bookmarkStart w:id="68" w:name="_Toc246996263"/>
      <w:r>
        <w:rPr>
          <w:rFonts w:hint="eastAsia" w:ascii="宋体" w:hAnsi="宋体"/>
          <w:szCs w:val="28"/>
        </w:rPr>
        <w:t>（八）发包人义务</w:t>
      </w:r>
      <w:bookmarkEnd w:id="64"/>
      <w:bookmarkEnd w:id="65"/>
      <w:bookmarkEnd w:id="66"/>
      <w:bookmarkEnd w:id="67"/>
      <w:bookmarkEnd w:id="68"/>
    </w:p>
    <w:p>
      <w:pPr>
        <w:spacing w:after="120" w:line="360" w:lineRule="auto"/>
        <w:ind w:firstLine="560" w:firstLineChars="200"/>
        <w:rPr>
          <w:rFonts w:ascii="宋体" w:hAnsi="宋体"/>
          <w:szCs w:val="28"/>
        </w:rPr>
      </w:pPr>
      <w:bookmarkStart w:id="69" w:name="_Toc246996264"/>
      <w:bookmarkStart w:id="70" w:name="_Toc247085779"/>
      <w:bookmarkStart w:id="71" w:name="_Toc246997007"/>
      <w:bookmarkStart w:id="72" w:name="_Toc296602508"/>
      <w:r>
        <w:rPr>
          <w:rFonts w:hint="eastAsia" w:ascii="宋体" w:hAnsi="宋体"/>
          <w:szCs w:val="28"/>
        </w:rPr>
        <w:t>1.遵守法律</w:t>
      </w:r>
      <w:bookmarkEnd w:id="69"/>
      <w:bookmarkEnd w:id="70"/>
      <w:bookmarkEnd w:id="71"/>
      <w:bookmarkEnd w:id="72"/>
    </w:p>
    <w:p>
      <w:pPr>
        <w:spacing w:after="120" w:line="360" w:lineRule="auto"/>
        <w:ind w:firstLine="560" w:firstLineChars="200"/>
        <w:rPr>
          <w:rFonts w:ascii="宋体" w:hAnsi="宋体"/>
          <w:szCs w:val="28"/>
        </w:rPr>
      </w:pPr>
      <w:r>
        <w:rPr>
          <w:rFonts w:hint="eastAsia" w:ascii="宋体" w:hAnsi="宋体"/>
          <w:szCs w:val="28"/>
        </w:rPr>
        <w:t>发包人在履行合同过程中应遵守法律，并保证承包人免于承担因发包人违反法律而引起的任何责任。</w:t>
      </w:r>
    </w:p>
    <w:p>
      <w:pPr>
        <w:spacing w:after="120" w:line="360" w:lineRule="auto"/>
        <w:ind w:firstLine="560" w:firstLineChars="200"/>
        <w:rPr>
          <w:rFonts w:ascii="宋体" w:hAnsi="宋体"/>
          <w:szCs w:val="28"/>
        </w:rPr>
      </w:pPr>
      <w:bookmarkStart w:id="73" w:name="_Toc296602509"/>
      <w:bookmarkStart w:id="74" w:name="_Toc247085780"/>
      <w:bookmarkStart w:id="75" w:name="_Toc246997008"/>
      <w:bookmarkStart w:id="76" w:name="_Toc246996265"/>
      <w:r>
        <w:rPr>
          <w:rFonts w:hint="eastAsia" w:ascii="宋体" w:hAnsi="宋体"/>
          <w:szCs w:val="28"/>
        </w:rPr>
        <w:t>2.发出开工通知</w:t>
      </w:r>
      <w:bookmarkEnd w:id="73"/>
      <w:bookmarkEnd w:id="74"/>
      <w:bookmarkEnd w:id="75"/>
      <w:bookmarkEnd w:id="76"/>
    </w:p>
    <w:p>
      <w:pPr>
        <w:spacing w:after="120" w:line="360" w:lineRule="auto"/>
        <w:ind w:firstLine="560" w:firstLineChars="200"/>
        <w:rPr>
          <w:rFonts w:ascii="宋体" w:hAnsi="宋体"/>
          <w:szCs w:val="28"/>
        </w:rPr>
      </w:pPr>
      <w:r>
        <w:rPr>
          <w:rFonts w:hint="eastAsia" w:ascii="宋体" w:hAnsi="宋体"/>
          <w:szCs w:val="28"/>
        </w:rPr>
        <w:t>发包人应委托监理人按前款工程实施的约定向承包人发出开工通知。</w:t>
      </w:r>
    </w:p>
    <w:p>
      <w:pPr>
        <w:spacing w:after="120" w:line="360" w:lineRule="auto"/>
        <w:ind w:firstLine="560" w:firstLineChars="200"/>
        <w:rPr>
          <w:rFonts w:ascii="宋体" w:hAnsi="宋体"/>
          <w:szCs w:val="28"/>
        </w:rPr>
      </w:pPr>
      <w:bookmarkStart w:id="77" w:name="_Toc246997009"/>
      <w:bookmarkStart w:id="78" w:name="_Toc246996266"/>
      <w:bookmarkStart w:id="79" w:name="_Toc247085781"/>
      <w:bookmarkStart w:id="80" w:name="_Toc296602510"/>
      <w:r>
        <w:rPr>
          <w:rFonts w:hint="eastAsia" w:ascii="宋体" w:hAnsi="宋体"/>
          <w:szCs w:val="28"/>
        </w:rPr>
        <w:t>3.提供施工场地</w:t>
      </w:r>
      <w:bookmarkEnd w:id="77"/>
      <w:bookmarkEnd w:id="78"/>
      <w:bookmarkEnd w:id="79"/>
      <w:bookmarkEnd w:id="80"/>
    </w:p>
    <w:p>
      <w:pPr>
        <w:spacing w:after="120" w:line="360" w:lineRule="auto"/>
        <w:ind w:firstLine="560" w:firstLineChars="200"/>
        <w:rPr>
          <w:rFonts w:ascii="宋体" w:hAnsi="宋体"/>
          <w:szCs w:val="28"/>
        </w:rPr>
      </w:pPr>
      <w:r>
        <w:rPr>
          <w:rFonts w:hint="eastAsia" w:ascii="宋体" w:hAnsi="宋体"/>
          <w:szCs w:val="28"/>
        </w:rPr>
        <w:t>发包人应按专用合同条款约定向承包人提供施工场地，以及施工场地内地下管线和地下设施等有关资料，并保证资料的真实、准确、完整。</w:t>
      </w:r>
    </w:p>
    <w:p>
      <w:pPr>
        <w:spacing w:after="120" w:line="360" w:lineRule="auto"/>
        <w:ind w:firstLine="560" w:firstLineChars="200"/>
        <w:rPr>
          <w:rFonts w:ascii="宋体" w:hAnsi="宋体"/>
          <w:szCs w:val="28"/>
        </w:rPr>
      </w:pPr>
      <w:bookmarkStart w:id="81" w:name="_Toc246997010"/>
      <w:bookmarkStart w:id="82" w:name="_Toc296602511"/>
      <w:bookmarkStart w:id="83" w:name="_Toc247085782"/>
      <w:bookmarkStart w:id="84" w:name="_Toc246996267"/>
      <w:r>
        <w:rPr>
          <w:rFonts w:hint="eastAsia" w:ascii="宋体" w:hAnsi="宋体"/>
          <w:szCs w:val="28"/>
        </w:rPr>
        <w:t>4.协助承包人办理证件和批件</w:t>
      </w:r>
      <w:bookmarkEnd w:id="81"/>
      <w:bookmarkEnd w:id="82"/>
      <w:bookmarkEnd w:id="83"/>
      <w:bookmarkEnd w:id="84"/>
    </w:p>
    <w:p>
      <w:pPr>
        <w:spacing w:after="120" w:line="360" w:lineRule="auto"/>
        <w:ind w:firstLine="560" w:firstLineChars="200"/>
        <w:rPr>
          <w:rFonts w:ascii="宋体" w:hAnsi="宋体"/>
          <w:szCs w:val="28"/>
        </w:rPr>
      </w:pPr>
      <w:r>
        <w:rPr>
          <w:rFonts w:hint="eastAsia" w:ascii="宋体" w:hAnsi="宋体"/>
          <w:szCs w:val="28"/>
        </w:rPr>
        <w:t>发包人应协助承包人办理法律规定的有关施工证件和批件。</w:t>
      </w:r>
    </w:p>
    <w:p>
      <w:pPr>
        <w:spacing w:after="120" w:line="360" w:lineRule="auto"/>
        <w:ind w:firstLine="560" w:firstLineChars="200"/>
        <w:rPr>
          <w:rFonts w:ascii="宋体" w:hAnsi="宋体"/>
          <w:szCs w:val="28"/>
        </w:rPr>
      </w:pPr>
      <w:bookmarkStart w:id="85" w:name="_Toc296602512"/>
      <w:bookmarkStart w:id="86" w:name="_Toc247085783"/>
      <w:bookmarkStart w:id="87" w:name="_Toc246997011"/>
      <w:bookmarkStart w:id="88" w:name="_Toc246996268"/>
      <w:r>
        <w:rPr>
          <w:rFonts w:hint="eastAsia" w:ascii="宋体" w:hAnsi="宋体"/>
          <w:szCs w:val="28"/>
        </w:rPr>
        <w:t>5.组织设计交底</w:t>
      </w:r>
      <w:bookmarkEnd w:id="85"/>
      <w:bookmarkEnd w:id="86"/>
      <w:bookmarkEnd w:id="87"/>
      <w:bookmarkEnd w:id="88"/>
    </w:p>
    <w:p>
      <w:pPr>
        <w:spacing w:after="120" w:line="360" w:lineRule="auto"/>
        <w:ind w:firstLine="560" w:firstLineChars="200"/>
        <w:rPr>
          <w:rFonts w:ascii="宋体" w:hAnsi="宋体"/>
          <w:szCs w:val="28"/>
        </w:rPr>
      </w:pPr>
      <w:r>
        <w:rPr>
          <w:rFonts w:hint="eastAsia" w:ascii="宋体" w:hAnsi="宋体"/>
          <w:szCs w:val="28"/>
        </w:rPr>
        <w:t>发包人应根据合同进度计划，组织设计单位向承包人进行设计交底。</w:t>
      </w:r>
    </w:p>
    <w:p>
      <w:pPr>
        <w:spacing w:after="120" w:line="360" w:lineRule="auto"/>
        <w:ind w:firstLine="560" w:firstLineChars="200"/>
        <w:rPr>
          <w:rFonts w:ascii="宋体" w:hAnsi="宋体"/>
          <w:szCs w:val="28"/>
        </w:rPr>
      </w:pPr>
      <w:bookmarkStart w:id="89" w:name="_Toc246997012"/>
      <w:bookmarkStart w:id="90" w:name="_Toc247085784"/>
      <w:bookmarkStart w:id="91" w:name="_Toc246996269"/>
      <w:bookmarkStart w:id="92" w:name="_Toc296602513"/>
      <w:r>
        <w:rPr>
          <w:rFonts w:hint="eastAsia" w:ascii="宋体" w:hAnsi="宋体"/>
          <w:szCs w:val="28"/>
        </w:rPr>
        <w:t>6.付合同价款</w:t>
      </w:r>
      <w:bookmarkEnd w:id="89"/>
      <w:bookmarkEnd w:id="90"/>
      <w:bookmarkEnd w:id="91"/>
      <w:bookmarkEnd w:id="92"/>
    </w:p>
    <w:p>
      <w:pPr>
        <w:spacing w:after="120" w:line="360" w:lineRule="auto"/>
        <w:ind w:firstLine="560" w:firstLineChars="200"/>
        <w:rPr>
          <w:rFonts w:ascii="宋体" w:hAnsi="宋体"/>
          <w:szCs w:val="28"/>
        </w:rPr>
      </w:pPr>
      <w:r>
        <w:rPr>
          <w:rFonts w:hint="eastAsia" w:ascii="宋体" w:hAnsi="宋体"/>
          <w:szCs w:val="28"/>
        </w:rPr>
        <w:t>发包人应按合同约定向承包人及时支付合同价款。</w:t>
      </w:r>
    </w:p>
    <w:p>
      <w:pPr>
        <w:spacing w:after="120" w:line="360" w:lineRule="auto"/>
        <w:ind w:firstLine="560" w:firstLineChars="200"/>
        <w:rPr>
          <w:rFonts w:ascii="宋体" w:hAnsi="宋体"/>
          <w:szCs w:val="28"/>
        </w:rPr>
      </w:pPr>
      <w:bookmarkStart w:id="93" w:name="_Toc247085785"/>
      <w:bookmarkStart w:id="94" w:name="_Toc296602514"/>
      <w:bookmarkStart w:id="95" w:name="_Toc246997013"/>
      <w:bookmarkStart w:id="96" w:name="_Toc246996270"/>
      <w:r>
        <w:rPr>
          <w:rFonts w:hint="eastAsia" w:ascii="宋体" w:hAnsi="宋体"/>
          <w:szCs w:val="28"/>
        </w:rPr>
        <w:t>7.组织竣工验收</w:t>
      </w:r>
      <w:bookmarkEnd w:id="93"/>
      <w:bookmarkEnd w:id="94"/>
      <w:bookmarkEnd w:id="95"/>
      <w:bookmarkEnd w:id="96"/>
    </w:p>
    <w:p>
      <w:pPr>
        <w:spacing w:after="120" w:line="360" w:lineRule="auto"/>
        <w:ind w:firstLine="560" w:firstLineChars="200"/>
        <w:rPr>
          <w:rFonts w:ascii="宋体" w:hAnsi="宋体"/>
          <w:szCs w:val="28"/>
        </w:rPr>
      </w:pPr>
      <w:r>
        <w:rPr>
          <w:rFonts w:hint="eastAsia" w:ascii="宋体" w:hAnsi="宋体"/>
          <w:szCs w:val="28"/>
        </w:rPr>
        <w:t>发包人应按合同约定及时组织竣工验收。</w:t>
      </w:r>
    </w:p>
    <w:p>
      <w:pPr>
        <w:spacing w:after="120" w:line="360" w:lineRule="auto"/>
        <w:ind w:firstLine="560" w:firstLineChars="200"/>
        <w:rPr>
          <w:rFonts w:ascii="宋体" w:hAnsi="宋体"/>
          <w:szCs w:val="28"/>
        </w:rPr>
      </w:pPr>
      <w:bookmarkStart w:id="97" w:name="_Toc247085786"/>
      <w:bookmarkStart w:id="98" w:name="_Toc296602515"/>
      <w:bookmarkStart w:id="99" w:name="_Toc246997014"/>
      <w:bookmarkStart w:id="100" w:name="_Toc246996271"/>
      <w:r>
        <w:rPr>
          <w:rFonts w:hint="eastAsia" w:ascii="宋体" w:hAnsi="宋体"/>
          <w:szCs w:val="28"/>
        </w:rPr>
        <w:t>8.其他义务</w:t>
      </w:r>
      <w:bookmarkEnd w:id="97"/>
      <w:bookmarkEnd w:id="98"/>
      <w:bookmarkEnd w:id="99"/>
      <w:bookmarkEnd w:id="100"/>
    </w:p>
    <w:p>
      <w:pPr>
        <w:spacing w:after="120" w:line="360" w:lineRule="auto"/>
        <w:ind w:firstLine="560" w:firstLineChars="200"/>
        <w:rPr>
          <w:rFonts w:ascii="宋体" w:hAnsi="宋体"/>
          <w:szCs w:val="28"/>
        </w:rPr>
      </w:pPr>
      <w:r>
        <w:rPr>
          <w:rFonts w:hint="eastAsia" w:ascii="宋体" w:hAnsi="宋体"/>
          <w:szCs w:val="28"/>
        </w:rPr>
        <w:t>发包人应履行合同约定的其他义务。</w:t>
      </w:r>
    </w:p>
    <w:p>
      <w:pPr>
        <w:spacing w:after="120" w:line="360" w:lineRule="auto"/>
        <w:ind w:firstLine="560" w:firstLineChars="200"/>
        <w:rPr>
          <w:rFonts w:ascii="宋体" w:hAnsi="宋体"/>
          <w:szCs w:val="28"/>
        </w:rPr>
      </w:pPr>
      <w:bookmarkStart w:id="101" w:name="_Toc247085787"/>
      <w:bookmarkStart w:id="102" w:name="_Toc296602516"/>
      <w:bookmarkStart w:id="103" w:name="_Toc246997015"/>
      <w:bookmarkStart w:id="104" w:name="_Toc246996272"/>
      <w:bookmarkStart w:id="105" w:name="_Toc184635100"/>
      <w:r>
        <w:rPr>
          <w:rFonts w:hint="eastAsia" w:ascii="宋体" w:hAnsi="宋体"/>
          <w:szCs w:val="28"/>
        </w:rPr>
        <w:t>（九）监理人</w:t>
      </w:r>
      <w:bookmarkEnd w:id="101"/>
      <w:bookmarkEnd w:id="102"/>
      <w:bookmarkEnd w:id="103"/>
      <w:bookmarkEnd w:id="104"/>
      <w:bookmarkEnd w:id="105"/>
    </w:p>
    <w:p>
      <w:pPr>
        <w:spacing w:after="120" w:line="360" w:lineRule="auto"/>
        <w:ind w:firstLine="560" w:firstLineChars="200"/>
        <w:rPr>
          <w:rFonts w:ascii="宋体" w:hAnsi="宋体"/>
          <w:szCs w:val="28"/>
        </w:rPr>
      </w:pPr>
      <w:bookmarkStart w:id="106" w:name="_Toc296602517"/>
      <w:bookmarkStart w:id="107" w:name="_Toc247085788"/>
      <w:bookmarkStart w:id="108" w:name="_Toc246997016"/>
      <w:bookmarkStart w:id="109" w:name="_Toc246996273"/>
      <w:r>
        <w:rPr>
          <w:rFonts w:hint="eastAsia" w:ascii="宋体" w:hAnsi="宋体"/>
          <w:szCs w:val="28"/>
        </w:rPr>
        <w:t>1.监理人的职责和权力</w:t>
      </w:r>
      <w:bookmarkEnd w:id="106"/>
      <w:bookmarkEnd w:id="107"/>
      <w:bookmarkEnd w:id="108"/>
      <w:bookmarkEnd w:id="109"/>
    </w:p>
    <w:p>
      <w:pPr>
        <w:spacing w:after="120" w:line="360" w:lineRule="auto"/>
        <w:ind w:firstLine="560" w:firstLineChars="200"/>
        <w:rPr>
          <w:rFonts w:ascii="宋体" w:hAnsi="宋体"/>
          <w:szCs w:val="28"/>
        </w:rPr>
      </w:pPr>
      <w:r>
        <w:rPr>
          <w:rFonts w:hint="eastAsia" w:ascii="宋体" w:hAnsi="宋体"/>
          <w:szCs w:val="28"/>
        </w:rPr>
        <w:t>（1）监理人受发包人委托，享有合同约定的权力，其所发出的任何指示应视为已得到发包人的批准。监理人在行使某项权力前需要经发包人事先批准而通用合同条款没有指明的，应在专用合同条款中指明。未经发包人批准，监理人无权修改合同。</w:t>
      </w:r>
    </w:p>
    <w:p>
      <w:pPr>
        <w:spacing w:after="120" w:line="360" w:lineRule="auto"/>
        <w:ind w:firstLine="560" w:firstLineChars="200"/>
        <w:rPr>
          <w:rFonts w:ascii="宋体" w:hAnsi="宋体"/>
          <w:szCs w:val="28"/>
        </w:rPr>
      </w:pPr>
      <w:r>
        <w:rPr>
          <w:rFonts w:hint="eastAsia" w:ascii="宋体" w:hAnsi="宋体"/>
          <w:szCs w:val="28"/>
        </w:rPr>
        <w:t>（2）合同约定应由承包人承担的义务和责任，不因监理人对承包人文件的审查或批准，对工程、材料和工程设备的检查和检验，以及为实施监理作出的指示等职务行为而减轻或解除。</w:t>
      </w:r>
    </w:p>
    <w:p>
      <w:pPr>
        <w:spacing w:after="120" w:line="360" w:lineRule="auto"/>
        <w:ind w:firstLine="560" w:firstLineChars="200"/>
        <w:rPr>
          <w:rFonts w:ascii="宋体" w:hAnsi="宋体"/>
          <w:szCs w:val="28"/>
        </w:rPr>
      </w:pPr>
      <w:bookmarkStart w:id="110" w:name="_Toc296602518"/>
      <w:bookmarkStart w:id="111" w:name="_Toc246997017"/>
      <w:bookmarkStart w:id="112" w:name="_Toc246996274"/>
      <w:bookmarkStart w:id="113" w:name="_Toc247085789"/>
      <w:r>
        <w:rPr>
          <w:rFonts w:hint="eastAsia" w:ascii="宋体" w:hAnsi="宋体"/>
          <w:szCs w:val="28"/>
        </w:rPr>
        <w:t>2.总监理工程师</w:t>
      </w:r>
      <w:bookmarkEnd w:id="110"/>
      <w:bookmarkEnd w:id="111"/>
      <w:bookmarkEnd w:id="112"/>
      <w:bookmarkEnd w:id="113"/>
    </w:p>
    <w:p>
      <w:pPr>
        <w:spacing w:after="120" w:line="360" w:lineRule="auto"/>
        <w:ind w:firstLine="560" w:firstLineChars="200"/>
        <w:rPr>
          <w:rFonts w:ascii="宋体" w:hAnsi="宋体"/>
          <w:szCs w:val="28"/>
        </w:rPr>
      </w:pPr>
      <w:r>
        <w:rPr>
          <w:rFonts w:hint="eastAsia" w:ascii="宋体" w:hAnsi="宋体"/>
          <w:szCs w:val="28"/>
        </w:rPr>
        <w:t>发包人应在发出开工通知前将总监理工程师的任命通知承包人。</w:t>
      </w:r>
    </w:p>
    <w:p>
      <w:pPr>
        <w:spacing w:after="120" w:line="360" w:lineRule="auto"/>
        <w:ind w:firstLine="560" w:firstLineChars="200"/>
        <w:rPr>
          <w:rFonts w:ascii="宋体" w:hAnsi="宋体"/>
          <w:szCs w:val="28"/>
        </w:rPr>
      </w:pPr>
      <w:bookmarkStart w:id="114" w:name="_Toc246997018"/>
      <w:bookmarkStart w:id="115" w:name="_Toc247085790"/>
      <w:bookmarkStart w:id="116" w:name="_Toc296602519"/>
      <w:bookmarkStart w:id="117" w:name="_Toc246996275"/>
      <w:r>
        <w:rPr>
          <w:rFonts w:hint="eastAsia" w:ascii="宋体" w:hAnsi="宋体"/>
          <w:szCs w:val="28"/>
        </w:rPr>
        <w:t>3.监理人员</w:t>
      </w:r>
      <w:bookmarkEnd w:id="114"/>
      <w:bookmarkEnd w:id="115"/>
      <w:bookmarkEnd w:id="116"/>
      <w:bookmarkEnd w:id="117"/>
    </w:p>
    <w:p>
      <w:pPr>
        <w:spacing w:after="120" w:line="360" w:lineRule="auto"/>
        <w:ind w:firstLine="560" w:firstLineChars="200"/>
        <w:rPr>
          <w:rFonts w:ascii="宋体" w:hAnsi="宋体"/>
          <w:szCs w:val="28"/>
        </w:rPr>
      </w:pPr>
      <w:r>
        <w:rPr>
          <w:rFonts w:hint="eastAsia" w:ascii="宋体" w:hAnsi="宋体"/>
          <w:szCs w:val="28"/>
        </w:rPr>
        <w:t>（1）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发包人和承包人。</w:t>
      </w:r>
    </w:p>
    <w:p>
      <w:pPr>
        <w:spacing w:after="120" w:line="360" w:lineRule="auto"/>
        <w:ind w:firstLine="560" w:firstLineChars="200"/>
        <w:rPr>
          <w:rFonts w:ascii="宋体" w:hAnsi="宋体"/>
          <w:szCs w:val="28"/>
        </w:rPr>
      </w:pPr>
      <w:r>
        <w:rPr>
          <w:rFonts w:hint="eastAsia" w:ascii="宋体" w:hAnsi="宋体"/>
          <w:szCs w:val="28"/>
        </w:rPr>
        <w:t>（2）监理人员对承包人文件、工程或其采用的材料和工程设备未在约定的或合理的期限内提出否定意见的，视为已获批准，但不影响监理人在以后拒绝该项工作、工程、材料或工程设备的权利，监理人的拒绝应当符合法律规定和合同约定。</w:t>
      </w:r>
    </w:p>
    <w:p>
      <w:pPr>
        <w:spacing w:after="120" w:line="360" w:lineRule="auto"/>
        <w:ind w:firstLine="560" w:firstLineChars="200"/>
        <w:rPr>
          <w:rFonts w:ascii="宋体" w:hAnsi="宋体"/>
          <w:szCs w:val="28"/>
        </w:rPr>
      </w:pPr>
      <w:r>
        <w:rPr>
          <w:rFonts w:hint="eastAsia" w:ascii="宋体" w:hAnsi="宋体"/>
          <w:szCs w:val="28"/>
        </w:rPr>
        <w:t>（3）承包人对总监理工程师授权的监理人员发出的指示有疑问的，可在该指示发出的48小时内向总监理工程师提出书面异议，总监理工程师应在48小时内对该指示予以确认、更改或撤销。</w:t>
      </w:r>
    </w:p>
    <w:p>
      <w:pPr>
        <w:spacing w:after="120" w:line="360" w:lineRule="auto"/>
        <w:ind w:firstLine="560" w:firstLineChars="200"/>
        <w:rPr>
          <w:rFonts w:ascii="宋体" w:hAnsi="宋体"/>
          <w:szCs w:val="28"/>
        </w:rPr>
      </w:pPr>
      <w:r>
        <w:rPr>
          <w:rFonts w:hint="eastAsia" w:ascii="宋体" w:hAnsi="宋体"/>
          <w:szCs w:val="28"/>
        </w:rPr>
        <w:t>（4）除专用合同条款另有约定外，总监理工程师不应将前款商定或确定约定应由总监理工程师作出确定的权力授权或委托给其他监理人员。</w:t>
      </w:r>
    </w:p>
    <w:p>
      <w:pPr>
        <w:spacing w:after="120" w:line="360" w:lineRule="auto"/>
        <w:ind w:firstLine="560" w:firstLineChars="200"/>
        <w:rPr>
          <w:rFonts w:ascii="宋体" w:hAnsi="宋体"/>
          <w:szCs w:val="28"/>
        </w:rPr>
      </w:pPr>
      <w:bookmarkStart w:id="118" w:name="_Toc246997019"/>
      <w:bookmarkStart w:id="119" w:name="_Toc247085791"/>
      <w:bookmarkStart w:id="120" w:name="_Toc246996276"/>
      <w:bookmarkStart w:id="121" w:name="_Toc296602520"/>
      <w:r>
        <w:rPr>
          <w:rFonts w:hint="eastAsia" w:ascii="宋体" w:hAnsi="宋体"/>
          <w:szCs w:val="28"/>
        </w:rPr>
        <w:t>4.监理人的指示</w:t>
      </w:r>
      <w:bookmarkEnd w:id="118"/>
      <w:bookmarkEnd w:id="119"/>
      <w:bookmarkEnd w:id="120"/>
      <w:bookmarkEnd w:id="121"/>
    </w:p>
    <w:p>
      <w:pPr>
        <w:spacing w:after="120" w:line="360" w:lineRule="auto"/>
        <w:ind w:firstLine="560" w:firstLineChars="200"/>
        <w:rPr>
          <w:rFonts w:ascii="宋体" w:hAnsi="宋体"/>
          <w:szCs w:val="28"/>
        </w:rPr>
      </w:pPr>
      <w:r>
        <w:rPr>
          <w:rFonts w:hint="eastAsia" w:ascii="宋体" w:hAnsi="宋体"/>
          <w:szCs w:val="28"/>
        </w:rPr>
        <w:t>（1）监理人应按前款监理人的约定向承包人发出指示，监理人的指示应盖有监理人授权的施工场地机构章，并由总监理工程师或总监理工程师按前款监理人项约定授权的监理人员签字。</w:t>
      </w:r>
    </w:p>
    <w:p>
      <w:pPr>
        <w:spacing w:after="120" w:line="360" w:lineRule="auto"/>
        <w:ind w:firstLine="560" w:firstLineChars="200"/>
        <w:rPr>
          <w:rFonts w:ascii="宋体" w:hAnsi="宋体"/>
          <w:szCs w:val="28"/>
        </w:rPr>
      </w:pPr>
      <w:r>
        <w:rPr>
          <w:rFonts w:hint="eastAsia" w:ascii="宋体" w:hAnsi="宋体"/>
          <w:szCs w:val="28"/>
        </w:rPr>
        <w:t>（2）承包人收到监理人按前款监理人项作出的指示后应遵照执行。指示构成变更的，应按变更条款处理。</w:t>
      </w:r>
    </w:p>
    <w:p>
      <w:pPr>
        <w:spacing w:after="120" w:line="360" w:lineRule="auto"/>
        <w:ind w:firstLine="560" w:firstLineChars="200"/>
        <w:rPr>
          <w:rFonts w:ascii="宋体" w:hAnsi="宋体"/>
          <w:szCs w:val="28"/>
        </w:rPr>
      </w:pPr>
      <w:r>
        <w:rPr>
          <w:rFonts w:hint="eastAsia" w:ascii="宋体" w:hAnsi="宋体"/>
          <w:szCs w:val="28"/>
        </w:rPr>
        <w:t>（3）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pPr>
        <w:spacing w:after="120" w:line="360" w:lineRule="auto"/>
        <w:ind w:firstLine="560" w:firstLineChars="200"/>
        <w:rPr>
          <w:rFonts w:ascii="宋体" w:hAnsi="宋体"/>
          <w:szCs w:val="28"/>
        </w:rPr>
      </w:pPr>
      <w:r>
        <w:rPr>
          <w:rFonts w:hint="eastAsia" w:ascii="宋体" w:hAnsi="宋体"/>
          <w:szCs w:val="28"/>
        </w:rPr>
        <w:t>（4）除合同另有约定外，承包人只从总监理工程师或按前款监理人项被授权的监理人员处取得指示。</w:t>
      </w:r>
    </w:p>
    <w:p>
      <w:pPr>
        <w:spacing w:after="120" w:line="360" w:lineRule="auto"/>
        <w:ind w:firstLine="560" w:firstLineChars="200"/>
        <w:rPr>
          <w:rFonts w:ascii="宋体" w:hAnsi="宋体"/>
          <w:szCs w:val="28"/>
        </w:rPr>
      </w:pPr>
      <w:r>
        <w:rPr>
          <w:rFonts w:hint="eastAsia" w:ascii="宋体" w:hAnsi="宋体"/>
          <w:szCs w:val="28"/>
        </w:rPr>
        <w:t>（5）由于监理人未能按合同约定发出指示、指示延误或指示错误而导致承包人费用增加和（或）工期延误的，由发包人承担赔偿责任。</w:t>
      </w:r>
    </w:p>
    <w:p>
      <w:pPr>
        <w:spacing w:after="120" w:line="360" w:lineRule="auto"/>
        <w:ind w:firstLine="560" w:firstLineChars="200"/>
        <w:rPr>
          <w:rFonts w:ascii="宋体" w:hAnsi="宋体"/>
          <w:szCs w:val="28"/>
        </w:rPr>
      </w:pPr>
      <w:bookmarkStart w:id="122" w:name="_Toc246997020"/>
      <w:bookmarkStart w:id="123" w:name="_Toc296602521"/>
      <w:bookmarkStart w:id="124" w:name="_Toc246996277"/>
      <w:bookmarkStart w:id="125" w:name="_Toc247085792"/>
      <w:r>
        <w:rPr>
          <w:rFonts w:hint="eastAsia" w:ascii="宋体" w:hAnsi="宋体"/>
          <w:szCs w:val="28"/>
        </w:rPr>
        <w:t>5.商定或确定</w:t>
      </w:r>
      <w:bookmarkEnd w:id="122"/>
      <w:bookmarkEnd w:id="123"/>
      <w:bookmarkEnd w:id="124"/>
      <w:bookmarkEnd w:id="125"/>
    </w:p>
    <w:p>
      <w:pPr>
        <w:spacing w:after="120" w:line="360" w:lineRule="auto"/>
        <w:ind w:firstLine="560" w:firstLineChars="200"/>
        <w:rPr>
          <w:rFonts w:ascii="宋体" w:hAnsi="宋体"/>
          <w:szCs w:val="28"/>
        </w:rPr>
      </w:pPr>
      <w:r>
        <w:rPr>
          <w:rFonts w:hint="eastAsia" w:ascii="宋体" w:hAnsi="宋体"/>
          <w:szCs w:val="28"/>
        </w:rPr>
        <w:t>（1）合同约定总监理工程师应按照本款对任何事项进行商定或确定时，总监理工程师应与合同当事人协商，尽量达成一致。不能达成一致的，总监理工程师应认真研究后审慎确定。</w:t>
      </w:r>
    </w:p>
    <w:p>
      <w:pPr>
        <w:spacing w:after="120" w:line="360" w:lineRule="auto"/>
        <w:ind w:firstLine="560" w:firstLineChars="200"/>
        <w:rPr>
          <w:rFonts w:ascii="宋体" w:hAnsi="宋体"/>
          <w:szCs w:val="28"/>
        </w:rPr>
      </w:pPr>
      <w:r>
        <w:rPr>
          <w:rFonts w:hint="eastAsia" w:ascii="宋体" w:hAnsi="宋体"/>
          <w:szCs w:val="28"/>
        </w:rPr>
        <w:t>（2）总监理工程师应将商定或确定的事项通知合同当事人，并附详细依据。对总监理工程师的确定有异议的，构成争议，按照争议的解决的条款的约定处理。在争议解决前，双方应暂按总监理工程师的确定执行，按照争议的解决的条款约定对总监理工程师的确定作出修改的，按修改后的结果执行。</w:t>
      </w:r>
    </w:p>
    <w:p>
      <w:pPr>
        <w:spacing w:after="120" w:line="360" w:lineRule="auto"/>
        <w:ind w:firstLine="560" w:firstLineChars="200"/>
        <w:rPr>
          <w:rFonts w:ascii="宋体" w:hAnsi="宋体"/>
          <w:szCs w:val="28"/>
        </w:rPr>
      </w:pPr>
      <w:bookmarkStart w:id="126" w:name="_Toc246996278"/>
      <w:bookmarkStart w:id="127" w:name="_Toc296602522"/>
      <w:bookmarkStart w:id="128" w:name="_Toc246997021"/>
      <w:bookmarkStart w:id="129" w:name="_Toc247085793"/>
      <w:bookmarkStart w:id="130" w:name="_Toc184635101"/>
      <w:r>
        <w:rPr>
          <w:rFonts w:hint="eastAsia" w:ascii="宋体" w:hAnsi="宋体"/>
          <w:szCs w:val="28"/>
        </w:rPr>
        <w:t>（十）承包人</w:t>
      </w:r>
      <w:bookmarkEnd w:id="126"/>
      <w:bookmarkEnd w:id="127"/>
      <w:bookmarkEnd w:id="128"/>
      <w:bookmarkEnd w:id="129"/>
      <w:bookmarkEnd w:id="130"/>
    </w:p>
    <w:p>
      <w:pPr>
        <w:spacing w:after="120" w:line="360" w:lineRule="auto"/>
        <w:ind w:firstLine="560" w:firstLineChars="200"/>
        <w:rPr>
          <w:rFonts w:ascii="宋体" w:hAnsi="宋体"/>
          <w:szCs w:val="28"/>
        </w:rPr>
      </w:pPr>
      <w:bookmarkStart w:id="131" w:name="_Toc247085794"/>
      <w:bookmarkStart w:id="132" w:name="_Toc246997022"/>
      <w:bookmarkStart w:id="133" w:name="_Toc246996279"/>
      <w:bookmarkStart w:id="134" w:name="_Toc296602523"/>
      <w:r>
        <w:rPr>
          <w:rFonts w:hint="eastAsia" w:ascii="宋体" w:hAnsi="宋体"/>
          <w:szCs w:val="28"/>
        </w:rPr>
        <w:t>1.承包人的一般义务</w:t>
      </w:r>
      <w:bookmarkEnd w:id="131"/>
      <w:bookmarkEnd w:id="132"/>
      <w:bookmarkEnd w:id="133"/>
      <w:bookmarkEnd w:id="134"/>
    </w:p>
    <w:p>
      <w:pPr>
        <w:spacing w:after="120" w:line="360" w:lineRule="auto"/>
        <w:ind w:firstLine="560" w:firstLineChars="200"/>
        <w:rPr>
          <w:rFonts w:ascii="宋体" w:hAnsi="宋体"/>
          <w:szCs w:val="28"/>
        </w:rPr>
      </w:pPr>
      <w:r>
        <w:rPr>
          <w:rFonts w:hint="eastAsia" w:ascii="宋体" w:hAnsi="宋体"/>
          <w:szCs w:val="28"/>
        </w:rPr>
        <w:t>（1）承包人应按合同约定以及监理人根据前款监理人的指示作出的指示，实施、完成全部工程，并修补工程中的任何缺陷。</w:t>
      </w:r>
    </w:p>
    <w:p>
      <w:pPr>
        <w:spacing w:after="120" w:line="360" w:lineRule="auto"/>
        <w:ind w:firstLine="560" w:firstLineChars="200"/>
        <w:rPr>
          <w:rFonts w:ascii="宋体" w:hAnsi="宋体"/>
          <w:szCs w:val="28"/>
        </w:rPr>
      </w:pPr>
      <w:r>
        <w:rPr>
          <w:rFonts w:hint="eastAsia" w:ascii="宋体" w:hAnsi="宋体"/>
          <w:szCs w:val="28"/>
        </w:rPr>
        <w:t>（2）除合同另有约定外，承包人应提供为按照合同完成工程所需的劳务、材料、施工设备、工程设备和其他物品，以及按合同约定的临时设施等。</w:t>
      </w:r>
    </w:p>
    <w:p>
      <w:pPr>
        <w:spacing w:after="120" w:line="360" w:lineRule="auto"/>
        <w:ind w:firstLine="560" w:firstLineChars="200"/>
        <w:rPr>
          <w:rFonts w:ascii="宋体" w:hAnsi="宋体"/>
          <w:szCs w:val="28"/>
        </w:rPr>
      </w:pPr>
      <w:r>
        <w:rPr>
          <w:rFonts w:hint="eastAsia" w:ascii="宋体" w:hAnsi="宋体"/>
          <w:szCs w:val="28"/>
        </w:rPr>
        <w:t>（3）承包人应对所有现场作业、所有施工方法和全部工程的完备性、稳定性和安全性负责。</w:t>
      </w:r>
    </w:p>
    <w:p>
      <w:pPr>
        <w:spacing w:after="120" w:line="360" w:lineRule="auto"/>
        <w:ind w:firstLine="560" w:firstLineChars="200"/>
        <w:rPr>
          <w:rFonts w:ascii="宋体" w:hAnsi="宋体"/>
          <w:szCs w:val="28"/>
        </w:rPr>
      </w:pPr>
      <w:r>
        <w:rPr>
          <w:rFonts w:hint="eastAsia" w:ascii="宋体" w:hAnsi="宋体"/>
          <w:szCs w:val="28"/>
        </w:rPr>
        <w:t>（4）承包人应按照法律规定和合同约定，负责施工场地及其周边环境与生态的保护工作。</w:t>
      </w:r>
    </w:p>
    <w:p>
      <w:pPr>
        <w:spacing w:after="120" w:line="360" w:lineRule="auto"/>
        <w:ind w:firstLine="560" w:firstLineChars="200"/>
        <w:rPr>
          <w:rFonts w:ascii="宋体" w:hAnsi="宋体"/>
          <w:szCs w:val="28"/>
        </w:rPr>
      </w:pPr>
      <w:r>
        <w:rPr>
          <w:rFonts w:hint="eastAsia" w:ascii="宋体" w:hAnsi="宋体"/>
          <w:szCs w:val="28"/>
        </w:rPr>
        <w:t>（5）工程接收证书颁发前，承包人应负责照管和维护工程。工程接收证书颁发时尚有部分未竣工工程的，承包人还应负责该未竣工工程的照管和维护工作，直至竣工后移交给发包人为止。</w:t>
      </w:r>
    </w:p>
    <w:p>
      <w:pPr>
        <w:spacing w:after="120" w:line="360" w:lineRule="auto"/>
        <w:ind w:firstLine="560" w:firstLineChars="200"/>
        <w:rPr>
          <w:rFonts w:ascii="宋体" w:hAnsi="宋体"/>
          <w:szCs w:val="28"/>
        </w:rPr>
      </w:pPr>
      <w:r>
        <w:rPr>
          <w:rFonts w:hint="eastAsia" w:ascii="宋体" w:hAnsi="宋体"/>
          <w:szCs w:val="28"/>
        </w:rPr>
        <w:t>（6）承包人应履行合同约定的其他义务。</w:t>
      </w:r>
    </w:p>
    <w:p>
      <w:pPr>
        <w:spacing w:after="120" w:line="360" w:lineRule="auto"/>
        <w:ind w:firstLine="560" w:firstLineChars="200"/>
        <w:rPr>
          <w:rFonts w:ascii="宋体" w:hAnsi="宋体"/>
          <w:szCs w:val="28"/>
        </w:rPr>
      </w:pPr>
      <w:bookmarkStart w:id="135" w:name="_Toc247085795"/>
      <w:bookmarkStart w:id="136" w:name="_Toc246997023"/>
      <w:bookmarkStart w:id="137" w:name="_Toc246996280"/>
      <w:bookmarkStart w:id="138" w:name="_Toc296602524"/>
      <w:r>
        <w:rPr>
          <w:rFonts w:hint="eastAsia" w:ascii="宋体" w:hAnsi="宋体"/>
          <w:szCs w:val="28"/>
        </w:rPr>
        <w:t>2.履约担保</w:t>
      </w:r>
      <w:bookmarkEnd w:id="135"/>
      <w:bookmarkEnd w:id="136"/>
      <w:bookmarkEnd w:id="137"/>
      <w:bookmarkEnd w:id="138"/>
    </w:p>
    <w:p>
      <w:pPr>
        <w:spacing w:after="120" w:line="360" w:lineRule="auto"/>
        <w:ind w:firstLine="560" w:firstLineChars="200"/>
        <w:rPr>
          <w:rFonts w:ascii="宋体" w:hAnsi="宋体"/>
          <w:szCs w:val="28"/>
        </w:rPr>
      </w:pPr>
      <w:r>
        <w:rPr>
          <w:rFonts w:hint="eastAsia" w:ascii="宋体" w:hAnsi="宋体"/>
          <w:szCs w:val="28"/>
        </w:rPr>
        <w:t>（1）承包人应保证其履约担保在发包人颁发工程接收证书前一直有效。发包人应在工程接收证书颁发后28 天内把履约担保退还给承包人。</w:t>
      </w:r>
    </w:p>
    <w:p>
      <w:pPr>
        <w:spacing w:after="120" w:line="360" w:lineRule="auto"/>
        <w:ind w:firstLine="560" w:firstLineChars="200"/>
        <w:rPr>
          <w:rFonts w:ascii="宋体" w:hAnsi="宋体"/>
          <w:szCs w:val="28"/>
        </w:rPr>
      </w:pPr>
      <w:r>
        <w:rPr>
          <w:rFonts w:hint="eastAsia" w:ascii="宋体" w:hAnsi="宋体"/>
          <w:szCs w:val="28"/>
        </w:rPr>
        <w:t>（2）如工程延期，承包人有义务继续提供履约担保。由于发包人原因导致延期的，继续提供履约担保所需的费用由发包人承担；由于承包人原因导致延期的，继续提供履约担保所需费用由承包人承担。</w:t>
      </w:r>
    </w:p>
    <w:p>
      <w:pPr>
        <w:spacing w:after="120" w:line="360" w:lineRule="auto"/>
        <w:ind w:firstLine="560" w:firstLineChars="200"/>
        <w:rPr>
          <w:rFonts w:ascii="宋体" w:hAnsi="宋体"/>
          <w:szCs w:val="28"/>
        </w:rPr>
      </w:pPr>
      <w:bookmarkStart w:id="139" w:name="_Toc247085797"/>
      <w:bookmarkStart w:id="140" w:name="_Toc246997025"/>
      <w:bookmarkStart w:id="141" w:name="_Toc296602525"/>
      <w:bookmarkStart w:id="142" w:name="_Toc246996282"/>
      <w:r>
        <w:rPr>
          <w:rFonts w:hint="eastAsia" w:ascii="宋体" w:hAnsi="宋体"/>
          <w:szCs w:val="28"/>
        </w:rPr>
        <w:t>3.承包人项目经理</w:t>
      </w:r>
      <w:bookmarkEnd w:id="139"/>
      <w:bookmarkEnd w:id="140"/>
      <w:bookmarkEnd w:id="141"/>
      <w:bookmarkEnd w:id="142"/>
    </w:p>
    <w:p>
      <w:pPr>
        <w:spacing w:after="120" w:line="360" w:lineRule="auto"/>
        <w:ind w:firstLine="560" w:firstLineChars="200"/>
        <w:rPr>
          <w:rFonts w:ascii="宋体" w:hAnsi="宋体"/>
          <w:szCs w:val="28"/>
        </w:rPr>
      </w:pPr>
      <w:r>
        <w:rPr>
          <w:rFonts w:hint="eastAsia" w:ascii="宋体" w:hAnsi="宋体"/>
          <w:szCs w:val="28"/>
        </w:rPr>
        <w:t>承包人应按合同约定指派项目经理，并在约定的期限内到职。承包人项目经理应按合同约定以及监理人按监理人的指示作出的指示，负责组织合同工程的实施。承包人为履行合同发出的一切函件均应盖有承包人授权的施工场地管理机构章，并由承包人项目经理或其授权代表签字。</w:t>
      </w:r>
    </w:p>
    <w:p>
      <w:pPr>
        <w:spacing w:after="120" w:line="360" w:lineRule="auto"/>
        <w:ind w:firstLine="560" w:firstLineChars="200"/>
        <w:rPr>
          <w:rFonts w:ascii="宋体" w:hAnsi="宋体"/>
          <w:szCs w:val="28"/>
        </w:rPr>
      </w:pPr>
      <w:bookmarkStart w:id="143" w:name="_Toc246997026"/>
      <w:bookmarkStart w:id="144" w:name="_Toc247085798"/>
      <w:bookmarkStart w:id="145" w:name="_Toc246996283"/>
      <w:bookmarkStart w:id="146" w:name="_Toc296602526"/>
      <w:r>
        <w:rPr>
          <w:rFonts w:hint="eastAsia" w:ascii="宋体" w:hAnsi="宋体"/>
          <w:szCs w:val="28"/>
        </w:rPr>
        <w:t>4.工程价款应专款专用</w:t>
      </w:r>
      <w:bookmarkEnd w:id="143"/>
      <w:bookmarkEnd w:id="144"/>
      <w:bookmarkEnd w:id="145"/>
      <w:bookmarkEnd w:id="146"/>
    </w:p>
    <w:p>
      <w:pPr>
        <w:spacing w:after="120" w:line="360" w:lineRule="auto"/>
        <w:ind w:firstLine="560" w:firstLineChars="200"/>
        <w:rPr>
          <w:rFonts w:ascii="宋体" w:hAnsi="宋体"/>
          <w:szCs w:val="28"/>
        </w:rPr>
      </w:pPr>
      <w:r>
        <w:rPr>
          <w:rFonts w:hint="eastAsia" w:ascii="宋体" w:hAnsi="宋体"/>
          <w:szCs w:val="28"/>
        </w:rPr>
        <w:t>发包人按合同约定支付给承包人的各项价款应专用于合同工程。</w:t>
      </w:r>
      <w:bookmarkStart w:id="147" w:name="_Toc246997027"/>
      <w:bookmarkStart w:id="148" w:name="_Toc246996284"/>
      <w:bookmarkStart w:id="149" w:name="_Toc247085799"/>
    </w:p>
    <w:p>
      <w:pPr>
        <w:spacing w:after="120" w:line="360" w:lineRule="auto"/>
        <w:ind w:firstLine="560" w:firstLineChars="200"/>
        <w:rPr>
          <w:rFonts w:ascii="宋体" w:hAnsi="宋体"/>
          <w:szCs w:val="28"/>
        </w:rPr>
      </w:pPr>
      <w:bookmarkStart w:id="150" w:name="_Toc152045650"/>
      <w:bookmarkStart w:id="151" w:name="_Toc152042428"/>
      <w:bookmarkStart w:id="152" w:name="_Toc296602527"/>
      <w:bookmarkStart w:id="153" w:name="_Toc179632668"/>
      <w:bookmarkStart w:id="154" w:name="_Toc144974618"/>
      <w:r>
        <w:rPr>
          <w:rFonts w:hint="eastAsia" w:ascii="宋体" w:hAnsi="宋体"/>
          <w:szCs w:val="28"/>
        </w:rPr>
        <w:t>5.不利物质条件</w:t>
      </w:r>
      <w:bookmarkEnd w:id="150"/>
      <w:bookmarkEnd w:id="151"/>
      <w:bookmarkEnd w:id="152"/>
      <w:bookmarkEnd w:id="153"/>
      <w:bookmarkEnd w:id="154"/>
    </w:p>
    <w:p>
      <w:pPr>
        <w:spacing w:after="120" w:line="360" w:lineRule="auto"/>
        <w:ind w:firstLine="560" w:firstLineChars="200"/>
        <w:rPr>
          <w:rFonts w:ascii="宋体" w:hAnsi="宋体"/>
          <w:szCs w:val="28"/>
        </w:rPr>
      </w:pPr>
      <w:r>
        <w:rPr>
          <w:rFonts w:hint="eastAsia" w:ascii="宋体" w:hAnsi="宋体"/>
          <w:szCs w:val="28"/>
        </w:rPr>
        <w:t>（1）不利物质条件，除专用合同条款另有约定外，是指承包人在施工场地遇到的不可预见的自然物质条件、非自然的物质障碍和污染物，包括地下和水文条件，但不包括气候条件。</w:t>
      </w:r>
    </w:p>
    <w:p>
      <w:pPr>
        <w:spacing w:after="120" w:line="360" w:lineRule="auto"/>
        <w:ind w:firstLine="560" w:firstLineChars="200"/>
        <w:rPr>
          <w:rFonts w:ascii="宋体" w:hAnsi="宋体"/>
          <w:szCs w:val="28"/>
        </w:rPr>
      </w:pPr>
      <w:r>
        <w:rPr>
          <w:rFonts w:hint="eastAsia" w:ascii="宋体" w:hAnsi="宋体"/>
          <w:szCs w:val="28"/>
        </w:rPr>
        <w:t>（2）承包人遇到不利物质条件时，应采取适应不利物质条件的合理措施继续施工，并及时通知监理人，通知应载明不利物质条件的内容以及承包人认为不可预见的理由。监理人应当及时发出指示，指示构成变更的，按前款变更条款约定执行。监理人没有发出指示的，承包人因采取合理措施而增加的费用和（或）工期延误，由发包人承担。</w:t>
      </w:r>
    </w:p>
    <w:p>
      <w:pPr>
        <w:spacing w:after="120" w:line="360" w:lineRule="auto"/>
        <w:ind w:firstLine="560" w:firstLineChars="200"/>
        <w:rPr>
          <w:rFonts w:ascii="宋体" w:hAnsi="宋体"/>
          <w:szCs w:val="28"/>
        </w:rPr>
      </w:pPr>
      <w:bookmarkStart w:id="155" w:name="_Toc152042447"/>
      <w:bookmarkStart w:id="156" w:name="_Toc179632687"/>
      <w:bookmarkStart w:id="157" w:name="_Toc152045669"/>
      <w:bookmarkStart w:id="158" w:name="_Toc144974637"/>
      <w:bookmarkStart w:id="159" w:name="_Toc296602528"/>
      <w:r>
        <w:rPr>
          <w:rFonts w:hint="eastAsia" w:ascii="宋体" w:hAnsi="宋体"/>
          <w:szCs w:val="28"/>
        </w:rPr>
        <w:t>（十一）施工控制网</w:t>
      </w:r>
      <w:bookmarkEnd w:id="155"/>
      <w:bookmarkEnd w:id="156"/>
      <w:bookmarkEnd w:id="157"/>
      <w:bookmarkEnd w:id="158"/>
      <w:bookmarkEnd w:id="159"/>
    </w:p>
    <w:p>
      <w:pPr>
        <w:spacing w:after="120" w:line="360" w:lineRule="auto"/>
        <w:ind w:firstLine="560" w:firstLineChars="200"/>
        <w:rPr>
          <w:rFonts w:ascii="宋体" w:hAnsi="宋体"/>
          <w:szCs w:val="28"/>
        </w:rPr>
      </w:pPr>
      <w:r>
        <w:rPr>
          <w:rFonts w:hint="eastAsia" w:ascii="宋体" w:hAnsi="宋体"/>
          <w:szCs w:val="28"/>
        </w:rPr>
        <w:t>1.发包人应在专用合同条款约定的期限内，通过监理人向承包人提供测量基准点、基准线和水准点及其书面资料。除专用合同条款另有约定外，承包人应根据国家测绘基准、测绘系统和工程测量技术规范，按上述基准点（线）以及合同工程精度要求，测设施工控制网，并在专用合同条款约定的期限内，将施工控制网资料报送监理人审批。</w:t>
      </w:r>
    </w:p>
    <w:p>
      <w:pPr>
        <w:spacing w:after="120" w:line="360" w:lineRule="auto"/>
        <w:ind w:firstLine="560" w:firstLineChars="200"/>
        <w:rPr>
          <w:rFonts w:ascii="宋体" w:hAnsi="宋体"/>
          <w:szCs w:val="28"/>
        </w:rPr>
      </w:pPr>
      <w:r>
        <w:rPr>
          <w:rFonts w:hint="eastAsia" w:ascii="宋体" w:hAnsi="宋体"/>
          <w:szCs w:val="28"/>
        </w:rPr>
        <w:t>2.承包人应负责管理施工控制网点。施工控制网点丢失或损坏的，承包人应及时修复。承包人应承担施工控制网点的管理与修复费用，并在工程竣工后将施工控制网点移交发包人。</w:t>
      </w:r>
    </w:p>
    <w:p>
      <w:pPr>
        <w:spacing w:after="120" w:line="360" w:lineRule="auto"/>
        <w:ind w:firstLine="560" w:firstLineChars="200"/>
        <w:rPr>
          <w:rFonts w:ascii="宋体" w:hAnsi="宋体"/>
          <w:szCs w:val="28"/>
        </w:rPr>
      </w:pPr>
      <w:bookmarkStart w:id="160" w:name="_Toc296602529"/>
      <w:r>
        <w:rPr>
          <w:rFonts w:hint="eastAsia" w:ascii="宋体" w:hAnsi="宋体"/>
          <w:szCs w:val="28"/>
        </w:rPr>
        <w:t>（十二）工期</w:t>
      </w:r>
      <w:bookmarkEnd w:id="160"/>
    </w:p>
    <w:p>
      <w:pPr>
        <w:spacing w:after="120" w:line="360" w:lineRule="auto"/>
        <w:ind w:firstLine="560" w:firstLineChars="200"/>
        <w:rPr>
          <w:rFonts w:ascii="宋体" w:hAnsi="宋体"/>
          <w:szCs w:val="28"/>
        </w:rPr>
      </w:pPr>
      <w:bookmarkStart w:id="161" w:name="_Toc296602530"/>
      <w:bookmarkStart w:id="162" w:name="_Toc152042460"/>
      <w:bookmarkStart w:id="163" w:name="_Toc144974650"/>
      <w:bookmarkStart w:id="164" w:name="_Toc179632700"/>
      <w:bookmarkStart w:id="165" w:name="_Toc152045682"/>
      <w:r>
        <w:rPr>
          <w:rFonts w:hint="eastAsia" w:ascii="宋体" w:hAnsi="宋体"/>
          <w:szCs w:val="28"/>
        </w:rPr>
        <w:t>1.进度计划</w:t>
      </w:r>
      <w:bookmarkEnd w:id="161"/>
    </w:p>
    <w:p>
      <w:pPr>
        <w:spacing w:after="120" w:line="360" w:lineRule="auto"/>
        <w:ind w:firstLine="560" w:firstLineChars="200"/>
        <w:rPr>
          <w:rFonts w:ascii="宋体" w:hAnsi="宋体"/>
          <w:szCs w:val="28"/>
        </w:rPr>
      </w:pPr>
      <w:r>
        <w:rPr>
          <w:rFonts w:hint="eastAsia" w:ascii="宋体" w:hAnsi="宋体"/>
          <w:szCs w:val="28"/>
        </w:rPr>
        <w:t>承包人应按照专用合同条款约定的时间，向监理人提交进度计划。经监理人审批后的进度计划具有合同约束力，承包人应当严格执行。实际进度与进度计划不符时，监理人应当指示承包人对进度计划进行修订，重新提交给监理人审批。</w:t>
      </w:r>
    </w:p>
    <w:bookmarkEnd w:id="162"/>
    <w:bookmarkEnd w:id="163"/>
    <w:bookmarkEnd w:id="164"/>
    <w:bookmarkEnd w:id="165"/>
    <w:p>
      <w:pPr>
        <w:spacing w:after="120" w:line="360" w:lineRule="auto"/>
        <w:ind w:firstLine="560" w:firstLineChars="200"/>
        <w:rPr>
          <w:rFonts w:ascii="宋体" w:hAnsi="宋体"/>
          <w:szCs w:val="28"/>
        </w:rPr>
      </w:pPr>
      <w:bookmarkStart w:id="166" w:name="_Toc296602531"/>
      <w:r>
        <w:rPr>
          <w:rFonts w:hint="eastAsia" w:ascii="宋体" w:hAnsi="宋体"/>
          <w:szCs w:val="28"/>
        </w:rPr>
        <w:t>2.工程实施</w:t>
      </w:r>
      <w:bookmarkEnd w:id="166"/>
    </w:p>
    <w:p>
      <w:pPr>
        <w:spacing w:after="120" w:line="360" w:lineRule="auto"/>
        <w:ind w:firstLine="560" w:firstLineChars="200"/>
        <w:rPr>
          <w:rFonts w:ascii="宋体" w:hAnsi="宋体"/>
          <w:szCs w:val="28"/>
        </w:rPr>
      </w:pPr>
      <w:r>
        <w:rPr>
          <w:rFonts w:hint="eastAsia" w:ascii="宋体" w:hAnsi="宋体"/>
          <w:szCs w:val="28"/>
        </w:rPr>
        <w:t>监理人应在开工日期7天前向承包人发出开工通知。承包人应在工期条款约定的期限内完成合同工程。实际竣工日期在接收证书中写明。</w:t>
      </w:r>
    </w:p>
    <w:p>
      <w:pPr>
        <w:spacing w:after="120" w:line="360" w:lineRule="auto"/>
        <w:ind w:firstLine="560" w:firstLineChars="200"/>
        <w:rPr>
          <w:rFonts w:ascii="宋体" w:hAnsi="宋体"/>
          <w:szCs w:val="28"/>
        </w:rPr>
      </w:pPr>
      <w:bookmarkStart w:id="167" w:name="_Toc296602532"/>
      <w:bookmarkStart w:id="168" w:name="_Toc152045685"/>
      <w:bookmarkStart w:id="169" w:name="_Toc179632703"/>
      <w:bookmarkStart w:id="170" w:name="_Toc144974653"/>
      <w:bookmarkStart w:id="171" w:name="_Toc152042463"/>
      <w:r>
        <w:rPr>
          <w:rFonts w:hint="eastAsia" w:ascii="宋体" w:hAnsi="宋体"/>
          <w:szCs w:val="28"/>
        </w:rPr>
        <w:t>3.发包人引起的工期延误</w:t>
      </w:r>
      <w:bookmarkEnd w:id="167"/>
      <w:bookmarkEnd w:id="168"/>
      <w:bookmarkEnd w:id="169"/>
      <w:bookmarkEnd w:id="170"/>
      <w:bookmarkEnd w:id="171"/>
    </w:p>
    <w:p>
      <w:pPr>
        <w:spacing w:after="120" w:line="360" w:lineRule="auto"/>
        <w:ind w:firstLine="560" w:firstLineChars="200"/>
        <w:rPr>
          <w:rFonts w:ascii="宋体" w:hAnsi="宋体"/>
          <w:szCs w:val="28"/>
        </w:rPr>
      </w:pPr>
      <w:r>
        <w:rPr>
          <w:rFonts w:hint="eastAsia" w:ascii="宋体" w:hAnsi="宋体"/>
          <w:szCs w:val="28"/>
        </w:rPr>
        <w:t>在履行合同过程中，由于发包人的下列原因造成工期延误的，承包人有权要求发包人延长工期和（或）增加费用，并支付合理利润。需要修订合同进度计划的，按照进度计划条款的约定执行。</w:t>
      </w:r>
    </w:p>
    <w:p>
      <w:pPr>
        <w:spacing w:after="120" w:line="360" w:lineRule="auto"/>
        <w:ind w:firstLine="560" w:firstLineChars="200"/>
        <w:rPr>
          <w:rFonts w:ascii="宋体" w:hAnsi="宋体"/>
          <w:szCs w:val="28"/>
        </w:rPr>
      </w:pPr>
      <w:r>
        <w:rPr>
          <w:rFonts w:hint="eastAsia" w:ascii="宋体" w:hAnsi="宋体"/>
          <w:szCs w:val="28"/>
        </w:rPr>
        <w:t>（1）增加合同工作内容；</w:t>
      </w:r>
    </w:p>
    <w:p>
      <w:pPr>
        <w:spacing w:after="120" w:line="360" w:lineRule="auto"/>
        <w:ind w:firstLine="560" w:firstLineChars="200"/>
        <w:rPr>
          <w:rFonts w:ascii="宋体" w:hAnsi="宋体"/>
          <w:szCs w:val="28"/>
        </w:rPr>
      </w:pPr>
      <w:r>
        <w:rPr>
          <w:rFonts w:hint="eastAsia" w:ascii="宋体" w:hAnsi="宋体"/>
          <w:szCs w:val="28"/>
        </w:rPr>
        <w:t>（2）改变合同中任何一项工作的质量要求或其他特性；</w:t>
      </w:r>
    </w:p>
    <w:p>
      <w:pPr>
        <w:spacing w:after="120" w:line="360" w:lineRule="auto"/>
        <w:ind w:firstLine="560" w:firstLineChars="200"/>
        <w:rPr>
          <w:rFonts w:ascii="宋体" w:hAnsi="宋体"/>
          <w:szCs w:val="28"/>
        </w:rPr>
      </w:pPr>
      <w:r>
        <w:rPr>
          <w:rFonts w:hint="eastAsia" w:ascii="宋体" w:hAnsi="宋体"/>
          <w:szCs w:val="28"/>
        </w:rPr>
        <w:t>（3）发包人迟延提供材料、工程设备或变更交货地点；</w:t>
      </w:r>
    </w:p>
    <w:p>
      <w:pPr>
        <w:spacing w:after="120" w:line="360" w:lineRule="auto"/>
        <w:ind w:firstLine="560" w:firstLineChars="200"/>
        <w:rPr>
          <w:rFonts w:ascii="宋体" w:hAnsi="宋体"/>
          <w:szCs w:val="28"/>
        </w:rPr>
      </w:pPr>
      <w:r>
        <w:rPr>
          <w:rFonts w:hint="eastAsia" w:ascii="宋体" w:hAnsi="宋体"/>
          <w:szCs w:val="28"/>
        </w:rPr>
        <w:t>（4）因发包人原因导致的暂停施工；</w:t>
      </w:r>
    </w:p>
    <w:p>
      <w:pPr>
        <w:spacing w:after="120" w:line="360" w:lineRule="auto"/>
        <w:ind w:firstLine="560" w:firstLineChars="200"/>
        <w:rPr>
          <w:rFonts w:ascii="宋体" w:hAnsi="宋体"/>
          <w:szCs w:val="28"/>
        </w:rPr>
      </w:pPr>
      <w:r>
        <w:rPr>
          <w:rFonts w:hint="eastAsia" w:ascii="宋体" w:hAnsi="宋体"/>
          <w:szCs w:val="28"/>
        </w:rPr>
        <w:t>（5）提供图纸延误；</w:t>
      </w:r>
    </w:p>
    <w:p>
      <w:pPr>
        <w:spacing w:after="120" w:line="360" w:lineRule="auto"/>
        <w:ind w:firstLine="560" w:firstLineChars="200"/>
        <w:rPr>
          <w:rFonts w:ascii="宋体" w:hAnsi="宋体"/>
          <w:szCs w:val="28"/>
        </w:rPr>
      </w:pPr>
      <w:r>
        <w:rPr>
          <w:rFonts w:hint="eastAsia" w:ascii="宋体" w:hAnsi="宋体"/>
          <w:szCs w:val="28"/>
        </w:rPr>
        <w:t>（6）未按合同约定及时支付预付款、进度款；</w:t>
      </w:r>
    </w:p>
    <w:p>
      <w:pPr>
        <w:spacing w:after="120" w:line="360" w:lineRule="auto"/>
        <w:ind w:firstLine="560" w:firstLineChars="200"/>
        <w:rPr>
          <w:rFonts w:ascii="宋体" w:hAnsi="宋体"/>
          <w:szCs w:val="28"/>
        </w:rPr>
      </w:pPr>
      <w:r>
        <w:rPr>
          <w:rFonts w:hint="eastAsia" w:ascii="宋体" w:hAnsi="宋体"/>
          <w:szCs w:val="28"/>
        </w:rPr>
        <w:t>（7）发包人造成工期延误的其他原因。</w:t>
      </w:r>
    </w:p>
    <w:p>
      <w:pPr>
        <w:spacing w:after="120" w:line="360" w:lineRule="auto"/>
        <w:ind w:firstLine="560" w:firstLineChars="200"/>
        <w:rPr>
          <w:rFonts w:ascii="宋体" w:hAnsi="宋体"/>
          <w:szCs w:val="28"/>
        </w:rPr>
      </w:pPr>
      <w:bookmarkStart w:id="172" w:name="_Toc296602533"/>
      <w:bookmarkStart w:id="173" w:name="_Toc179632704"/>
      <w:bookmarkStart w:id="174" w:name="_Toc152042464"/>
      <w:bookmarkStart w:id="175" w:name="_Toc152045686"/>
      <w:bookmarkStart w:id="176" w:name="_Toc144974654"/>
      <w:r>
        <w:rPr>
          <w:rFonts w:hint="eastAsia" w:ascii="宋体" w:hAnsi="宋体"/>
          <w:szCs w:val="28"/>
        </w:rPr>
        <w:t>4.异常恶劣的气候条件</w:t>
      </w:r>
      <w:bookmarkEnd w:id="172"/>
      <w:bookmarkEnd w:id="173"/>
      <w:bookmarkEnd w:id="174"/>
      <w:bookmarkEnd w:id="175"/>
      <w:bookmarkEnd w:id="176"/>
    </w:p>
    <w:p>
      <w:pPr>
        <w:spacing w:after="120" w:line="360" w:lineRule="auto"/>
        <w:ind w:firstLine="560" w:firstLineChars="200"/>
        <w:rPr>
          <w:rFonts w:ascii="宋体" w:hAnsi="宋体"/>
          <w:szCs w:val="28"/>
        </w:rPr>
      </w:pPr>
      <w:r>
        <w:rPr>
          <w:rFonts w:hint="eastAsia" w:ascii="宋体" w:hAnsi="宋体"/>
          <w:szCs w:val="28"/>
        </w:rPr>
        <w:t>由于出现专用合同条款约定的异常恶劣气候导致工期延误的，承包人有权要求发包人延长工期。</w:t>
      </w:r>
    </w:p>
    <w:p>
      <w:pPr>
        <w:spacing w:after="120" w:line="360" w:lineRule="auto"/>
        <w:ind w:firstLine="560" w:firstLineChars="200"/>
        <w:rPr>
          <w:rFonts w:ascii="宋体" w:hAnsi="宋体"/>
          <w:szCs w:val="28"/>
        </w:rPr>
      </w:pPr>
      <w:bookmarkStart w:id="177" w:name="_Toc152042465"/>
      <w:bookmarkStart w:id="178" w:name="_Toc144974655"/>
      <w:bookmarkStart w:id="179" w:name="_Toc296602534"/>
      <w:bookmarkStart w:id="180" w:name="_Toc179632705"/>
      <w:bookmarkStart w:id="181" w:name="_Toc152045687"/>
      <w:r>
        <w:rPr>
          <w:rFonts w:hint="eastAsia" w:ascii="宋体" w:hAnsi="宋体"/>
          <w:szCs w:val="28"/>
        </w:rPr>
        <w:t>5.承包人引起的工期延误</w:t>
      </w:r>
      <w:bookmarkEnd w:id="177"/>
      <w:bookmarkEnd w:id="178"/>
      <w:bookmarkEnd w:id="179"/>
      <w:bookmarkEnd w:id="180"/>
      <w:bookmarkEnd w:id="181"/>
    </w:p>
    <w:p>
      <w:pPr>
        <w:spacing w:after="120" w:line="360" w:lineRule="auto"/>
        <w:ind w:firstLine="560" w:firstLineChars="200"/>
        <w:rPr>
          <w:rFonts w:ascii="宋体" w:hAnsi="宋体"/>
          <w:szCs w:val="28"/>
        </w:rPr>
      </w:pPr>
      <w:r>
        <w:rPr>
          <w:rFonts w:hint="eastAsia" w:ascii="宋体" w:hAnsi="宋体"/>
          <w:szCs w:val="28"/>
        </w:rPr>
        <w:t>由于承包人原因造成工期延误，承包人应按照专用合同条款中约定的逾期竣工违约金计算方法和最高限额，支付逾期竣工违约金。承包人支付逾期竣工违约金，不免除承包人完成工程及修补缺陷的义务。</w:t>
      </w:r>
    </w:p>
    <w:bookmarkEnd w:id="147"/>
    <w:bookmarkEnd w:id="148"/>
    <w:bookmarkEnd w:id="149"/>
    <w:p>
      <w:pPr>
        <w:spacing w:after="120" w:line="360" w:lineRule="auto"/>
        <w:ind w:firstLine="560" w:firstLineChars="200"/>
        <w:rPr>
          <w:rFonts w:ascii="宋体" w:hAnsi="宋体"/>
          <w:szCs w:val="28"/>
        </w:rPr>
      </w:pPr>
      <w:bookmarkStart w:id="182" w:name="_Toc246997034"/>
      <w:bookmarkStart w:id="183" w:name="_Toc184635110"/>
      <w:bookmarkStart w:id="184" w:name="_Toc296602535"/>
      <w:bookmarkStart w:id="185" w:name="_Toc247085806"/>
      <w:bookmarkStart w:id="186" w:name="_Toc246996291"/>
      <w:r>
        <w:rPr>
          <w:rFonts w:hint="eastAsia" w:ascii="宋体" w:hAnsi="宋体"/>
          <w:szCs w:val="28"/>
        </w:rPr>
        <w:t>（十三）工程质量</w:t>
      </w:r>
      <w:bookmarkEnd w:id="182"/>
      <w:bookmarkEnd w:id="183"/>
      <w:bookmarkEnd w:id="184"/>
      <w:bookmarkEnd w:id="185"/>
      <w:bookmarkEnd w:id="186"/>
    </w:p>
    <w:p>
      <w:pPr>
        <w:spacing w:after="120" w:line="360" w:lineRule="auto"/>
        <w:ind w:firstLine="560" w:firstLineChars="200"/>
        <w:rPr>
          <w:rFonts w:ascii="宋体" w:hAnsi="宋体"/>
          <w:szCs w:val="28"/>
        </w:rPr>
      </w:pPr>
      <w:bookmarkStart w:id="187" w:name="_Toc296602536"/>
      <w:bookmarkStart w:id="188" w:name="_Toc246997035"/>
      <w:bookmarkStart w:id="189" w:name="_Toc247085807"/>
      <w:bookmarkStart w:id="190" w:name="_Toc246996292"/>
      <w:r>
        <w:rPr>
          <w:rFonts w:hint="eastAsia" w:ascii="宋体" w:hAnsi="宋体"/>
          <w:szCs w:val="28"/>
        </w:rPr>
        <w:t>1.工程质量要求</w:t>
      </w:r>
      <w:bookmarkEnd w:id="187"/>
      <w:bookmarkEnd w:id="188"/>
      <w:bookmarkEnd w:id="189"/>
      <w:bookmarkEnd w:id="190"/>
    </w:p>
    <w:p>
      <w:pPr>
        <w:spacing w:after="120" w:line="360" w:lineRule="auto"/>
        <w:ind w:firstLine="560" w:firstLineChars="200"/>
        <w:rPr>
          <w:rFonts w:ascii="宋体" w:hAnsi="宋体"/>
          <w:szCs w:val="28"/>
        </w:rPr>
      </w:pPr>
      <w:r>
        <w:rPr>
          <w:rFonts w:hint="eastAsia" w:ascii="宋体" w:hAnsi="宋体"/>
          <w:szCs w:val="28"/>
        </w:rPr>
        <w:t>工程质量验收按照合同约定的验收标准执行。</w:t>
      </w:r>
    </w:p>
    <w:p>
      <w:pPr>
        <w:spacing w:after="120" w:line="360" w:lineRule="auto"/>
        <w:ind w:firstLine="560" w:firstLineChars="200"/>
        <w:rPr>
          <w:rFonts w:ascii="宋体" w:hAnsi="宋体"/>
          <w:szCs w:val="28"/>
        </w:rPr>
      </w:pPr>
      <w:bookmarkStart w:id="191" w:name="_Toc296602537"/>
      <w:bookmarkStart w:id="192" w:name="_Toc247085808"/>
      <w:bookmarkStart w:id="193" w:name="_Toc246997036"/>
      <w:bookmarkStart w:id="194" w:name="_Toc246996293"/>
      <w:r>
        <w:rPr>
          <w:rFonts w:hint="eastAsia" w:ascii="宋体" w:hAnsi="宋体"/>
          <w:szCs w:val="28"/>
        </w:rPr>
        <w:t>2.监理人的质量检查</w:t>
      </w:r>
      <w:bookmarkEnd w:id="191"/>
      <w:bookmarkEnd w:id="192"/>
      <w:bookmarkEnd w:id="193"/>
      <w:bookmarkEnd w:id="194"/>
    </w:p>
    <w:p>
      <w:pPr>
        <w:spacing w:after="120" w:line="360" w:lineRule="auto"/>
        <w:ind w:firstLine="560" w:firstLineChars="200"/>
        <w:rPr>
          <w:rFonts w:ascii="宋体" w:hAnsi="宋体"/>
          <w:szCs w:val="28"/>
        </w:rPr>
      </w:pPr>
      <w:r>
        <w:rPr>
          <w:rFonts w:hint="eastAsia" w:ascii="宋体" w:hAnsi="宋体"/>
          <w:szCs w:val="28"/>
        </w:rPr>
        <w:t>监理人有权对工程的所有部位及其施工工艺、材料和工程设备进行检查和检验。监理人的检查和检验，不免除承包人按合同约定应负的责任。</w:t>
      </w:r>
    </w:p>
    <w:p>
      <w:pPr>
        <w:spacing w:after="120" w:line="360" w:lineRule="auto"/>
        <w:ind w:firstLine="560" w:firstLineChars="200"/>
        <w:rPr>
          <w:rFonts w:ascii="宋体" w:hAnsi="宋体"/>
          <w:szCs w:val="28"/>
        </w:rPr>
      </w:pPr>
      <w:bookmarkStart w:id="195" w:name="_Toc246996294"/>
      <w:bookmarkStart w:id="196" w:name="_Toc296602538"/>
      <w:bookmarkStart w:id="197" w:name="_Toc247085809"/>
      <w:bookmarkStart w:id="198" w:name="_Toc246997037"/>
      <w:r>
        <w:rPr>
          <w:rFonts w:hint="eastAsia" w:ascii="宋体" w:hAnsi="宋体"/>
          <w:szCs w:val="28"/>
        </w:rPr>
        <w:t>3.工程隐蔽部位覆盖前的检查</w:t>
      </w:r>
      <w:bookmarkEnd w:id="195"/>
      <w:bookmarkEnd w:id="196"/>
      <w:bookmarkEnd w:id="197"/>
      <w:bookmarkEnd w:id="198"/>
    </w:p>
    <w:p>
      <w:pPr>
        <w:spacing w:after="120" w:line="360" w:lineRule="auto"/>
        <w:ind w:firstLine="560" w:firstLineChars="200"/>
        <w:rPr>
          <w:rFonts w:ascii="宋体" w:hAnsi="宋体"/>
          <w:szCs w:val="28"/>
        </w:rPr>
      </w:pPr>
      <w:r>
        <w:rPr>
          <w:rFonts w:hint="eastAsia" w:ascii="宋体" w:hAnsi="宋体"/>
          <w:szCs w:val="28"/>
        </w:rPr>
        <w:t>经承包人自检确认的工程隐蔽部位具备覆盖条件后，承包人应通知监理人在约定的期限内检查。监理人应按时到场检查。监理人未到场检查的，除监理人另有指示外，承包人可自行完成覆盖工作。无论监理人是否到场检查，对已覆盖的工程隐蔽部位，监理人可要求承包人对已覆盖的部位进行钻孔探测或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pPr>
        <w:spacing w:after="120" w:line="360" w:lineRule="auto"/>
        <w:ind w:firstLine="560" w:firstLineChars="200"/>
        <w:rPr>
          <w:rFonts w:ascii="宋体" w:hAnsi="宋体"/>
          <w:szCs w:val="28"/>
        </w:rPr>
      </w:pPr>
      <w:r>
        <w:rPr>
          <w:rFonts w:hint="eastAsia" w:ascii="宋体" w:hAnsi="宋体"/>
          <w:szCs w:val="28"/>
        </w:rPr>
        <w:t>承包人未通知监理人到场检查，私自将工程隐蔽部位覆盖的，监理人有权指示承包人钻孔探测或揭开检查，无论工程隐蔽部位质量是否合格，由此增加的费用和（或）工期延误由承包人承担。</w:t>
      </w:r>
    </w:p>
    <w:p>
      <w:pPr>
        <w:spacing w:after="120" w:line="360" w:lineRule="auto"/>
        <w:ind w:firstLine="560" w:firstLineChars="200"/>
        <w:rPr>
          <w:rFonts w:ascii="宋体" w:hAnsi="宋体"/>
          <w:szCs w:val="28"/>
        </w:rPr>
      </w:pPr>
      <w:bookmarkStart w:id="199" w:name="_Toc246996295"/>
      <w:bookmarkStart w:id="200" w:name="_Toc247085810"/>
      <w:bookmarkStart w:id="201" w:name="_Toc296602539"/>
      <w:bookmarkStart w:id="202" w:name="_Toc246997038"/>
      <w:r>
        <w:rPr>
          <w:rFonts w:hint="eastAsia" w:ascii="宋体" w:hAnsi="宋体"/>
          <w:szCs w:val="28"/>
        </w:rPr>
        <w:t>4.清除不合格工程</w:t>
      </w:r>
      <w:bookmarkEnd w:id="199"/>
      <w:bookmarkEnd w:id="200"/>
      <w:bookmarkEnd w:id="201"/>
      <w:bookmarkEnd w:id="202"/>
    </w:p>
    <w:p>
      <w:pPr>
        <w:spacing w:after="120" w:line="360" w:lineRule="auto"/>
        <w:ind w:firstLine="560" w:firstLineChars="200"/>
        <w:rPr>
          <w:rFonts w:ascii="宋体" w:hAnsi="宋体"/>
          <w:szCs w:val="28"/>
        </w:rPr>
      </w:pPr>
      <w:r>
        <w:rPr>
          <w:rFonts w:hint="eastAsia" w:ascii="宋体" w:hAnsi="宋体"/>
          <w:szCs w:val="28"/>
        </w:rPr>
        <w:t>由于承包人的材料、工程设备，或采用施工工艺不符合合同要求造成的任何缺陷，监理人可以随时发出指示，要求承包人立即采取措施进行补救，直至达到合同要求的质量标准，由此增加的费用和（或）工期延误由承包人承担。</w:t>
      </w:r>
    </w:p>
    <w:p>
      <w:pPr>
        <w:spacing w:after="120" w:line="360" w:lineRule="auto"/>
        <w:ind w:firstLine="560" w:firstLineChars="200"/>
        <w:rPr>
          <w:rFonts w:ascii="宋体" w:hAnsi="宋体"/>
          <w:szCs w:val="28"/>
        </w:rPr>
      </w:pPr>
      <w:bookmarkStart w:id="203" w:name="_Toc246997039"/>
      <w:bookmarkStart w:id="204" w:name="_Toc296602540"/>
      <w:bookmarkStart w:id="205" w:name="_Toc246996296"/>
      <w:bookmarkStart w:id="206" w:name="_Toc247085811"/>
      <w:r>
        <w:rPr>
          <w:rFonts w:hint="eastAsia" w:ascii="宋体" w:hAnsi="宋体"/>
          <w:szCs w:val="28"/>
        </w:rPr>
        <w:t>（十四）试验和检验</w:t>
      </w:r>
      <w:bookmarkEnd w:id="203"/>
      <w:bookmarkEnd w:id="204"/>
      <w:bookmarkEnd w:id="205"/>
      <w:bookmarkEnd w:id="206"/>
    </w:p>
    <w:p>
      <w:pPr>
        <w:spacing w:after="120" w:line="360" w:lineRule="auto"/>
        <w:ind w:firstLine="560" w:firstLineChars="200"/>
        <w:rPr>
          <w:rFonts w:ascii="宋体" w:hAnsi="宋体"/>
          <w:szCs w:val="28"/>
        </w:rPr>
      </w:pPr>
      <w:bookmarkStart w:id="207" w:name="_Toc296602541"/>
      <w:bookmarkStart w:id="208" w:name="_Toc179632721"/>
      <w:bookmarkStart w:id="209" w:name="_Toc144974672"/>
      <w:bookmarkStart w:id="210" w:name="_Toc152042481"/>
      <w:bookmarkStart w:id="211" w:name="_Toc152045703"/>
      <w:r>
        <w:rPr>
          <w:rFonts w:hint="eastAsia" w:ascii="宋体" w:hAnsi="宋体"/>
          <w:szCs w:val="28"/>
        </w:rPr>
        <w:t>1.材料、工程设备和工程的试验和检验</w:t>
      </w:r>
      <w:bookmarkEnd w:id="207"/>
      <w:bookmarkEnd w:id="208"/>
      <w:bookmarkEnd w:id="209"/>
      <w:bookmarkEnd w:id="210"/>
      <w:bookmarkEnd w:id="211"/>
    </w:p>
    <w:p>
      <w:pPr>
        <w:spacing w:after="120" w:line="360" w:lineRule="auto"/>
        <w:ind w:firstLine="560" w:firstLineChars="200"/>
        <w:rPr>
          <w:rFonts w:ascii="宋体" w:hAnsi="宋体"/>
          <w:szCs w:val="28"/>
        </w:rPr>
      </w:pPr>
      <w:r>
        <w:rPr>
          <w:rFonts w:hint="eastAsia" w:ascii="宋体" w:hAnsi="宋体"/>
          <w:szCs w:val="28"/>
        </w:rPr>
        <w:t>（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spacing w:after="120" w:line="360" w:lineRule="auto"/>
        <w:ind w:firstLine="560" w:firstLineChars="200"/>
        <w:rPr>
          <w:rFonts w:ascii="宋体" w:hAnsi="宋体"/>
          <w:szCs w:val="28"/>
        </w:rPr>
      </w:pPr>
      <w:r>
        <w:rPr>
          <w:rFonts w:hint="eastAsia" w:ascii="宋体" w:hAnsi="宋体"/>
          <w:szCs w:val="28"/>
        </w:rPr>
        <w:t>（2）监理人未按合同约定派员参加试验和检验的，除监理人另有指示外，承包人可自行试验和检验，并应立即将试验和检验结果报送监理人，监理人应签字确认。</w:t>
      </w:r>
    </w:p>
    <w:p>
      <w:pPr>
        <w:spacing w:after="120" w:line="360" w:lineRule="auto"/>
        <w:ind w:firstLine="560" w:firstLineChars="200"/>
        <w:rPr>
          <w:rFonts w:ascii="宋体" w:hAnsi="宋体"/>
          <w:szCs w:val="28"/>
        </w:rPr>
      </w:pPr>
      <w:r>
        <w:rPr>
          <w:rFonts w:hint="eastAsia" w:ascii="宋体" w:hAnsi="宋体"/>
          <w:szCs w:val="28"/>
        </w:rPr>
        <w:t>（3）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pPr>
        <w:spacing w:after="120" w:line="360" w:lineRule="auto"/>
        <w:ind w:firstLine="560" w:firstLineChars="200"/>
        <w:rPr>
          <w:rFonts w:ascii="宋体" w:hAnsi="宋体"/>
          <w:szCs w:val="28"/>
        </w:rPr>
      </w:pPr>
      <w:bookmarkStart w:id="212" w:name="_Toc152042482"/>
      <w:bookmarkStart w:id="213" w:name="_Toc296602542"/>
      <w:bookmarkStart w:id="214" w:name="_Toc179632722"/>
      <w:bookmarkStart w:id="215" w:name="_Toc152045704"/>
      <w:bookmarkStart w:id="216" w:name="_Toc144974673"/>
      <w:r>
        <w:rPr>
          <w:rFonts w:hint="eastAsia" w:ascii="宋体" w:hAnsi="宋体"/>
          <w:szCs w:val="28"/>
        </w:rPr>
        <w:t>2.现场材料试验</w:t>
      </w:r>
      <w:bookmarkEnd w:id="212"/>
      <w:bookmarkEnd w:id="213"/>
      <w:bookmarkEnd w:id="214"/>
      <w:bookmarkEnd w:id="215"/>
      <w:bookmarkEnd w:id="216"/>
    </w:p>
    <w:p>
      <w:pPr>
        <w:spacing w:after="120" w:line="360" w:lineRule="auto"/>
        <w:ind w:firstLine="560" w:firstLineChars="200"/>
        <w:rPr>
          <w:rFonts w:ascii="宋体" w:hAnsi="宋体"/>
          <w:szCs w:val="28"/>
        </w:rPr>
      </w:pPr>
      <w:r>
        <w:rPr>
          <w:rFonts w:hint="eastAsia" w:ascii="宋体" w:hAnsi="宋体"/>
          <w:szCs w:val="28"/>
        </w:rPr>
        <w:t>（1）承包人根据合同约定或监理人指示进行的现场材料试验，应由承包人提供试验场所、试验人员、试验设备器材以及其他必要的试验条件。</w:t>
      </w:r>
    </w:p>
    <w:p>
      <w:pPr>
        <w:spacing w:after="120" w:line="360" w:lineRule="auto"/>
        <w:ind w:firstLine="560" w:firstLineChars="200"/>
        <w:rPr>
          <w:rFonts w:ascii="宋体" w:hAnsi="宋体"/>
          <w:szCs w:val="28"/>
        </w:rPr>
      </w:pPr>
      <w:r>
        <w:rPr>
          <w:rFonts w:hint="eastAsia" w:ascii="宋体" w:hAnsi="宋体"/>
          <w:szCs w:val="28"/>
        </w:rPr>
        <w:t>（2）监理人在必要时可以使用承包人的试验场所、试验设备器材以及其他试验条件，进行以工程质量检查为目的的复核性材料试验，承包人应予以协助。</w:t>
      </w:r>
    </w:p>
    <w:p>
      <w:pPr>
        <w:spacing w:after="120" w:line="360" w:lineRule="auto"/>
        <w:ind w:firstLine="560" w:firstLineChars="200"/>
        <w:rPr>
          <w:rFonts w:ascii="宋体" w:hAnsi="宋体"/>
          <w:szCs w:val="28"/>
        </w:rPr>
      </w:pPr>
      <w:bookmarkStart w:id="217" w:name="_Toc247085812"/>
      <w:bookmarkStart w:id="218" w:name="_Toc296602543"/>
      <w:bookmarkStart w:id="219" w:name="_Toc184635112"/>
      <w:bookmarkStart w:id="220" w:name="_Toc246996297"/>
      <w:bookmarkStart w:id="221" w:name="_Toc246997040"/>
      <w:r>
        <w:rPr>
          <w:rFonts w:hint="eastAsia" w:ascii="宋体" w:hAnsi="宋体"/>
          <w:szCs w:val="28"/>
        </w:rPr>
        <w:t>（十五）变更</w:t>
      </w:r>
      <w:bookmarkEnd w:id="217"/>
      <w:bookmarkEnd w:id="218"/>
      <w:bookmarkEnd w:id="219"/>
      <w:bookmarkEnd w:id="220"/>
      <w:bookmarkEnd w:id="221"/>
    </w:p>
    <w:p>
      <w:pPr>
        <w:spacing w:after="120" w:line="360" w:lineRule="auto"/>
        <w:ind w:firstLine="560" w:firstLineChars="200"/>
        <w:rPr>
          <w:rFonts w:ascii="宋体" w:hAnsi="宋体"/>
          <w:szCs w:val="28"/>
        </w:rPr>
      </w:pPr>
      <w:bookmarkStart w:id="222" w:name="_Toc247085813"/>
      <w:bookmarkStart w:id="223" w:name="_Toc246996298"/>
      <w:bookmarkStart w:id="224" w:name="_Toc246997041"/>
      <w:bookmarkStart w:id="225" w:name="_Toc296602544"/>
      <w:r>
        <w:rPr>
          <w:rFonts w:hint="eastAsia" w:ascii="宋体" w:hAnsi="宋体"/>
          <w:szCs w:val="28"/>
        </w:rPr>
        <w:t>1.变更权</w:t>
      </w:r>
      <w:bookmarkEnd w:id="222"/>
      <w:bookmarkEnd w:id="223"/>
      <w:bookmarkEnd w:id="224"/>
      <w:bookmarkEnd w:id="225"/>
    </w:p>
    <w:p>
      <w:pPr>
        <w:spacing w:after="120" w:line="360" w:lineRule="auto"/>
        <w:ind w:firstLine="560" w:firstLineChars="200"/>
        <w:rPr>
          <w:rFonts w:ascii="宋体" w:hAnsi="宋体"/>
          <w:szCs w:val="28"/>
        </w:rPr>
      </w:pPr>
      <w:r>
        <w:rPr>
          <w:rFonts w:hint="eastAsia" w:ascii="宋体" w:hAnsi="宋体"/>
          <w:szCs w:val="28"/>
        </w:rPr>
        <w:t>在履行合同过程中，经发包人同意，监理人可按变更程序条款约定的变更程序向承包人作出变更指示，承包人应遵照执行。</w:t>
      </w:r>
    </w:p>
    <w:p>
      <w:pPr>
        <w:spacing w:after="120" w:line="360" w:lineRule="auto"/>
        <w:ind w:firstLine="560" w:firstLineChars="200"/>
        <w:rPr>
          <w:rFonts w:ascii="宋体" w:hAnsi="宋体"/>
          <w:szCs w:val="28"/>
        </w:rPr>
      </w:pPr>
      <w:bookmarkStart w:id="226" w:name="_Toc246997042"/>
      <w:bookmarkStart w:id="227" w:name="_Toc296602545"/>
      <w:bookmarkStart w:id="228" w:name="_Toc247085814"/>
      <w:bookmarkStart w:id="229" w:name="_Toc246996299"/>
      <w:r>
        <w:rPr>
          <w:rFonts w:hint="eastAsia" w:ascii="宋体" w:hAnsi="宋体"/>
          <w:szCs w:val="28"/>
        </w:rPr>
        <w:t>2.变更程序</w:t>
      </w:r>
      <w:bookmarkEnd w:id="226"/>
      <w:bookmarkEnd w:id="227"/>
      <w:bookmarkEnd w:id="228"/>
      <w:bookmarkEnd w:id="229"/>
    </w:p>
    <w:p>
      <w:pPr>
        <w:spacing w:after="120" w:line="360" w:lineRule="auto"/>
        <w:ind w:firstLine="560" w:firstLineChars="200"/>
        <w:rPr>
          <w:rFonts w:ascii="宋体" w:hAnsi="宋体"/>
          <w:szCs w:val="28"/>
        </w:rPr>
      </w:pPr>
      <w:r>
        <w:rPr>
          <w:rFonts w:hint="eastAsia" w:ascii="宋体" w:hAnsi="宋体"/>
          <w:szCs w:val="28"/>
        </w:rPr>
        <w:t>承包人应在收到变更指示14天内，向监理人提交变更报价书。监理人应审查，并在收到承包人变更报价书后14天内，与发包人和承包人共同商定此估价。在未达成协议的情况下，监理人应确定该估价。</w:t>
      </w:r>
    </w:p>
    <w:p>
      <w:pPr>
        <w:spacing w:after="120" w:line="360" w:lineRule="auto"/>
        <w:ind w:firstLine="560" w:firstLineChars="200"/>
        <w:rPr>
          <w:rFonts w:ascii="宋体" w:hAnsi="宋体"/>
          <w:szCs w:val="28"/>
        </w:rPr>
      </w:pPr>
      <w:bookmarkStart w:id="230" w:name="_Toc296602546"/>
      <w:bookmarkStart w:id="231" w:name="_Toc247085815"/>
      <w:bookmarkStart w:id="232" w:name="_Toc246996300"/>
      <w:bookmarkStart w:id="233" w:name="_Toc246997043"/>
      <w:r>
        <w:rPr>
          <w:rFonts w:hint="eastAsia" w:ascii="宋体" w:hAnsi="宋体"/>
          <w:szCs w:val="28"/>
        </w:rPr>
        <w:t>3.变更的估价原则</w:t>
      </w:r>
      <w:bookmarkEnd w:id="230"/>
      <w:bookmarkEnd w:id="231"/>
      <w:bookmarkEnd w:id="232"/>
      <w:bookmarkEnd w:id="233"/>
    </w:p>
    <w:p>
      <w:pPr>
        <w:spacing w:after="120" w:line="360" w:lineRule="auto"/>
        <w:ind w:firstLine="560" w:firstLineChars="200"/>
        <w:rPr>
          <w:rFonts w:ascii="宋体" w:hAnsi="宋体"/>
          <w:szCs w:val="28"/>
        </w:rPr>
      </w:pPr>
      <w:r>
        <w:rPr>
          <w:rFonts w:hint="eastAsia" w:ascii="宋体" w:hAnsi="宋体"/>
          <w:szCs w:val="28"/>
        </w:rPr>
        <w:t>除专用合同条款另有约定外，因变更引起的价格调整按照本款约定处理：</w:t>
      </w:r>
    </w:p>
    <w:p>
      <w:pPr>
        <w:spacing w:after="120" w:line="360" w:lineRule="auto"/>
        <w:ind w:firstLine="560" w:firstLineChars="200"/>
        <w:rPr>
          <w:rFonts w:ascii="宋体" w:hAnsi="宋体"/>
          <w:szCs w:val="28"/>
        </w:rPr>
      </w:pPr>
      <w:r>
        <w:rPr>
          <w:rFonts w:hint="eastAsia" w:ascii="宋体" w:hAnsi="宋体"/>
          <w:szCs w:val="28"/>
        </w:rPr>
        <w:t>（1）已标价工程量清单中有适用于变更工作的子目的，采用该子目的单价；</w:t>
      </w:r>
    </w:p>
    <w:p>
      <w:pPr>
        <w:spacing w:after="120" w:line="360" w:lineRule="auto"/>
        <w:ind w:firstLine="560" w:firstLineChars="200"/>
        <w:rPr>
          <w:rFonts w:ascii="宋体" w:hAnsi="宋体"/>
          <w:szCs w:val="28"/>
        </w:rPr>
      </w:pPr>
      <w:r>
        <w:rPr>
          <w:rFonts w:hint="eastAsia" w:ascii="宋体" w:hAnsi="宋体"/>
          <w:szCs w:val="28"/>
        </w:rPr>
        <w:t xml:space="preserve">（2）已标价工程量清单中无适用于变更工作的子目，但有类似子目的，可在合理范围内参照类似项目，由监理人按商定或确定条款商定或确定变更工作的单价； </w:t>
      </w:r>
    </w:p>
    <w:p>
      <w:pPr>
        <w:spacing w:after="120" w:line="360" w:lineRule="auto"/>
        <w:ind w:firstLine="560" w:firstLineChars="200"/>
        <w:rPr>
          <w:rFonts w:ascii="宋体" w:hAnsi="宋体"/>
          <w:szCs w:val="28"/>
        </w:rPr>
      </w:pPr>
      <w:r>
        <w:rPr>
          <w:rFonts w:hint="eastAsia" w:ascii="宋体" w:hAnsi="宋体"/>
          <w:szCs w:val="28"/>
        </w:rPr>
        <w:t>（3）已标价工程量清单中无适用或类似子目的单价，可按照成本加利润的原则，由监理人按商定或确定条款商定或确定变更工作的单价。</w:t>
      </w:r>
    </w:p>
    <w:p>
      <w:pPr>
        <w:spacing w:after="120" w:line="360" w:lineRule="auto"/>
        <w:ind w:firstLine="560" w:firstLineChars="200"/>
        <w:rPr>
          <w:rFonts w:ascii="宋体" w:hAnsi="宋体"/>
          <w:szCs w:val="28"/>
        </w:rPr>
      </w:pPr>
      <w:bookmarkStart w:id="234" w:name="_Toc296602547"/>
      <w:bookmarkStart w:id="235" w:name="_Toc247085816"/>
      <w:bookmarkStart w:id="236" w:name="_Toc246997044"/>
      <w:bookmarkStart w:id="237" w:name="_Toc246996301"/>
      <w:r>
        <w:rPr>
          <w:rFonts w:hint="eastAsia" w:ascii="宋体" w:hAnsi="宋体"/>
          <w:szCs w:val="28"/>
        </w:rPr>
        <w:t>4.暂列金额</w:t>
      </w:r>
      <w:bookmarkEnd w:id="234"/>
      <w:bookmarkEnd w:id="235"/>
      <w:bookmarkEnd w:id="236"/>
      <w:bookmarkEnd w:id="237"/>
    </w:p>
    <w:p>
      <w:pPr>
        <w:spacing w:after="120" w:line="360" w:lineRule="auto"/>
        <w:ind w:firstLine="560" w:firstLineChars="200"/>
        <w:rPr>
          <w:rFonts w:ascii="宋体" w:hAnsi="宋体"/>
          <w:szCs w:val="28"/>
        </w:rPr>
      </w:pPr>
      <w:r>
        <w:rPr>
          <w:rFonts w:hint="eastAsia" w:ascii="宋体" w:hAnsi="宋体"/>
          <w:szCs w:val="28"/>
        </w:rPr>
        <w:t>暂列金额只能按照监理人的指示使用，并对合同价格进行相应调整。</w:t>
      </w:r>
    </w:p>
    <w:p>
      <w:pPr>
        <w:spacing w:after="120" w:line="360" w:lineRule="auto"/>
        <w:ind w:firstLine="560" w:firstLineChars="200"/>
        <w:rPr>
          <w:rFonts w:ascii="宋体" w:hAnsi="宋体"/>
          <w:szCs w:val="28"/>
        </w:rPr>
      </w:pPr>
      <w:bookmarkStart w:id="238" w:name="_Toc296602548"/>
      <w:bookmarkStart w:id="239" w:name="_Toc247085817"/>
      <w:bookmarkStart w:id="240" w:name="_Toc246997045"/>
      <w:bookmarkStart w:id="241" w:name="_Toc246996302"/>
      <w:r>
        <w:rPr>
          <w:rFonts w:hint="eastAsia" w:ascii="宋体" w:hAnsi="宋体"/>
          <w:szCs w:val="28"/>
        </w:rPr>
        <w:t>5.计日工</w:t>
      </w:r>
      <w:bookmarkEnd w:id="238"/>
      <w:bookmarkEnd w:id="239"/>
      <w:bookmarkEnd w:id="240"/>
      <w:bookmarkEnd w:id="241"/>
    </w:p>
    <w:p>
      <w:pPr>
        <w:spacing w:after="120" w:line="360" w:lineRule="auto"/>
        <w:ind w:firstLine="560" w:firstLineChars="200"/>
        <w:rPr>
          <w:rFonts w:ascii="宋体" w:hAnsi="宋体"/>
          <w:szCs w:val="28"/>
        </w:rPr>
      </w:pPr>
      <w:r>
        <w:rPr>
          <w:rFonts w:hint="eastAsia" w:ascii="宋体" w:hAnsi="宋体"/>
          <w:szCs w:val="28"/>
        </w:rPr>
        <w:t>（1）发包人认为有必要时，由监理人通知承包人以计日工方式实施变更的零星工作。其价款按列入已标价工程量清单中的计日工计价子目及其单价进行计算。</w:t>
      </w:r>
    </w:p>
    <w:p>
      <w:pPr>
        <w:spacing w:after="120" w:line="360" w:lineRule="auto"/>
        <w:ind w:firstLine="560" w:firstLineChars="200"/>
        <w:rPr>
          <w:rFonts w:ascii="宋体" w:hAnsi="宋体"/>
          <w:szCs w:val="28"/>
        </w:rPr>
      </w:pPr>
      <w:r>
        <w:rPr>
          <w:rFonts w:hint="eastAsia" w:ascii="宋体" w:hAnsi="宋体"/>
          <w:szCs w:val="28"/>
        </w:rPr>
        <w:t>（2）采用计日工计价的任何一项变更工作，应从暂列金额中支付，承包人应在该项变更的实施过程中，每天提交以下报表和有关凭证报送监理人审批：</w:t>
      </w:r>
    </w:p>
    <w:p>
      <w:pPr>
        <w:spacing w:after="120" w:line="360" w:lineRule="auto"/>
        <w:ind w:firstLine="700" w:firstLineChars="250"/>
        <w:rPr>
          <w:rFonts w:ascii="宋体" w:hAnsi="宋体"/>
          <w:szCs w:val="28"/>
        </w:rPr>
      </w:pPr>
      <w:r>
        <w:rPr>
          <w:rFonts w:hint="eastAsia" w:ascii="宋体" w:hAnsi="宋体"/>
          <w:szCs w:val="28"/>
        </w:rPr>
        <w:t>①工作名称、内容和数量；</w:t>
      </w:r>
    </w:p>
    <w:p>
      <w:pPr>
        <w:spacing w:after="120" w:line="360" w:lineRule="auto"/>
        <w:ind w:firstLine="700" w:firstLineChars="250"/>
        <w:rPr>
          <w:rFonts w:ascii="宋体" w:hAnsi="宋体"/>
          <w:szCs w:val="28"/>
        </w:rPr>
      </w:pPr>
      <w:r>
        <w:rPr>
          <w:rFonts w:hint="eastAsia" w:ascii="宋体" w:hAnsi="宋体"/>
          <w:szCs w:val="28"/>
        </w:rPr>
        <w:t>②投入该工作所有人员的姓名、工种、级别和耗用工时；</w:t>
      </w:r>
    </w:p>
    <w:p>
      <w:pPr>
        <w:spacing w:after="120" w:line="360" w:lineRule="auto"/>
        <w:ind w:firstLine="700" w:firstLineChars="250"/>
        <w:rPr>
          <w:rFonts w:ascii="宋体" w:hAnsi="宋体"/>
          <w:szCs w:val="28"/>
        </w:rPr>
      </w:pPr>
      <w:r>
        <w:rPr>
          <w:rFonts w:hint="eastAsia" w:ascii="宋体" w:hAnsi="宋体"/>
          <w:szCs w:val="28"/>
        </w:rPr>
        <w:t>③投入该工作的材料类别和数量；</w:t>
      </w:r>
    </w:p>
    <w:p>
      <w:pPr>
        <w:spacing w:after="120" w:line="360" w:lineRule="auto"/>
        <w:ind w:firstLine="700" w:firstLineChars="250"/>
        <w:rPr>
          <w:rFonts w:ascii="宋体" w:hAnsi="宋体"/>
          <w:szCs w:val="28"/>
        </w:rPr>
      </w:pPr>
      <w:r>
        <w:rPr>
          <w:rFonts w:hint="eastAsia" w:ascii="宋体" w:hAnsi="宋体"/>
          <w:szCs w:val="28"/>
        </w:rPr>
        <w:t>④投入该工作的施工设备型号、台数和耗用台时；</w:t>
      </w:r>
    </w:p>
    <w:p>
      <w:pPr>
        <w:spacing w:after="120" w:line="360" w:lineRule="auto"/>
        <w:ind w:firstLine="700" w:firstLineChars="250"/>
        <w:rPr>
          <w:rFonts w:ascii="宋体" w:hAnsi="宋体"/>
          <w:szCs w:val="28"/>
        </w:rPr>
      </w:pPr>
      <w:r>
        <w:rPr>
          <w:rFonts w:hint="eastAsia" w:ascii="宋体" w:hAnsi="宋体"/>
          <w:szCs w:val="28"/>
        </w:rPr>
        <w:t>⑤监理人要求提交的其他资料和凭证。</w:t>
      </w:r>
    </w:p>
    <w:p>
      <w:pPr>
        <w:spacing w:after="120" w:line="360" w:lineRule="auto"/>
        <w:ind w:firstLine="560" w:firstLineChars="200"/>
        <w:rPr>
          <w:rFonts w:ascii="宋体" w:hAnsi="宋体"/>
          <w:szCs w:val="28"/>
        </w:rPr>
      </w:pPr>
      <w:r>
        <w:rPr>
          <w:rFonts w:hint="eastAsia" w:ascii="宋体" w:hAnsi="宋体"/>
          <w:szCs w:val="28"/>
        </w:rPr>
        <w:t>（3）计日工由承包人汇总后，按工程进度付款的约定列入进度付款申请单，由监理人复核并经发包人同意后列入进度付款。</w:t>
      </w:r>
    </w:p>
    <w:p>
      <w:pPr>
        <w:spacing w:after="120" w:line="360" w:lineRule="auto"/>
        <w:ind w:firstLine="560" w:firstLineChars="200"/>
        <w:rPr>
          <w:rFonts w:ascii="宋体" w:hAnsi="宋体"/>
          <w:szCs w:val="28"/>
        </w:rPr>
      </w:pPr>
      <w:bookmarkStart w:id="242" w:name="_Toc247085819"/>
      <w:bookmarkStart w:id="243" w:name="_Toc296602549"/>
      <w:bookmarkStart w:id="244" w:name="_Toc246996304"/>
      <w:bookmarkStart w:id="245" w:name="_Toc246997047"/>
      <w:bookmarkStart w:id="246" w:name="_Toc184635114"/>
      <w:r>
        <w:rPr>
          <w:rFonts w:hint="eastAsia" w:ascii="宋体" w:hAnsi="宋体"/>
          <w:szCs w:val="28"/>
        </w:rPr>
        <w:t>（十六）计量与支付</w:t>
      </w:r>
      <w:bookmarkEnd w:id="242"/>
      <w:bookmarkEnd w:id="243"/>
      <w:bookmarkEnd w:id="244"/>
      <w:bookmarkEnd w:id="245"/>
      <w:bookmarkEnd w:id="246"/>
    </w:p>
    <w:p>
      <w:pPr>
        <w:spacing w:after="120" w:line="360" w:lineRule="auto"/>
        <w:ind w:firstLine="560" w:firstLineChars="200"/>
        <w:rPr>
          <w:rFonts w:ascii="宋体" w:hAnsi="宋体"/>
          <w:szCs w:val="28"/>
        </w:rPr>
      </w:pPr>
      <w:bookmarkStart w:id="247" w:name="_Toc246997048"/>
      <w:bookmarkStart w:id="248" w:name="_Toc296602550"/>
      <w:bookmarkStart w:id="249" w:name="_Toc246996305"/>
      <w:bookmarkStart w:id="250" w:name="_Toc247085820"/>
      <w:r>
        <w:rPr>
          <w:rFonts w:hint="eastAsia" w:ascii="宋体" w:hAnsi="宋体"/>
          <w:szCs w:val="28"/>
        </w:rPr>
        <w:t>1.计量</w:t>
      </w:r>
      <w:bookmarkEnd w:id="247"/>
      <w:bookmarkEnd w:id="248"/>
      <w:bookmarkEnd w:id="249"/>
      <w:bookmarkEnd w:id="250"/>
    </w:p>
    <w:p>
      <w:pPr>
        <w:spacing w:after="120" w:line="360" w:lineRule="auto"/>
        <w:ind w:firstLine="560" w:firstLineChars="200"/>
        <w:rPr>
          <w:rFonts w:ascii="宋体" w:hAnsi="宋体"/>
          <w:szCs w:val="28"/>
        </w:rPr>
      </w:pPr>
      <w:r>
        <w:rPr>
          <w:rFonts w:hint="eastAsia" w:ascii="宋体" w:hAnsi="宋体"/>
          <w:szCs w:val="28"/>
        </w:rPr>
        <w:t>除专用合同条款另有约定外，承包人应根据有合同约束力的进度计划，按月分解签约合同价，形成支付分解报告，送监理人批准后成为有合同约束力的支付分解表，按有合同约束力的支付分解表分期计量和支付；支付分解表应随进度计划的修订而调整；除按照变更条款约定的变更外，签约合同价所基于的工程量即是用于竣工结算的最终工程量。</w:t>
      </w:r>
    </w:p>
    <w:p>
      <w:pPr>
        <w:spacing w:after="120" w:line="360" w:lineRule="auto"/>
        <w:ind w:firstLine="560" w:firstLineChars="200"/>
        <w:rPr>
          <w:rFonts w:ascii="宋体" w:hAnsi="宋体"/>
          <w:szCs w:val="28"/>
        </w:rPr>
      </w:pPr>
      <w:bookmarkStart w:id="251" w:name="_Toc247085821"/>
      <w:bookmarkStart w:id="252" w:name="_Toc296602551"/>
      <w:bookmarkStart w:id="253" w:name="_Toc246996306"/>
      <w:bookmarkStart w:id="254" w:name="_Toc246997049"/>
      <w:r>
        <w:rPr>
          <w:rFonts w:hint="eastAsia" w:ascii="宋体" w:hAnsi="宋体"/>
          <w:szCs w:val="28"/>
        </w:rPr>
        <w:t>2.预付款</w:t>
      </w:r>
      <w:bookmarkEnd w:id="251"/>
      <w:bookmarkEnd w:id="252"/>
      <w:bookmarkEnd w:id="253"/>
      <w:bookmarkEnd w:id="254"/>
    </w:p>
    <w:p>
      <w:pPr>
        <w:spacing w:after="120" w:line="360" w:lineRule="auto"/>
        <w:ind w:firstLine="560" w:firstLineChars="200"/>
        <w:rPr>
          <w:rFonts w:ascii="宋体" w:hAnsi="宋体"/>
          <w:szCs w:val="28"/>
        </w:rPr>
      </w:pPr>
      <w:r>
        <w:rPr>
          <w:rFonts w:hint="eastAsia" w:ascii="宋体" w:hAnsi="宋体"/>
          <w:szCs w:val="28"/>
        </w:rPr>
        <w:t>预付款用于承包人为合同工程施工购置材料、工程设备、施工设备、修建临时设施以及组织施工队伍进场等。预付款的额度、预付办法，以及扣回与还清办法在专用合同条款中约定。预付款必须专用于合同工程。</w:t>
      </w:r>
    </w:p>
    <w:p>
      <w:pPr>
        <w:spacing w:after="120" w:line="360" w:lineRule="auto"/>
        <w:ind w:firstLine="560" w:firstLineChars="200"/>
        <w:rPr>
          <w:rFonts w:ascii="宋体" w:hAnsi="宋体"/>
          <w:szCs w:val="28"/>
        </w:rPr>
      </w:pPr>
      <w:bookmarkStart w:id="255" w:name="_Toc246997050"/>
      <w:bookmarkStart w:id="256" w:name="_Toc247085822"/>
      <w:bookmarkStart w:id="257" w:name="_Toc296602552"/>
      <w:bookmarkStart w:id="258" w:name="_Toc246996307"/>
      <w:r>
        <w:rPr>
          <w:rFonts w:hint="eastAsia" w:ascii="宋体" w:hAnsi="宋体"/>
          <w:szCs w:val="28"/>
        </w:rPr>
        <w:t>3.工程进度付款</w:t>
      </w:r>
      <w:bookmarkEnd w:id="255"/>
      <w:bookmarkEnd w:id="256"/>
      <w:bookmarkEnd w:id="257"/>
      <w:bookmarkEnd w:id="258"/>
    </w:p>
    <w:p>
      <w:pPr>
        <w:spacing w:after="120" w:line="360" w:lineRule="auto"/>
        <w:ind w:firstLine="560" w:firstLineChars="200"/>
        <w:rPr>
          <w:rFonts w:ascii="宋体" w:hAnsi="宋体"/>
          <w:szCs w:val="28"/>
        </w:rPr>
      </w:pPr>
      <w:r>
        <w:rPr>
          <w:rFonts w:hint="eastAsia" w:ascii="宋体" w:hAnsi="宋体"/>
          <w:szCs w:val="28"/>
        </w:rPr>
        <w:t>承包人应在计量条款约定的支付分解表确定的每个付款周期末，按监理人批准的格式和专用合同条款约定的份数，向监理人提交进度付款申请单，并附相应的支持性证明文件。除专用合同条款另有约定外，进度付款申请单应包括下列内容：</w:t>
      </w:r>
    </w:p>
    <w:p>
      <w:pPr>
        <w:spacing w:after="120" w:line="360" w:lineRule="auto"/>
        <w:ind w:firstLine="560" w:firstLineChars="200"/>
        <w:rPr>
          <w:rFonts w:ascii="宋体" w:hAnsi="宋体"/>
          <w:szCs w:val="28"/>
        </w:rPr>
      </w:pPr>
      <w:r>
        <w:rPr>
          <w:rFonts w:hint="eastAsia" w:ascii="宋体" w:hAnsi="宋体"/>
          <w:szCs w:val="28"/>
        </w:rPr>
        <w:t>（1）截至本次付款周期末已实施工程的合同价款；</w:t>
      </w:r>
    </w:p>
    <w:p>
      <w:pPr>
        <w:spacing w:after="120" w:line="360" w:lineRule="auto"/>
        <w:ind w:firstLine="560" w:firstLineChars="200"/>
        <w:rPr>
          <w:rFonts w:ascii="宋体" w:hAnsi="宋体"/>
          <w:szCs w:val="28"/>
        </w:rPr>
      </w:pPr>
      <w:r>
        <w:rPr>
          <w:rFonts w:hint="eastAsia" w:ascii="宋体" w:hAnsi="宋体"/>
          <w:szCs w:val="28"/>
        </w:rPr>
        <w:t>（2）根据变更条款应增加和扣减的变更金额；</w:t>
      </w:r>
    </w:p>
    <w:p>
      <w:pPr>
        <w:spacing w:after="120" w:line="360" w:lineRule="auto"/>
        <w:ind w:firstLine="560" w:firstLineChars="200"/>
        <w:rPr>
          <w:rFonts w:ascii="宋体" w:hAnsi="宋体"/>
          <w:szCs w:val="28"/>
        </w:rPr>
      </w:pPr>
      <w:r>
        <w:rPr>
          <w:rFonts w:hint="eastAsia" w:ascii="宋体" w:hAnsi="宋体"/>
          <w:szCs w:val="28"/>
        </w:rPr>
        <w:t>（3）根据索赔条款应增加和扣减的索赔金额；</w:t>
      </w:r>
    </w:p>
    <w:p>
      <w:pPr>
        <w:spacing w:after="120" w:line="360" w:lineRule="auto"/>
        <w:ind w:firstLine="560" w:firstLineChars="200"/>
        <w:rPr>
          <w:rFonts w:ascii="宋体" w:hAnsi="宋体"/>
          <w:szCs w:val="28"/>
        </w:rPr>
      </w:pPr>
      <w:r>
        <w:rPr>
          <w:rFonts w:hint="eastAsia" w:ascii="宋体" w:hAnsi="宋体"/>
          <w:szCs w:val="28"/>
        </w:rPr>
        <w:t>（4）根据预付款条款应支付的预付款和扣减的返还预付款；</w:t>
      </w:r>
    </w:p>
    <w:p>
      <w:pPr>
        <w:spacing w:after="120" w:line="360" w:lineRule="auto"/>
        <w:ind w:firstLine="560" w:firstLineChars="200"/>
        <w:rPr>
          <w:rFonts w:ascii="宋体" w:hAnsi="宋体"/>
          <w:szCs w:val="28"/>
        </w:rPr>
      </w:pPr>
      <w:r>
        <w:rPr>
          <w:rFonts w:hint="eastAsia" w:ascii="宋体" w:hAnsi="宋体"/>
          <w:szCs w:val="28"/>
        </w:rPr>
        <w:t>（5）根据质量保证金应扣减的质量保证金；</w:t>
      </w:r>
    </w:p>
    <w:p>
      <w:pPr>
        <w:spacing w:after="120" w:line="360" w:lineRule="auto"/>
        <w:ind w:firstLine="560" w:firstLineChars="200"/>
        <w:rPr>
          <w:rFonts w:ascii="宋体" w:hAnsi="宋体"/>
          <w:szCs w:val="28"/>
        </w:rPr>
      </w:pPr>
      <w:r>
        <w:rPr>
          <w:rFonts w:hint="eastAsia" w:ascii="宋体" w:hAnsi="宋体"/>
          <w:szCs w:val="28"/>
        </w:rPr>
        <w:t>（6）根据合同应增加和扣减的其他金额。</w:t>
      </w:r>
    </w:p>
    <w:p>
      <w:pPr>
        <w:spacing w:after="120" w:line="360" w:lineRule="auto"/>
        <w:ind w:firstLine="560" w:firstLineChars="200"/>
        <w:rPr>
          <w:rFonts w:ascii="宋体" w:hAnsi="宋体"/>
          <w:szCs w:val="28"/>
        </w:rPr>
      </w:pPr>
      <w:r>
        <w:rPr>
          <w:rFonts w:hint="eastAsia" w:ascii="宋体" w:hAnsi="宋体"/>
          <w:szCs w:val="28"/>
        </w:rPr>
        <w:t>监理人应在收到承包人进度付款申请单以及相应的支持性证明文件后的7天内完成核查，并向承包人出具经发包人签认的付款证书。发包人应在监理人收到进度付款申请单的14天内将进度应付款支付给承包人。涉及政府投资资金的，按照国库集中支付等国家相关规定和专用合同条款的约定执行。</w:t>
      </w:r>
    </w:p>
    <w:p>
      <w:pPr>
        <w:spacing w:after="120" w:line="360" w:lineRule="auto"/>
        <w:ind w:firstLine="560" w:firstLineChars="200"/>
        <w:rPr>
          <w:rFonts w:ascii="宋体" w:hAnsi="宋体"/>
          <w:szCs w:val="28"/>
        </w:rPr>
      </w:pPr>
      <w:bookmarkStart w:id="259" w:name="_Toc246997051"/>
      <w:bookmarkStart w:id="260" w:name="_Toc246996308"/>
      <w:bookmarkStart w:id="261" w:name="_Toc247085823"/>
      <w:bookmarkStart w:id="262" w:name="_Toc296602553"/>
      <w:r>
        <w:rPr>
          <w:rFonts w:hint="eastAsia" w:ascii="宋体" w:hAnsi="宋体"/>
          <w:szCs w:val="28"/>
        </w:rPr>
        <w:t>4.质量保证金</w:t>
      </w:r>
      <w:bookmarkEnd w:id="259"/>
      <w:bookmarkEnd w:id="260"/>
      <w:bookmarkEnd w:id="261"/>
      <w:bookmarkEnd w:id="262"/>
    </w:p>
    <w:p>
      <w:pPr>
        <w:spacing w:after="120" w:line="360" w:lineRule="auto"/>
        <w:ind w:firstLine="560" w:firstLineChars="200"/>
        <w:rPr>
          <w:rFonts w:ascii="宋体" w:hAnsi="宋体"/>
          <w:szCs w:val="28"/>
        </w:rPr>
      </w:pPr>
      <w:r>
        <w:rPr>
          <w:rFonts w:hint="eastAsia" w:ascii="宋体" w:hAnsi="宋体"/>
          <w:szCs w:val="28"/>
        </w:rPr>
        <w:t>监理人应从第一个付款周期开始，在发包人的进度付款中，按专用合同条款的约定扣留质量保证金，直至扣留的质量保证金总额达到专用合同条款约定的金额或比例为止。</w:t>
      </w:r>
    </w:p>
    <w:p>
      <w:pPr>
        <w:spacing w:after="120" w:line="360" w:lineRule="auto"/>
        <w:ind w:firstLine="560" w:firstLineChars="200"/>
        <w:rPr>
          <w:rFonts w:ascii="宋体" w:hAnsi="宋体"/>
          <w:szCs w:val="28"/>
        </w:rPr>
      </w:pPr>
      <w:r>
        <w:rPr>
          <w:rFonts w:hint="eastAsia" w:ascii="宋体" w:hAnsi="宋体"/>
          <w:szCs w:val="28"/>
        </w:rPr>
        <w:t>在专用合同条款约定的缺陷责任期满时，承包人向发包人申请到期应返还承包人剩余的质量保证金金额，发包人应在14天内会同承包人按照合同约定的内容核实承包人是否完成缺陷责任，并将无异议的剩余质量保证金返还承包人。</w:t>
      </w:r>
    </w:p>
    <w:p>
      <w:pPr>
        <w:spacing w:after="120" w:line="360" w:lineRule="auto"/>
        <w:ind w:firstLine="560" w:firstLineChars="200"/>
        <w:rPr>
          <w:rFonts w:ascii="宋体" w:hAnsi="宋体"/>
          <w:szCs w:val="28"/>
        </w:rPr>
      </w:pPr>
      <w:bookmarkStart w:id="263" w:name="_Toc296602554"/>
      <w:bookmarkStart w:id="264" w:name="_Toc247085824"/>
      <w:bookmarkStart w:id="265" w:name="_Toc246996309"/>
      <w:bookmarkStart w:id="266" w:name="_Toc246997052"/>
      <w:r>
        <w:rPr>
          <w:rFonts w:hint="eastAsia" w:ascii="宋体" w:hAnsi="宋体"/>
          <w:szCs w:val="28"/>
        </w:rPr>
        <w:t>5.竣工结算</w:t>
      </w:r>
      <w:bookmarkEnd w:id="263"/>
      <w:bookmarkEnd w:id="264"/>
      <w:bookmarkEnd w:id="265"/>
      <w:bookmarkEnd w:id="266"/>
    </w:p>
    <w:p>
      <w:pPr>
        <w:spacing w:after="120" w:line="360" w:lineRule="auto"/>
        <w:ind w:firstLine="560" w:firstLineChars="200"/>
        <w:rPr>
          <w:rFonts w:ascii="宋体" w:hAnsi="宋体"/>
          <w:szCs w:val="28"/>
        </w:rPr>
      </w:pPr>
      <w:r>
        <w:rPr>
          <w:rFonts w:hint="eastAsia" w:ascii="宋体" w:hAnsi="宋体"/>
          <w:szCs w:val="28"/>
        </w:rPr>
        <w:t>（1）除专用合同条款另有约定外，竣工结算价格不因物价波动和法律变化而调整。</w:t>
      </w:r>
    </w:p>
    <w:p>
      <w:pPr>
        <w:spacing w:after="120" w:line="360" w:lineRule="auto"/>
        <w:ind w:firstLine="560" w:firstLineChars="200"/>
        <w:rPr>
          <w:rFonts w:ascii="宋体" w:hAnsi="宋体"/>
          <w:szCs w:val="28"/>
        </w:rPr>
      </w:pPr>
      <w:r>
        <w:rPr>
          <w:rFonts w:hint="eastAsia" w:ascii="宋体" w:hAnsi="宋体"/>
          <w:szCs w:val="28"/>
        </w:rPr>
        <w:t>（2）工程接收证书颁发后，承包人应按专用合同条款约定的份数和期限向监理人提交竣工付款申请单，并提供相关证明材料。监理人应当在收到竣工结算申请单的7天内完成核查、准备竣工付款证书并送发包人审核，发包人应在收到后14天内提出具体意见或签认竣工付款证书，并在监理人收到竣工结算申请单的28天内将应付款支付给承包人。发包人未在约定时间内审核并提出具体意见或者签认竣工付款证书的，视为同意承包人提出的竣工付款金额。</w:t>
      </w:r>
    </w:p>
    <w:p>
      <w:pPr>
        <w:spacing w:after="120" w:line="360" w:lineRule="auto"/>
        <w:ind w:firstLine="560" w:firstLineChars="200"/>
        <w:rPr>
          <w:rFonts w:ascii="宋体" w:hAnsi="宋体"/>
          <w:szCs w:val="28"/>
        </w:rPr>
      </w:pPr>
      <w:r>
        <w:rPr>
          <w:rFonts w:hint="eastAsia" w:ascii="宋体" w:hAnsi="宋体"/>
          <w:szCs w:val="28"/>
        </w:rPr>
        <w:t>（3）竣工付款涉及政府投资资金的，按照国库集中支付等国家相关规定和专用合同条款的约定执行。</w:t>
      </w:r>
    </w:p>
    <w:p>
      <w:pPr>
        <w:spacing w:after="120" w:line="360" w:lineRule="auto"/>
        <w:ind w:firstLine="560" w:firstLineChars="200"/>
        <w:rPr>
          <w:rFonts w:ascii="宋体" w:hAnsi="宋体"/>
          <w:szCs w:val="28"/>
        </w:rPr>
      </w:pPr>
      <w:bookmarkStart w:id="267" w:name="_Toc296602555"/>
      <w:bookmarkStart w:id="268" w:name="_Toc247085825"/>
      <w:bookmarkStart w:id="269" w:name="_Toc246997053"/>
      <w:bookmarkStart w:id="270" w:name="_Toc246996310"/>
      <w:r>
        <w:rPr>
          <w:rFonts w:hint="eastAsia" w:ascii="宋体" w:hAnsi="宋体"/>
          <w:szCs w:val="28"/>
        </w:rPr>
        <w:t>6.付款延误</w:t>
      </w:r>
      <w:bookmarkEnd w:id="267"/>
      <w:bookmarkEnd w:id="268"/>
      <w:bookmarkEnd w:id="269"/>
      <w:bookmarkEnd w:id="270"/>
    </w:p>
    <w:p>
      <w:pPr>
        <w:spacing w:after="120" w:line="360" w:lineRule="auto"/>
        <w:ind w:firstLine="560" w:firstLineChars="200"/>
        <w:rPr>
          <w:rFonts w:ascii="宋体" w:hAnsi="宋体"/>
          <w:szCs w:val="28"/>
        </w:rPr>
      </w:pPr>
      <w:r>
        <w:rPr>
          <w:rFonts w:hint="eastAsia" w:ascii="宋体" w:hAnsi="宋体"/>
          <w:szCs w:val="28"/>
        </w:rPr>
        <w:t>发包人不按期支付的，按专用合同条款的约定支付逾期付款违约金。</w:t>
      </w:r>
    </w:p>
    <w:p>
      <w:pPr>
        <w:spacing w:after="120" w:line="360" w:lineRule="auto"/>
        <w:ind w:firstLine="560" w:firstLineChars="200"/>
        <w:rPr>
          <w:rFonts w:ascii="宋体" w:hAnsi="宋体"/>
          <w:szCs w:val="28"/>
        </w:rPr>
      </w:pPr>
      <w:bookmarkStart w:id="271" w:name="_Toc184635115"/>
      <w:bookmarkStart w:id="272" w:name="_Toc246997054"/>
      <w:bookmarkStart w:id="273" w:name="_Toc247085826"/>
      <w:bookmarkStart w:id="274" w:name="_Toc296602556"/>
      <w:bookmarkStart w:id="275" w:name="_Toc246996311"/>
      <w:r>
        <w:rPr>
          <w:rFonts w:hint="eastAsia" w:ascii="宋体" w:hAnsi="宋体"/>
          <w:szCs w:val="28"/>
        </w:rPr>
        <w:t>（十七）竣工验收</w:t>
      </w:r>
      <w:bookmarkEnd w:id="271"/>
      <w:bookmarkEnd w:id="272"/>
      <w:bookmarkEnd w:id="273"/>
      <w:bookmarkEnd w:id="274"/>
      <w:bookmarkEnd w:id="275"/>
    </w:p>
    <w:p>
      <w:pPr>
        <w:spacing w:after="120" w:line="360" w:lineRule="auto"/>
        <w:ind w:firstLine="560" w:firstLineChars="200"/>
        <w:rPr>
          <w:rFonts w:ascii="宋体" w:hAnsi="宋体"/>
          <w:szCs w:val="28"/>
        </w:rPr>
      </w:pPr>
      <w:bookmarkStart w:id="276" w:name="_Toc296602557"/>
      <w:bookmarkStart w:id="277" w:name="_Toc247085827"/>
      <w:bookmarkStart w:id="278" w:name="_Toc246997055"/>
      <w:bookmarkStart w:id="279" w:name="_Toc246996312"/>
      <w:r>
        <w:rPr>
          <w:rFonts w:hint="eastAsia" w:ascii="宋体" w:hAnsi="宋体"/>
          <w:szCs w:val="28"/>
        </w:rPr>
        <w:t>1.竣工验收的含义</w:t>
      </w:r>
      <w:bookmarkEnd w:id="276"/>
    </w:p>
    <w:p>
      <w:pPr>
        <w:spacing w:after="120" w:line="360" w:lineRule="auto"/>
        <w:ind w:firstLine="560" w:firstLineChars="200"/>
        <w:rPr>
          <w:rFonts w:ascii="宋体" w:hAnsi="宋体"/>
          <w:szCs w:val="28"/>
        </w:rPr>
      </w:pPr>
      <w:r>
        <w:rPr>
          <w:rFonts w:hint="eastAsia" w:ascii="宋体" w:hAnsi="宋体"/>
          <w:szCs w:val="28"/>
        </w:rPr>
        <w:t>（1）竣工验收是指承包人完成了全部合同工作后，发包人按合同要求进行的验收。</w:t>
      </w:r>
    </w:p>
    <w:p>
      <w:pPr>
        <w:spacing w:after="120" w:line="360" w:lineRule="auto"/>
        <w:ind w:firstLine="560" w:firstLineChars="200"/>
        <w:rPr>
          <w:rFonts w:ascii="宋体" w:hAnsi="宋体"/>
          <w:szCs w:val="28"/>
        </w:rPr>
      </w:pPr>
      <w:r>
        <w:rPr>
          <w:rFonts w:hint="eastAsia" w:ascii="宋体" w:hAnsi="宋体"/>
          <w:szCs w:val="28"/>
        </w:rPr>
        <w:t>（2）需要进行国家验收的，竣工验收是国家验收的一部分。竣工验收所采用的各项验收和评定标准应符合国家验收标准。发包人和承包人为竣工验收提供的各项竣工验收资料应符合国家验收的要求。</w:t>
      </w:r>
    </w:p>
    <w:p>
      <w:pPr>
        <w:spacing w:after="120" w:line="360" w:lineRule="auto"/>
        <w:ind w:firstLine="560" w:firstLineChars="200"/>
        <w:rPr>
          <w:rFonts w:ascii="宋体" w:hAnsi="宋体"/>
          <w:szCs w:val="28"/>
        </w:rPr>
      </w:pPr>
      <w:bookmarkStart w:id="280" w:name="_Toc296602558"/>
      <w:r>
        <w:rPr>
          <w:rFonts w:hint="eastAsia" w:ascii="宋体" w:hAnsi="宋体"/>
          <w:szCs w:val="28"/>
        </w:rPr>
        <w:t>2.竣工验收申请报告</w:t>
      </w:r>
      <w:bookmarkEnd w:id="277"/>
      <w:bookmarkEnd w:id="278"/>
      <w:bookmarkEnd w:id="279"/>
      <w:bookmarkEnd w:id="280"/>
    </w:p>
    <w:p>
      <w:pPr>
        <w:spacing w:after="120" w:line="360" w:lineRule="auto"/>
        <w:ind w:firstLine="560" w:firstLineChars="200"/>
        <w:rPr>
          <w:rFonts w:ascii="宋体" w:hAnsi="宋体"/>
          <w:szCs w:val="28"/>
        </w:rPr>
      </w:pPr>
      <w:r>
        <w:rPr>
          <w:rFonts w:hint="eastAsia" w:ascii="宋体" w:hAnsi="宋体"/>
          <w:szCs w:val="28"/>
        </w:rPr>
        <w:t>当工程具备竣工条件时，承包人即可向监理人报送竣工验收申请报告。</w:t>
      </w:r>
    </w:p>
    <w:p>
      <w:pPr>
        <w:spacing w:after="120" w:line="360" w:lineRule="auto"/>
        <w:ind w:firstLine="560" w:firstLineChars="200"/>
        <w:rPr>
          <w:rFonts w:ascii="宋体" w:hAnsi="宋体"/>
          <w:szCs w:val="28"/>
        </w:rPr>
      </w:pPr>
      <w:bookmarkStart w:id="281" w:name="_Toc246996313"/>
      <w:bookmarkStart w:id="282" w:name="_Toc296602559"/>
      <w:bookmarkStart w:id="283" w:name="_Toc247085828"/>
      <w:bookmarkStart w:id="284" w:name="_Toc246997056"/>
      <w:r>
        <w:rPr>
          <w:rFonts w:hint="eastAsia" w:ascii="宋体" w:hAnsi="宋体"/>
          <w:szCs w:val="28"/>
        </w:rPr>
        <w:t>3.竣工和验收</w:t>
      </w:r>
      <w:bookmarkEnd w:id="281"/>
      <w:bookmarkEnd w:id="282"/>
      <w:bookmarkEnd w:id="283"/>
      <w:bookmarkEnd w:id="284"/>
    </w:p>
    <w:p>
      <w:pPr>
        <w:spacing w:after="120" w:line="360" w:lineRule="auto"/>
        <w:ind w:firstLine="560" w:firstLineChars="200"/>
        <w:rPr>
          <w:rFonts w:ascii="宋体" w:hAnsi="宋体"/>
          <w:szCs w:val="28"/>
        </w:rPr>
      </w:pPr>
      <w:r>
        <w:rPr>
          <w:rFonts w:hint="eastAsia" w:ascii="宋体" w:hAnsi="宋体"/>
          <w:szCs w:val="28"/>
        </w:rPr>
        <w:t>监理人审查后认为具备竣工验收条件的，提请发包人进行工程验收。发包人经过验收后同意接收工程的，由监理人向承包人出具经发包人签认的工程接收证书。</w:t>
      </w:r>
    </w:p>
    <w:p>
      <w:pPr>
        <w:spacing w:after="120" w:line="360" w:lineRule="auto"/>
        <w:ind w:firstLine="560" w:firstLineChars="200"/>
        <w:rPr>
          <w:rFonts w:ascii="宋体" w:hAnsi="宋体"/>
          <w:szCs w:val="28"/>
        </w:rPr>
      </w:pPr>
      <w:r>
        <w:rPr>
          <w:rFonts w:hint="eastAsia" w:ascii="宋体" w:hAnsi="宋体"/>
          <w:szCs w:val="28"/>
        </w:rPr>
        <w:t>除专用合同条款另有约定外，经验收合格工程的实际竣工日期，以提交竣工验收申请报告的日期为准，并在工程接收证书中写明。</w:t>
      </w:r>
    </w:p>
    <w:p>
      <w:pPr>
        <w:spacing w:after="120" w:line="360" w:lineRule="auto"/>
        <w:ind w:firstLine="560" w:firstLineChars="200"/>
        <w:rPr>
          <w:rFonts w:ascii="宋体" w:hAnsi="宋体"/>
          <w:szCs w:val="28"/>
        </w:rPr>
      </w:pPr>
      <w:bookmarkStart w:id="285" w:name="_Toc246996314"/>
      <w:bookmarkStart w:id="286" w:name="_Toc296602560"/>
      <w:bookmarkStart w:id="287" w:name="_Toc247085829"/>
      <w:bookmarkStart w:id="288" w:name="_Toc246997057"/>
      <w:r>
        <w:rPr>
          <w:rFonts w:hint="eastAsia" w:ascii="宋体" w:hAnsi="宋体"/>
          <w:szCs w:val="28"/>
        </w:rPr>
        <w:t>4.试运行</w:t>
      </w:r>
      <w:bookmarkEnd w:id="285"/>
      <w:bookmarkEnd w:id="286"/>
      <w:bookmarkEnd w:id="287"/>
      <w:bookmarkEnd w:id="288"/>
    </w:p>
    <w:p>
      <w:pPr>
        <w:spacing w:after="120" w:line="360" w:lineRule="auto"/>
        <w:ind w:firstLine="560" w:firstLineChars="200"/>
        <w:rPr>
          <w:rFonts w:ascii="宋体" w:hAnsi="宋体"/>
          <w:szCs w:val="28"/>
        </w:rPr>
      </w:pPr>
      <w:r>
        <w:rPr>
          <w:rFonts w:hint="eastAsia" w:ascii="宋体" w:hAnsi="宋体"/>
          <w:szCs w:val="28"/>
        </w:rPr>
        <w:t>除专用合同条款另有约定外，承包人应按专用合同条款约定进行工程及工程设备试运行，负责提供试运行所需的人员、器材和必要的条件，并承担全部试运行费用。</w:t>
      </w:r>
    </w:p>
    <w:p>
      <w:pPr>
        <w:spacing w:after="120" w:line="360" w:lineRule="auto"/>
        <w:ind w:firstLine="560" w:firstLineChars="200"/>
        <w:rPr>
          <w:rFonts w:ascii="宋体" w:hAnsi="宋体"/>
          <w:szCs w:val="28"/>
        </w:rPr>
      </w:pPr>
      <w:bookmarkStart w:id="289" w:name="_Toc296602561"/>
      <w:bookmarkStart w:id="290" w:name="_Toc246997058"/>
      <w:bookmarkStart w:id="291" w:name="_Toc247085830"/>
      <w:bookmarkStart w:id="292" w:name="_Toc246996315"/>
      <w:r>
        <w:rPr>
          <w:rFonts w:hint="eastAsia" w:ascii="宋体" w:hAnsi="宋体"/>
          <w:szCs w:val="28"/>
        </w:rPr>
        <w:t>5.竣工清场</w:t>
      </w:r>
      <w:bookmarkEnd w:id="289"/>
      <w:bookmarkEnd w:id="290"/>
      <w:bookmarkEnd w:id="291"/>
      <w:bookmarkEnd w:id="292"/>
    </w:p>
    <w:p>
      <w:pPr>
        <w:spacing w:after="120" w:line="360" w:lineRule="auto"/>
        <w:ind w:firstLine="560" w:firstLineChars="200"/>
        <w:rPr>
          <w:rFonts w:ascii="宋体" w:hAnsi="宋体"/>
          <w:szCs w:val="28"/>
        </w:rPr>
      </w:pPr>
      <w:r>
        <w:rPr>
          <w:rFonts w:hint="eastAsia" w:ascii="宋体" w:hAnsi="宋体"/>
          <w:szCs w:val="28"/>
        </w:rPr>
        <w:t>除合同另有约定外，工程接收证书颁发后，承包人应对施工场地进行清理，直至监理人检验合格为止。竣工清场费用由承包人承担。</w:t>
      </w:r>
    </w:p>
    <w:p>
      <w:pPr>
        <w:spacing w:after="120" w:line="360" w:lineRule="auto"/>
        <w:ind w:firstLine="560" w:firstLineChars="200"/>
        <w:rPr>
          <w:rFonts w:ascii="宋体" w:hAnsi="宋体"/>
          <w:szCs w:val="28"/>
        </w:rPr>
      </w:pPr>
      <w:bookmarkStart w:id="293" w:name="_Toc246997059"/>
      <w:bookmarkStart w:id="294" w:name="_Toc296602562"/>
      <w:bookmarkStart w:id="295" w:name="_Toc246996316"/>
      <w:bookmarkStart w:id="296" w:name="_Toc184635116"/>
      <w:bookmarkStart w:id="297" w:name="_Toc247085831"/>
      <w:r>
        <w:rPr>
          <w:rFonts w:hint="eastAsia" w:ascii="宋体" w:hAnsi="宋体"/>
          <w:szCs w:val="28"/>
        </w:rPr>
        <w:t>（十八）缺陷责任与保修责任</w:t>
      </w:r>
      <w:bookmarkEnd w:id="293"/>
      <w:bookmarkEnd w:id="294"/>
      <w:bookmarkEnd w:id="295"/>
      <w:bookmarkEnd w:id="296"/>
      <w:bookmarkEnd w:id="297"/>
    </w:p>
    <w:p>
      <w:pPr>
        <w:spacing w:after="120" w:line="360" w:lineRule="auto"/>
        <w:ind w:firstLine="560" w:firstLineChars="200"/>
        <w:rPr>
          <w:rFonts w:ascii="宋体" w:hAnsi="宋体"/>
          <w:szCs w:val="28"/>
        </w:rPr>
      </w:pPr>
      <w:bookmarkStart w:id="298" w:name="_Toc296602563"/>
      <w:bookmarkStart w:id="299" w:name="_Toc246996317"/>
      <w:bookmarkStart w:id="300" w:name="_Toc247085832"/>
      <w:bookmarkStart w:id="301" w:name="_Toc246997060"/>
      <w:r>
        <w:rPr>
          <w:rFonts w:hint="eastAsia" w:ascii="宋体" w:hAnsi="宋体"/>
          <w:szCs w:val="28"/>
        </w:rPr>
        <w:t>1.缺陷责任</w:t>
      </w:r>
      <w:bookmarkEnd w:id="298"/>
      <w:bookmarkEnd w:id="299"/>
      <w:bookmarkEnd w:id="300"/>
      <w:bookmarkEnd w:id="301"/>
    </w:p>
    <w:p>
      <w:pPr>
        <w:spacing w:after="120" w:line="360" w:lineRule="auto"/>
        <w:ind w:firstLine="560" w:firstLineChars="200"/>
        <w:rPr>
          <w:rFonts w:ascii="宋体" w:hAnsi="宋体"/>
          <w:szCs w:val="28"/>
        </w:rPr>
      </w:pPr>
      <w:r>
        <w:rPr>
          <w:rFonts w:hint="eastAsia" w:ascii="宋体" w:hAnsi="宋体"/>
          <w:szCs w:val="28"/>
        </w:rPr>
        <w:t>缺陷责任自实际竣工日期起计算。在缺陷责任期内，已交付的工程由于承包人的材料、设备或工艺不符合合同要求所产生的缺陷，修补费用由承包人承担。由于承包人原因造成某项缺陷或损坏使某项工程或工程设备不能按原定目标使用而需要再次检查、检验和修复的，发包人有权要求承包人相应延长缺陷责任期，但缺陷责任期最长不超过2年。</w:t>
      </w:r>
    </w:p>
    <w:p>
      <w:pPr>
        <w:spacing w:after="120" w:line="360" w:lineRule="auto"/>
        <w:ind w:firstLine="560" w:firstLineChars="200"/>
        <w:rPr>
          <w:rFonts w:ascii="宋体" w:hAnsi="宋体"/>
          <w:szCs w:val="28"/>
        </w:rPr>
      </w:pPr>
      <w:bookmarkStart w:id="302" w:name="_Toc246997061"/>
      <w:bookmarkStart w:id="303" w:name="_Toc247085833"/>
      <w:bookmarkStart w:id="304" w:name="_Toc296602564"/>
      <w:bookmarkStart w:id="305" w:name="_Toc246996318"/>
      <w:r>
        <w:rPr>
          <w:rFonts w:hint="eastAsia" w:ascii="宋体" w:hAnsi="宋体"/>
          <w:szCs w:val="28"/>
        </w:rPr>
        <w:t>2.保修责任</w:t>
      </w:r>
      <w:bookmarkEnd w:id="302"/>
      <w:bookmarkEnd w:id="303"/>
      <w:bookmarkEnd w:id="304"/>
      <w:bookmarkEnd w:id="305"/>
    </w:p>
    <w:p>
      <w:pPr>
        <w:spacing w:after="120" w:line="360" w:lineRule="auto"/>
        <w:ind w:firstLine="560" w:firstLineChars="200"/>
        <w:rPr>
          <w:rFonts w:ascii="宋体" w:hAnsi="宋体"/>
          <w:szCs w:val="28"/>
        </w:rPr>
      </w:pPr>
      <w:r>
        <w:rPr>
          <w:rFonts w:hint="eastAsia" w:ascii="宋体" w:hAnsi="宋体"/>
          <w:szCs w:val="28"/>
        </w:rPr>
        <w:t>合同当事人根据有关法律规定，在专用合同条款中约定工程质量保修范围、期限和责任。保修期自实际竣工日期起计算。</w:t>
      </w:r>
      <w:bookmarkStart w:id="306" w:name="_Toc247085834"/>
      <w:bookmarkStart w:id="307" w:name="_Toc246997062"/>
      <w:bookmarkStart w:id="308" w:name="_Toc246996319"/>
      <w:bookmarkStart w:id="309" w:name="_Toc184635117"/>
    </w:p>
    <w:p>
      <w:pPr>
        <w:spacing w:after="120" w:line="360" w:lineRule="auto"/>
        <w:ind w:firstLine="560" w:firstLineChars="200"/>
        <w:rPr>
          <w:rFonts w:ascii="宋体" w:hAnsi="宋体"/>
          <w:szCs w:val="28"/>
        </w:rPr>
      </w:pPr>
      <w:bookmarkStart w:id="310" w:name="_Toc296602565"/>
      <w:r>
        <w:rPr>
          <w:rFonts w:hint="eastAsia" w:ascii="宋体" w:hAnsi="宋体"/>
          <w:szCs w:val="28"/>
        </w:rPr>
        <w:t>（十九）保险</w:t>
      </w:r>
      <w:bookmarkEnd w:id="306"/>
      <w:bookmarkEnd w:id="307"/>
      <w:bookmarkEnd w:id="308"/>
      <w:bookmarkEnd w:id="309"/>
      <w:bookmarkEnd w:id="310"/>
    </w:p>
    <w:p>
      <w:pPr>
        <w:spacing w:after="120" w:line="360" w:lineRule="auto"/>
        <w:ind w:firstLine="560" w:firstLineChars="200"/>
        <w:rPr>
          <w:rFonts w:ascii="宋体" w:hAnsi="宋体"/>
          <w:szCs w:val="28"/>
        </w:rPr>
      </w:pPr>
      <w:bookmarkStart w:id="311" w:name="_Toc246996320"/>
      <w:bookmarkStart w:id="312" w:name="_Toc296602566"/>
      <w:bookmarkStart w:id="313" w:name="_Toc247085835"/>
      <w:bookmarkStart w:id="314" w:name="_Toc246997063"/>
      <w:r>
        <w:rPr>
          <w:rFonts w:hint="eastAsia" w:ascii="宋体" w:hAnsi="宋体"/>
          <w:szCs w:val="28"/>
        </w:rPr>
        <w:t>1.保险范围</w:t>
      </w:r>
      <w:bookmarkEnd w:id="311"/>
      <w:bookmarkEnd w:id="312"/>
      <w:bookmarkEnd w:id="313"/>
      <w:bookmarkEnd w:id="314"/>
    </w:p>
    <w:p>
      <w:pPr>
        <w:spacing w:after="120" w:line="360" w:lineRule="auto"/>
        <w:ind w:firstLine="560" w:firstLineChars="200"/>
        <w:rPr>
          <w:rFonts w:ascii="宋体" w:hAnsi="宋体"/>
          <w:szCs w:val="28"/>
        </w:rPr>
      </w:pPr>
      <w:r>
        <w:rPr>
          <w:rFonts w:hint="eastAsia" w:ascii="宋体" w:hAnsi="宋体"/>
          <w:szCs w:val="28"/>
        </w:rPr>
        <w:t>（1）承包人按照专用合同条款的约定向双方同意的保险人投保建筑工程一切险或安装工程一切险等保险。具体的投保险种、保险范围、保险金额、保险费率、保险期限等有关内容应当在专用合同条款中明确约定。</w:t>
      </w:r>
    </w:p>
    <w:p>
      <w:pPr>
        <w:spacing w:after="120" w:line="360" w:lineRule="auto"/>
        <w:ind w:firstLine="560" w:firstLineChars="200"/>
        <w:rPr>
          <w:rFonts w:ascii="宋体" w:hAnsi="宋体"/>
          <w:szCs w:val="28"/>
        </w:rPr>
      </w:pPr>
      <w:r>
        <w:rPr>
          <w:rFonts w:hint="eastAsia" w:ascii="宋体" w:hAnsi="宋体"/>
          <w:szCs w:val="28"/>
        </w:rPr>
        <w:t>（2）承包人应依照有关法律规定参加工伤保险和人身意外伤害险，为其履行合同所雇佣的全部人员，缴纳工伤保险费和人身意外伤害险费。</w:t>
      </w:r>
    </w:p>
    <w:p>
      <w:pPr>
        <w:spacing w:after="120" w:line="360" w:lineRule="auto"/>
        <w:ind w:firstLine="560" w:firstLineChars="200"/>
        <w:rPr>
          <w:rFonts w:ascii="宋体" w:hAnsi="宋体"/>
          <w:szCs w:val="28"/>
        </w:rPr>
      </w:pPr>
      <w:r>
        <w:rPr>
          <w:rFonts w:hint="eastAsia" w:ascii="宋体" w:hAnsi="宋体"/>
          <w:szCs w:val="28"/>
        </w:rPr>
        <w:t>（3）发包人应依照有关法律规定参加工伤保险和人身意外伤害险，为其现场机构雇佣的全部人员，缴纳工伤保险费和人身意外伤害险费，并要求其监理人也进行此类保险。</w:t>
      </w:r>
    </w:p>
    <w:p>
      <w:pPr>
        <w:spacing w:after="120" w:line="360" w:lineRule="auto"/>
        <w:ind w:firstLine="560" w:firstLineChars="200"/>
        <w:rPr>
          <w:rFonts w:ascii="宋体" w:hAnsi="宋体"/>
          <w:szCs w:val="28"/>
        </w:rPr>
      </w:pPr>
      <w:bookmarkStart w:id="315" w:name="_Toc296602567"/>
      <w:bookmarkStart w:id="316" w:name="_Toc246996321"/>
      <w:bookmarkStart w:id="317" w:name="_Toc246997064"/>
      <w:bookmarkStart w:id="318" w:name="_Toc247085836"/>
      <w:r>
        <w:rPr>
          <w:rFonts w:hint="eastAsia" w:ascii="宋体" w:hAnsi="宋体"/>
          <w:szCs w:val="28"/>
        </w:rPr>
        <w:t>2.未办理保险</w:t>
      </w:r>
      <w:bookmarkEnd w:id="315"/>
      <w:bookmarkEnd w:id="316"/>
      <w:bookmarkEnd w:id="317"/>
      <w:bookmarkEnd w:id="318"/>
    </w:p>
    <w:p>
      <w:pPr>
        <w:spacing w:after="120" w:line="360" w:lineRule="auto"/>
        <w:ind w:firstLine="560" w:firstLineChars="200"/>
        <w:rPr>
          <w:rFonts w:ascii="宋体" w:hAnsi="宋体"/>
          <w:szCs w:val="28"/>
        </w:rPr>
      </w:pPr>
      <w:bookmarkStart w:id="319" w:name="_Toc184635118"/>
      <w:r>
        <w:rPr>
          <w:rFonts w:hint="eastAsia" w:ascii="宋体" w:hAnsi="宋体"/>
          <w:szCs w:val="28"/>
        </w:rPr>
        <w:t>（1）由于负有投保义务的一方当事人未按合同约定办理保险，或未能使保险持续有效的，另一方当事人可代为办理，所需费用由对方当事人承担。</w:t>
      </w:r>
    </w:p>
    <w:p>
      <w:pPr>
        <w:spacing w:after="120" w:line="360" w:lineRule="auto"/>
        <w:ind w:firstLine="560" w:firstLineChars="200"/>
        <w:rPr>
          <w:rFonts w:ascii="宋体" w:hAnsi="宋体"/>
          <w:szCs w:val="28"/>
        </w:rPr>
      </w:pPr>
      <w:r>
        <w:rPr>
          <w:rFonts w:hint="eastAsia" w:ascii="宋体" w:hAnsi="宋体"/>
          <w:szCs w:val="28"/>
        </w:rPr>
        <w:t>（2）由于负有投保义务的一方当事人未按合同约定办理某项保险，导致受益人未能得到保险人的赔偿，原应从该项保险得到的保险金应由负有投保义务的一方当事人支付。</w:t>
      </w:r>
    </w:p>
    <w:bookmarkEnd w:id="319"/>
    <w:p>
      <w:pPr>
        <w:spacing w:after="120" w:line="360" w:lineRule="auto"/>
        <w:ind w:firstLine="560" w:firstLineChars="200"/>
        <w:rPr>
          <w:rFonts w:ascii="宋体" w:hAnsi="宋体"/>
          <w:szCs w:val="28"/>
        </w:rPr>
      </w:pPr>
      <w:bookmarkStart w:id="320" w:name="_Toc296602568"/>
      <w:bookmarkStart w:id="321" w:name="_Toc247527781"/>
      <w:bookmarkStart w:id="322" w:name="_Toc247514180"/>
      <w:bookmarkStart w:id="323" w:name="_Toc271821895"/>
      <w:bookmarkStart w:id="324" w:name="_Toc246996322"/>
      <w:bookmarkStart w:id="325" w:name="_Toc184635119"/>
      <w:bookmarkStart w:id="326" w:name="_Toc247085837"/>
      <w:bookmarkStart w:id="327" w:name="_Toc246997065"/>
      <w:r>
        <w:rPr>
          <w:rFonts w:hint="eastAsia" w:ascii="宋体" w:hAnsi="宋体"/>
          <w:szCs w:val="28"/>
        </w:rPr>
        <w:t>（二十）不可抗力</w:t>
      </w:r>
      <w:bookmarkEnd w:id="320"/>
      <w:bookmarkEnd w:id="321"/>
      <w:bookmarkEnd w:id="322"/>
      <w:bookmarkEnd w:id="323"/>
    </w:p>
    <w:p>
      <w:pPr>
        <w:spacing w:after="120" w:line="360" w:lineRule="auto"/>
        <w:ind w:firstLine="560" w:firstLineChars="200"/>
        <w:rPr>
          <w:rFonts w:ascii="宋体" w:hAnsi="宋体"/>
          <w:szCs w:val="28"/>
        </w:rPr>
      </w:pPr>
      <w:bookmarkStart w:id="328" w:name="_Toc271821896"/>
      <w:bookmarkStart w:id="329" w:name="_Toc247527782"/>
      <w:bookmarkStart w:id="330" w:name="_Toc296602569"/>
      <w:bookmarkStart w:id="331" w:name="_Toc247514181"/>
      <w:r>
        <w:rPr>
          <w:rFonts w:hint="eastAsia" w:ascii="宋体" w:hAnsi="宋体"/>
          <w:szCs w:val="28"/>
        </w:rPr>
        <w:t>1.不可抗力的确认</w:t>
      </w:r>
      <w:bookmarkEnd w:id="328"/>
      <w:bookmarkEnd w:id="329"/>
      <w:bookmarkEnd w:id="330"/>
      <w:bookmarkEnd w:id="331"/>
    </w:p>
    <w:p>
      <w:pPr>
        <w:spacing w:after="120" w:line="360" w:lineRule="auto"/>
        <w:ind w:firstLine="560" w:firstLineChars="200"/>
        <w:rPr>
          <w:rFonts w:ascii="宋体" w:hAnsi="宋体"/>
          <w:szCs w:val="28"/>
        </w:rPr>
      </w:pPr>
      <w:r>
        <w:rPr>
          <w:rFonts w:hint="eastAsia" w:ascii="宋体" w:hAnsi="宋体"/>
          <w:szCs w:val="28"/>
        </w:rPr>
        <w:t>（1）不可抗力是指承包人和发包人在订立合同时不可预见，在履行合同过程中不可避免发生并不能克服的自然灾害和社会性突发事件，如地震、海啸、瘟疫、水灾、骚乱、暴动、战争和专用合同条款约定的其他情形。</w:t>
      </w:r>
    </w:p>
    <w:p>
      <w:pPr>
        <w:spacing w:after="120" w:line="360" w:lineRule="auto"/>
        <w:ind w:firstLine="560" w:firstLineChars="200"/>
        <w:rPr>
          <w:rFonts w:ascii="宋体" w:hAnsi="宋体"/>
          <w:szCs w:val="28"/>
        </w:rPr>
      </w:pPr>
      <w:r>
        <w:rPr>
          <w:rFonts w:hint="eastAsia" w:ascii="宋体" w:hAnsi="宋体"/>
          <w:szCs w:val="28"/>
        </w:rPr>
        <w:t>（2）不可抗力发生后，发包人和承包人应及时认真统计所造成的损失，收集不可抗力造成损失的证据。合同双方对是否属于不可抗力或其损失的意见不一致的，由监理人按商定或确定条款商定或确定。发生争议时，按争议的解决条款的约定执行。</w:t>
      </w:r>
    </w:p>
    <w:p>
      <w:pPr>
        <w:spacing w:after="120" w:line="360" w:lineRule="auto"/>
        <w:ind w:firstLine="560" w:firstLineChars="200"/>
        <w:rPr>
          <w:rFonts w:ascii="宋体" w:hAnsi="宋体"/>
          <w:szCs w:val="28"/>
        </w:rPr>
      </w:pPr>
      <w:bookmarkStart w:id="332" w:name="_Toc271821897"/>
      <w:bookmarkStart w:id="333" w:name="_Toc296602570"/>
      <w:bookmarkStart w:id="334" w:name="_Toc247514182"/>
      <w:bookmarkStart w:id="335" w:name="_Toc247527783"/>
      <w:r>
        <w:rPr>
          <w:rFonts w:hint="eastAsia" w:ascii="宋体" w:hAnsi="宋体"/>
          <w:szCs w:val="28"/>
        </w:rPr>
        <w:t>2.不可抗力的通知</w:t>
      </w:r>
      <w:bookmarkEnd w:id="332"/>
      <w:bookmarkEnd w:id="333"/>
      <w:bookmarkEnd w:id="334"/>
      <w:bookmarkEnd w:id="335"/>
    </w:p>
    <w:p>
      <w:pPr>
        <w:spacing w:after="120" w:line="360" w:lineRule="auto"/>
        <w:ind w:firstLine="560" w:firstLineChars="200"/>
        <w:rPr>
          <w:rFonts w:ascii="宋体" w:hAnsi="宋体"/>
          <w:szCs w:val="28"/>
        </w:rPr>
      </w:pPr>
      <w:r>
        <w:rPr>
          <w:rFonts w:hint="eastAsia" w:ascii="宋体" w:hAnsi="宋体"/>
          <w:szCs w:val="28"/>
        </w:rPr>
        <w:t>合同一方当事人遇到不可抗力事件，使其履行合同义务受到阻碍时，应立即通知合同另一方当事人和监理人，书面说明不可抗力和受阻碍的详细情况，并提供必要的证明。如不可抗力持续发生，合同一方当事人应及时向合同另一方当事人和监理人提交中间报告，说明不可抗力和履行合同受阻的情况，并于不可抗力事件结束后14天内提交最终报告及有关资料。</w:t>
      </w:r>
    </w:p>
    <w:p>
      <w:pPr>
        <w:spacing w:after="120" w:line="360" w:lineRule="auto"/>
        <w:ind w:firstLine="560" w:firstLineChars="200"/>
        <w:rPr>
          <w:rFonts w:ascii="宋体" w:hAnsi="宋体"/>
          <w:szCs w:val="28"/>
        </w:rPr>
      </w:pPr>
      <w:bookmarkStart w:id="336" w:name="_Toc247527784"/>
      <w:bookmarkStart w:id="337" w:name="_Toc271821898"/>
      <w:bookmarkStart w:id="338" w:name="_Toc247514183"/>
      <w:bookmarkStart w:id="339" w:name="_Toc296602571"/>
      <w:r>
        <w:rPr>
          <w:rFonts w:hint="eastAsia" w:ascii="宋体" w:hAnsi="宋体"/>
          <w:szCs w:val="28"/>
        </w:rPr>
        <w:t>3.不可抗力后果及其处理</w:t>
      </w:r>
      <w:bookmarkEnd w:id="336"/>
      <w:bookmarkEnd w:id="337"/>
      <w:bookmarkEnd w:id="338"/>
      <w:bookmarkEnd w:id="339"/>
    </w:p>
    <w:p>
      <w:pPr>
        <w:spacing w:after="120" w:line="360" w:lineRule="auto"/>
        <w:ind w:firstLine="560" w:firstLineChars="200"/>
        <w:rPr>
          <w:rFonts w:ascii="宋体" w:hAnsi="宋体"/>
          <w:szCs w:val="28"/>
        </w:rPr>
      </w:pPr>
      <w:r>
        <w:rPr>
          <w:rFonts w:hint="eastAsia" w:ascii="宋体" w:hAnsi="宋体"/>
          <w:szCs w:val="28"/>
        </w:rPr>
        <w:t>除专用合同条款另有约定外，不可抗力导致的人员伤亡、财产损失、费用增加和（或）工期延误等后果，由合同双方按以下原则承担：</w:t>
      </w:r>
    </w:p>
    <w:p>
      <w:pPr>
        <w:spacing w:after="120" w:line="360" w:lineRule="auto"/>
        <w:ind w:firstLine="560" w:firstLineChars="200"/>
        <w:rPr>
          <w:rFonts w:ascii="宋体" w:hAnsi="宋体"/>
          <w:szCs w:val="28"/>
        </w:rPr>
      </w:pPr>
      <w:r>
        <w:rPr>
          <w:rFonts w:hint="eastAsia" w:ascii="宋体" w:hAnsi="宋体"/>
          <w:szCs w:val="28"/>
        </w:rPr>
        <w:t>（1）永久工程，包括已运至施工场地的材料和工程设备的损害，以及因工程损害造成的第三者人员伤亡和财产损失由发包人承担；</w:t>
      </w:r>
    </w:p>
    <w:p>
      <w:pPr>
        <w:spacing w:after="120" w:line="360" w:lineRule="auto"/>
        <w:ind w:firstLine="560" w:firstLineChars="200"/>
        <w:rPr>
          <w:rFonts w:ascii="宋体" w:hAnsi="宋体"/>
          <w:szCs w:val="28"/>
        </w:rPr>
      </w:pPr>
      <w:r>
        <w:rPr>
          <w:rFonts w:hint="eastAsia" w:ascii="宋体" w:hAnsi="宋体"/>
          <w:szCs w:val="28"/>
        </w:rPr>
        <w:t>（2）承包人设备的损坏由承包人承担；</w:t>
      </w:r>
    </w:p>
    <w:p>
      <w:pPr>
        <w:spacing w:after="120" w:line="360" w:lineRule="auto"/>
        <w:ind w:firstLine="560" w:firstLineChars="200"/>
        <w:rPr>
          <w:rFonts w:ascii="宋体" w:hAnsi="宋体"/>
          <w:szCs w:val="28"/>
        </w:rPr>
      </w:pPr>
      <w:r>
        <w:rPr>
          <w:rFonts w:hint="eastAsia" w:ascii="宋体" w:hAnsi="宋体"/>
          <w:szCs w:val="28"/>
        </w:rPr>
        <w:t>（3）发包人和承包人各自承担其人员伤亡和其他财产损失及其相关费用；</w:t>
      </w:r>
    </w:p>
    <w:p>
      <w:pPr>
        <w:spacing w:after="120" w:line="360" w:lineRule="auto"/>
        <w:ind w:firstLine="560" w:firstLineChars="200"/>
        <w:rPr>
          <w:rFonts w:ascii="宋体" w:hAnsi="宋体"/>
          <w:szCs w:val="28"/>
        </w:rPr>
      </w:pPr>
      <w:r>
        <w:rPr>
          <w:rFonts w:hint="eastAsia" w:ascii="宋体" w:hAnsi="宋体"/>
          <w:szCs w:val="28"/>
        </w:rPr>
        <w:t>（4）承包人的停工损失由承包人承担，但停工期间应监理人要求照管工程和清理、修复工程的金额由发包人承担；</w:t>
      </w:r>
    </w:p>
    <w:p>
      <w:pPr>
        <w:spacing w:after="120" w:line="360" w:lineRule="auto"/>
        <w:ind w:firstLine="560" w:firstLineChars="200"/>
        <w:rPr>
          <w:rFonts w:ascii="宋体" w:hAnsi="宋体"/>
          <w:szCs w:val="28"/>
        </w:rPr>
      </w:pPr>
      <w:r>
        <w:rPr>
          <w:rFonts w:hint="eastAsia" w:ascii="宋体" w:hAnsi="宋体"/>
          <w:szCs w:val="28"/>
        </w:rPr>
        <w:t>（5）不能按期竣工的，应合理延长工期，承包人不需支付逾期竣工违约金。发包人要求赶工的，承包人应采取赶工措施，赶工费用由发包人承担。</w:t>
      </w:r>
    </w:p>
    <w:p>
      <w:pPr>
        <w:spacing w:after="120" w:line="360" w:lineRule="auto"/>
        <w:ind w:firstLine="560" w:firstLineChars="200"/>
        <w:rPr>
          <w:rFonts w:ascii="宋体" w:hAnsi="宋体"/>
          <w:szCs w:val="28"/>
        </w:rPr>
      </w:pPr>
      <w:bookmarkStart w:id="340" w:name="_Toc296602572"/>
      <w:r>
        <w:rPr>
          <w:rFonts w:hint="eastAsia" w:ascii="宋体" w:hAnsi="宋体"/>
          <w:szCs w:val="28"/>
        </w:rPr>
        <w:t>（二十一）违约</w:t>
      </w:r>
      <w:bookmarkEnd w:id="324"/>
      <w:bookmarkEnd w:id="325"/>
      <w:bookmarkEnd w:id="326"/>
      <w:bookmarkEnd w:id="327"/>
      <w:bookmarkEnd w:id="340"/>
    </w:p>
    <w:p>
      <w:pPr>
        <w:spacing w:after="120" w:line="360" w:lineRule="auto"/>
        <w:ind w:firstLine="560" w:firstLineChars="200"/>
        <w:rPr>
          <w:rFonts w:ascii="宋体" w:hAnsi="宋体"/>
          <w:szCs w:val="28"/>
        </w:rPr>
      </w:pPr>
      <w:bookmarkStart w:id="341" w:name="_Toc296602573"/>
      <w:bookmarkStart w:id="342" w:name="_Toc246996323"/>
      <w:bookmarkStart w:id="343" w:name="_Toc246997066"/>
      <w:bookmarkStart w:id="344" w:name="_Toc247085838"/>
      <w:r>
        <w:rPr>
          <w:rFonts w:hint="eastAsia" w:ascii="宋体" w:hAnsi="宋体"/>
          <w:szCs w:val="28"/>
        </w:rPr>
        <w:t>1.承包人违约</w:t>
      </w:r>
      <w:bookmarkEnd w:id="341"/>
      <w:bookmarkEnd w:id="342"/>
      <w:bookmarkEnd w:id="343"/>
      <w:bookmarkEnd w:id="344"/>
    </w:p>
    <w:p>
      <w:pPr>
        <w:spacing w:after="120" w:line="360" w:lineRule="auto"/>
        <w:ind w:firstLine="560" w:firstLineChars="200"/>
        <w:rPr>
          <w:rFonts w:ascii="宋体" w:hAnsi="宋体"/>
          <w:szCs w:val="28"/>
        </w:rPr>
      </w:pPr>
      <w:r>
        <w:rPr>
          <w:rFonts w:hint="eastAsia" w:ascii="宋体" w:hAnsi="宋体"/>
          <w:szCs w:val="28"/>
        </w:rPr>
        <w:t>（1）如果承包人拒绝或未能遵守监理人的指示，或未能按合同进度计划及时完成合同约定的工作，已造成或预期造成工期延误，或违反合同不顾书面警告，监理人可发出通知，告知承包人违约。</w:t>
      </w:r>
    </w:p>
    <w:p>
      <w:pPr>
        <w:spacing w:after="120" w:line="360" w:lineRule="auto"/>
        <w:ind w:firstLine="560" w:firstLineChars="200"/>
        <w:rPr>
          <w:rFonts w:ascii="宋体" w:hAnsi="宋体"/>
          <w:szCs w:val="28"/>
        </w:rPr>
      </w:pPr>
      <w:r>
        <w:rPr>
          <w:rFonts w:hint="eastAsia" w:ascii="宋体" w:hAnsi="宋体"/>
          <w:szCs w:val="28"/>
        </w:rPr>
        <w:t>（2）如果承包人在收到监理人通知后21天内，没有采取可行的措施纠正违约，发包人可向承包人发出解除合同通知。发包人因继续完成该工程的需要，有权扣留使用承包人在现场的材料、设备和临时设施。但发包人的这一行动不免除承包人应承担的违约责任，也不影响发包人根据合同约定享有的索赔权利。</w:t>
      </w:r>
    </w:p>
    <w:p>
      <w:pPr>
        <w:spacing w:after="120" w:line="360" w:lineRule="auto"/>
        <w:ind w:firstLine="560" w:firstLineChars="200"/>
        <w:rPr>
          <w:rFonts w:ascii="宋体" w:hAnsi="宋体"/>
          <w:szCs w:val="28"/>
        </w:rPr>
      </w:pPr>
      <w:bookmarkStart w:id="345" w:name="_Toc246997067"/>
      <w:bookmarkStart w:id="346" w:name="_Toc296602574"/>
      <w:bookmarkStart w:id="347" w:name="_Toc246996324"/>
      <w:bookmarkStart w:id="348" w:name="_Toc247085839"/>
      <w:r>
        <w:rPr>
          <w:rFonts w:hint="eastAsia" w:ascii="宋体" w:hAnsi="宋体"/>
          <w:szCs w:val="28"/>
        </w:rPr>
        <w:t>2.发包人违约</w:t>
      </w:r>
      <w:bookmarkEnd w:id="345"/>
      <w:bookmarkEnd w:id="346"/>
      <w:bookmarkEnd w:id="347"/>
      <w:bookmarkEnd w:id="348"/>
    </w:p>
    <w:p>
      <w:pPr>
        <w:spacing w:after="120" w:line="360" w:lineRule="auto"/>
        <w:ind w:firstLine="560" w:firstLineChars="200"/>
        <w:rPr>
          <w:rFonts w:ascii="宋体" w:hAnsi="宋体"/>
          <w:szCs w:val="28"/>
        </w:rPr>
      </w:pPr>
      <w:r>
        <w:rPr>
          <w:rFonts w:hint="eastAsia" w:ascii="宋体" w:hAnsi="宋体"/>
          <w:szCs w:val="28"/>
        </w:rPr>
        <w:t>（1）如果发包人未能按合同付款，或违反合同不顾书面警告，承包人可发出通知，告知发包人违约。如果发包人在收到该通知后14天内未纠正违约，承包人可暂停工作或放慢工作进度。</w:t>
      </w:r>
    </w:p>
    <w:p>
      <w:pPr>
        <w:spacing w:after="120" w:line="360" w:lineRule="auto"/>
        <w:ind w:firstLine="560" w:firstLineChars="200"/>
        <w:rPr>
          <w:rFonts w:ascii="宋体" w:hAnsi="宋体"/>
          <w:szCs w:val="28"/>
        </w:rPr>
      </w:pPr>
      <w:r>
        <w:rPr>
          <w:rFonts w:hint="eastAsia" w:ascii="宋体" w:hAnsi="宋体"/>
          <w:szCs w:val="28"/>
        </w:rPr>
        <w:t>（2）如果发包人收到承包人通知后28内未纠正违约，承包人可向发包人发出解除合同通知。合同解除后，承包人应妥善做好已竣工工程和已购材料、设备的保护和移交工作，按发包人要求将承包人设备和人员撤出施工场地，同时发包人应为承包人的撤出提供必要条件，但承包人的这一行动不免除发包人应承担的违约责任，也不影响承包人根据合同约定享有的索赔权利。</w:t>
      </w:r>
    </w:p>
    <w:p>
      <w:pPr>
        <w:spacing w:after="120" w:line="360" w:lineRule="auto"/>
        <w:ind w:firstLine="560" w:firstLineChars="200"/>
        <w:rPr>
          <w:rFonts w:ascii="宋体" w:hAnsi="宋体"/>
          <w:szCs w:val="28"/>
        </w:rPr>
      </w:pPr>
      <w:bookmarkStart w:id="349" w:name="_Toc184635120"/>
      <w:bookmarkStart w:id="350" w:name="_Toc246996326"/>
      <w:bookmarkStart w:id="351" w:name="_Toc247085841"/>
      <w:bookmarkStart w:id="352" w:name="_Toc296602575"/>
      <w:bookmarkStart w:id="353" w:name="_Toc246997069"/>
      <w:r>
        <w:rPr>
          <w:rFonts w:hint="eastAsia" w:ascii="宋体" w:hAnsi="宋体"/>
          <w:szCs w:val="28"/>
        </w:rPr>
        <w:t>（二十二）索赔</w:t>
      </w:r>
      <w:bookmarkEnd w:id="349"/>
      <w:bookmarkEnd w:id="350"/>
      <w:bookmarkEnd w:id="351"/>
      <w:bookmarkEnd w:id="352"/>
      <w:bookmarkEnd w:id="353"/>
    </w:p>
    <w:p>
      <w:pPr>
        <w:spacing w:after="120" w:line="360" w:lineRule="auto"/>
        <w:ind w:firstLine="560" w:firstLineChars="200"/>
        <w:rPr>
          <w:rFonts w:ascii="宋体" w:hAnsi="宋体"/>
          <w:szCs w:val="28"/>
        </w:rPr>
      </w:pPr>
      <w:bookmarkStart w:id="354" w:name="_Toc296602576"/>
      <w:bookmarkStart w:id="355" w:name="_Toc247085842"/>
      <w:bookmarkStart w:id="356" w:name="_Toc246997070"/>
      <w:bookmarkStart w:id="357" w:name="_Toc246996327"/>
      <w:r>
        <w:rPr>
          <w:rFonts w:hint="eastAsia" w:ascii="宋体" w:hAnsi="宋体"/>
          <w:szCs w:val="28"/>
        </w:rPr>
        <w:t>1.承包人索赔的提出</w:t>
      </w:r>
      <w:bookmarkEnd w:id="354"/>
      <w:bookmarkEnd w:id="355"/>
      <w:bookmarkEnd w:id="356"/>
      <w:bookmarkEnd w:id="357"/>
    </w:p>
    <w:p>
      <w:pPr>
        <w:spacing w:after="120" w:line="360" w:lineRule="auto"/>
        <w:ind w:firstLine="560" w:firstLineChars="200"/>
        <w:rPr>
          <w:rFonts w:ascii="宋体" w:hAnsi="宋体"/>
          <w:szCs w:val="28"/>
        </w:rPr>
      </w:pPr>
      <w:r>
        <w:rPr>
          <w:rFonts w:hint="eastAsia" w:ascii="宋体" w:hAnsi="宋体"/>
          <w:szCs w:val="28"/>
        </w:rPr>
        <w:t>根据合同约定，承包人认为有权得到追加付款和（或）延长工期的，应按以下程序向发包人提出索赔：</w:t>
      </w:r>
    </w:p>
    <w:p>
      <w:pPr>
        <w:spacing w:after="120" w:line="360" w:lineRule="auto"/>
        <w:ind w:firstLine="560" w:firstLineChars="200"/>
        <w:rPr>
          <w:rFonts w:ascii="宋体" w:hAnsi="宋体"/>
          <w:szCs w:val="28"/>
        </w:rPr>
      </w:pPr>
      <w:r>
        <w:rPr>
          <w:rFonts w:hint="eastAsia" w:ascii="宋体" w:hAnsi="宋体"/>
          <w:szCs w:val="28"/>
        </w:rPr>
        <w:t xml:space="preserve">（l）承包人应在知道或应当知道索赔事件发生后14天内，向监理人递交索赔通知书。索赔通知书应详细说明索赔理由以及要求追加的付款金额和（或）延长的工期，并附必要的记录和证明材料； </w:t>
      </w:r>
    </w:p>
    <w:p>
      <w:pPr>
        <w:spacing w:after="120" w:line="360" w:lineRule="auto"/>
        <w:ind w:firstLine="560" w:firstLineChars="200"/>
        <w:rPr>
          <w:rFonts w:ascii="宋体" w:hAnsi="宋体"/>
          <w:szCs w:val="28"/>
        </w:rPr>
      </w:pPr>
      <w:r>
        <w:rPr>
          <w:rFonts w:hint="eastAsia" w:ascii="宋体" w:hAnsi="宋体"/>
          <w:szCs w:val="28"/>
        </w:rPr>
        <w:t>（2）索赔事件具有连续影响的，承包人应在索赔事件影响结束后的14天内，向监理人递交最终索赔通知书，说明最终要求索赔的追加付款金额和延长的工期，并附必要的记录和证明材料；</w:t>
      </w:r>
    </w:p>
    <w:p>
      <w:pPr>
        <w:spacing w:after="120" w:line="360" w:lineRule="auto"/>
        <w:ind w:firstLine="560" w:firstLineChars="200"/>
        <w:rPr>
          <w:rFonts w:ascii="宋体" w:hAnsi="宋体"/>
          <w:szCs w:val="28"/>
        </w:rPr>
      </w:pPr>
      <w:r>
        <w:rPr>
          <w:rFonts w:hint="eastAsia" w:ascii="宋体" w:hAnsi="宋体"/>
          <w:szCs w:val="28"/>
        </w:rPr>
        <w:t>（3）承包人未在前述14天内递交索赔通知书的，丧失要求追加付款和（或）延长工期的权利。</w:t>
      </w:r>
    </w:p>
    <w:p>
      <w:pPr>
        <w:spacing w:after="120" w:line="360" w:lineRule="auto"/>
        <w:ind w:firstLine="560" w:firstLineChars="200"/>
        <w:rPr>
          <w:rFonts w:ascii="宋体" w:hAnsi="宋体"/>
          <w:szCs w:val="28"/>
        </w:rPr>
      </w:pPr>
      <w:bookmarkStart w:id="358" w:name="_Toc246997071"/>
      <w:bookmarkStart w:id="359" w:name="_Toc246996328"/>
      <w:bookmarkStart w:id="360" w:name="_Toc296602577"/>
      <w:bookmarkStart w:id="361" w:name="_Toc247085843"/>
      <w:r>
        <w:rPr>
          <w:rFonts w:hint="eastAsia" w:ascii="宋体" w:hAnsi="宋体"/>
          <w:szCs w:val="28"/>
        </w:rPr>
        <w:t>2.承包人索赔处理程序</w:t>
      </w:r>
      <w:bookmarkEnd w:id="358"/>
      <w:bookmarkEnd w:id="359"/>
      <w:bookmarkEnd w:id="360"/>
      <w:bookmarkEnd w:id="361"/>
    </w:p>
    <w:p>
      <w:pPr>
        <w:spacing w:after="120" w:line="360" w:lineRule="auto"/>
        <w:ind w:firstLine="560" w:firstLineChars="200"/>
        <w:rPr>
          <w:rFonts w:ascii="宋体" w:hAnsi="宋体"/>
          <w:szCs w:val="28"/>
        </w:rPr>
      </w:pPr>
      <w:r>
        <w:rPr>
          <w:rFonts w:hint="eastAsia" w:ascii="宋体" w:hAnsi="宋体"/>
          <w:szCs w:val="28"/>
        </w:rPr>
        <w:t>（1）监理人收到承包人提交的索赔通知书后，应按商定或确定条款商定或确定追加的付款和（或）延长的工期，并在收到上述索赔通知书或有关索赔的进一步证明材料后的14天内，将索赔处理结果答复承包人。</w:t>
      </w:r>
    </w:p>
    <w:p>
      <w:pPr>
        <w:spacing w:after="120" w:line="360" w:lineRule="auto"/>
        <w:ind w:firstLine="560" w:firstLineChars="200"/>
        <w:rPr>
          <w:rFonts w:ascii="宋体" w:hAnsi="宋体"/>
          <w:szCs w:val="28"/>
        </w:rPr>
      </w:pPr>
      <w:r>
        <w:rPr>
          <w:rFonts w:hint="eastAsia" w:ascii="宋体" w:hAnsi="宋体"/>
          <w:szCs w:val="28"/>
        </w:rPr>
        <w:t>（2）承包人接受索赔处理结果的，发包人应在作出索赔处理结果答复后14天内完成赔付。承包人不接受索赔处理结果的，按争议的解决条款的约定执行。</w:t>
      </w:r>
    </w:p>
    <w:p>
      <w:pPr>
        <w:spacing w:after="120" w:line="360" w:lineRule="auto"/>
        <w:ind w:firstLine="560" w:firstLineChars="200"/>
        <w:rPr>
          <w:rFonts w:ascii="宋体" w:hAnsi="宋体"/>
          <w:szCs w:val="28"/>
        </w:rPr>
      </w:pPr>
      <w:bookmarkStart w:id="362" w:name="_Toc296602578"/>
      <w:bookmarkStart w:id="363" w:name="_Toc247085844"/>
      <w:bookmarkStart w:id="364" w:name="_Toc246997072"/>
      <w:bookmarkStart w:id="365" w:name="_Toc246996329"/>
      <w:r>
        <w:rPr>
          <w:rFonts w:hint="eastAsia" w:ascii="宋体" w:hAnsi="宋体"/>
          <w:szCs w:val="28"/>
        </w:rPr>
        <w:t>3.承包人提出索赔的期限</w:t>
      </w:r>
      <w:bookmarkEnd w:id="362"/>
      <w:bookmarkEnd w:id="363"/>
      <w:bookmarkEnd w:id="364"/>
      <w:bookmarkEnd w:id="365"/>
    </w:p>
    <w:p>
      <w:pPr>
        <w:spacing w:after="120" w:line="360" w:lineRule="auto"/>
        <w:ind w:firstLine="560" w:firstLineChars="200"/>
        <w:rPr>
          <w:rFonts w:ascii="宋体" w:hAnsi="宋体"/>
          <w:szCs w:val="28"/>
        </w:rPr>
      </w:pPr>
      <w:r>
        <w:rPr>
          <w:rFonts w:hint="eastAsia" w:ascii="宋体" w:hAnsi="宋体"/>
          <w:szCs w:val="28"/>
        </w:rPr>
        <w:t>承包人按竣工结算的约定接受了竣工付款证书后，应被认为已无权再提出在合同工程接收证书颁发前所发生的任何索赔。</w:t>
      </w:r>
    </w:p>
    <w:p>
      <w:pPr>
        <w:spacing w:after="120" w:line="360" w:lineRule="auto"/>
        <w:ind w:firstLine="560" w:firstLineChars="200"/>
        <w:rPr>
          <w:rFonts w:ascii="宋体" w:hAnsi="宋体"/>
          <w:szCs w:val="28"/>
        </w:rPr>
      </w:pPr>
      <w:bookmarkStart w:id="366" w:name="_Toc296602579"/>
      <w:r>
        <w:rPr>
          <w:rFonts w:hint="eastAsia" w:ascii="宋体" w:hAnsi="宋体"/>
          <w:szCs w:val="28"/>
        </w:rPr>
        <w:t>4.发包人索赔的提出</w:t>
      </w:r>
      <w:bookmarkEnd w:id="366"/>
    </w:p>
    <w:p>
      <w:pPr>
        <w:spacing w:after="120" w:line="360" w:lineRule="auto"/>
        <w:ind w:firstLine="560" w:firstLineChars="200"/>
        <w:rPr>
          <w:rFonts w:ascii="宋体" w:hAnsi="宋体"/>
          <w:szCs w:val="28"/>
        </w:rPr>
      </w:pPr>
      <w:r>
        <w:rPr>
          <w:rFonts w:hint="eastAsia" w:ascii="宋体" w:hAnsi="宋体"/>
          <w:szCs w:val="28"/>
        </w:rPr>
        <w:t>根据合同约定，发包人认为有权得到追加付款和（或）延长工期的，应按以下程序向承包人提出索赔：</w:t>
      </w:r>
    </w:p>
    <w:p>
      <w:pPr>
        <w:spacing w:after="120" w:line="360" w:lineRule="auto"/>
        <w:ind w:firstLine="560" w:firstLineChars="200"/>
        <w:rPr>
          <w:rFonts w:ascii="宋体" w:hAnsi="宋体"/>
          <w:szCs w:val="28"/>
        </w:rPr>
      </w:pPr>
      <w:r>
        <w:rPr>
          <w:rFonts w:hint="eastAsia" w:ascii="宋体" w:hAnsi="宋体"/>
          <w:szCs w:val="28"/>
        </w:rPr>
        <w:t xml:space="preserve">（l）监理人应在知道或应当知道索赔事件发生后14天内，向承包人递交索赔通知书。索赔通知书应详细说明索赔理由以及要求追加的付款金额和（或）延长的工期，并附必要的记录和证明材料； </w:t>
      </w:r>
    </w:p>
    <w:p>
      <w:pPr>
        <w:spacing w:after="120" w:line="360" w:lineRule="auto"/>
        <w:ind w:firstLine="560" w:firstLineChars="200"/>
        <w:rPr>
          <w:rFonts w:ascii="宋体" w:hAnsi="宋体"/>
          <w:szCs w:val="28"/>
        </w:rPr>
      </w:pPr>
      <w:r>
        <w:rPr>
          <w:rFonts w:hint="eastAsia" w:ascii="宋体" w:hAnsi="宋体"/>
          <w:szCs w:val="28"/>
        </w:rPr>
        <w:t>（2）索赔事件具有连续影响的，监理人应在索赔事件影响结束后的14天内，向承包人递交最终索赔通知书，说明最终要求索赔的追加付款金额和延长的工期，并附必要的记录和证明材料。</w:t>
      </w:r>
    </w:p>
    <w:p>
      <w:pPr>
        <w:spacing w:after="120" w:line="360" w:lineRule="auto"/>
        <w:ind w:firstLine="560" w:firstLineChars="200"/>
        <w:rPr>
          <w:rFonts w:ascii="宋体" w:hAnsi="宋体"/>
          <w:szCs w:val="28"/>
        </w:rPr>
      </w:pPr>
      <w:bookmarkStart w:id="367" w:name="_Toc296602580"/>
      <w:r>
        <w:rPr>
          <w:rFonts w:hint="eastAsia" w:ascii="宋体" w:hAnsi="宋体"/>
          <w:szCs w:val="28"/>
        </w:rPr>
        <w:t>5.发包人索赔处理程序</w:t>
      </w:r>
      <w:bookmarkEnd w:id="367"/>
    </w:p>
    <w:p>
      <w:pPr>
        <w:spacing w:after="120" w:line="360" w:lineRule="auto"/>
        <w:ind w:firstLine="560" w:firstLineChars="200"/>
        <w:rPr>
          <w:rFonts w:ascii="宋体" w:hAnsi="宋体"/>
          <w:szCs w:val="28"/>
        </w:rPr>
      </w:pPr>
      <w:r>
        <w:rPr>
          <w:rFonts w:hint="eastAsia" w:ascii="宋体" w:hAnsi="宋体"/>
          <w:szCs w:val="28"/>
        </w:rPr>
        <w:t>（1）承包人收到监理人提交的索赔通知书后，应按商定或确定条款商定或确定追加的付款和（或）延长的工期，并在收到上述索赔通知书或有关索赔的进一步证明材料后的14天内，将索赔处理结果答复监理人。</w:t>
      </w:r>
    </w:p>
    <w:p>
      <w:pPr>
        <w:spacing w:after="120" w:line="360" w:lineRule="auto"/>
        <w:ind w:firstLine="560" w:firstLineChars="200"/>
        <w:rPr>
          <w:rFonts w:ascii="宋体" w:hAnsi="宋体"/>
          <w:szCs w:val="28"/>
        </w:rPr>
      </w:pPr>
      <w:r>
        <w:rPr>
          <w:rFonts w:hint="eastAsia" w:ascii="宋体" w:hAnsi="宋体"/>
          <w:szCs w:val="28"/>
        </w:rPr>
        <w:t>（2）监理人接受索赔处理结果的，承包人应在作出索赔处理结果答复后14天内完成赔付。监理人不接受索赔处理结果的，按争议的解决的约定执行。</w:t>
      </w:r>
    </w:p>
    <w:p>
      <w:pPr>
        <w:spacing w:after="120" w:line="360" w:lineRule="auto"/>
        <w:ind w:firstLine="560" w:firstLineChars="200"/>
        <w:rPr>
          <w:rFonts w:ascii="宋体" w:hAnsi="宋体"/>
          <w:szCs w:val="28"/>
        </w:rPr>
      </w:pPr>
      <w:bookmarkStart w:id="368" w:name="_Toc246997074"/>
      <w:bookmarkStart w:id="369" w:name="_Toc296602581"/>
      <w:bookmarkStart w:id="370" w:name="_Toc246996331"/>
      <w:bookmarkStart w:id="371" w:name="_Toc184635121"/>
      <w:bookmarkStart w:id="372" w:name="_Toc247085846"/>
      <w:r>
        <w:rPr>
          <w:rFonts w:hint="eastAsia" w:ascii="宋体" w:hAnsi="宋体"/>
          <w:szCs w:val="28"/>
        </w:rPr>
        <w:t>（二十三）争议的解决</w:t>
      </w:r>
      <w:bookmarkEnd w:id="368"/>
      <w:bookmarkEnd w:id="369"/>
      <w:bookmarkEnd w:id="370"/>
      <w:bookmarkEnd w:id="371"/>
      <w:bookmarkEnd w:id="372"/>
    </w:p>
    <w:p>
      <w:pPr>
        <w:spacing w:after="120" w:line="360" w:lineRule="auto"/>
        <w:ind w:firstLine="560" w:firstLineChars="200"/>
        <w:rPr>
          <w:rFonts w:ascii="宋体" w:hAnsi="宋体"/>
          <w:szCs w:val="28"/>
        </w:rPr>
      </w:pPr>
      <w:bookmarkStart w:id="373" w:name="_Toc296602582"/>
      <w:bookmarkStart w:id="374" w:name="_Toc247085847"/>
      <w:bookmarkStart w:id="375" w:name="_Toc246996332"/>
      <w:bookmarkStart w:id="376" w:name="_Toc246997075"/>
      <w:r>
        <w:rPr>
          <w:rFonts w:hint="eastAsia" w:ascii="宋体" w:hAnsi="宋体"/>
          <w:szCs w:val="28"/>
        </w:rPr>
        <w:t>1.争议的解决方式</w:t>
      </w:r>
      <w:bookmarkEnd w:id="373"/>
      <w:bookmarkEnd w:id="374"/>
      <w:bookmarkEnd w:id="375"/>
      <w:bookmarkEnd w:id="376"/>
    </w:p>
    <w:p>
      <w:pPr>
        <w:spacing w:after="120" w:line="360" w:lineRule="auto"/>
        <w:ind w:firstLine="560" w:firstLineChars="200"/>
        <w:rPr>
          <w:rFonts w:ascii="宋体" w:hAnsi="宋体"/>
          <w:szCs w:val="28"/>
        </w:rPr>
      </w:pPr>
      <w:r>
        <w:rPr>
          <w:rFonts w:hint="eastAsia" w:ascii="宋体" w:hAnsi="宋体"/>
          <w:szCs w:val="28"/>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pPr>
        <w:spacing w:after="120" w:line="360" w:lineRule="auto"/>
        <w:ind w:firstLine="560" w:firstLineChars="200"/>
        <w:rPr>
          <w:rFonts w:ascii="宋体" w:hAnsi="宋体"/>
          <w:szCs w:val="28"/>
        </w:rPr>
      </w:pPr>
      <w:r>
        <w:rPr>
          <w:rFonts w:hint="eastAsia" w:ascii="宋体" w:hAnsi="宋体"/>
          <w:szCs w:val="28"/>
        </w:rPr>
        <w:t>（l）向约定的仲裁委员会申请仲裁；</w:t>
      </w:r>
    </w:p>
    <w:p>
      <w:pPr>
        <w:spacing w:after="120" w:line="360" w:lineRule="auto"/>
        <w:ind w:firstLine="560" w:firstLineChars="200"/>
        <w:rPr>
          <w:rFonts w:ascii="宋体" w:hAnsi="宋体"/>
          <w:szCs w:val="28"/>
        </w:rPr>
      </w:pPr>
      <w:r>
        <w:rPr>
          <w:rFonts w:hint="eastAsia" w:ascii="宋体" w:hAnsi="宋体"/>
          <w:szCs w:val="28"/>
        </w:rPr>
        <w:t>（2）向有管辖权的人民法院提起诉讼。</w:t>
      </w:r>
    </w:p>
    <w:p>
      <w:pPr>
        <w:spacing w:after="120" w:line="360" w:lineRule="auto"/>
        <w:ind w:firstLine="560" w:firstLineChars="200"/>
        <w:rPr>
          <w:rFonts w:ascii="宋体" w:hAnsi="宋体"/>
          <w:szCs w:val="28"/>
        </w:rPr>
      </w:pPr>
      <w:bookmarkStart w:id="377" w:name="_Toc246996333"/>
      <w:bookmarkStart w:id="378" w:name="_Toc247085848"/>
      <w:bookmarkStart w:id="379" w:name="_Toc296602583"/>
      <w:bookmarkStart w:id="380" w:name="_Toc246997076"/>
      <w:r>
        <w:rPr>
          <w:rFonts w:hint="eastAsia" w:ascii="宋体" w:hAnsi="宋体"/>
          <w:szCs w:val="28"/>
        </w:rPr>
        <w:t>2.友好解决</w:t>
      </w:r>
      <w:bookmarkEnd w:id="377"/>
      <w:bookmarkEnd w:id="378"/>
      <w:bookmarkEnd w:id="379"/>
      <w:bookmarkEnd w:id="380"/>
    </w:p>
    <w:p>
      <w:pPr>
        <w:spacing w:after="120" w:line="360" w:lineRule="auto"/>
        <w:ind w:firstLine="560" w:firstLineChars="200"/>
        <w:rPr>
          <w:rFonts w:ascii="宋体" w:hAnsi="宋体"/>
          <w:szCs w:val="28"/>
        </w:rPr>
      </w:pPr>
      <w:r>
        <w:rPr>
          <w:rFonts w:hint="eastAsia" w:ascii="宋体" w:hAnsi="宋体"/>
          <w:szCs w:val="28"/>
        </w:rPr>
        <w:t>在提请争议评审、仲裁或者诉讼前，以及在争议评审、仲裁或诉讼过程中，发包人和承包人均可共同努力友好协商解决争议。</w:t>
      </w:r>
    </w:p>
    <w:p>
      <w:pPr>
        <w:spacing w:after="120" w:line="360" w:lineRule="auto"/>
        <w:ind w:firstLine="560" w:firstLineChars="200"/>
        <w:rPr>
          <w:rFonts w:ascii="宋体" w:hAnsi="宋体"/>
          <w:szCs w:val="28"/>
        </w:rPr>
      </w:pPr>
      <w:bookmarkStart w:id="381" w:name="_Toc296602584"/>
      <w:bookmarkStart w:id="382" w:name="_Toc246997077"/>
      <w:bookmarkStart w:id="383" w:name="_Toc247085849"/>
      <w:bookmarkStart w:id="384" w:name="_Toc246996334"/>
      <w:r>
        <w:rPr>
          <w:rFonts w:hint="eastAsia" w:ascii="宋体" w:hAnsi="宋体"/>
          <w:szCs w:val="28"/>
        </w:rPr>
        <w:t>3.争议评审</w:t>
      </w:r>
      <w:bookmarkEnd w:id="381"/>
      <w:bookmarkEnd w:id="382"/>
      <w:bookmarkEnd w:id="383"/>
      <w:bookmarkEnd w:id="384"/>
    </w:p>
    <w:p>
      <w:pPr>
        <w:spacing w:after="120" w:line="360" w:lineRule="auto"/>
        <w:ind w:firstLine="560" w:firstLineChars="200"/>
        <w:rPr>
          <w:rFonts w:ascii="宋体" w:hAnsi="宋体"/>
          <w:szCs w:val="28"/>
        </w:rPr>
      </w:pPr>
      <w:r>
        <w:rPr>
          <w:rFonts w:hint="eastAsia" w:ascii="宋体" w:hAnsi="宋体"/>
          <w:szCs w:val="28"/>
        </w:rPr>
        <w:t>（1）采用争议评审的，发包人和承包人应当在专用合同条款中约定争议评审的程序和规则，并在开工日后的28天内或在争议发生后，协商成立争议评审组。</w:t>
      </w:r>
    </w:p>
    <w:p>
      <w:pPr>
        <w:spacing w:after="120" w:line="360" w:lineRule="auto"/>
        <w:ind w:firstLine="560" w:firstLineChars="200"/>
        <w:rPr>
          <w:rFonts w:ascii="宋体" w:hAnsi="宋体"/>
          <w:szCs w:val="28"/>
        </w:rPr>
      </w:pPr>
      <w:r>
        <w:rPr>
          <w:rFonts w:hint="eastAsia" w:ascii="宋体" w:hAnsi="宋体"/>
          <w:szCs w:val="28"/>
        </w:rPr>
        <w:t>（2）发包人和承包人接受评审意见的，由监理人根据评审意见拟定执行协议，经争议双方签字后作为合同的补充文件，并遵照执行。</w:t>
      </w:r>
    </w:p>
    <w:p>
      <w:pPr>
        <w:spacing w:after="120" w:line="360" w:lineRule="auto"/>
        <w:ind w:firstLine="560" w:firstLineChars="200"/>
        <w:rPr>
          <w:rFonts w:ascii="宋体" w:hAnsi="宋体"/>
          <w:szCs w:val="28"/>
        </w:rPr>
      </w:pPr>
      <w:r>
        <w:rPr>
          <w:rFonts w:hint="eastAsia" w:ascii="宋体" w:hAnsi="宋体"/>
          <w:szCs w:val="28"/>
        </w:rPr>
        <w:t>（3）发包人或承包人不接受评审意见，并要求提交仲裁或提起诉讼的，应在收到评审意见后的14 天内将仲裁或起诉意向书面通知另一方，并抄送监理人，但在仲裁或诉讼结束前应暂按总监理工程师的确定执行。</w:t>
      </w:r>
    </w:p>
    <w:p>
      <w:pPr>
        <w:autoSpaceDE w:val="0"/>
        <w:autoSpaceDN w:val="0"/>
        <w:adjustRightInd w:val="0"/>
        <w:snapToGrid w:val="0"/>
        <w:spacing w:line="360" w:lineRule="auto"/>
        <w:ind w:right="32" w:firstLine="551" w:firstLineChars="196"/>
        <w:rPr>
          <w:rFonts w:ascii="宋体" w:hAnsi="宋体"/>
          <w:b/>
          <w:bCs/>
          <w:szCs w:val="28"/>
        </w:rPr>
      </w:pPr>
      <w:r>
        <w:rPr>
          <w:rFonts w:hint="eastAsia" w:ascii="宋体" w:hAnsi="宋体"/>
          <w:b/>
          <w:kern w:val="0"/>
          <w:szCs w:val="28"/>
        </w:rPr>
        <w:t>（二十四）</w:t>
      </w:r>
      <w:r>
        <w:rPr>
          <w:rFonts w:hint="eastAsia" w:ascii="宋体" w:hAnsi="宋体"/>
          <w:b/>
          <w:bCs/>
          <w:szCs w:val="28"/>
        </w:rPr>
        <w:t>履约保证金</w:t>
      </w:r>
    </w:p>
    <w:p>
      <w:pPr>
        <w:adjustRightInd w:val="0"/>
        <w:snapToGrid w:val="0"/>
        <w:spacing w:line="360" w:lineRule="auto"/>
        <w:ind w:firstLine="544" w:firstLineChars="200"/>
        <w:rPr>
          <w:rFonts w:ascii="宋体" w:hAnsi="宋体"/>
          <w:spacing w:val="-4"/>
          <w:kern w:val="0"/>
          <w:szCs w:val="28"/>
        </w:rPr>
      </w:pPr>
      <w:r>
        <w:rPr>
          <w:rFonts w:hint="eastAsia" w:ascii="宋体" w:hAnsi="宋体"/>
          <w:spacing w:val="-4"/>
          <w:kern w:val="0"/>
          <w:szCs w:val="28"/>
        </w:rPr>
        <w:t>分期付款项目不收履约保证金。</w:t>
      </w:r>
    </w:p>
    <w:bookmarkEnd w:id="39"/>
    <w:p>
      <w:pPr>
        <w:pStyle w:val="3"/>
        <w:spacing w:before="20" w:after="20" w:line="240" w:lineRule="auto"/>
        <w:rPr>
          <w:rFonts w:ascii="宋体" w:hAnsi="宋体" w:eastAsia="宋体"/>
          <w:color w:val="000000"/>
        </w:rPr>
      </w:pPr>
      <w:bookmarkStart w:id="385" w:name="_Toc487792147"/>
      <w:r>
        <w:rPr>
          <w:rFonts w:hint="eastAsia" w:ascii="宋体" w:hAnsi="宋体" w:eastAsia="宋体"/>
          <w:color w:val="000000"/>
        </w:rPr>
        <w:t>二、专用条款</w:t>
      </w:r>
      <w:bookmarkEnd w:id="385"/>
    </w:p>
    <w:p>
      <w:pPr>
        <w:spacing w:line="360" w:lineRule="auto"/>
        <w:ind w:left="57" w:right="57" w:firstLine="560" w:firstLineChars="200"/>
        <w:rPr>
          <w:rFonts w:ascii="宋体" w:hAnsi="宋体"/>
          <w:kern w:val="0"/>
          <w:szCs w:val="28"/>
        </w:rPr>
      </w:pPr>
      <w:r>
        <w:rPr>
          <w:rFonts w:hint="eastAsia" w:ascii="宋体" w:hAnsi="宋体"/>
          <w:kern w:val="0"/>
          <w:szCs w:val="28"/>
        </w:rPr>
        <w:t>专用条款是通用条款的补充和完善，专用条款的具体内容将以招标文件为原则，由中标人与采购人协商确定。</w:t>
      </w:r>
    </w:p>
    <w:p>
      <w:pPr>
        <w:pStyle w:val="2"/>
        <w:rPr>
          <w:color w:val="000000"/>
        </w:rPr>
      </w:pPr>
      <w:bookmarkStart w:id="386" w:name="_Toc487792148"/>
      <w:r>
        <w:rPr>
          <w:rFonts w:hint="eastAsia"/>
          <w:color w:val="000000"/>
        </w:rPr>
        <w:t>第四章 招标内容与技术要求</w:t>
      </w:r>
      <w:bookmarkEnd w:id="386"/>
    </w:p>
    <w:p>
      <w:pPr>
        <w:pStyle w:val="3"/>
        <w:spacing w:line="360" w:lineRule="auto"/>
        <w:rPr>
          <w:rFonts w:ascii="宋体" w:hAnsi="宋体" w:eastAsia="宋体"/>
          <w:color w:val="000000"/>
          <w:sz w:val="28"/>
          <w:szCs w:val="28"/>
        </w:rPr>
      </w:pPr>
      <w:bookmarkStart w:id="387" w:name="_Toc487792149"/>
      <w:r>
        <w:rPr>
          <w:rFonts w:hint="eastAsia" w:ascii="宋体" w:hAnsi="宋体" w:eastAsia="宋体"/>
          <w:color w:val="000000"/>
          <w:sz w:val="28"/>
          <w:szCs w:val="28"/>
        </w:rPr>
        <w:t>一.项目说明</w:t>
      </w:r>
      <w:bookmarkEnd w:id="387"/>
    </w:p>
    <w:p>
      <w:pPr>
        <w:spacing w:line="360" w:lineRule="auto"/>
        <w:ind w:firstLine="420" w:firstLineChars="150"/>
        <w:rPr>
          <w:rFonts w:ascii="宋体" w:hAnsi="宋体"/>
          <w:color w:val="000000"/>
          <w:szCs w:val="28"/>
        </w:rPr>
      </w:pPr>
      <w:r>
        <w:rPr>
          <w:rFonts w:hint="eastAsia" w:ascii="宋体" w:hAnsi="宋体"/>
          <w:color w:val="000000"/>
          <w:szCs w:val="28"/>
        </w:rPr>
        <w:t>（一）项目基本情况：本项目分为一整包。总预算金额（最高限价）：1178666元；</w:t>
      </w:r>
    </w:p>
    <w:p>
      <w:pPr>
        <w:pStyle w:val="43"/>
        <w:snapToGrid w:val="0"/>
        <w:spacing w:before="0" w:beforeAutospacing="0" w:after="0" w:afterAutospacing="0" w:line="360" w:lineRule="auto"/>
        <w:ind w:firstLine="420" w:firstLineChars="150"/>
        <w:rPr>
          <w:color w:val="000000"/>
          <w:kern w:val="2"/>
          <w:sz w:val="28"/>
          <w:szCs w:val="28"/>
        </w:rPr>
      </w:pPr>
      <w:r>
        <w:rPr>
          <w:rFonts w:hint="eastAsia"/>
          <w:color w:val="000000"/>
          <w:kern w:val="2"/>
          <w:sz w:val="28"/>
          <w:szCs w:val="28"/>
        </w:rPr>
        <w:t>（二）工期：20日历天；</w:t>
      </w:r>
    </w:p>
    <w:p>
      <w:pPr>
        <w:pStyle w:val="43"/>
        <w:snapToGrid w:val="0"/>
        <w:spacing w:before="0" w:beforeAutospacing="0" w:after="0" w:afterAutospacing="0" w:line="360" w:lineRule="auto"/>
        <w:ind w:firstLine="420" w:firstLineChars="150"/>
        <w:rPr>
          <w:color w:val="000000"/>
          <w:kern w:val="2"/>
          <w:sz w:val="28"/>
          <w:szCs w:val="28"/>
        </w:rPr>
      </w:pPr>
      <w:r>
        <w:rPr>
          <w:rFonts w:hint="eastAsia"/>
          <w:color w:val="000000"/>
          <w:kern w:val="2"/>
          <w:sz w:val="28"/>
          <w:szCs w:val="28"/>
        </w:rPr>
        <w:t xml:space="preserve">（三）地点：杭锦旗锡尼镇；               </w:t>
      </w:r>
    </w:p>
    <w:p>
      <w:pPr>
        <w:spacing w:line="360" w:lineRule="auto"/>
        <w:ind w:firstLine="420" w:firstLineChars="150"/>
        <w:jc w:val="left"/>
        <w:rPr>
          <w:rFonts w:ascii="宋体" w:hAnsi="宋体"/>
          <w:szCs w:val="28"/>
        </w:rPr>
      </w:pPr>
      <w:r>
        <w:rPr>
          <w:rFonts w:hint="eastAsia" w:ascii="宋体" w:hAnsi="宋体"/>
          <w:color w:val="000000"/>
          <w:szCs w:val="28"/>
        </w:rPr>
        <w:t>（四）</w:t>
      </w:r>
      <w:r>
        <w:rPr>
          <w:rFonts w:hint="eastAsia" w:ascii="宋体" w:hAnsi="宋体"/>
          <w:szCs w:val="28"/>
        </w:rPr>
        <w:t>付款方式：</w:t>
      </w:r>
      <w:r>
        <w:rPr>
          <w:rFonts w:hint="eastAsia" w:ascii="宋体" w:hAnsi="宋体"/>
          <w:color w:val="000000"/>
          <w:szCs w:val="28"/>
        </w:rPr>
        <w:t>本项目无预付款，为分期付款，工程完工后第一年支付合同价的30%，第二年支付合同价的30%，第三年支付合同价的40%</w:t>
      </w:r>
      <w:r>
        <w:rPr>
          <w:rFonts w:hint="eastAsia"/>
          <w:color w:val="000000"/>
        </w:rPr>
        <w:t>。</w:t>
      </w:r>
    </w:p>
    <w:p>
      <w:pPr>
        <w:pStyle w:val="3"/>
        <w:spacing w:line="360" w:lineRule="auto"/>
        <w:rPr>
          <w:rFonts w:ascii="宋体" w:hAnsi="宋体" w:eastAsia="宋体"/>
          <w:color w:val="000000"/>
          <w:sz w:val="28"/>
          <w:szCs w:val="28"/>
        </w:rPr>
      </w:pPr>
      <w:bookmarkStart w:id="388" w:name="_Toc487792150"/>
      <w:r>
        <w:rPr>
          <w:rFonts w:hint="eastAsia" w:ascii="宋体" w:hAnsi="宋体" w:eastAsia="宋体"/>
          <w:color w:val="000000"/>
          <w:sz w:val="28"/>
          <w:szCs w:val="28"/>
        </w:rPr>
        <w:t>二. 技术参数与配置要求：</w:t>
      </w:r>
      <w:bookmarkEnd w:id="388"/>
    </w:p>
    <w:p>
      <w:pPr>
        <w:spacing w:line="360" w:lineRule="auto"/>
        <w:rPr>
          <w:rFonts w:ascii="宋体" w:hAnsi="宋体"/>
          <w:b/>
          <w:bCs/>
          <w:szCs w:val="28"/>
        </w:rPr>
      </w:pPr>
    </w:p>
    <w:p>
      <w:pPr>
        <w:spacing w:line="360" w:lineRule="auto"/>
        <w:jc w:val="center"/>
        <w:rPr>
          <w:rFonts w:ascii="宋体" w:hAnsi="宋体"/>
          <w:b/>
          <w:bCs/>
          <w:szCs w:val="28"/>
        </w:rPr>
      </w:pPr>
      <w:r>
        <w:rPr>
          <w:rFonts w:hint="eastAsia" w:ascii="宋体" w:hAnsi="宋体"/>
          <w:b/>
          <w:bCs/>
          <w:szCs w:val="28"/>
        </w:rPr>
        <w:t>详见工程量清单（后附）</w:t>
      </w:r>
    </w:p>
    <w:p>
      <w:pPr>
        <w:spacing w:line="360" w:lineRule="auto"/>
        <w:rPr>
          <w:rFonts w:ascii="宋体" w:hAnsi="宋体"/>
          <w:b/>
          <w:bCs/>
          <w:szCs w:val="28"/>
        </w:rPr>
      </w:pPr>
    </w:p>
    <w:p>
      <w:pPr>
        <w:spacing w:line="360" w:lineRule="auto"/>
        <w:rPr>
          <w:rFonts w:ascii="宋体" w:hAnsi="宋体"/>
          <w:b/>
          <w:bCs/>
          <w:szCs w:val="28"/>
        </w:rPr>
      </w:pPr>
    </w:p>
    <w:p>
      <w:pPr>
        <w:spacing w:line="360" w:lineRule="auto"/>
        <w:rPr>
          <w:rFonts w:ascii="宋体" w:hAnsi="宋体"/>
          <w:b/>
          <w:bCs/>
          <w:szCs w:val="28"/>
        </w:rPr>
      </w:pPr>
    </w:p>
    <w:p>
      <w:pPr>
        <w:spacing w:line="360" w:lineRule="auto"/>
        <w:rPr>
          <w:rFonts w:ascii="宋体" w:hAnsi="宋体"/>
          <w:b/>
          <w:bCs/>
          <w:szCs w:val="28"/>
        </w:rPr>
      </w:pPr>
    </w:p>
    <w:p>
      <w:pPr>
        <w:spacing w:line="360" w:lineRule="auto"/>
        <w:rPr>
          <w:rFonts w:ascii="宋体" w:hAnsi="宋体"/>
          <w:b/>
          <w:bCs/>
          <w:szCs w:val="28"/>
        </w:rPr>
      </w:pPr>
    </w:p>
    <w:p>
      <w:pPr>
        <w:spacing w:line="360" w:lineRule="auto"/>
        <w:rPr>
          <w:rFonts w:ascii="宋体" w:hAnsi="宋体"/>
          <w:b/>
          <w:bCs/>
          <w:szCs w:val="28"/>
        </w:rPr>
      </w:pPr>
    </w:p>
    <w:p>
      <w:pPr>
        <w:spacing w:line="360" w:lineRule="auto"/>
        <w:rPr>
          <w:rFonts w:ascii="宋体" w:hAnsi="宋体"/>
          <w:b/>
          <w:bCs/>
          <w:szCs w:val="28"/>
        </w:rPr>
      </w:pPr>
    </w:p>
    <w:p>
      <w:pPr>
        <w:spacing w:line="360" w:lineRule="auto"/>
        <w:rPr>
          <w:rFonts w:ascii="宋体" w:hAnsi="宋体"/>
          <w:b/>
          <w:bCs/>
          <w:szCs w:val="28"/>
        </w:rPr>
      </w:pPr>
    </w:p>
    <w:p>
      <w:pPr>
        <w:spacing w:line="360" w:lineRule="auto"/>
        <w:rPr>
          <w:rFonts w:ascii="宋体" w:hAnsi="宋体"/>
          <w:b/>
          <w:bCs/>
          <w:szCs w:val="28"/>
        </w:rPr>
      </w:pPr>
    </w:p>
    <w:p>
      <w:pPr>
        <w:spacing w:line="360" w:lineRule="auto"/>
        <w:rPr>
          <w:rFonts w:ascii="宋体" w:hAnsi="宋体"/>
          <w:b/>
          <w:bCs/>
          <w:szCs w:val="28"/>
        </w:rPr>
      </w:pPr>
    </w:p>
    <w:p>
      <w:pPr>
        <w:spacing w:line="360" w:lineRule="auto"/>
        <w:rPr>
          <w:rFonts w:ascii="宋体" w:hAnsi="宋体"/>
          <w:b/>
          <w:bCs/>
          <w:szCs w:val="28"/>
        </w:rPr>
      </w:pPr>
    </w:p>
    <w:p>
      <w:pPr>
        <w:spacing w:line="360" w:lineRule="auto"/>
        <w:rPr>
          <w:rFonts w:ascii="宋体" w:hAnsi="宋体"/>
          <w:b/>
          <w:bCs/>
          <w:szCs w:val="28"/>
        </w:rPr>
      </w:pPr>
    </w:p>
    <w:p/>
    <w:p>
      <w:bookmarkStart w:id="389" w:name="_Toc397088599"/>
    </w:p>
    <w:p/>
    <w:p>
      <w:r>
        <w:drawing>
          <wp:inline distT="0" distB="0" distL="0" distR="0">
            <wp:extent cx="5281930" cy="7626985"/>
            <wp:effectExtent l="19050" t="0" r="0" b="0"/>
            <wp:docPr id="3" name="图片 12" descr="新文档 2017-07-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新文档 2017-07-13_1.jpg"/>
                    <pic:cNvPicPr>
                      <a:picLocks noChangeAspect="1" noChangeArrowheads="1"/>
                    </pic:cNvPicPr>
                  </pic:nvPicPr>
                  <pic:blipFill>
                    <a:blip r:embed="rId13" cstate="print"/>
                    <a:srcRect/>
                    <a:stretch>
                      <a:fillRect/>
                    </a:stretch>
                  </pic:blipFill>
                  <pic:spPr>
                    <a:xfrm>
                      <a:off x="0" y="0"/>
                      <a:ext cx="5281930" cy="7626985"/>
                    </a:xfrm>
                    <a:prstGeom prst="rect">
                      <a:avLst/>
                    </a:prstGeom>
                    <a:noFill/>
                    <a:ln w="9525">
                      <a:noFill/>
                      <a:miter lim="800000"/>
                      <a:headEnd/>
                      <a:tailEnd/>
                    </a:ln>
                  </pic:spPr>
                </pic:pic>
              </a:graphicData>
            </a:graphic>
          </wp:inline>
        </w:drawing>
      </w:r>
    </w:p>
    <w:p/>
    <w:p/>
    <w:p/>
    <w:p/>
    <w:p/>
    <w:p>
      <w:r>
        <w:drawing>
          <wp:inline distT="0" distB="0" distL="0" distR="0">
            <wp:extent cx="5271135" cy="7401560"/>
            <wp:effectExtent l="19050" t="0" r="5715" b="0"/>
            <wp:docPr id="4" name="图片 13" descr="新文档 2017-07-1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descr="新文档 2017-07-13_2.jpg"/>
                    <pic:cNvPicPr>
                      <a:picLocks noChangeAspect="1" noChangeArrowheads="1"/>
                    </pic:cNvPicPr>
                  </pic:nvPicPr>
                  <pic:blipFill>
                    <a:blip r:embed="rId14" cstate="print"/>
                    <a:srcRect/>
                    <a:stretch>
                      <a:fillRect/>
                    </a:stretch>
                  </pic:blipFill>
                  <pic:spPr>
                    <a:xfrm>
                      <a:off x="0" y="0"/>
                      <a:ext cx="5271135" cy="7401560"/>
                    </a:xfrm>
                    <a:prstGeom prst="rect">
                      <a:avLst/>
                    </a:prstGeom>
                    <a:noFill/>
                    <a:ln w="9525">
                      <a:noFill/>
                      <a:miter lim="800000"/>
                      <a:headEnd/>
                      <a:tailEnd/>
                    </a:ln>
                  </pic:spPr>
                </pic:pic>
              </a:graphicData>
            </a:graphic>
          </wp:inline>
        </w:drawing>
      </w:r>
      <w:r>
        <w:drawing>
          <wp:inline distT="0" distB="0" distL="0" distR="0">
            <wp:extent cx="5271135" cy="7777480"/>
            <wp:effectExtent l="19050" t="0" r="5715" b="0"/>
            <wp:docPr id="5" name="图片 14" descr="新文档 2017-07-1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新文档 2017-07-13_4.jpg"/>
                    <pic:cNvPicPr>
                      <a:picLocks noChangeAspect="1" noChangeArrowheads="1"/>
                    </pic:cNvPicPr>
                  </pic:nvPicPr>
                  <pic:blipFill>
                    <a:blip r:embed="rId15" cstate="print"/>
                    <a:srcRect/>
                    <a:stretch>
                      <a:fillRect/>
                    </a:stretch>
                  </pic:blipFill>
                  <pic:spPr>
                    <a:xfrm>
                      <a:off x="0" y="0"/>
                      <a:ext cx="5271135" cy="7777480"/>
                    </a:xfrm>
                    <a:prstGeom prst="rect">
                      <a:avLst/>
                    </a:prstGeom>
                    <a:noFill/>
                    <a:ln w="9525">
                      <a:noFill/>
                      <a:miter lim="800000"/>
                      <a:headEnd/>
                      <a:tailEnd/>
                    </a:ln>
                  </pic:spPr>
                </pic:pic>
              </a:graphicData>
            </a:graphic>
          </wp:inline>
        </w:drawing>
      </w:r>
      <w:r>
        <w:drawing>
          <wp:inline distT="0" distB="0" distL="0" distR="0">
            <wp:extent cx="5281930" cy="7626985"/>
            <wp:effectExtent l="19050" t="0" r="0" b="0"/>
            <wp:docPr id="6" name="图片 15" descr="新文档 2017-07-1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新文档 2017-07-13_5.jpg"/>
                    <pic:cNvPicPr>
                      <a:picLocks noChangeAspect="1" noChangeArrowheads="1"/>
                    </pic:cNvPicPr>
                  </pic:nvPicPr>
                  <pic:blipFill>
                    <a:blip r:embed="rId16" cstate="print"/>
                    <a:srcRect/>
                    <a:stretch>
                      <a:fillRect/>
                    </a:stretch>
                  </pic:blipFill>
                  <pic:spPr>
                    <a:xfrm>
                      <a:off x="0" y="0"/>
                      <a:ext cx="5281930" cy="7626985"/>
                    </a:xfrm>
                    <a:prstGeom prst="rect">
                      <a:avLst/>
                    </a:prstGeom>
                    <a:noFill/>
                    <a:ln w="9525">
                      <a:noFill/>
                      <a:miter lim="800000"/>
                      <a:headEnd/>
                      <a:tailEnd/>
                    </a:ln>
                  </pic:spPr>
                </pic:pic>
              </a:graphicData>
            </a:graphic>
          </wp:inline>
        </w:drawing>
      </w:r>
      <w:r>
        <w:drawing>
          <wp:inline distT="0" distB="0" distL="0" distR="0">
            <wp:extent cx="5271135" cy="7476490"/>
            <wp:effectExtent l="19050" t="0" r="5715" b="0"/>
            <wp:docPr id="7" name="图片 16" descr="新文档 2017-07-1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新文档 2017-07-13_6.jpg"/>
                    <pic:cNvPicPr>
                      <a:picLocks noChangeAspect="1" noChangeArrowheads="1"/>
                    </pic:cNvPicPr>
                  </pic:nvPicPr>
                  <pic:blipFill>
                    <a:blip r:embed="rId17" cstate="print"/>
                    <a:srcRect/>
                    <a:stretch>
                      <a:fillRect/>
                    </a:stretch>
                  </pic:blipFill>
                  <pic:spPr>
                    <a:xfrm>
                      <a:off x="0" y="0"/>
                      <a:ext cx="5271135" cy="7476490"/>
                    </a:xfrm>
                    <a:prstGeom prst="rect">
                      <a:avLst/>
                    </a:prstGeom>
                    <a:noFill/>
                    <a:ln w="9525">
                      <a:noFill/>
                      <a:miter lim="800000"/>
                      <a:headEnd/>
                      <a:tailEnd/>
                    </a:ln>
                  </pic:spPr>
                </pic:pic>
              </a:graphicData>
            </a:graphic>
          </wp:inline>
        </w:drawing>
      </w:r>
      <w:r>
        <w:drawing>
          <wp:inline distT="0" distB="0" distL="0" distR="0">
            <wp:extent cx="5271135" cy="7874635"/>
            <wp:effectExtent l="19050" t="0" r="5715" b="0"/>
            <wp:docPr id="8" name="图片 17" descr="新文档 2017-07-1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新文档 2017-07-13_7.jpg"/>
                    <pic:cNvPicPr>
                      <a:picLocks noChangeAspect="1" noChangeArrowheads="1"/>
                    </pic:cNvPicPr>
                  </pic:nvPicPr>
                  <pic:blipFill>
                    <a:blip r:embed="rId18" cstate="print"/>
                    <a:srcRect/>
                    <a:stretch>
                      <a:fillRect/>
                    </a:stretch>
                  </pic:blipFill>
                  <pic:spPr>
                    <a:xfrm>
                      <a:off x="0" y="0"/>
                      <a:ext cx="5271135" cy="7874635"/>
                    </a:xfrm>
                    <a:prstGeom prst="rect">
                      <a:avLst/>
                    </a:prstGeom>
                    <a:noFill/>
                    <a:ln w="9525">
                      <a:noFill/>
                      <a:miter lim="800000"/>
                      <a:headEnd/>
                      <a:tailEnd/>
                    </a:ln>
                  </pic:spPr>
                </pic:pic>
              </a:graphicData>
            </a:graphic>
          </wp:inline>
        </w:drawing>
      </w:r>
      <w:r>
        <w:drawing>
          <wp:inline distT="0" distB="0" distL="0" distR="0">
            <wp:extent cx="5271135" cy="7680960"/>
            <wp:effectExtent l="19050" t="0" r="5715" b="0"/>
            <wp:docPr id="9" name="图片 18" descr="新文档 2017-07-1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descr="新文档 2017-07-13_8.jpg"/>
                    <pic:cNvPicPr>
                      <a:picLocks noChangeAspect="1" noChangeArrowheads="1"/>
                    </pic:cNvPicPr>
                  </pic:nvPicPr>
                  <pic:blipFill>
                    <a:blip r:embed="rId19" cstate="print"/>
                    <a:srcRect/>
                    <a:stretch>
                      <a:fillRect/>
                    </a:stretch>
                  </pic:blipFill>
                  <pic:spPr>
                    <a:xfrm>
                      <a:off x="0" y="0"/>
                      <a:ext cx="5271135" cy="7680960"/>
                    </a:xfrm>
                    <a:prstGeom prst="rect">
                      <a:avLst/>
                    </a:prstGeom>
                    <a:noFill/>
                    <a:ln w="9525">
                      <a:noFill/>
                      <a:miter lim="800000"/>
                      <a:headEnd/>
                      <a:tailEnd/>
                    </a:ln>
                  </pic:spPr>
                </pic:pic>
              </a:graphicData>
            </a:graphic>
          </wp:inline>
        </w:drawing>
      </w:r>
      <w:r>
        <w:drawing>
          <wp:inline distT="0" distB="0" distL="0" distR="0">
            <wp:extent cx="5271135" cy="7756525"/>
            <wp:effectExtent l="19050" t="0" r="5715" b="0"/>
            <wp:docPr id="10" name="图片 19" descr="新文档 2017-07-1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descr="新文档 2017-07-13_9.jpg"/>
                    <pic:cNvPicPr>
                      <a:picLocks noChangeAspect="1" noChangeArrowheads="1"/>
                    </pic:cNvPicPr>
                  </pic:nvPicPr>
                  <pic:blipFill>
                    <a:blip r:embed="rId20" cstate="print"/>
                    <a:srcRect/>
                    <a:stretch>
                      <a:fillRect/>
                    </a:stretch>
                  </pic:blipFill>
                  <pic:spPr>
                    <a:xfrm>
                      <a:off x="0" y="0"/>
                      <a:ext cx="5271135" cy="7756525"/>
                    </a:xfrm>
                    <a:prstGeom prst="rect">
                      <a:avLst/>
                    </a:prstGeom>
                    <a:noFill/>
                    <a:ln w="9525">
                      <a:noFill/>
                      <a:miter lim="800000"/>
                      <a:headEnd/>
                      <a:tailEnd/>
                    </a:ln>
                  </pic:spPr>
                </pic:pic>
              </a:graphicData>
            </a:graphic>
          </wp:inline>
        </w:drawing>
      </w:r>
      <w:r>
        <w:drawing>
          <wp:inline distT="0" distB="0" distL="0" distR="0">
            <wp:extent cx="5271135" cy="7820660"/>
            <wp:effectExtent l="19050" t="0" r="5715" b="0"/>
            <wp:docPr id="11" name="图片 20" descr="新文档 2017-07-13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descr="新文档 2017-07-13_10.jpg"/>
                    <pic:cNvPicPr>
                      <a:picLocks noChangeAspect="1" noChangeArrowheads="1"/>
                    </pic:cNvPicPr>
                  </pic:nvPicPr>
                  <pic:blipFill>
                    <a:blip r:embed="rId21" cstate="print"/>
                    <a:srcRect/>
                    <a:stretch>
                      <a:fillRect/>
                    </a:stretch>
                  </pic:blipFill>
                  <pic:spPr>
                    <a:xfrm>
                      <a:off x="0" y="0"/>
                      <a:ext cx="5271135" cy="7820660"/>
                    </a:xfrm>
                    <a:prstGeom prst="rect">
                      <a:avLst/>
                    </a:prstGeom>
                    <a:noFill/>
                    <a:ln w="9525">
                      <a:noFill/>
                      <a:miter lim="800000"/>
                      <a:headEnd/>
                      <a:tailEnd/>
                    </a:ln>
                  </pic:spPr>
                </pic:pic>
              </a:graphicData>
            </a:graphic>
          </wp:inline>
        </w:drawing>
      </w:r>
      <w:r>
        <w:drawing>
          <wp:inline distT="0" distB="0" distL="0" distR="0">
            <wp:extent cx="5271135" cy="7724140"/>
            <wp:effectExtent l="19050" t="0" r="5715" b="0"/>
            <wp:docPr id="12" name="图片 21" descr="新文档 2017-07-1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新文档 2017-07-13_11.jpg"/>
                    <pic:cNvPicPr>
                      <a:picLocks noChangeAspect="1" noChangeArrowheads="1"/>
                    </pic:cNvPicPr>
                  </pic:nvPicPr>
                  <pic:blipFill>
                    <a:blip r:embed="rId22" cstate="print"/>
                    <a:srcRect/>
                    <a:stretch>
                      <a:fillRect/>
                    </a:stretch>
                  </pic:blipFill>
                  <pic:spPr>
                    <a:xfrm>
                      <a:off x="0" y="0"/>
                      <a:ext cx="5271135" cy="7724140"/>
                    </a:xfrm>
                    <a:prstGeom prst="rect">
                      <a:avLst/>
                    </a:prstGeom>
                    <a:noFill/>
                    <a:ln w="9525">
                      <a:noFill/>
                      <a:miter lim="800000"/>
                      <a:headEnd/>
                      <a:tailEnd/>
                    </a:ln>
                  </pic:spPr>
                </pic:pic>
              </a:graphicData>
            </a:graphic>
          </wp:inline>
        </w:drawing>
      </w:r>
      <w:r>
        <w:drawing>
          <wp:inline distT="0" distB="0" distL="0" distR="0">
            <wp:extent cx="5281930" cy="7907020"/>
            <wp:effectExtent l="19050" t="0" r="0" b="0"/>
            <wp:docPr id="13" name="图片 22" descr="新文档 2017-07-13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 descr="新文档 2017-07-13_12.jpg"/>
                    <pic:cNvPicPr>
                      <a:picLocks noChangeAspect="1" noChangeArrowheads="1"/>
                    </pic:cNvPicPr>
                  </pic:nvPicPr>
                  <pic:blipFill>
                    <a:blip r:embed="rId23" cstate="print"/>
                    <a:srcRect/>
                    <a:stretch>
                      <a:fillRect/>
                    </a:stretch>
                  </pic:blipFill>
                  <pic:spPr>
                    <a:xfrm>
                      <a:off x="0" y="0"/>
                      <a:ext cx="5281930" cy="7907020"/>
                    </a:xfrm>
                    <a:prstGeom prst="rect">
                      <a:avLst/>
                    </a:prstGeom>
                    <a:noFill/>
                    <a:ln w="9525">
                      <a:noFill/>
                      <a:miter lim="800000"/>
                      <a:headEnd/>
                      <a:tailEnd/>
                    </a:ln>
                  </pic:spPr>
                </pic:pic>
              </a:graphicData>
            </a:graphic>
          </wp:inline>
        </w:drawing>
      </w:r>
      <w:r>
        <w:drawing>
          <wp:inline distT="0" distB="0" distL="0" distR="0">
            <wp:extent cx="5281930" cy="7874635"/>
            <wp:effectExtent l="19050" t="0" r="0" b="0"/>
            <wp:docPr id="14" name="图片 23" descr="新文档 2017-07-13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 descr="新文档 2017-07-13_13.jpg"/>
                    <pic:cNvPicPr>
                      <a:picLocks noChangeAspect="1" noChangeArrowheads="1"/>
                    </pic:cNvPicPr>
                  </pic:nvPicPr>
                  <pic:blipFill>
                    <a:blip r:embed="rId24" cstate="print"/>
                    <a:srcRect/>
                    <a:stretch>
                      <a:fillRect/>
                    </a:stretch>
                  </pic:blipFill>
                  <pic:spPr>
                    <a:xfrm>
                      <a:off x="0" y="0"/>
                      <a:ext cx="5281930" cy="7874635"/>
                    </a:xfrm>
                    <a:prstGeom prst="rect">
                      <a:avLst/>
                    </a:prstGeom>
                    <a:noFill/>
                    <a:ln w="9525">
                      <a:noFill/>
                      <a:miter lim="800000"/>
                      <a:headEnd/>
                      <a:tailEnd/>
                    </a:ln>
                  </pic:spPr>
                </pic:pic>
              </a:graphicData>
            </a:graphic>
          </wp:inline>
        </w:drawing>
      </w:r>
    </w:p>
    <w:p>
      <w:pPr>
        <w:spacing w:line="360" w:lineRule="auto"/>
        <w:rPr>
          <w:rFonts w:ascii="宋体" w:hAnsi="宋体"/>
          <w:b/>
          <w:bCs/>
          <w:sz w:val="24"/>
          <w:szCs w:val="24"/>
        </w:rPr>
      </w:pPr>
    </w:p>
    <w:p>
      <w:pPr>
        <w:rPr>
          <w:lang w:val="zh-CN"/>
        </w:rPr>
      </w:pPr>
    </w:p>
    <w:p>
      <w:pPr>
        <w:pStyle w:val="2"/>
        <w:spacing w:line="360" w:lineRule="auto"/>
        <w:ind w:firstLine="1084" w:firstLineChars="300"/>
        <w:jc w:val="both"/>
        <w:rPr>
          <w:color w:val="000000"/>
        </w:rPr>
      </w:pPr>
      <w:bookmarkStart w:id="390" w:name="_Toc487792151"/>
      <w:r>
        <w:rPr>
          <w:rFonts w:hint="eastAsia"/>
          <w:color w:val="000000"/>
        </w:rPr>
        <w:t>第五章  投标人资质证明及相关文件要求</w:t>
      </w:r>
      <w:bookmarkEnd w:id="389"/>
      <w:bookmarkEnd w:id="390"/>
    </w:p>
    <w:p>
      <w:pPr>
        <w:autoSpaceDE w:val="0"/>
        <w:autoSpaceDN w:val="0"/>
        <w:adjustRightInd w:val="0"/>
        <w:snapToGrid w:val="0"/>
        <w:spacing w:line="360" w:lineRule="auto"/>
        <w:ind w:firstLine="560" w:firstLineChars="200"/>
        <w:rPr>
          <w:rFonts w:ascii="宋体" w:hAnsi="宋体"/>
          <w:color w:val="000000"/>
          <w:kern w:val="0"/>
          <w:szCs w:val="28"/>
        </w:rPr>
      </w:pPr>
      <w:r>
        <w:rPr>
          <w:rFonts w:hint="eastAsia" w:ascii="宋体" w:hAnsi="宋体"/>
          <w:color w:val="000000"/>
          <w:kern w:val="0"/>
          <w:szCs w:val="28"/>
        </w:rPr>
        <w:t>投标人应提交证明其有资格参加投标和中标后有能力履行合同的文件，并作为其投标文件的一部分，所有文件</w:t>
      </w:r>
      <w:r>
        <w:rPr>
          <w:rFonts w:hint="eastAsia" w:ascii="宋体" w:hAnsi="宋体"/>
          <w:color w:val="000000"/>
          <w:szCs w:val="28"/>
        </w:rPr>
        <w:t>必须真实可靠、不得伪造，否则将按</w:t>
      </w:r>
      <w:r>
        <w:rPr>
          <w:rFonts w:hint="eastAsia" w:ascii="宋体" w:hAnsi="宋体"/>
          <w:szCs w:val="28"/>
        </w:rPr>
        <w:t>鄂尔多斯市交易中心</w:t>
      </w:r>
      <w:r>
        <w:rPr>
          <w:rFonts w:hint="eastAsia" w:ascii="宋体" w:hAnsi="宋体"/>
          <w:color w:val="000000"/>
          <w:szCs w:val="28"/>
        </w:rPr>
        <w:t>《对投标供应商提供虚假材料的处罚规定》予以相应处罚。资质证明文件</w:t>
      </w:r>
      <w:r>
        <w:rPr>
          <w:rFonts w:hint="eastAsia" w:ascii="宋体" w:hAnsi="宋体"/>
          <w:color w:val="000000"/>
          <w:kern w:val="0"/>
          <w:szCs w:val="28"/>
        </w:rPr>
        <w:t>应包括：</w:t>
      </w:r>
    </w:p>
    <w:p>
      <w:pPr>
        <w:pStyle w:val="3"/>
        <w:rPr>
          <w:rFonts w:ascii="宋体" w:hAnsi="宋体" w:eastAsia="宋体"/>
        </w:rPr>
      </w:pPr>
      <w:bookmarkStart w:id="391" w:name="_Toc487792152"/>
      <w:bookmarkStart w:id="392" w:name="_Toc397088600"/>
      <w:r>
        <w:rPr>
          <w:rFonts w:hint="eastAsia" w:ascii="宋体" w:hAnsi="宋体" w:eastAsia="宋体"/>
        </w:rPr>
        <w:t>一.投标人及投标货物的资格性证明文件</w:t>
      </w:r>
      <w:bookmarkEnd w:id="391"/>
      <w:bookmarkEnd w:id="392"/>
    </w:p>
    <w:p>
      <w:pPr>
        <w:spacing w:line="360" w:lineRule="auto"/>
        <w:ind w:firstLine="571"/>
        <w:rPr>
          <w:rFonts w:ascii="宋体" w:hAnsi="宋体"/>
          <w:szCs w:val="28"/>
        </w:rPr>
      </w:pPr>
      <w:r>
        <w:rPr>
          <w:rFonts w:hint="eastAsia" w:ascii="宋体" w:hAnsi="宋体"/>
          <w:szCs w:val="28"/>
        </w:rPr>
        <w:t>1. 投标人的载有统一社会信用代码的营业执照副本原件、载有二维码新版资质证书复印件、基本账户开户许可证原件、有效安全生产许可证原件、投标保证金缴纳凭证原件（使用网银支付的，提供网上银行电子回单的截图复印件）；</w:t>
      </w:r>
    </w:p>
    <w:p>
      <w:pPr>
        <w:pStyle w:val="26"/>
        <w:adjustRightInd w:val="0"/>
        <w:snapToGrid w:val="0"/>
        <w:spacing w:line="360" w:lineRule="auto"/>
        <w:ind w:firstLine="560" w:firstLineChars="200"/>
        <w:rPr>
          <w:rFonts w:hAnsi="宋体"/>
          <w:spacing w:val="-4"/>
          <w:sz w:val="28"/>
          <w:szCs w:val="28"/>
        </w:rPr>
      </w:pPr>
      <w:r>
        <w:rPr>
          <w:rFonts w:hint="eastAsia" w:hAnsi="宋体"/>
          <w:sz w:val="28"/>
          <w:szCs w:val="28"/>
        </w:rPr>
        <w:t>2．</w:t>
      </w:r>
      <w:r>
        <w:rPr>
          <w:rFonts w:hint="eastAsia" w:hAnsi="宋体" w:cs="Times New Roman"/>
          <w:sz w:val="28"/>
          <w:szCs w:val="28"/>
        </w:rPr>
        <w:t>采购人邀请所有投标人的法定代表人或其委托代理人参加开标会，且拟派本项目的项目经理（项目负责人）本人必须到场参加开标会，并在提交投标文件时，向采购人（采购代理机构）提交法定代表人身份证明文件或法定代表人授权委托书，出示本人身份证原件，否则，其投标文件将不予接收（委托代理人必须为本项目的拟派项目经理，提供建造师注册证书、建造师执业资格证、建造师安全生产考核合格证书原件）</w:t>
      </w:r>
      <w:r>
        <w:rPr>
          <w:rFonts w:hint="eastAsia"/>
          <w:sz w:val="28"/>
          <w:szCs w:val="28"/>
        </w:rPr>
        <w:t>；</w:t>
      </w:r>
    </w:p>
    <w:p>
      <w:pPr>
        <w:spacing w:line="360" w:lineRule="auto"/>
        <w:ind w:firstLine="560" w:firstLineChars="200"/>
        <w:rPr>
          <w:rFonts w:ascii="宋体" w:hAnsi="宋体"/>
          <w:szCs w:val="28"/>
        </w:rPr>
      </w:pPr>
      <w:r>
        <w:rPr>
          <w:rFonts w:hint="eastAsia" w:ascii="宋体" w:hAnsi="宋体"/>
          <w:szCs w:val="28"/>
        </w:rPr>
        <w:t xml:space="preserve">3．拟派建造师注册证书、资格证、安全生产考核合格证书、身份证、授权委托书原件；且不得担任其他在建项目建设工程的项目经理的承诺书原件；技术负责人至少配备1员，需具备市政工程专业中级（含）以上职称（提供职称证书原件）； 施工员、安全员、质检员/质量员、资料员、材料员、预算员/造价员各一名。（安全员提供执业资格证书原件或岗位证书原件以及安全员安全生产考核合格证原件，其余五大员提供执业资格证书原件或岗位证书原件。） </w:t>
      </w:r>
    </w:p>
    <w:p>
      <w:pPr>
        <w:spacing w:line="360" w:lineRule="auto"/>
        <w:ind w:firstLine="560" w:firstLineChars="200"/>
        <w:rPr>
          <w:rFonts w:ascii="宋体" w:hAnsi="宋体"/>
          <w:szCs w:val="28"/>
        </w:rPr>
      </w:pPr>
      <w:r>
        <w:rPr>
          <w:rFonts w:hint="eastAsia" w:ascii="宋体" w:hAnsi="宋体"/>
          <w:szCs w:val="28"/>
        </w:rPr>
        <w:t>4.投标</w:t>
      </w:r>
      <w:r>
        <w:rPr>
          <w:rFonts w:ascii="宋体" w:hAnsi="宋体"/>
          <w:szCs w:val="28"/>
        </w:rPr>
        <w:t>企业</w:t>
      </w:r>
      <w:r>
        <w:rPr>
          <w:rFonts w:hint="eastAsia" w:ascii="宋体" w:hAnsi="宋体"/>
          <w:szCs w:val="28"/>
        </w:rPr>
        <w:t>有近一年内</w:t>
      </w:r>
      <w:r>
        <w:rPr>
          <w:rFonts w:hint="eastAsia" w:ascii="宋体" w:hAnsi="宋体"/>
          <w:szCs w:val="28"/>
          <w:lang w:eastAsia="zh-CN"/>
        </w:rPr>
        <w:t>任意一个月的</w:t>
      </w:r>
      <w:r>
        <w:rPr>
          <w:rFonts w:hint="eastAsia" w:ascii="宋体" w:hAnsi="宋体"/>
          <w:szCs w:val="28"/>
        </w:rPr>
        <w:t>纳税</w:t>
      </w:r>
      <w:r>
        <w:rPr>
          <w:rFonts w:ascii="宋体" w:hAnsi="宋体"/>
          <w:szCs w:val="28"/>
        </w:rPr>
        <w:t>证明</w:t>
      </w:r>
      <w:r>
        <w:rPr>
          <w:rFonts w:hint="eastAsia" w:ascii="宋体" w:hAnsi="宋体"/>
          <w:szCs w:val="28"/>
        </w:rPr>
        <w:t>（以税务机关提供的纳税凭证为准）和为企业员工缴纳社保资金的凭证；</w:t>
      </w:r>
    </w:p>
    <w:p>
      <w:pPr>
        <w:spacing w:line="360" w:lineRule="auto"/>
        <w:ind w:firstLine="560" w:firstLineChars="200"/>
        <w:rPr>
          <w:rFonts w:ascii="宋体" w:hAnsi="宋体"/>
          <w:szCs w:val="28"/>
        </w:rPr>
      </w:pPr>
      <w:r>
        <w:rPr>
          <w:rFonts w:hint="eastAsia" w:ascii="宋体" w:hAnsi="宋体"/>
          <w:kern w:val="0"/>
          <w:szCs w:val="28"/>
        </w:rPr>
        <w:t>5.</w:t>
      </w:r>
      <w:r>
        <w:rPr>
          <w:rFonts w:hint="eastAsia" w:ascii="宋体" w:hAnsi="宋体"/>
          <w:szCs w:val="28"/>
        </w:rPr>
        <w:t xml:space="preserve">《行贿犯罪档案查询告知函》（指网上下载的查询结果告知函或检察机关现场出具的书面告知函） </w:t>
      </w:r>
    </w:p>
    <w:p>
      <w:pPr>
        <w:pStyle w:val="3"/>
        <w:rPr>
          <w:rFonts w:ascii="宋体" w:hAnsi="宋体" w:eastAsia="宋体"/>
        </w:rPr>
      </w:pPr>
      <w:bookmarkStart w:id="393" w:name="_Toc487792153"/>
      <w:bookmarkStart w:id="394" w:name="_Toc397088601"/>
      <w:r>
        <w:rPr>
          <w:rFonts w:hint="eastAsia" w:ascii="宋体" w:hAnsi="宋体" w:eastAsia="宋体"/>
        </w:rPr>
        <w:t>二.投标人应提供的其它资信文件</w:t>
      </w:r>
      <w:bookmarkEnd w:id="393"/>
      <w:bookmarkEnd w:id="394"/>
    </w:p>
    <w:p>
      <w:pPr>
        <w:spacing w:line="360" w:lineRule="auto"/>
        <w:ind w:firstLine="560" w:firstLineChars="200"/>
        <w:rPr>
          <w:rFonts w:ascii="宋体" w:hAnsi="宋体"/>
          <w:szCs w:val="28"/>
        </w:rPr>
      </w:pPr>
      <w:r>
        <w:rPr>
          <w:rFonts w:hint="eastAsia" w:hAnsi="宋体"/>
          <w:szCs w:val="28"/>
        </w:rPr>
        <w:t>1</w:t>
      </w:r>
      <w:r>
        <w:rPr>
          <w:rFonts w:hint="eastAsia" w:ascii="宋体" w:hAnsi="宋体"/>
          <w:szCs w:val="28"/>
        </w:rPr>
        <w:t>．财务要求：</w:t>
      </w:r>
      <w:r>
        <w:rPr>
          <w:rFonts w:hint="eastAsia"/>
          <w:szCs w:val="28"/>
        </w:rPr>
        <w:t>供应商是法人的审查会计师事务所出具的上一年度财务审计报告或基本开户银行近一年内出具的资信证明(供应商是部分其他组织或自然人的，审查银行近一年内出具的资信证明)</w:t>
      </w:r>
      <w:r>
        <w:rPr>
          <w:rFonts w:hint="eastAsia" w:ascii="宋体" w:hAnsi="宋体"/>
          <w:szCs w:val="28"/>
        </w:rPr>
        <w:t>；</w:t>
      </w:r>
    </w:p>
    <w:p>
      <w:pPr>
        <w:spacing w:line="360" w:lineRule="auto"/>
        <w:ind w:firstLine="560" w:firstLineChars="200"/>
        <w:rPr>
          <w:szCs w:val="28"/>
        </w:rPr>
      </w:pPr>
      <w:r>
        <w:rPr>
          <w:rFonts w:hint="eastAsia"/>
          <w:szCs w:val="28"/>
        </w:rPr>
        <w:t>2．信誉要求：投标人不得存在下列情形之一： ①近年（2014年至今）被责令停业，投标资格被暂停或取消，财产被接管、冻结，破产状态； ②近年（2014年至今）内有骗取中标和严重违约及重大工程质量问题；（提供相关承诺书并加盖公章，详见招标文件附件2, 新成立的企业，需提供成立后至今的承诺书）；</w:t>
      </w:r>
    </w:p>
    <w:p>
      <w:pPr>
        <w:spacing w:line="360" w:lineRule="auto"/>
        <w:ind w:firstLine="560" w:firstLineChars="200"/>
        <w:rPr>
          <w:szCs w:val="28"/>
        </w:rPr>
      </w:pPr>
      <w:r>
        <w:rPr>
          <w:rFonts w:hint="eastAsia"/>
          <w:szCs w:val="28"/>
        </w:rPr>
        <w:t>3．业绩要求：近年（2014年至今，以合同签订时间为准）承揽过至少一项100万元（含）以上市政公用工程的施工业绩（【提供中标通知书及经建设行政主管部门备案生效后的合同原件】或者【提供中标通知书和经建设主管部门备案生效后的工程竣工验收备案表原件】，投标文件须附复印件）；</w:t>
      </w:r>
    </w:p>
    <w:p>
      <w:pPr>
        <w:spacing w:line="360" w:lineRule="auto"/>
        <w:ind w:left="1" w:firstLine="560" w:firstLineChars="200"/>
        <w:rPr>
          <w:rFonts w:ascii="宋体" w:hAnsi="宋体"/>
          <w:szCs w:val="28"/>
        </w:rPr>
      </w:pPr>
      <w:r>
        <w:rPr>
          <w:rFonts w:hint="eastAsia" w:ascii="宋体" w:hAnsi="宋体"/>
          <w:szCs w:val="28"/>
        </w:rPr>
        <w:t>4．投标人情况介绍，包括生产、办公场所、机构设置、技术力量、服务能力、质量管理等；</w:t>
      </w:r>
    </w:p>
    <w:p>
      <w:pPr>
        <w:spacing w:line="360" w:lineRule="auto"/>
        <w:ind w:firstLine="560" w:firstLineChars="200"/>
        <w:rPr>
          <w:rFonts w:ascii="宋体" w:hAnsi="宋体"/>
          <w:szCs w:val="28"/>
        </w:rPr>
      </w:pPr>
      <w:r>
        <w:rPr>
          <w:rFonts w:hint="eastAsia" w:ascii="宋体" w:hAnsi="宋体"/>
          <w:szCs w:val="28"/>
        </w:rPr>
        <w:t>5．其他有利于投标的投标人的证明文件；</w:t>
      </w:r>
    </w:p>
    <w:p>
      <w:pPr>
        <w:spacing w:line="360" w:lineRule="auto"/>
        <w:ind w:firstLine="560" w:firstLineChars="200"/>
        <w:rPr>
          <w:rFonts w:ascii="宋体" w:hAnsi="宋体"/>
          <w:szCs w:val="28"/>
        </w:rPr>
      </w:pPr>
      <w:r>
        <w:rPr>
          <w:rFonts w:hint="eastAsia" w:ascii="宋体" w:hAnsi="宋体"/>
          <w:szCs w:val="28"/>
        </w:rPr>
        <w:t>6．近三年来在生产经营活动中无重大违法记录的声明材料。</w:t>
      </w:r>
    </w:p>
    <w:p>
      <w:pPr>
        <w:autoSpaceDE w:val="0"/>
        <w:autoSpaceDN w:val="0"/>
        <w:adjustRightInd w:val="0"/>
        <w:snapToGrid w:val="0"/>
        <w:spacing w:line="360" w:lineRule="auto"/>
        <w:ind w:firstLine="562" w:firstLineChars="200"/>
        <w:jc w:val="left"/>
        <w:rPr>
          <w:rFonts w:ascii="宋体" w:hAnsi="宋体"/>
          <w:b/>
          <w:kern w:val="0"/>
          <w:szCs w:val="28"/>
        </w:rPr>
      </w:pPr>
      <w:bookmarkStart w:id="395" w:name="_Toc422214694"/>
      <w:bookmarkStart w:id="396" w:name="_Toc303801500"/>
      <w:r>
        <w:rPr>
          <w:rFonts w:hint="eastAsia" w:ascii="宋体" w:hAnsi="宋体"/>
          <w:b/>
          <w:kern w:val="0"/>
          <w:szCs w:val="28"/>
        </w:rPr>
        <w:t>以上文件资料未注明提供原件的，均要求提供复印件并逐页加盖投标人公章，除在本招标文件中明确规定不提供为无效投标外，其余均供评委在评审时参考，未提供或提供的资料不全，有可能影响投标人的得分。</w:t>
      </w:r>
    </w:p>
    <w:p>
      <w:pPr>
        <w:pStyle w:val="2"/>
        <w:keepNext/>
        <w:keepLines/>
        <w:pageBreakBefore w:val="0"/>
        <w:widowControl w:val="0"/>
        <w:kinsoku/>
        <w:wordWrap/>
        <w:overflowPunct/>
        <w:topLinePunct w:val="0"/>
        <w:autoSpaceDE/>
        <w:autoSpaceDN/>
        <w:bidi w:val="0"/>
        <w:adjustRightInd/>
        <w:snapToGrid/>
        <w:spacing w:before="100" w:after="90" w:line="456" w:lineRule="auto"/>
        <w:ind w:left="0" w:leftChars="0" w:right="0" w:rightChars="0" w:firstLine="0" w:firstLineChars="0"/>
        <w:jc w:val="center"/>
        <w:textAlignment w:val="auto"/>
        <w:outlineLvl w:val="0"/>
        <w:rPr>
          <w:color w:val="000000"/>
        </w:rPr>
      </w:pPr>
      <w:bookmarkStart w:id="397" w:name="_Toc487792154"/>
      <w:r>
        <w:rPr>
          <w:rFonts w:hint="eastAsia"/>
          <w:color w:val="000000"/>
        </w:rPr>
        <w:t>第六章 评标原则和方法</w:t>
      </w:r>
      <w:bookmarkEnd w:id="395"/>
      <w:bookmarkEnd w:id="397"/>
    </w:p>
    <w:p>
      <w:pPr>
        <w:keepNext/>
        <w:keepLines/>
        <w:spacing w:before="260" w:after="260" w:line="360" w:lineRule="auto"/>
        <w:outlineLvl w:val="1"/>
        <w:rPr>
          <w:rFonts w:ascii="宋体" w:hAnsi="宋体"/>
          <w:b/>
          <w:bCs/>
          <w:color w:val="000000"/>
          <w:kern w:val="0"/>
          <w:sz w:val="32"/>
          <w:szCs w:val="32"/>
        </w:rPr>
      </w:pPr>
      <w:bookmarkStart w:id="398" w:name="_Toc397088604"/>
      <w:bookmarkStart w:id="399" w:name="_Toc424742150"/>
      <w:bookmarkStart w:id="400" w:name="_Toc359315303"/>
      <w:bookmarkStart w:id="401" w:name="_Toc487792155"/>
      <w:r>
        <w:rPr>
          <w:rFonts w:hint="eastAsia" w:ascii="宋体" w:hAnsi="宋体"/>
          <w:b/>
          <w:bCs/>
          <w:color w:val="000000"/>
          <w:kern w:val="0"/>
          <w:sz w:val="32"/>
          <w:szCs w:val="32"/>
        </w:rPr>
        <w:t>一．评标原则：</w:t>
      </w:r>
      <w:bookmarkEnd w:id="398"/>
      <w:bookmarkEnd w:id="399"/>
      <w:bookmarkEnd w:id="400"/>
      <w:bookmarkEnd w:id="401"/>
    </w:p>
    <w:p>
      <w:pPr>
        <w:adjustRightInd w:val="0"/>
        <w:snapToGrid w:val="0"/>
        <w:spacing w:line="360" w:lineRule="auto"/>
        <w:ind w:right="-10" w:firstLine="490" w:firstLineChars="175"/>
        <w:rPr>
          <w:rFonts w:ascii="宋体" w:hAnsi="宋体"/>
          <w:color w:val="000000"/>
          <w:szCs w:val="28"/>
        </w:rPr>
      </w:pPr>
      <w:r>
        <w:rPr>
          <w:rFonts w:hint="eastAsia" w:ascii="宋体" w:hAnsi="宋体"/>
          <w:bCs/>
          <w:color w:val="000000"/>
          <w:szCs w:val="28"/>
        </w:rPr>
        <w:t>（一）</w:t>
      </w:r>
      <w:r>
        <w:rPr>
          <w:rFonts w:hint="eastAsia" w:ascii="宋体" w:hAnsi="宋体"/>
          <w:color w:val="000000"/>
          <w:szCs w:val="28"/>
        </w:rPr>
        <w:t>为了做好本次项目的招标、评标工作，保证项目评审工作的正常有序进行，维护采购人、投标人的合法权益，依据《中华人民共和国政府采购法》等相关法律法规，本着公开、公平、公正、择优的原则，制定评标办法。</w:t>
      </w:r>
    </w:p>
    <w:p>
      <w:pPr>
        <w:spacing w:line="360" w:lineRule="auto"/>
        <w:ind w:firstLine="560" w:firstLineChars="200"/>
        <w:rPr>
          <w:rFonts w:ascii="宋体" w:hAnsi="宋体"/>
          <w:color w:val="000000"/>
        </w:rPr>
      </w:pPr>
      <w:r>
        <w:rPr>
          <w:rFonts w:hint="eastAsia" w:ascii="宋体" w:hAnsi="宋体"/>
          <w:bCs/>
          <w:color w:val="000000"/>
          <w:szCs w:val="28"/>
        </w:rPr>
        <w:t>（二）</w:t>
      </w:r>
      <w:r>
        <w:rPr>
          <w:rFonts w:hint="eastAsia" w:ascii="宋体" w:hAnsi="宋体"/>
          <w:color w:val="000000"/>
        </w:rPr>
        <w:t>评标委员会将综合分析投标人的各项指标，而不以单项指标的优劣评选出预中标人。</w:t>
      </w:r>
    </w:p>
    <w:p>
      <w:pPr>
        <w:keepNext/>
        <w:keepLines/>
        <w:spacing w:before="260" w:after="260" w:line="360" w:lineRule="auto"/>
        <w:outlineLvl w:val="1"/>
        <w:rPr>
          <w:rFonts w:ascii="宋体" w:hAnsi="宋体"/>
          <w:b/>
          <w:bCs/>
          <w:color w:val="000000"/>
          <w:kern w:val="0"/>
          <w:sz w:val="32"/>
          <w:szCs w:val="32"/>
        </w:rPr>
      </w:pPr>
      <w:bookmarkStart w:id="402" w:name="_Toc487792156"/>
      <w:bookmarkStart w:id="403" w:name="_Toc424742151"/>
      <w:bookmarkStart w:id="404" w:name="_Toc359315304"/>
      <w:bookmarkStart w:id="405" w:name="_Toc397088605"/>
      <w:r>
        <w:rPr>
          <w:rFonts w:hint="eastAsia" w:ascii="宋体" w:hAnsi="宋体"/>
          <w:b/>
          <w:bCs/>
          <w:color w:val="000000"/>
          <w:kern w:val="0"/>
          <w:sz w:val="32"/>
          <w:szCs w:val="32"/>
        </w:rPr>
        <w:t>二．评标办法：</w:t>
      </w:r>
      <w:bookmarkEnd w:id="402"/>
      <w:bookmarkEnd w:id="403"/>
      <w:bookmarkEnd w:id="404"/>
      <w:bookmarkEnd w:id="405"/>
    </w:p>
    <w:p>
      <w:pPr>
        <w:spacing w:line="360" w:lineRule="auto"/>
        <w:ind w:firstLine="420" w:firstLineChars="150"/>
        <w:rPr>
          <w:rFonts w:ascii="宋体" w:hAnsi="宋体"/>
          <w:szCs w:val="28"/>
        </w:rPr>
      </w:pPr>
      <w:r>
        <w:rPr>
          <w:rFonts w:hint="eastAsia" w:ascii="宋体" w:hAnsi="宋体"/>
          <w:szCs w:val="28"/>
        </w:rPr>
        <w:t>（一）本次招标采用最低评标价法评标,即在所有满足招标文件要求同时又低于预算价的投标人中，以报价最低的投标人作为中标人。</w:t>
      </w:r>
    </w:p>
    <w:p>
      <w:pPr>
        <w:spacing w:line="360" w:lineRule="auto"/>
        <w:rPr>
          <w:rFonts w:ascii="宋体" w:hAnsi="宋体"/>
          <w:szCs w:val="28"/>
        </w:rPr>
      </w:pPr>
      <w:r>
        <w:rPr>
          <w:rFonts w:hint="eastAsia" w:ascii="宋体" w:hAnsi="宋体"/>
          <w:szCs w:val="28"/>
        </w:rPr>
        <w:t xml:space="preserve">   （二）具体评审工作按照以下步骤进行。</w:t>
      </w:r>
    </w:p>
    <w:p>
      <w:pPr>
        <w:spacing w:line="360" w:lineRule="auto"/>
        <w:rPr>
          <w:rFonts w:ascii="宋体" w:hAnsi="宋体"/>
          <w:szCs w:val="28"/>
        </w:rPr>
      </w:pPr>
      <w:r>
        <w:rPr>
          <w:rFonts w:hint="eastAsia" w:ascii="宋体" w:hAnsi="宋体"/>
          <w:szCs w:val="28"/>
        </w:rPr>
        <w:t xml:space="preserve">    1．商务评审。代理机构工作人员协助经济专家、采购人代表共同对资格和符合性审查合格者进行商务评议。商务评审内容包括：</w:t>
      </w:r>
    </w:p>
    <w:p>
      <w:pPr>
        <w:spacing w:line="360" w:lineRule="auto"/>
        <w:ind w:firstLine="560" w:firstLineChars="200"/>
        <w:rPr>
          <w:rFonts w:ascii="宋体" w:hAnsi="宋体"/>
          <w:szCs w:val="28"/>
        </w:rPr>
      </w:pPr>
      <w:r>
        <w:rPr>
          <w:rFonts w:hint="eastAsia" w:ascii="宋体" w:hAnsi="宋体"/>
          <w:szCs w:val="28"/>
        </w:rPr>
        <w:t>财务状况和信誉，业绩，服务和投标企业依法纳税，交纳养老保险、医疗保险情况等。评议结果为“合格”或“不合格”。</w:t>
      </w:r>
    </w:p>
    <w:p>
      <w:pPr>
        <w:spacing w:line="360" w:lineRule="auto"/>
        <w:rPr>
          <w:rFonts w:ascii="宋体" w:hAnsi="宋体"/>
          <w:szCs w:val="28"/>
        </w:rPr>
      </w:pPr>
      <w:r>
        <w:rPr>
          <w:rFonts w:hint="eastAsia" w:ascii="宋体" w:hAnsi="宋体"/>
          <w:szCs w:val="28"/>
        </w:rPr>
        <w:t xml:space="preserve">    2．技术参数比较。评价内容主要为投标企业技术方案的可行性</w:t>
      </w:r>
      <w:r>
        <w:rPr>
          <w:rFonts w:hint="eastAsia" w:ascii="宋体" w:hAnsi="宋体"/>
          <w:color w:val="FF0000"/>
          <w:szCs w:val="28"/>
        </w:rPr>
        <w:t>（服务）</w:t>
      </w:r>
      <w:r>
        <w:rPr>
          <w:rFonts w:hint="eastAsia" w:ascii="宋体" w:hAnsi="宋体"/>
          <w:szCs w:val="28"/>
        </w:rPr>
        <w:t>；工程量清单响应程度</w:t>
      </w:r>
      <w:r>
        <w:rPr>
          <w:rFonts w:hint="eastAsia" w:ascii="宋体" w:hAnsi="宋体"/>
          <w:color w:val="FF0000"/>
          <w:szCs w:val="28"/>
        </w:rPr>
        <w:t>（工程）</w:t>
      </w:r>
      <w:r>
        <w:rPr>
          <w:rFonts w:hint="eastAsia" w:ascii="宋体" w:hAnsi="宋体"/>
          <w:szCs w:val="28"/>
        </w:rPr>
        <w:t>；技术参数响应程度；产品主要部件的质量</w:t>
      </w:r>
      <w:r>
        <w:rPr>
          <w:rFonts w:hint="eastAsia" w:ascii="宋体" w:hAnsi="宋体"/>
          <w:color w:val="FF0000"/>
          <w:szCs w:val="28"/>
        </w:rPr>
        <w:t>（货物）</w:t>
      </w:r>
      <w:r>
        <w:rPr>
          <w:rFonts w:hint="eastAsia" w:ascii="宋体" w:hAnsi="宋体"/>
          <w:szCs w:val="28"/>
        </w:rPr>
        <w:t>等。根据投标企业提供的技术资料由技术专家和采购人代表逐项分别进行比较和评价。比较原则如下：凡有一项主要参数不满足者，其结论即为“不合格”；一般参数中有一项超出允许偏离最大范围或最高项数的，其结论也为“不合格”。</w:t>
      </w:r>
    </w:p>
    <w:p>
      <w:pPr>
        <w:spacing w:line="360" w:lineRule="auto"/>
        <w:rPr>
          <w:rFonts w:ascii="宋体" w:hAnsi="宋体"/>
          <w:szCs w:val="28"/>
        </w:rPr>
      </w:pPr>
      <w:r>
        <w:rPr>
          <w:rFonts w:hint="eastAsia" w:ascii="宋体" w:hAnsi="宋体"/>
          <w:szCs w:val="28"/>
        </w:rPr>
        <w:t xml:space="preserve">    3．价格比较。由评委会集体对技术参数合格的投标报价进行比较。首先对每一投标人的报价是否存在缺项、漏项，以及分项报价是否合理或者低于成本进行审核。其次，对有可能影响商品质量和不能诚信履约的投标，要求其在规定期限内提供书面文字予以解释说明，并提交相关证明材料。否则，评标委员会可以取消该投标人的中标候选资格。最后，对满足条件的投标报价由低到高顺序排列。投标报价相同的，依技术指标、售后服务条款的优劣顺序排列。</w:t>
      </w:r>
    </w:p>
    <w:p>
      <w:pPr>
        <w:spacing w:line="360" w:lineRule="auto"/>
        <w:rPr>
          <w:rFonts w:ascii="宋体" w:hAnsi="宋体"/>
          <w:szCs w:val="28"/>
        </w:rPr>
      </w:pPr>
      <w:r>
        <w:rPr>
          <w:rFonts w:hint="eastAsia" w:ascii="宋体" w:hAnsi="宋体"/>
          <w:szCs w:val="28"/>
        </w:rPr>
        <w:t xml:space="preserve">    4.本次采购将按照《政府采购法》第九条的规定，在同等条件下，优先扶持不发达地区和少数民族地区的企业和中小企业。</w:t>
      </w:r>
    </w:p>
    <w:p>
      <w:pPr>
        <w:rPr>
          <w:rFonts w:ascii="宋体" w:hAnsi="宋体"/>
          <w:b/>
          <w:bCs/>
          <w:color w:val="000000"/>
          <w:kern w:val="0"/>
          <w:szCs w:val="28"/>
        </w:rPr>
      </w:pPr>
      <w:r>
        <w:rPr>
          <w:rFonts w:hint="eastAsia" w:ascii="宋体" w:hAnsi="宋体"/>
          <w:b/>
          <w:bCs/>
          <w:color w:val="000000"/>
          <w:kern w:val="0"/>
          <w:szCs w:val="28"/>
        </w:rPr>
        <w:t>初步评审一览表：</w:t>
      </w:r>
    </w:p>
    <w:tbl>
      <w:tblPr>
        <w:tblStyle w:val="4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2860"/>
        <w:gridCol w:w="5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 w:hRule="atLeast"/>
          <w:jc w:val="center"/>
        </w:trPr>
        <w:tc>
          <w:tcPr>
            <w:tcW w:w="456" w:type="dxa"/>
            <w:vMerge w:val="restart"/>
            <w:tcBorders>
              <w:top w:val="single" w:color="auto" w:sz="4" w:space="0"/>
              <w:left w:val="single" w:color="auto" w:sz="4" w:space="0"/>
              <w:right w:val="single" w:color="auto" w:sz="4" w:space="0"/>
            </w:tcBorders>
            <w:vAlign w:val="center"/>
          </w:tcPr>
          <w:p>
            <w:pPr>
              <w:spacing w:line="360" w:lineRule="exact"/>
              <w:jc w:val="lef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形式性审查标准</w:t>
            </w:r>
          </w:p>
        </w:tc>
        <w:tc>
          <w:tcPr>
            <w:tcW w:w="28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投标函及法人授权委托书</w:t>
            </w:r>
          </w:p>
        </w:tc>
        <w:tc>
          <w:tcPr>
            <w:tcW w:w="5744"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符合招标文件要求。（格式、填写要求、签署、盖章等）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456" w:type="dxa"/>
            <w:vMerge w:val="continue"/>
            <w:tcBorders>
              <w:left w:val="single" w:color="auto" w:sz="4" w:space="0"/>
              <w:right w:val="single" w:color="auto" w:sz="4" w:space="0"/>
            </w:tcBorders>
            <w:vAlign w:val="center"/>
          </w:tcPr>
          <w:p>
            <w:pPr>
              <w:spacing w:line="360" w:lineRule="exact"/>
              <w:jc w:val="left"/>
              <w:rPr>
                <w:rFonts w:asciiTheme="minorEastAsia" w:hAnsiTheme="minorEastAsia" w:eastAsiaTheme="minorEastAsia"/>
                <w:color w:val="000000"/>
                <w:sz w:val="24"/>
                <w:szCs w:val="24"/>
              </w:rPr>
            </w:pPr>
          </w:p>
        </w:tc>
        <w:tc>
          <w:tcPr>
            <w:tcW w:w="28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开标一览表</w:t>
            </w:r>
          </w:p>
        </w:tc>
        <w:tc>
          <w:tcPr>
            <w:tcW w:w="5744"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符合招标文件要求。（格式、填写要求、签署、盖章等）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6" w:hRule="atLeast"/>
          <w:jc w:val="center"/>
        </w:trPr>
        <w:tc>
          <w:tcPr>
            <w:tcW w:w="456" w:type="dxa"/>
            <w:vMerge w:val="continue"/>
            <w:tcBorders>
              <w:left w:val="single" w:color="auto" w:sz="4" w:space="0"/>
              <w:right w:val="single" w:color="auto" w:sz="4" w:space="0"/>
            </w:tcBorders>
            <w:vAlign w:val="center"/>
          </w:tcPr>
          <w:p>
            <w:pPr>
              <w:spacing w:line="360" w:lineRule="exact"/>
              <w:jc w:val="left"/>
              <w:rPr>
                <w:rFonts w:asciiTheme="minorEastAsia" w:hAnsiTheme="minorEastAsia" w:eastAsiaTheme="minorEastAsia"/>
                <w:color w:val="000000"/>
                <w:sz w:val="24"/>
                <w:szCs w:val="24"/>
              </w:rPr>
            </w:pPr>
          </w:p>
        </w:tc>
        <w:tc>
          <w:tcPr>
            <w:tcW w:w="2860"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投标文件规范性、符合性</w:t>
            </w:r>
          </w:p>
        </w:tc>
        <w:tc>
          <w:tcPr>
            <w:tcW w:w="5744"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投标文件的正本和副本应采用胶粘方式左侧装订，不得采用活页夹等可随时拆换的方式装订，不得有零散页；投标文件封装（份数、装订、格式、文字、目录、页码等）符合招标文件要求；无严重的编排混乱、内容不全或字迹模糊辨认不清、前后矛盾情况，对评标无实质性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456" w:type="dxa"/>
            <w:vMerge w:val="restart"/>
            <w:tcBorders>
              <w:top w:val="single" w:color="auto" w:sz="4" w:space="0"/>
              <w:left w:val="single" w:color="auto" w:sz="4" w:space="0"/>
              <w:right w:val="single" w:color="auto" w:sz="4" w:space="0"/>
            </w:tcBorders>
            <w:vAlign w:val="center"/>
          </w:tcPr>
          <w:p>
            <w:pPr>
              <w:spacing w:line="360" w:lineRule="exact"/>
              <w:jc w:val="lef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资格评审标准</w:t>
            </w:r>
          </w:p>
        </w:tc>
        <w:tc>
          <w:tcPr>
            <w:tcW w:w="286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sz w:val="24"/>
                <w:szCs w:val="24"/>
              </w:rPr>
            </w:pPr>
            <w:r>
              <w:rPr>
                <w:rFonts w:hint="eastAsia"/>
                <w:color w:val="000000"/>
                <w:sz w:val="24"/>
              </w:rPr>
              <w:t>营业执照、组织机构代码、税务登记证</w:t>
            </w:r>
          </w:p>
        </w:tc>
        <w:tc>
          <w:tcPr>
            <w:tcW w:w="5744"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sz w:val="24"/>
                <w:szCs w:val="24"/>
              </w:rPr>
            </w:pPr>
            <w:r>
              <w:rPr>
                <w:rFonts w:hint="eastAsia"/>
                <w:color w:val="000000"/>
                <w:sz w:val="24"/>
              </w:rPr>
              <w:t>具备有效的营业执照、组织机构代码、税务登记证原件或载有统一社会信用代码的营业执照原件（查验原件）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456" w:type="dxa"/>
            <w:vMerge w:val="continue"/>
            <w:tcBorders>
              <w:left w:val="single" w:color="auto" w:sz="4" w:space="0"/>
              <w:right w:val="single" w:color="auto" w:sz="4" w:space="0"/>
            </w:tcBorders>
            <w:vAlign w:val="center"/>
          </w:tcPr>
          <w:p>
            <w:pPr>
              <w:spacing w:line="360" w:lineRule="exact"/>
              <w:jc w:val="left"/>
              <w:rPr>
                <w:rFonts w:asciiTheme="minorEastAsia" w:hAnsiTheme="minorEastAsia" w:eastAsiaTheme="minorEastAsia"/>
                <w:color w:val="000000"/>
                <w:sz w:val="24"/>
                <w:szCs w:val="24"/>
              </w:rPr>
            </w:pPr>
          </w:p>
        </w:tc>
        <w:tc>
          <w:tcPr>
            <w:tcW w:w="286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sz w:val="24"/>
                <w:szCs w:val="24"/>
              </w:rPr>
            </w:pPr>
            <w:r>
              <w:rPr>
                <w:rFonts w:hint="eastAsia"/>
                <w:color w:val="000000"/>
                <w:sz w:val="24"/>
              </w:rPr>
              <w:t>资质等级</w:t>
            </w:r>
          </w:p>
        </w:tc>
        <w:tc>
          <w:tcPr>
            <w:tcW w:w="5744"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sz w:val="24"/>
                <w:szCs w:val="24"/>
              </w:rPr>
            </w:pPr>
            <w:r>
              <w:rPr>
                <w:rFonts w:hint="eastAsia"/>
                <w:color w:val="000000"/>
                <w:sz w:val="24"/>
              </w:rPr>
              <w:t>备建设行政主管部门颁发的[市政公用工程施工总承包三级]（含）以上资质（查验企业载有二维码新版资质证书复印件）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456" w:type="dxa"/>
            <w:vMerge w:val="continue"/>
            <w:tcBorders>
              <w:left w:val="single" w:color="auto" w:sz="4" w:space="0"/>
              <w:right w:val="single" w:color="auto" w:sz="4" w:space="0"/>
            </w:tcBorders>
            <w:vAlign w:val="center"/>
          </w:tcPr>
          <w:p>
            <w:pPr>
              <w:spacing w:line="360" w:lineRule="exact"/>
              <w:jc w:val="left"/>
              <w:rPr>
                <w:rFonts w:asciiTheme="minorEastAsia" w:hAnsiTheme="minorEastAsia" w:eastAsiaTheme="minorEastAsia"/>
                <w:color w:val="000000"/>
                <w:sz w:val="24"/>
                <w:szCs w:val="24"/>
              </w:rPr>
            </w:pPr>
          </w:p>
        </w:tc>
        <w:tc>
          <w:tcPr>
            <w:tcW w:w="286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sz w:val="24"/>
                <w:szCs w:val="24"/>
              </w:rPr>
            </w:pPr>
            <w:r>
              <w:rPr>
                <w:rFonts w:hint="eastAsia"/>
                <w:color w:val="000000"/>
                <w:sz w:val="24"/>
              </w:rPr>
              <w:t>安全生产许可证</w:t>
            </w:r>
          </w:p>
        </w:tc>
        <w:tc>
          <w:tcPr>
            <w:tcW w:w="5744"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sz w:val="24"/>
                <w:szCs w:val="24"/>
              </w:rPr>
            </w:pPr>
            <w:r>
              <w:rPr>
                <w:rFonts w:hint="eastAsia"/>
                <w:color w:val="000000"/>
                <w:sz w:val="24"/>
              </w:rPr>
              <w:t>具备建设行政主管部门颁发的有效安全生产许可证（查验副本原件）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456" w:type="dxa"/>
            <w:vMerge w:val="continue"/>
            <w:tcBorders>
              <w:left w:val="single" w:color="auto" w:sz="4" w:space="0"/>
              <w:right w:val="single" w:color="auto" w:sz="4" w:space="0"/>
            </w:tcBorders>
            <w:vAlign w:val="center"/>
          </w:tcPr>
          <w:p>
            <w:pPr>
              <w:spacing w:line="360" w:lineRule="exact"/>
              <w:jc w:val="left"/>
              <w:rPr>
                <w:rFonts w:asciiTheme="minorEastAsia" w:hAnsiTheme="minorEastAsia" w:eastAsiaTheme="minorEastAsia"/>
                <w:color w:val="000000"/>
                <w:sz w:val="24"/>
                <w:szCs w:val="24"/>
              </w:rPr>
            </w:pPr>
          </w:p>
        </w:tc>
        <w:tc>
          <w:tcPr>
            <w:tcW w:w="286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sz w:val="24"/>
                <w:szCs w:val="24"/>
              </w:rPr>
            </w:pPr>
            <w:r>
              <w:rPr>
                <w:rFonts w:hint="eastAsia"/>
                <w:color w:val="000000"/>
                <w:sz w:val="24"/>
              </w:rPr>
              <w:t>基本账户开户许可证</w:t>
            </w:r>
          </w:p>
        </w:tc>
        <w:tc>
          <w:tcPr>
            <w:tcW w:w="5744"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sz w:val="24"/>
                <w:szCs w:val="24"/>
              </w:rPr>
            </w:pPr>
            <w:r>
              <w:rPr>
                <w:rFonts w:hint="eastAsia"/>
                <w:color w:val="000000"/>
                <w:sz w:val="24"/>
              </w:rPr>
              <w:t>具备有效的基本账户开户许可证（查验原件）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jc w:val="center"/>
        </w:trPr>
        <w:tc>
          <w:tcPr>
            <w:tcW w:w="456" w:type="dxa"/>
            <w:vMerge w:val="continue"/>
            <w:tcBorders>
              <w:left w:val="single" w:color="auto" w:sz="4" w:space="0"/>
              <w:right w:val="single" w:color="auto" w:sz="4" w:space="0"/>
            </w:tcBorders>
            <w:vAlign w:val="center"/>
          </w:tcPr>
          <w:p>
            <w:pPr>
              <w:widowControl/>
              <w:jc w:val="left"/>
              <w:rPr>
                <w:rFonts w:asciiTheme="minorEastAsia" w:hAnsiTheme="minorEastAsia" w:eastAsiaTheme="minorEastAsia"/>
                <w:color w:val="000000"/>
                <w:sz w:val="24"/>
                <w:szCs w:val="24"/>
              </w:rPr>
            </w:pPr>
          </w:p>
        </w:tc>
        <w:tc>
          <w:tcPr>
            <w:tcW w:w="2860" w:type="dxa"/>
            <w:tcBorders>
              <w:top w:val="single" w:color="auto" w:sz="4" w:space="0"/>
              <w:left w:val="single" w:color="auto" w:sz="4" w:space="0"/>
              <w:bottom w:val="single" w:color="auto" w:sz="4" w:space="0"/>
              <w:right w:val="single" w:color="auto" w:sz="4" w:space="0"/>
            </w:tcBorders>
            <w:vAlign w:val="center"/>
          </w:tcPr>
          <w:p>
            <w:pPr>
              <w:jc w:val="center"/>
              <w:rPr>
                <w:color w:val="000000"/>
                <w:sz w:val="24"/>
              </w:rPr>
            </w:pPr>
            <w:r>
              <w:rPr>
                <w:rFonts w:hint="eastAsia"/>
                <w:color w:val="000000"/>
                <w:sz w:val="24"/>
              </w:rPr>
              <w:t>财务要求</w:t>
            </w:r>
          </w:p>
        </w:tc>
        <w:tc>
          <w:tcPr>
            <w:tcW w:w="5744" w:type="dxa"/>
            <w:tcBorders>
              <w:top w:val="single" w:color="auto" w:sz="4" w:space="0"/>
              <w:left w:val="single" w:color="auto" w:sz="4" w:space="0"/>
              <w:bottom w:val="single" w:color="auto" w:sz="4" w:space="0"/>
              <w:right w:val="single" w:color="auto" w:sz="4" w:space="0"/>
            </w:tcBorders>
            <w:vAlign w:val="center"/>
          </w:tcPr>
          <w:p>
            <w:pPr>
              <w:jc w:val="left"/>
              <w:rPr>
                <w:color w:val="000000"/>
                <w:sz w:val="24"/>
              </w:rPr>
            </w:pPr>
            <w:r>
              <w:rPr>
                <w:rFonts w:hint="eastAsia"/>
                <w:color w:val="000000"/>
                <w:sz w:val="24"/>
              </w:rPr>
              <w:t>审查会计师事务所出具的上一年度财务审计报告或基本开户银行近一年内出具的资信证明。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3" w:hRule="atLeast"/>
          <w:jc w:val="center"/>
        </w:trPr>
        <w:tc>
          <w:tcPr>
            <w:tcW w:w="456" w:type="dxa"/>
            <w:vMerge w:val="continue"/>
            <w:tcBorders>
              <w:left w:val="single" w:color="auto" w:sz="4" w:space="0"/>
              <w:right w:val="single" w:color="auto" w:sz="4" w:space="0"/>
            </w:tcBorders>
            <w:vAlign w:val="center"/>
          </w:tcPr>
          <w:p>
            <w:pPr>
              <w:widowControl/>
              <w:jc w:val="left"/>
              <w:rPr>
                <w:rFonts w:asciiTheme="minorEastAsia" w:hAnsiTheme="minorEastAsia" w:eastAsiaTheme="minorEastAsia"/>
                <w:color w:val="000000"/>
                <w:sz w:val="24"/>
                <w:szCs w:val="24"/>
              </w:rPr>
            </w:pPr>
          </w:p>
        </w:tc>
        <w:tc>
          <w:tcPr>
            <w:tcW w:w="2860" w:type="dxa"/>
            <w:tcBorders>
              <w:top w:val="single" w:color="auto" w:sz="4" w:space="0"/>
              <w:left w:val="single" w:color="auto" w:sz="4" w:space="0"/>
              <w:bottom w:val="single" w:color="auto" w:sz="4" w:space="0"/>
              <w:right w:val="single" w:color="auto" w:sz="4" w:space="0"/>
            </w:tcBorders>
            <w:vAlign w:val="center"/>
          </w:tcPr>
          <w:p>
            <w:pPr>
              <w:jc w:val="center"/>
              <w:rPr>
                <w:color w:val="000000"/>
                <w:sz w:val="24"/>
              </w:rPr>
            </w:pPr>
            <w:r>
              <w:rPr>
                <w:rFonts w:hint="eastAsia"/>
                <w:color w:val="000000"/>
                <w:sz w:val="24"/>
              </w:rPr>
              <w:t>业绩要求</w:t>
            </w:r>
          </w:p>
        </w:tc>
        <w:tc>
          <w:tcPr>
            <w:tcW w:w="5744" w:type="dxa"/>
            <w:tcBorders>
              <w:top w:val="single" w:color="auto" w:sz="4" w:space="0"/>
              <w:left w:val="single" w:color="auto" w:sz="4" w:space="0"/>
              <w:bottom w:val="single" w:color="auto" w:sz="4" w:space="0"/>
              <w:right w:val="single" w:color="auto" w:sz="4" w:space="0"/>
            </w:tcBorders>
            <w:vAlign w:val="center"/>
          </w:tcPr>
          <w:p>
            <w:pPr>
              <w:jc w:val="left"/>
              <w:rPr>
                <w:color w:val="000000"/>
                <w:sz w:val="24"/>
              </w:rPr>
            </w:pPr>
            <w:r>
              <w:rPr>
                <w:rFonts w:hint="eastAsia"/>
                <w:color w:val="000000"/>
                <w:sz w:val="24"/>
              </w:rPr>
              <w:t>近年（2014年至今，以合同签订时间为准）承揽过至少一项100万元（含）以上市政公用工程的施工业绩（【提供中标通知书及经建设行政主管部门备案生效后的合同原件】或者【提供中标通知书和经建设主管部门备案生效后的工程竣工验收备案表原件】，投标文件须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4" w:hRule="atLeast"/>
          <w:jc w:val="center"/>
        </w:trPr>
        <w:tc>
          <w:tcPr>
            <w:tcW w:w="456" w:type="dxa"/>
            <w:vMerge w:val="continue"/>
            <w:tcBorders>
              <w:left w:val="single" w:color="auto" w:sz="4" w:space="0"/>
              <w:right w:val="single" w:color="auto" w:sz="4" w:space="0"/>
            </w:tcBorders>
            <w:vAlign w:val="center"/>
          </w:tcPr>
          <w:p>
            <w:pPr>
              <w:widowControl/>
              <w:jc w:val="left"/>
              <w:rPr>
                <w:rFonts w:asciiTheme="minorEastAsia" w:hAnsiTheme="minorEastAsia" w:eastAsiaTheme="minorEastAsia"/>
                <w:color w:val="000000"/>
                <w:sz w:val="24"/>
                <w:szCs w:val="24"/>
              </w:rPr>
            </w:pPr>
          </w:p>
        </w:tc>
        <w:tc>
          <w:tcPr>
            <w:tcW w:w="2860" w:type="dxa"/>
            <w:tcBorders>
              <w:top w:val="single" w:color="auto" w:sz="4" w:space="0"/>
              <w:left w:val="single" w:color="auto" w:sz="4" w:space="0"/>
              <w:bottom w:val="single" w:color="auto" w:sz="4" w:space="0"/>
              <w:right w:val="single" w:color="auto" w:sz="4" w:space="0"/>
            </w:tcBorders>
            <w:vAlign w:val="center"/>
          </w:tcPr>
          <w:p>
            <w:pPr>
              <w:jc w:val="center"/>
              <w:rPr>
                <w:color w:val="000000"/>
                <w:sz w:val="24"/>
              </w:rPr>
            </w:pPr>
            <w:r>
              <w:rPr>
                <w:rFonts w:hint="eastAsia"/>
                <w:color w:val="000000"/>
                <w:sz w:val="24"/>
              </w:rPr>
              <w:t>信誉要求</w:t>
            </w:r>
          </w:p>
        </w:tc>
        <w:tc>
          <w:tcPr>
            <w:tcW w:w="5744" w:type="dxa"/>
            <w:tcBorders>
              <w:top w:val="single" w:color="auto" w:sz="4" w:space="0"/>
              <w:left w:val="single" w:color="auto" w:sz="4" w:space="0"/>
              <w:bottom w:val="single" w:color="auto" w:sz="4" w:space="0"/>
              <w:right w:val="single" w:color="auto" w:sz="4" w:space="0"/>
            </w:tcBorders>
            <w:vAlign w:val="center"/>
          </w:tcPr>
          <w:p>
            <w:pPr>
              <w:jc w:val="left"/>
              <w:rPr>
                <w:color w:val="000000"/>
                <w:sz w:val="24"/>
              </w:rPr>
            </w:pPr>
            <w:r>
              <w:rPr>
                <w:rFonts w:hint="eastAsia"/>
                <w:color w:val="000000"/>
                <w:sz w:val="24"/>
              </w:rPr>
              <w:t xml:space="preserve">投标人不得存在下列情形之一： </w:t>
            </w:r>
            <w:r>
              <w:rPr>
                <w:rFonts w:hint="eastAsia"/>
                <w:color w:val="000000"/>
                <w:sz w:val="24"/>
              </w:rPr>
              <w:br w:type="textWrapping"/>
            </w:r>
            <w:r>
              <w:rPr>
                <w:rFonts w:hint="eastAsia"/>
                <w:color w:val="000000"/>
                <w:sz w:val="24"/>
              </w:rPr>
              <w:t>①近年（2014年至今）被责令停业，投标资格被暂停或取消，财产被接管、冻结，破产状态； ②近年（2014年至今）内有骗取中标和严重违约及重大工程质量问题；（提供相关承诺书并加盖公章，详见招标文件附件2, 新成立的企业，需提供成立后至今的承诺书）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456" w:type="dxa"/>
            <w:vMerge w:val="continue"/>
            <w:tcBorders>
              <w:left w:val="single" w:color="auto" w:sz="4" w:space="0"/>
              <w:right w:val="single" w:color="auto" w:sz="4" w:space="0"/>
            </w:tcBorders>
            <w:vAlign w:val="center"/>
          </w:tcPr>
          <w:p>
            <w:pPr>
              <w:widowControl/>
              <w:jc w:val="left"/>
              <w:rPr>
                <w:rFonts w:asciiTheme="minorEastAsia" w:hAnsiTheme="minorEastAsia" w:eastAsiaTheme="minorEastAsia"/>
                <w:color w:val="000000"/>
                <w:sz w:val="24"/>
                <w:szCs w:val="24"/>
              </w:rPr>
            </w:pPr>
          </w:p>
        </w:tc>
        <w:tc>
          <w:tcPr>
            <w:tcW w:w="286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sz w:val="24"/>
                <w:szCs w:val="24"/>
              </w:rPr>
            </w:pPr>
            <w:r>
              <w:rPr>
                <w:rFonts w:hint="eastAsia" w:ascii="宋体" w:hAnsi="宋体" w:cs="宋体"/>
                <w:color w:val="000000"/>
                <w:sz w:val="24"/>
                <w:highlight w:val="white"/>
                <w:lang w:val="zh-CN"/>
              </w:rPr>
              <w:t>项目经理资格要求</w:t>
            </w:r>
          </w:p>
        </w:tc>
        <w:tc>
          <w:tcPr>
            <w:tcW w:w="5744"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sz w:val="24"/>
                <w:szCs w:val="24"/>
              </w:rPr>
            </w:pPr>
            <w:r>
              <w:rPr>
                <w:rFonts w:hint="eastAsia"/>
                <w:color w:val="000000"/>
                <w:sz w:val="24"/>
                <w:lang w:val="zh-CN"/>
              </w:rPr>
              <w:t>拟派项目经理的要求：具有市政公用工程二级（含）以上注册建造师执业资格，同时具备有效的安全生产考核合格证书，必须在本单位注册且未担任其它在建项目建设工程的项目经理（提供项目经理的建造师执业资格证书、注册证书及安全生产考核合格证书原件；出具加盖企业公章的承诺书,格式详见招标文件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jc w:val="center"/>
        </w:trPr>
        <w:tc>
          <w:tcPr>
            <w:tcW w:w="456" w:type="dxa"/>
            <w:vMerge w:val="continue"/>
            <w:tcBorders>
              <w:left w:val="single" w:color="auto" w:sz="4" w:space="0"/>
              <w:right w:val="single" w:color="auto" w:sz="4" w:space="0"/>
            </w:tcBorders>
            <w:vAlign w:val="center"/>
          </w:tcPr>
          <w:p>
            <w:pPr>
              <w:widowControl/>
              <w:jc w:val="left"/>
              <w:rPr>
                <w:rFonts w:asciiTheme="minorEastAsia" w:hAnsiTheme="minorEastAsia" w:eastAsiaTheme="minorEastAsia"/>
                <w:color w:val="000000"/>
                <w:sz w:val="24"/>
                <w:szCs w:val="24"/>
              </w:rPr>
            </w:pPr>
          </w:p>
        </w:tc>
        <w:tc>
          <w:tcPr>
            <w:tcW w:w="286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cs="宋体"/>
                <w:color w:val="000000"/>
                <w:sz w:val="24"/>
                <w:highlight w:val="white"/>
                <w:lang w:val="zh-CN"/>
              </w:rPr>
            </w:pPr>
            <w:r>
              <w:rPr>
                <w:rFonts w:hint="eastAsia"/>
                <w:color w:val="000000"/>
                <w:sz w:val="24"/>
              </w:rPr>
              <w:t>技术负责人</w:t>
            </w:r>
          </w:p>
        </w:tc>
        <w:tc>
          <w:tcPr>
            <w:tcW w:w="5744" w:type="dxa"/>
            <w:tcBorders>
              <w:top w:val="single" w:color="auto" w:sz="4" w:space="0"/>
              <w:left w:val="single" w:color="auto" w:sz="4" w:space="0"/>
              <w:bottom w:val="single" w:color="auto" w:sz="4" w:space="0"/>
              <w:right w:val="single" w:color="auto" w:sz="4" w:space="0"/>
            </w:tcBorders>
            <w:vAlign w:val="center"/>
          </w:tcPr>
          <w:p>
            <w:pPr>
              <w:spacing w:line="280" w:lineRule="exact"/>
              <w:rPr>
                <w:color w:val="000000"/>
                <w:sz w:val="24"/>
                <w:lang w:val="zh-CN"/>
              </w:rPr>
            </w:pPr>
            <w:r>
              <w:rPr>
                <w:rFonts w:hint="eastAsia"/>
                <w:color w:val="000000"/>
                <w:sz w:val="24"/>
              </w:rPr>
              <w:t>技术负责人具有市政工程专业中级及以上职称证书（查验职称证原件）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456" w:type="dxa"/>
            <w:vMerge w:val="continue"/>
            <w:tcBorders>
              <w:left w:val="single" w:color="auto" w:sz="4" w:space="0"/>
              <w:right w:val="single" w:color="auto" w:sz="4" w:space="0"/>
            </w:tcBorders>
            <w:vAlign w:val="center"/>
          </w:tcPr>
          <w:p>
            <w:pPr>
              <w:widowControl/>
              <w:jc w:val="left"/>
              <w:rPr>
                <w:rFonts w:asciiTheme="minorEastAsia" w:hAnsiTheme="minorEastAsia" w:eastAsiaTheme="minorEastAsia"/>
                <w:color w:val="000000"/>
                <w:sz w:val="24"/>
                <w:szCs w:val="24"/>
              </w:rPr>
            </w:pPr>
          </w:p>
        </w:tc>
        <w:tc>
          <w:tcPr>
            <w:tcW w:w="286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000000"/>
                <w:sz w:val="24"/>
              </w:rPr>
            </w:pPr>
            <w:r>
              <w:rPr>
                <w:rFonts w:hint="eastAsia"/>
                <w:color w:val="000000"/>
                <w:sz w:val="24"/>
              </w:rPr>
              <w:t>其他项目管理</w:t>
            </w:r>
          </w:p>
          <w:p>
            <w:pPr>
              <w:spacing w:line="280" w:lineRule="exact"/>
              <w:jc w:val="center"/>
              <w:rPr>
                <w:rFonts w:ascii="宋体" w:hAnsi="宋体" w:cs="宋体"/>
                <w:color w:val="000000"/>
                <w:sz w:val="24"/>
                <w:highlight w:val="white"/>
                <w:lang w:val="zh-CN"/>
              </w:rPr>
            </w:pPr>
            <w:r>
              <w:rPr>
                <w:rFonts w:hint="eastAsia"/>
                <w:color w:val="000000"/>
                <w:sz w:val="24"/>
              </w:rPr>
              <w:t>人员</w:t>
            </w:r>
          </w:p>
        </w:tc>
        <w:tc>
          <w:tcPr>
            <w:tcW w:w="5744" w:type="dxa"/>
            <w:tcBorders>
              <w:top w:val="single" w:color="auto" w:sz="4" w:space="0"/>
              <w:left w:val="single" w:color="auto" w:sz="4" w:space="0"/>
              <w:bottom w:val="single" w:color="auto" w:sz="4" w:space="0"/>
              <w:right w:val="single" w:color="auto" w:sz="4" w:space="0"/>
            </w:tcBorders>
            <w:vAlign w:val="center"/>
          </w:tcPr>
          <w:p>
            <w:pPr>
              <w:spacing w:line="280" w:lineRule="exact"/>
              <w:rPr>
                <w:color w:val="000000"/>
                <w:sz w:val="24"/>
                <w:lang w:val="zh-CN"/>
              </w:rPr>
            </w:pPr>
            <w:r>
              <w:rPr>
                <w:rFonts w:hint="eastAsia"/>
                <w:color w:val="000000"/>
                <w:sz w:val="24"/>
              </w:rPr>
              <w:t>其他管理人员：施工员、质检员/质量员、材料员、资料员、安全员、预算员/造价员各一名。（查验安全员的执业资格证书原件或岗位证书原件及安全员安全生产考核证原件，其余五大员的执业资格证书原件或岗位证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2" w:hRule="atLeast"/>
          <w:jc w:val="center"/>
        </w:trPr>
        <w:tc>
          <w:tcPr>
            <w:tcW w:w="456" w:type="dxa"/>
            <w:vMerge w:val="continue"/>
            <w:tcBorders>
              <w:left w:val="single" w:color="auto" w:sz="4" w:space="0"/>
              <w:right w:val="single" w:color="auto" w:sz="4" w:space="0"/>
            </w:tcBorders>
            <w:vAlign w:val="center"/>
          </w:tcPr>
          <w:p>
            <w:pPr>
              <w:widowControl/>
              <w:jc w:val="left"/>
              <w:rPr>
                <w:rFonts w:asciiTheme="minorEastAsia" w:hAnsiTheme="minorEastAsia" w:eastAsiaTheme="minorEastAsia"/>
                <w:color w:val="000000"/>
                <w:sz w:val="24"/>
                <w:szCs w:val="24"/>
              </w:rPr>
            </w:pPr>
          </w:p>
        </w:tc>
        <w:tc>
          <w:tcPr>
            <w:tcW w:w="2860" w:type="dxa"/>
            <w:tcBorders>
              <w:top w:val="single" w:color="auto" w:sz="4" w:space="0"/>
              <w:left w:val="single" w:color="auto" w:sz="4" w:space="0"/>
              <w:bottom w:val="single" w:color="auto" w:sz="4" w:space="0"/>
              <w:right w:val="single" w:color="auto" w:sz="4" w:space="0"/>
            </w:tcBorders>
            <w:vAlign w:val="center"/>
          </w:tcPr>
          <w:p>
            <w:pPr>
              <w:ind w:firstLine="120" w:firstLineChars="50"/>
              <w:jc w:val="center"/>
              <w:rPr>
                <w:rFonts w:asciiTheme="minorEastAsia" w:hAnsiTheme="minorEastAsia" w:eastAsiaTheme="minorEastAsia"/>
                <w:color w:val="000000"/>
                <w:sz w:val="24"/>
                <w:szCs w:val="24"/>
              </w:rPr>
            </w:pPr>
            <w:r>
              <w:rPr>
                <w:rFonts w:hint="eastAsia" w:ascii="宋体" w:hAnsi="宋体" w:cs="Arial"/>
                <w:sz w:val="24"/>
              </w:rPr>
              <w:t>行贿犯罪档案查询结果告知函</w:t>
            </w:r>
          </w:p>
        </w:tc>
        <w:tc>
          <w:tcPr>
            <w:tcW w:w="5744"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sz w:val="24"/>
                <w:szCs w:val="24"/>
              </w:rPr>
            </w:pPr>
            <w:r>
              <w:rPr>
                <w:rFonts w:hint="eastAsia"/>
                <w:color w:val="000000"/>
                <w:sz w:val="24"/>
              </w:rPr>
              <w:t>具有检察院出具的有效的《行贿犯罪档案查询告知函》（注：《行贿犯罪档案查询结果告知函》应为企业、企业法人代表、项目经理的查询函）（查验证书）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2" w:hRule="atLeast"/>
          <w:jc w:val="center"/>
        </w:trPr>
        <w:tc>
          <w:tcPr>
            <w:tcW w:w="456" w:type="dxa"/>
            <w:vMerge w:val="continue"/>
            <w:tcBorders>
              <w:left w:val="single" w:color="auto" w:sz="4" w:space="0"/>
              <w:right w:val="single" w:color="auto" w:sz="4" w:space="0"/>
            </w:tcBorders>
            <w:vAlign w:val="center"/>
          </w:tcPr>
          <w:p>
            <w:pPr>
              <w:widowControl/>
              <w:jc w:val="left"/>
              <w:rPr>
                <w:rFonts w:asciiTheme="minorEastAsia" w:hAnsiTheme="minorEastAsia" w:eastAsiaTheme="minorEastAsia"/>
                <w:color w:val="000000"/>
                <w:sz w:val="24"/>
                <w:szCs w:val="24"/>
              </w:rPr>
            </w:pPr>
          </w:p>
        </w:tc>
        <w:tc>
          <w:tcPr>
            <w:tcW w:w="2860" w:type="dxa"/>
            <w:tcBorders>
              <w:top w:val="single" w:color="auto" w:sz="4" w:space="0"/>
              <w:left w:val="single" w:color="auto" w:sz="4" w:space="0"/>
              <w:bottom w:val="single" w:color="auto" w:sz="4" w:space="0"/>
              <w:right w:val="single" w:color="auto" w:sz="4" w:space="0"/>
            </w:tcBorders>
            <w:vAlign w:val="center"/>
          </w:tcPr>
          <w:p>
            <w:pPr>
              <w:ind w:firstLine="120" w:firstLineChars="50"/>
              <w:jc w:val="center"/>
              <w:rPr>
                <w:rFonts w:hint="eastAsia" w:ascii="宋体" w:hAnsi="宋体" w:eastAsia="宋体" w:cs="Arial"/>
                <w:sz w:val="24"/>
                <w:lang w:val="en-US" w:eastAsia="zh-CN"/>
              </w:rPr>
            </w:pPr>
            <w:r>
              <w:rPr>
                <w:rFonts w:hint="eastAsia" w:ascii="宋体" w:hAnsi="宋体" w:cs="Arial"/>
                <w:sz w:val="24"/>
                <w:lang w:val="en-US" w:eastAsia="zh-CN"/>
              </w:rPr>
              <w:t>纳税证明和社保凭证</w:t>
            </w:r>
          </w:p>
        </w:tc>
        <w:tc>
          <w:tcPr>
            <w:tcW w:w="5744" w:type="dxa"/>
            <w:tcBorders>
              <w:top w:val="single" w:color="auto" w:sz="4" w:space="0"/>
              <w:left w:val="single" w:color="auto" w:sz="4" w:space="0"/>
              <w:bottom w:val="single" w:color="auto" w:sz="4" w:space="0"/>
              <w:right w:val="single" w:color="auto" w:sz="4" w:space="0"/>
            </w:tcBorders>
            <w:vAlign w:val="center"/>
          </w:tcPr>
          <w:p>
            <w:pPr>
              <w:rPr>
                <w:rFonts w:hint="eastAsia"/>
                <w:color w:val="000000"/>
                <w:sz w:val="24"/>
              </w:rPr>
            </w:pPr>
            <w:r>
              <w:rPr>
                <w:rFonts w:hint="eastAsia"/>
                <w:color w:val="000000"/>
                <w:sz w:val="24"/>
              </w:rPr>
              <w:t>投标企业有近一年内</w:t>
            </w:r>
            <w:r>
              <w:rPr>
                <w:rFonts w:hint="eastAsia"/>
                <w:color w:val="000000"/>
                <w:sz w:val="24"/>
                <w:lang w:eastAsia="zh-CN"/>
              </w:rPr>
              <w:t>任意一个月的</w:t>
            </w:r>
            <w:r>
              <w:rPr>
                <w:rFonts w:hint="eastAsia"/>
                <w:color w:val="000000"/>
                <w:sz w:val="24"/>
              </w:rPr>
              <w:t>纳税证明（以税务机关提供的纳税凭证为准）和为企业员工缴纳社保资金的凭证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456" w:type="dxa"/>
            <w:vMerge w:val="continue"/>
            <w:tcBorders>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sz w:val="24"/>
                <w:szCs w:val="24"/>
              </w:rPr>
            </w:pPr>
          </w:p>
        </w:tc>
        <w:tc>
          <w:tcPr>
            <w:tcW w:w="286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其他要求</w:t>
            </w:r>
          </w:p>
        </w:tc>
        <w:tc>
          <w:tcPr>
            <w:tcW w:w="5744" w:type="dxa"/>
            <w:tcBorders>
              <w:top w:val="single" w:color="auto" w:sz="4" w:space="0"/>
              <w:left w:val="single" w:color="auto" w:sz="4" w:space="0"/>
              <w:bottom w:val="single" w:color="auto" w:sz="4" w:space="0"/>
              <w:right w:val="single" w:color="auto" w:sz="4" w:space="0"/>
            </w:tcBorders>
            <w:vAlign w:val="center"/>
          </w:tcPr>
          <w:p>
            <w:pPr>
              <w:rPr>
                <w:rFonts w:hint="eastAsia"/>
                <w:color w:val="000000"/>
                <w:sz w:val="24"/>
              </w:rPr>
            </w:pPr>
            <w:r>
              <w:rPr>
                <w:rFonts w:hint="eastAsia"/>
                <w:color w:val="000000"/>
                <w:sz w:val="24"/>
              </w:rPr>
              <w:t>有招标文件规定的和其他法律法规规定的其它无效投标条款。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456" w:type="dxa"/>
            <w:vMerge w:val="restart"/>
            <w:tcBorders>
              <w:top w:val="single" w:color="auto" w:sz="4" w:space="0"/>
              <w:left w:val="single" w:color="auto" w:sz="4" w:space="0"/>
              <w:right w:val="single" w:color="auto" w:sz="4" w:space="0"/>
            </w:tcBorders>
            <w:vAlign w:val="center"/>
          </w:tcPr>
          <w:p>
            <w:pPr>
              <w:spacing w:line="360" w:lineRule="exac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响应性评审标准</w:t>
            </w:r>
          </w:p>
        </w:tc>
        <w:tc>
          <w:tcPr>
            <w:tcW w:w="286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主要商务条款</w:t>
            </w:r>
          </w:p>
        </w:tc>
        <w:tc>
          <w:tcPr>
            <w:tcW w:w="5744"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满足招标文件关于工期、工程质量和付款方式要求。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456" w:type="dxa"/>
            <w:vMerge w:val="continue"/>
            <w:tcBorders>
              <w:left w:val="single" w:color="auto" w:sz="4" w:space="0"/>
              <w:right w:val="single" w:color="auto" w:sz="4" w:space="0"/>
            </w:tcBorders>
            <w:vAlign w:val="center"/>
          </w:tcPr>
          <w:p>
            <w:pPr>
              <w:widowControl/>
              <w:jc w:val="left"/>
              <w:rPr>
                <w:rFonts w:asciiTheme="minorEastAsia" w:hAnsiTheme="minorEastAsia" w:eastAsiaTheme="minorEastAsia"/>
                <w:color w:val="000000"/>
                <w:sz w:val="24"/>
                <w:szCs w:val="24"/>
              </w:rPr>
            </w:pPr>
          </w:p>
        </w:tc>
        <w:tc>
          <w:tcPr>
            <w:tcW w:w="286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投标保证金递交情况</w:t>
            </w:r>
          </w:p>
        </w:tc>
        <w:tc>
          <w:tcPr>
            <w:tcW w:w="5744"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lef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满足招标文件关于投标保证金的缴纳要求。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456" w:type="dxa"/>
            <w:vMerge w:val="continue"/>
            <w:tcBorders>
              <w:left w:val="single" w:color="auto" w:sz="4" w:space="0"/>
              <w:right w:val="single" w:color="auto" w:sz="4" w:space="0"/>
            </w:tcBorders>
            <w:vAlign w:val="center"/>
          </w:tcPr>
          <w:p>
            <w:pPr>
              <w:spacing w:line="360" w:lineRule="exact"/>
              <w:rPr>
                <w:rFonts w:asciiTheme="minorEastAsia" w:hAnsiTheme="minorEastAsia" w:eastAsiaTheme="minorEastAsia"/>
                <w:color w:val="000000"/>
                <w:sz w:val="24"/>
                <w:szCs w:val="24"/>
              </w:rPr>
            </w:pPr>
          </w:p>
        </w:tc>
        <w:tc>
          <w:tcPr>
            <w:tcW w:w="286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投标报价</w:t>
            </w:r>
          </w:p>
        </w:tc>
        <w:tc>
          <w:tcPr>
            <w:tcW w:w="5744"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lef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不高于采购预算、不缺项漏项。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jc w:val="center"/>
        </w:trPr>
        <w:tc>
          <w:tcPr>
            <w:tcW w:w="456" w:type="dxa"/>
            <w:vMerge w:val="continue"/>
            <w:tcBorders>
              <w:left w:val="single" w:color="auto" w:sz="4" w:space="0"/>
              <w:right w:val="single" w:color="auto" w:sz="4" w:space="0"/>
            </w:tcBorders>
            <w:vAlign w:val="center"/>
          </w:tcPr>
          <w:p>
            <w:pPr>
              <w:spacing w:line="360" w:lineRule="exact"/>
              <w:rPr>
                <w:rFonts w:asciiTheme="minorEastAsia" w:hAnsiTheme="minorEastAsia" w:eastAsiaTheme="minorEastAsia"/>
                <w:color w:val="000000"/>
                <w:sz w:val="24"/>
                <w:szCs w:val="24"/>
              </w:rPr>
            </w:pPr>
          </w:p>
        </w:tc>
        <w:tc>
          <w:tcPr>
            <w:tcW w:w="286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联合体投标</w:t>
            </w:r>
          </w:p>
        </w:tc>
        <w:tc>
          <w:tcPr>
            <w:tcW w:w="5744"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jc w:val="lef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456" w:type="dxa"/>
            <w:vMerge w:val="continue"/>
            <w:tcBorders>
              <w:left w:val="single" w:color="auto" w:sz="4" w:space="0"/>
              <w:bottom w:val="single" w:color="auto" w:sz="4" w:space="0"/>
              <w:right w:val="single" w:color="auto" w:sz="4" w:space="0"/>
            </w:tcBorders>
            <w:vAlign w:val="center"/>
          </w:tcPr>
          <w:p>
            <w:pPr>
              <w:spacing w:line="360" w:lineRule="exact"/>
              <w:rPr>
                <w:rFonts w:asciiTheme="minorEastAsia" w:hAnsiTheme="minorEastAsia" w:eastAsiaTheme="minorEastAsia"/>
                <w:color w:val="000000"/>
                <w:sz w:val="24"/>
                <w:szCs w:val="24"/>
              </w:rPr>
            </w:pPr>
          </w:p>
        </w:tc>
        <w:tc>
          <w:tcPr>
            <w:tcW w:w="286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color w:val="000000"/>
                <w:sz w:val="24"/>
              </w:rPr>
            </w:pPr>
            <w:r>
              <w:rPr>
                <w:rFonts w:hint="eastAsia"/>
                <w:color w:val="000000"/>
                <w:sz w:val="24"/>
              </w:rPr>
              <w:t>已标价工程量</w:t>
            </w:r>
          </w:p>
          <w:p>
            <w:pPr>
              <w:spacing w:line="280" w:lineRule="exact"/>
              <w:jc w:val="center"/>
              <w:rPr>
                <w:rFonts w:asciiTheme="minorEastAsia" w:hAnsiTheme="minorEastAsia" w:eastAsiaTheme="minorEastAsia"/>
                <w:color w:val="000000"/>
                <w:sz w:val="24"/>
                <w:szCs w:val="24"/>
              </w:rPr>
            </w:pPr>
            <w:r>
              <w:rPr>
                <w:rFonts w:hint="eastAsia"/>
                <w:color w:val="000000"/>
                <w:sz w:val="24"/>
              </w:rPr>
              <w:t>清单</w:t>
            </w:r>
          </w:p>
        </w:tc>
        <w:tc>
          <w:tcPr>
            <w:tcW w:w="5744"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olor w:val="000000"/>
                <w:sz w:val="24"/>
                <w:szCs w:val="24"/>
              </w:rPr>
            </w:pPr>
            <w:r>
              <w:rPr>
                <w:rFonts w:hint="eastAsia"/>
                <w:color w:val="000000"/>
                <w:sz w:val="24"/>
              </w:rPr>
              <w:t>符合招标文件“工程量清单”给出的子目编码、子目名称、子目特征、计量单位和工程量；已标价工程量清单中投标报价汇总表需加盖预算员（或造价员或造价工程师）章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456" w:type="dxa"/>
            <w:vMerge w:val="restart"/>
            <w:tcBorders>
              <w:left w:val="single" w:color="auto" w:sz="4" w:space="0"/>
              <w:right w:val="single" w:color="auto" w:sz="4" w:space="0"/>
            </w:tcBorders>
            <w:vAlign w:val="center"/>
          </w:tcPr>
          <w:p>
            <w:pPr>
              <w:spacing w:line="360" w:lineRule="exac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施工组织设计</w:t>
            </w:r>
          </w:p>
        </w:tc>
        <w:tc>
          <w:tcPr>
            <w:tcW w:w="286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heme="minorEastAsia" w:hAnsiTheme="minorEastAsia" w:eastAsiaTheme="minorEastAsia"/>
                <w:color w:val="000000"/>
                <w:sz w:val="24"/>
                <w:szCs w:val="24"/>
              </w:rPr>
            </w:pPr>
            <w:r>
              <w:rPr>
                <w:rFonts w:hint="eastAsia"/>
                <w:color w:val="000000"/>
                <w:sz w:val="24"/>
              </w:rPr>
              <w:t>施工方案与技术措施</w:t>
            </w:r>
          </w:p>
        </w:tc>
        <w:tc>
          <w:tcPr>
            <w:tcW w:w="5744" w:type="dxa"/>
            <w:tcBorders>
              <w:top w:val="single" w:color="auto" w:sz="4" w:space="0"/>
              <w:left w:val="single" w:color="auto" w:sz="4" w:space="0"/>
              <w:bottom w:val="single" w:color="auto" w:sz="4" w:space="0"/>
              <w:right w:val="single" w:color="auto" w:sz="4" w:space="0"/>
            </w:tcBorders>
            <w:vAlign w:val="center"/>
          </w:tcPr>
          <w:p>
            <w:pPr>
              <w:spacing w:line="280" w:lineRule="exact"/>
              <w:jc w:val="left"/>
              <w:rPr>
                <w:rFonts w:asciiTheme="minorEastAsia" w:hAnsiTheme="minorEastAsia" w:eastAsiaTheme="minorEastAsia"/>
                <w:color w:val="000000"/>
                <w:sz w:val="24"/>
                <w:szCs w:val="24"/>
              </w:rPr>
            </w:pPr>
            <w:r>
              <w:rPr>
                <w:rFonts w:hint="eastAsia"/>
                <w:color w:val="000000"/>
                <w:sz w:val="24"/>
              </w:rPr>
              <w:t>施工方案与技术措施是否科学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456" w:type="dxa"/>
            <w:vMerge w:val="continue"/>
            <w:tcBorders>
              <w:left w:val="single" w:color="auto" w:sz="4" w:space="0"/>
              <w:right w:val="single" w:color="auto" w:sz="4" w:space="0"/>
            </w:tcBorders>
            <w:vAlign w:val="center"/>
          </w:tcPr>
          <w:p>
            <w:pPr>
              <w:spacing w:line="360" w:lineRule="exact"/>
              <w:rPr>
                <w:rFonts w:asciiTheme="minorEastAsia" w:hAnsiTheme="minorEastAsia" w:eastAsiaTheme="minorEastAsia"/>
                <w:color w:val="000000"/>
                <w:sz w:val="24"/>
                <w:szCs w:val="24"/>
              </w:rPr>
            </w:pPr>
          </w:p>
        </w:tc>
        <w:tc>
          <w:tcPr>
            <w:tcW w:w="286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heme="minorEastAsia" w:hAnsiTheme="minorEastAsia" w:eastAsiaTheme="minorEastAsia"/>
                <w:color w:val="000000"/>
                <w:sz w:val="24"/>
                <w:szCs w:val="24"/>
              </w:rPr>
            </w:pPr>
            <w:r>
              <w:rPr>
                <w:rFonts w:hint="eastAsia"/>
                <w:color w:val="000000"/>
                <w:sz w:val="24"/>
              </w:rPr>
              <w:t>质量管理体系与措施</w:t>
            </w:r>
          </w:p>
        </w:tc>
        <w:tc>
          <w:tcPr>
            <w:tcW w:w="5744" w:type="dxa"/>
            <w:tcBorders>
              <w:top w:val="single" w:color="auto" w:sz="4" w:space="0"/>
              <w:left w:val="single" w:color="auto" w:sz="4" w:space="0"/>
              <w:bottom w:val="single" w:color="auto" w:sz="4" w:space="0"/>
              <w:right w:val="single" w:color="auto" w:sz="4" w:space="0"/>
            </w:tcBorders>
            <w:vAlign w:val="center"/>
          </w:tcPr>
          <w:p>
            <w:pPr>
              <w:spacing w:line="280" w:lineRule="exact"/>
              <w:jc w:val="left"/>
              <w:rPr>
                <w:rFonts w:asciiTheme="minorEastAsia" w:hAnsiTheme="minorEastAsia" w:eastAsiaTheme="minorEastAsia"/>
                <w:color w:val="000000"/>
                <w:sz w:val="24"/>
                <w:szCs w:val="24"/>
              </w:rPr>
            </w:pPr>
            <w:r>
              <w:rPr>
                <w:rFonts w:hint="eastAsia"/>
                <w:color w:val="000000"/>
                <w:sz w:val="24"/>
              </w:rPr>
              <w:t>质量管理体系与措施是否完善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56" w:type="dxa"/>
            <w:vMerge w:val="continue"/>
            <w:tcBorders>
              <w:left w:val="single" w:color="auto" w:sz="4" w:space="0"/>
              <w:right w:val="single" w:color="auto" w:sz="4" w:space="0"/>
            </w:tcBorders>
            <w:vAlign w:val="center"/>
          </w:tcPr>
          <w:p>
            <w:pPr>
              <w:spacing w:line="360" w:lineRule="exact"/>
              <w:rPr>
                <w:rFonts w:asciiTheme="minorEastAsia" w:hAnsiTheme="minorEastAsia" w:eastAsiaTheme="minorEastAsia"/>
                <w:color w:val="000000"/>
                <w:sz w:val="24"/>
                <w:szCs w:val="24"/>
              </w:rPr>
            </w:pPr>
          </w:p>
        </w:tc>
        <w:tc>
          <w:tcPr>
            <w:tcW w:w="286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heme="minorEastAsia" w:hAnsiTheme="minorEastAsia" w:eastAsiaTheme="minorEastAsia"/>
                <w:color w:val="000000"/>
                <w:sz w:val="24"/>
                <w:szCs w:val="24"/>
              </w:rPr>
            </w:pPr>
            <w:r>
              <w:rPr>
                <w:rFonts w:hint="eastAsia"/>
                <w:color w:val="000000"/>
                <w:sz w:val="24"/>
              </w:rPr>
              <w:t>安全管理体系与措施</w:t>
            </w:r>
          </w:p>
        </w:tc>
        <w:tc>
          <w:tcPr>
            <w:tcW w:w="5744" w:type="dxa"/>
            <w:tcBorders>
              <w:top w:val="single" w:color="auto" w:sz="4" w:space="0"/>
              <w:left w:val="single" w:color="auto" w:sz="4" w:space="0"/>
              <w:bottom w:val="single" w:color="auto" w:sz="4" w:space="0"/>
              <w:right w:val="single" w:color="auto" w:sz="4" w:space="0"/>
            </w:tcBorders>
            <w:vAlign w:val="center"/>
          </w:tcPr>
          <w:p>
            <w:pPr>
              <w:spacing w:line="280" w:lineRule="exact"/>
              <w:jc w:val="left"/>
              <w:rPr>
                <w:rFonts w:asciiTheme="minorEastAsia" w:hAnsiTheme="minorEastAsia" w:eastAsiaTheme="minorEastAsia"/>
                <w:color w:val="000000"/>
                <w:sz w:val="24"/>
                <w:szCs w:val="24"/>
              </w:rPr>
            </w:pPr>
            <w:r>
              <w:rPr>
                <w:rFonts w:hint="eastAsia"/>
                <w:color w:val="000000"/>
                <w:sz w:val="24"/>
              </w:rPr>
              <w:t>安全管理体系与措施是否完善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456" w:type="dxa"/>
            <w:vMerge w:val="continue"/>
            <w:tcBorders>
              <w:left w:val="single" w:color="auto" w:sz="4" w:space="0"/>
              <w:right w:val="single" w:color="auto" w:sz="4" w:space="0"/>
            </w:tcBorders>
            <w:vAlign w:val="center"/>
          </w:tcPr>
          <w:p>
            <w:pPr>
              <w:spacing w:line="360" w:lineRule="exact"/>
              <w:rPr>
                <w:rFonts w:asciiTheme="minorEastAsia" w:hAnsiTheme="minorEastAsia" w:eastAsiaTheme="minorEastAsia"/>
                <w:color w:val="000000"/>
                <w:sz w:val="24"/>
                <w:szCs w:val="24"/>
              </w:rPr>
            </w:pPr>
          </w:p>
        </w:tc>
        <w:tc>
          <w:tcPr>
            <w:tcW w:w="286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heme="minorEastAsia" w:hAnsiTheme="minorEastAsia" w:eastAsiaTheme="minorEastAsia"/>
                <w:color w:val="000000"/>
                <w:sz w:val="24"/>
                <w:szCs w:val="24"/>
              </w:rPr>
            </w:pPr>
            <w:r>
              <w:rPr>
                <w:rFonts w:hint="eastAsia"/>
                <w:color w:val="000000"/>
                <w:sz w:val="24"/>
              </w:rPr>
              <w:t>环境保护管理体系与措施</w:t>
            </w:r>
          </w:p>
        </w:tc>
        <w:tc>
          <w:tcPr>
            <w:tcW w:w="5744" w:type="dxa"/>
            <w:tcBorders>
              <w:top w:val="single" w:color="auto" w:sz="4" w:space="0"/>
              <w:left w:val="single" w:color="auto" w:sz="4" w:space="0"/>
              <w:bottom w:val="single" w:color="auto" w:sz="4" w:space="0"/>
              <w:right w:val="single" w:color="auto" w:sz="4" w:space="0"/>
            </w:tcBorders>
            <w:vAlign w:val="center"/>
          </w:tcPr>
          <w:p>
            <w:pPr>
              <w:spacing w:line="280" w:lineRule="exact"/>
              <w:jc w:val="left"/>
              <w:rPr>
                <w:rFonts w:asciiTheme="minorEastAsia" w:hAnsiTheme="minorEastAsia" w:eastAsiaTheme="minorEastAsia"/>
                <w:color w:val="000000"/>
                <w:sz w:val="24"/>
                <w:szCs w:val="24"/>
              </w:rPr>
            </w:pPr>
            <w:r>
              <w:rPr>
                <w:rFonts w:hint="eastAsia"/>
                <w:color w:val="000000"/>
                <w:sz w:val="24"/>
              </w:rPr>
              <w:t>环境保护管理体系与措施是否完善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456" w:type="dxa"/>
            <w:vMerge w:val="continue"/>
            <w:tcBorders>
              <w:left w:val="single" w:color="auto" w:sz="4" w:space="0"/>
              <w:right w:val="single" w:color="auto" w:sz="4" w:space="0"/>
            </w:tcBorders>
            <w:vAlign w:val="center"/>
          </w:tcPr>
          <w:p>
            <w:pPr>
              <w:spacing w:line="360" w:lineRule="exact"/>
              <w:rPr>
                <w:rFonts w:asciiTheme="minorEastAsia" w:hAnsiTheme="minorEastAsia" w:eastAsiaTheme="minorEastAsia"/>
                <w:color w:val="000000"/>
                <w:sz w:val="24"/>
                <w:szCs w:val="24"/>
              </w:rPr>
            </w:pPr>
          </w:p>
        </w:tc>
        <w:tc>
          <w:tcPr>
            <w:tcW w:w="286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heme="minorEastAsia" w:hAnsiTheme="minorEastAsia" w:eastAsiaTheme="minorEastAsia"/>
                <w:color w:val="000000"/>
                <w:sz w:val="24"/>
                <w:szCs w:val="24"/>
              </w:rPr>
            </w:pPr>
            <w:r>
              <w:rPr>
                <w:rFonts w:hint="eastAsia"/>
                <w:color w:val="000000"/>
                <w:sz w:val="24"/>
              </w:rPr>
              <w:t>工程进度计划与措施</w:t>
            </w:r>
          </w:p>
        </w:tc>
        <w:tc>
          <w:tcPr>
            <w:tcW w:w="5744" w:type="dxa"/>
            <w:tcBorders>
              <w:top w:val="single" w:color="auto" w:sz="4" w:space="0"/>
              <w:left w:val="single" w:color="auto" w:sz="4" w:space="0"/>
              <w:bottom w:val="single" w:color="auto" w:sz="4" w:space="0"/>
              <w:right w:val="single" w:color="auto" w:sz="4" w:space="0"/>
            </w:tcBorders>
            <w:vAlign w:val="center"/>
          </w:tcPr>
          <w:p>
            <w:pPr>
              <w:spacing w:line="280" w:lineRule="exact"/>
              <w:jc w:val="left"/>
              <w:rPr>
                <w:rFonts w:asciiTheme="minorEastAsia" w:hAnsiTheme="minorEastAsia" w:eastAsiaTheme="minorEastAsia"/>
                <w:color w:val="000000"/>
                <w:sz w:val="24"/>
                <w:szCs w:val="24"/>
              </w:rPr>
            </w:pPr>
            <w:r>
              <w:rPr>
                <w:rFonts w:hint="eastAsia"/>
                <w:color w:val="000000"/>
                <w:sz w:val="24"/>
              </w:rPr>
              <w:t>工程进度计划与措施是否科学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jc w:val="center"/>
        </w:trPr>
        <w:tc>
          <w:tcPr>
            <w:tcW w:w="456" w:type="dxa"/>
            <w:vMerge w:val="continue"/>
            <w:tcBorders>
              <w:left w:val="single" w:color="auto" w:sz="4" w:space="0"/>
              <w:bottom w:val="single" w:color="auto" w:sz="4" w:space="0"/>
              <w:right w:val="single" w:color="auto" w:sz="4" w:space="0"/>
            </w:tcBorders>
            <w:vAlign w:val="center"/>
          </w:tcPr>
          <w:p>
            <w:pPr>
              <w:spacing w:line="360" w:lineRule="exact"/>
              <w:rPr>
                <w:rFonts w:asciiTheme="minorEastAsia" w:hAnsiTheme="minorEastAsia" w:eastAsiaTheme="minorEastAsia"/>
                <w:color w:val="000000"/>
                <w:sz w:val="24"/>
                <w:szCs w:val="24"/>
              </w:rPr>
            </w:pPr>
          </w:p>
        </w:tc>
        <w:tc>
          <w:tcPr>
            <w:tcW w:w="286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heme="minorEastAsia" w:hAnsiTheme="minorEastAsia" w:eastAsiaTheme="minorEastAsia"/>
                <w:color w:val="000000"/>
                <w:sz w:val="24"/>
                <w:szCs w:val="24"/>
              </w:rPr>
            </w:pPr>
            <w:r>
              <w:rPr>
                <w:rFonts w:hint="eastAsia"/>
                <w:color w:val="000000"/>
                <w:sz w:val="24"/>
              </w:rPr>
              <w:t>资源配备计划</w:t>
            </w:r>
          </w:p>
        </w:tc>
        <w:tc>
          <w:tcPr>
            <w:tcW w:w="5744" w:type="dxa"/>
            <w:tcBorders>
              <w:top w:val="single" w:color="auto" w:sz="4" w:space="0"/>
              <w:left w:val="single" w:color="auto" w:sz="4" w:space="0"/>
              <w:bottom w:val="single" w:color="auto" w:sz="4" w:space="0"/>
              <w:right w:val="single" w:color="auto" w:sz="4" w:space="0"/>
            </w:tcBorders>
            <w:vAlign w:val="center"/>
          </w:tcPr>
          <w:p>
            <w:pPr>
              <w:spacing w:line="280" w:lineRule="exact"/>
              <w:jc w:val="left"/>
              <w:rPr>
                <w:rFonts w:asciiTheme="minorEastAsia" w:hAnsiTheme="minorEastAsia" w:eastAsiaTheme="minorEastAsia"/>
                <w:color w:val="000000"/>
                <w:sz w:val="24"/>
                <w:szCs w:val="24"/>
              </w:rPr>
            </w:pPr>
            <w:r>
              <w:rPr>
                <w:rFonts w:hint="eastAsia"/>
                <w:color w:val="000000"/>
                <w:sz w:val="24"/>
              </w:rPr>
              <w:t>资源配备计划是否合理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456"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备注</w:t>
            </w:r>
          </w:p>
        </w:tc>
        <w:tc>
          <w:tcPr>
            <w:tcW w:w="8604"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新注册成立的企业如无以上相关证明材料可提供相关主管部门出具的证明。（税务和社保）</w:t>
            </w:r>
          </w:p>
        </w:tc>
      </w:tr>
    </w:tbl>
    <w:p>
      <w:r>
        <w:rPr>
          <w:rFonts w:hint="eastAsia" w:asciiTheme="minorEastAsia" w:hAnsiTheme="minorEastAsia" w:eastAsiaTheme="minorEastAsia"/>
          <w:b/>
          <w:szCs w:val="28"/>
        </w:rPr>
        <w:t>注：以上内容凡有一项不合格者，视为未通过初步审查，按无效投标处理。</w:t>
      </w:r>
    </w:p>
    <w:p/>
    <w:p>
      <w:pPr>
        <w:pStyle w:val="2"/>
        <w:rPr>
          <w:color w:val="000000"/>
        </w:rPr>
      </w:pPr>
      <w:bookmarkStart w:id="406" w:name="_Toc487792157"/>
      <w:r>
        <w:rPr>
          <w:rFonts w:hint="eastAsia"/>
          <w:color w:val="000000"/>
        </w:rPr>
        <w:t>第七章 投标文件格式与要求</w:t>
      </w:r>
      <w:bookmarkEnd w:id="396"/>
      <w:bookmarkEnd w:id="406"/>
    </w:p>
    <w:p>
      <w:pPr>
        <w:pStyle w:val="3"/>
        <w:rPr>
          <w:color w:val="000000"/>
        </w:rPr>
      </w:pPr>
      <w:bookmarkStart w:id="407" w:name="_Toc487792158"/>
      <w:r>
        <w:rPr>
          <w:rFonts w:hint="eastAsia"/>
          <w:color w:val="000000"/>
        </w:rPr>
        <w:t>格式一：</w:t>
      </w:r>
      <w:bookmarkEnd w:id="407"/>
    </w:p>
    <w:p>
      <w:pPr>
        <w:textAlignment w:val="baseline"/>
        <w:rPr>
          <w:rFonts w:ascii="宋体" w:hAnsi="宋体"/>
          <w:b/>
          <w:bCs/>
          <w:color w:val="000000"/>
          <w:sz w:val="36"/>
          <w:szCs w:val="36"/>
        </w:rPr>
      </w:pPr>
    </w:p>
    <w:p>
      <w:pPr>
        <w:textAlignment w:val="baseline"/>
        <w:rPr>
          <w:rFonts w:ascii="宋体" w:hAnsi="宋体"/>
          <w:b/>
          <w:bCs/>
          <w:color w:val="000000"/>
          <w:sz w:val="36"/>
          <w:szCs w:val="36"/>
        </w:rPr>
      </w:pPr>
      <w:r>
        <w:rPr>
          <w:rFonts w:hint="eastAsia" w:ascii="宋体" w:hAnsi="宋体" w:cs="宋体"/>
          <w:b/>
          <w:bCs/>
          <w:color w:val="000000"/>
          <w:sz w:val="36"/>
          <w:szCs w:val="36"/>
        </w:rPr>
        <w:t xml:space="preserve">                  投标文件封面</w:t>
      </w:r>
    </w:p>
    <w:p>
      <w:pPr>
        <w:ind w:firstLine="2168" w:firstLineChars="600"/>
        <w:rPr>
          <w:rFonts w:ascii="宋体" w:hAnsi="宋体"/>
          <w:b/>
          <w:bCs/>
          <w:color w:val="000000"/>
          <w:sz w:val="36"/>
          <w:szCs w:val="36"/>
        </w:rPr>
      </w:pPr>
    </w:p>
    <w:p>
      <w:pPr>
        <w:rPr>
          <w:rFonts w:ascii="宋体" w:hAnsi="宋体"/>
          <w:b/>
          <w:bCs/>
          <w:color w:val="000000"/>
          <w:sz w:val="36"/>
          <w:szCs w:val="36"/>
        </w:rPr>
      </w:pPr>
    </w:p>
    <w:p>
      <w:pPr>
        <w:ind w:firstLine="1767" w:firstLineChars="400"/>
        <w:rPr>
          <w:rFonts w:ascii="宋体" w:hAnsi="宋体"/>
          <w:b/>
          <w:bCs/>
          <w:color w:val="000000"/>
          <w:sz w:val="44"/>
          <w:szCs w:val="44"/>
        </w:rPr>
      </w:pPr>
    </w:p>
    <w:p>
      <w:pPr>
        <w:ind w:firstLine="2891" w:firstLineChars="400"/>
        <w:rPr>
          <w:rFonts w:ascii="宋体" w:hAnsi="宋体"/>
          <w:b/>
          <w:bCs/>
          <w:color w:val="000000"/>
          <w:sz w:val="72"/>
          <w:szCs w:val="72"/>
        </w:rPr>
      </w:pPr>
      <w:r>
        <w:rPr>
          <w:rFonts w:hint="eastAsia" w:ascii="宋体" w:hAnsi="宋体" w:cs="宋体"/>
          <w:b/>
          <w:bCs/>
          <w:color w:val="000000"/>
          <w:sz w:val="72"/>
          <w:szCs w:val="72"/>
        </w:rPr>
        <w:t>投 标 文 件</w:t>
      </w:r>
    </w:p>
    <w:p>
      <w:pPr>
        <w:ind w:firstLine="1767" w:firstLineChars="400"/>
        <w:rPr>
          <w:rFonts w:ascii="宋体" w:hAnsi="宋体"/>
          <w:b/>
          <w:bCs/>
          <w:color w:val="000000"/>
          <w:sz w:val="44"/>
          <w:szCs w:val="44"/>
        </w:rPr>
      </w:pPr>
    </w:p>
    <w:p>
      <w:pPr>
        <w:ind w:firstLine="1767" w:firstLineChars="400"/>
        <w:rPr>
          <w:rFonts w:ascii="宋体" w:hAnsi="宋体"/>
          <w:b/>
          <w:bCs/>
          <w:color w:val="000000"/>
          <w:sz w:val="44"/>
          <w:szCs w:val="44"/>
        </w:rPr>
      </w:pPr>
    </w:p>
    <w:p>
      <w:pPr>
        <w:rPr>
          <w:rFonts w:ascii="宋体" w:hAnsi="宋体"/>
          <w:b/>
          <w:bCs/>
          <w:color w:val="000000"/>
          <w:sz w:val="44"/>
          <w:szCs w:val="44"/>
        </w:rPr>
      </w:pPr>
    </w:p>
    <w:p>
      <w:pPr>
        <w:ind w:firstLine="1767" w:firstLineChars="400"/>
        <w:rPr>
          <w:rFonts w:ascii="宋体" w:hAnsi="宋体"/>
          <w:b/>
          <w:bCs/>
          <w:color w:val="000000"/>
          <w:sz w:val="44"/>
          <w:szCs w:val="44"/>
        </w:rPr>
      </w:pPr>
    </w:p>
    <w:p>
      <w:pPr>
        <w:ind w:firstLine="1205" w:firstLineChars="400"/>
        <w:rPr>
          <w:rFonts w:ascii="宋体" w:hAnsi="宋体" w:cs="宋体"/>
          <w:b/>
          <w:bCs/>
          <w:color w:val="000000"/>
          <w:sz w:val="30"/>
          <w:szCs w:val="30"/>
        </w:rPr>
      </w:pPr>
      <w:r>
        <w:rPr>
          <w:rFonts w:hint="eastAsia" w:ascii="宋体" w:hAnsi="宋体" w:cs="宋体"/>
          <w:b/>
          <w:bCs/>
          <w:color w:val="000000"/>
          <w:sz w:val="30"/>
          <w:szCs w:val="30"/>
        </w:rPr>
        <w:t>招标编号:</w:t>
      </w:r>
    </w:p>
    <w:p>
      <w:pPr>
        <w:ind w:firstLine="1205" w:firstLineChars="400"/>
        <w:rPr>
          <w:rFonts w:ascii="宋体" w:hAnsi="宋体"/>
          <w:b/>
          <w:bCs/>
          <w:color w:val="000000"/>
          <w:sz w:val="44"/>
          <w:szCs w:val="44"/>
        </w:rPr>
      </w:pPr>
      <w:r>
        <w:rPr>
          <w:rFonts w:hint="eastAsia" w:ascii="宋体" w:hAnsi="宋体" w:cs="宋体"/>
          <w:b/>
          <w:bCs/>
          <w:color w:val="000000"/>
          <w:sz w:val="30"/>
          <w:szCs w:val="30"/>
        </w:rPr>
        <w:t>项目名称:</w:t>
      </w:r>
    </w:p>
    <w:p>
      <w:pPr>
        <w:ind w:firstLine="1767" w:firstLineChars="400"/>
        <w:rPr>
          <w:rFonts w:ascii="宋体" w:hAnsi="宋体"/>
          <w:b/>
          <w:bCs/>
          <w:color w:val="000000"/>
          <w:sz w:val="44"/>
          <w:szCs w:val="44"/>
        </w:rPr>
      </w:pPr>
    </w:p>
    <w:p>
      <w:pPr>
        <w:rPr>
          <w:rFonts w:ascii="宋体" w:hAnsi="宋体"/>
          <w:b/>
          <w:bCs/>
          <w:color w:val="000000"/>
          <w:sz w:val="44"/>
          <w:szCs w:val="44"/>
        </w:rPr>
      </w:pPr>
    </w:p>
    <w:p>
      <w:pPr>
        <w:rPr>
          <w:rFonts w:ascii="宋体" w:hAnsi="宋体"/>
          <w:b/>
          <w:bCs/>
          <w:color w:val="000000"/>
          <w:sz w:val="44"/>
          <w:szCs w:val="44"/>
        </w:rPr>
      </w:pPr>
    </w:p>
    <w:p>
      <w:pPr>
        <w:ind w:firstLine="1205" w:firstLineChars="400"/>
        <w:rPr>
          <w:rFonts w:ascii="宋体" w:hAnsi="宋体" w:cs="宋体"/>
          <w:b/>
          <w:bCs/>
          <w:color w:val="000000"/>
          <w:sz w:val="30"/>
          <w:szCs w:val="30"/>
        </w:rPr>
      </w:pPr>
      <w:r>
        <w:rPr>
          <w:rFonts w:hint="eastAsia" w:ascii="宋体" w:hAnsi="宋体" w:cs="宋体"/>
          <w:b/>
          <w:bCs/>
          <w:color w:val="000000"/>
          <w:sz w:val="30"/>
          <w:szCs w:val="30"/>
        </w:rPr>
        <w:t>投标人:</w:t>
      </w:r>
    </w:p>
    <w:p>
      <w:pPr>
        <w:ind w:firstLine="1205" w:firstLineChars="400"/>
        <w:rPr>
          <w:rFonts w:ascii="宋体" w:hAnsi="宋体" w:cs="宋体"/>
          <w:b/>
          <w:bCs/>
          <w:color w:val="000000"/>
          <w:sz w:val="30"/>
          <w:szCs w:val="30"/>
        </w:rPr>
      </w:pPr>
      <w:r>
        <w:rPr>
          <w:rFonts w:hint="eastAsia" w:ascii="宋体" w:hAnsi="宋体" w:cs="宋体"/>
          <w:b/>
          <w:bCs/>
          <w:color w:val="000000"/>
          <w:sz w:val="30"/>
          <w:szCs w:val="30"/>
        </w:rPr>
        <w:t>投标人地址:</w:t>
      </w:r>
    </w:p>
    <w:p>
      <w:pPr>
        <w:ind w:firstLine="1205" w:firstLineChars="400"/>
        <w:rPr>
          <w:rFonts w:ascii="宋体" w:hAnsi="宋体" w:cs="宋体"/>
          <w:b/>
          <w:bCs/>
          <w:color w:val="000000"/>
          <w:sz w:val="30"/>
          <w:szCs w:val="30"/>
        </w:rPr>
      </w:pPr>
    </w:p>
    <w:p>
      <w:pPr>
        <w:ind w:firstLine="1205" w:firstLineChars="400"/>
        <w:rPr>
          <w:rFonts w:ascii="宋体" w:hAnsi="宋体" w:cs="宋体"/>
          <w:b/>
          <w:bCs/>
          <w:color w:val="000000"/>
          <w:sz w:val="30"/>
          <w:szCs w:val="30"/>
        </w:rPr>
      </w:pPr>
      <w:r>
        <w:rPr>
          <w:rFonts w:hint="eastAsia" w:ascii="宋体" w:hAnsi="宋体" w:cs="宋体"/>
          <w:b/>
          <w:bCs/>
          <w:color w:val="000000"/>
          <w:sz w:val="30"/>
          <w:szCs w:val="30"/>
        </w:rPr>
        <w:t>联系电话:</w:t>
      </w:r>
    </w:p>
    <w:p>
      <w:pPr>
        <w:ind w:firstLine="1205" w:firstLineChars="400"/>
        <w:rPr>
          <w:rFonts w:ascii="宋体" w:hAnsi="宋体" w:cs="宋体"/>
          <w:b/>
          <w:bCs/>
          <w:color w:val="000000"/>
          <w:sz w:val="30"/>
          <w:szCs w:val="30"/>
        </w:rPr>
      </w:pPr>
    </w:p>
    <w:p>
      <w:pPr>
        <w:ind w:firstLine="1355" w:firstLineChars="450"/>
        <w:rPr>
          <w:rFonts w:ascii="宋体" w:hAnsi="宋体" w:cs="宋体"/>
          <w:b/>
          <w:bCs/>
          <w:color w:val="000000"/>
          <w:sz w:val="30"/>
          <w:szCs w:val="30"/>
        </w:rPr>
      </w:pPr>
      <w:r>
        <w:rPr>
          <w:rFonts w:hint="eastAsia" w:ascii="宋体" w:hAnsi="宋体" w:cs="宋体"/>
          <w:b/>
          <w:bCs/>
          <w:color w:val="000000"/>
          <w:sz w:val="30"/>
          <w:szCs w:val="30"/>
        </w:rPr>
        <w:t xml:space="preserve">                年   月   日</w:t>
      </w:r>
    </w:p>
    <w:p>
      <w:pPr>
        <w:pStyle w:val="3"/>
        <w:rPr>
          <w:rFonts w:ascii="宋体" w:hAnsi="宋体"/>
          <w:b w:val="0"/>
          <w:color w:val="000000"/>
          <w:sz w:val="36"/>
          <w:szCs w:val="36"/>
        </w:rPr>
      </w:pPr>
      <w:r>
        <w:rPr>
          <w:rFonts w:ascii="宋体" w:hAnsi="宋体" w:cs="宋体"/>
          <w:b w:val="0"/>
          <w:bCs w:val="0"/>
          <w:color w:val="000000"/>
          <w:sz w:val="30"/>
          <w:szCs w:val="30"/>
        </w:rPr>
        <w:br w:type="page"/>
      </w:r>
      <w:bookmarkStart w:id="408" w:name="_Toc487792159"/>
      <w:r>
        <w:rPr>
          <w:rFonts w:hint="eastAsia"/>
          <w:color w:val="000000"/>
        </w:rPr>
        <w:t>格式二：</w:t>
      </w:r>
      <w:bookmarkEnd w:id="408"/>
    </w:p>
    <w:p>
      <w:pPr>
        <w:spacing w:line="480" w:lineRule="exact"/>
        <w:jc w:val="center"/>
        <w:rPr>
          <w:rFonts w:ascii="宋体" w:hAnsi="宋体"/>
          <w:b/>
          <w:color w:val="000000"/>
          <w:sz w:val="36"/>
          <w:szCs w:val="36"/>
        </w:rPr>
      </w:pPr>
      <w:r>
        <w:rPr>
          <w:rFonts w:hint="eastAsia" w:ascii="宋体" w:hAnsi="宋体"/>
          <w:b/>
          <w:color w:val="000000"/>
          <w:sz w:val="36"/>
          <w:szCs w:val="36"/>
        </w:rPr>
        <w:t>投标文件目录</w:t>
      </w:r>
    </w:p>
    <w:p>
      <w:pPr>
        <w:spacing w:line="480" w:lineRule="exact"/>
        <w:jc w:val="center"/>
        <w:rPr>
          <w:rFonts w:ascii="宋体" w:hAnsi="宋体"/>
          <w:b/>
          <w:color w:val="000000"/>
          <w:sz w:val="36"/>
          <w:szCs w:val="36"/>
        </w:rPr>
      </w:pPr>
    </w:p>
    <w:p>
      <w:pPr>
        <w:spacing w:line="360" w:lineRule="auto"/>
        <w:rPr>
          <w:rFonts w:ascii="宋体" w:hAnsi="宋体"/>
          <w:color w:val="000000"/>
          <w:szCs w:val="28"/>
        </w:rPr>
      </w:pPr>
      <w:r>
        <w:rPr>
          <w:rFonts w:hint="eastAsia" w:ascii="宋体" w:hAnsi="宋体"/>
          <w:color w:val="000000"/>
          <w:szCs w:val="28"/>
        </w:rPr>
        <w:t>一．投标承诺书………………………………………………………（ ）</w:t>
      </w:r>
    </w:p>
    <w:p>
      <w:pPr>
        <w:spacing w:line="360" w:lineRule="auto"/>
        <w:rPr>
          <w:rFonts w:ascii="宋体" w:hAnsi="宋体"/>
          <w:color w:val="000000"/>
          <w:szCs w:val="28"/>
        </w:rPr>
      </w:pPr>
      <w:r>
        <w:rPr>
          <w:rFonts w:hint="eastAsia" w:ascii="宋体" w:hAnsi="宋体"/>
          <w:color w:val="000000"/>
          <w:szCs w:val="28"/>
        </w:rPr>
        <w:t>二．法定代表人授权委托书…………………………………………（ ）</w:t>
      </w:r>
    </w:p>
    <w:p>
      <w:pPr>
        <w:spacing w:line="360" w:lineRule="auto"/>
        <w:rPr>
          <w:rFonts w:ascii="宋体" w:hAnsi="宋体"/>
          <w:color w:val="000000"/>
          <w:szCs w:val="28"/>
        </w:rPr>
      </w:pPr>
      <w:r>
        <w:rPr>
          <w:rFonts w:hint="eastAsia" w:ascii="宋体" w:hAnsi="宋体"/>
          <w:color w:val="000000"/>
          <w:szCs w:val="28"/>
        </w:rPr>
        <w:t>三．开标一览表………………………………………………………（ ）</w:t>
      </w:r>
    </w:p>
    <w:p>
      <w:pPr>
        <w:spacing w:line="360" w:lineRule="auto"/>
        <w:rPr>
          <w:rFonts w:ascii="宋体" w:hAnsi="宋体"/>
          <w:color w:val="000000"/>
          <w:szCs w:val="28"/>
        </w:rPr>
      </w:pPr>
      <w:r>
        <w:rPr>
          <w:rFonts w:hint="eastAsia" w:ascii="宋体" w:hAnsi="宋体"/>
          <w:color w:val="000000"/>
          <w:szCs w:val="28"/>
        </w:rPr>
        <w:t>四．已标价工程量清单………………………………………………（ ）</w:t>
      </w:r>
    </w:p>
    <w:p>
      <w:pPr>
        <w:spacing w:line="360" w:lineRule="auto"/>
        <w:rPr>
          <w:rFonts w:ascii="宋体" w:hAnsi="宋体"/>
          <w:color w:val="000000"/>
          <w:szCs w:val="28"/>
        </w:rPr>
      </w:pPr>
      <w:r>
        <w:rPr>
          <w:rFonts w:hint="eastAsia" w:ascii="宋体" w:hAnsi="宋体"/>
          <w:bCs/>
          <w:color w:val="000000"/>
          <w:szCs w:val="28"/>
        </w:rPr>
        <w:t>五．施工组织设计</w:t>
      </w:r>
      <w:r>
        <w:rPr>
          <w:rFonts w:hint="eastAsia" w:ascii="宋体" w:hAnsi="宋体"/>
          <w:color w:val="000000"/>
          <w:szCs w:val="28"/>
        </w:rPr>
        <w:t xml:space="preserve"> ………………………………………………… （ ）</w:t>
      </w:r>
    </w:p>
    <w:p>
      <w:pPr>
        <w:spacing w:line="360" w:lineRule="auto"/>
        <w:rPr>
          <w:rFonts w:ascii="宋体" w:hAnsi="宋体"/>
          <w:color w:val="000000"/>
          <w:szCs w:val="28"/>
        </w:rPr>
      </w:pPr>
      <w:r>
        <w:rPr>
          <w:rFonts w:hint="eastAsia" w:ascii="宋体" w:hAnsi="宋体"/>
          <w:color w:val="000000"/>
          <w:szCs w:val="28"/>
        </w:rPr>
        <w:t>六．项目管理机构……………………………………………………（ ）</w:t>
      </w:r>
    </w:p>
    <w:p>
      <w:pPr>
        <w:spacing w:line="360" w:lineRule="auto"/>
        <w:rPr>
          <w:rFonts w:ascii="宋体" w:hAnsi="宋体"/>
          <w:color w:val="000000"/>
          <w:szCs w:val="28"/>
        </w:rPr>
      </w:pPr>
      <w:r>
        <w:rPr>
          <w:rFonts w:hint="eastAsia" w:ascii="宋体" w:hAnsi="宋体"/>
          <w:color w:val="000000"/>
          <w:szCs w:val="28"/>
        </w:rPr>
        <w:t>七．资格审查材料……………………………………………………（ ）</w:t>
      </w:r>
    </w:p>
    <w:p>
      <w:pPr>
        <w:spacing w:line="360" w:lineRule="auto"/>
        <w:rPr>
          <w:rFonts w:ascii="宋体" w:hAnsi="宋体"/>
          <w:color w:val="000000"/>
          <w:szCs w:val="28"/>
        </w:rPr>
      </w:pPr>
      <w:r>
        <w:rPr>
          <w:rFonts w:hint="eastAsia" w:ascii="宋体" w:hAnsi="宋体"/>
          <w:color w:val="000000"/>
          <w:szCs w:val="28"/>
        </w:rPr>
        <w:t>八．其他材料…………………………………………………………（ ）</w:t>
      </w:r>
    </w:p>
    <w:p>
      <w:pPr>
        <w:spacing w:line="360" w:lineRule="auto"/>
        <w:rPr>
          <w:rFonts w:ascii="宋体" w:hAnsi="宋体"/>
          <w:color w:val="000000"/>
          <w:szCs w:val="28"/>
        </w:rPr>
      </w:pPr>
    </w:p>
    <w:p>
      <w:pPr>
        <w:spacing w:line="360" w:lineRule="auto"/>
        <w:rPr>
          <w:rFonts w:ascii="宋体" w:hAnsi="宋体"/>
          <w:color w:val="000000"/>
          <w:szCs w:val="28"/>
        </w:rPr>
      </w:pPr>
    </w:p>
    <w:p>
      <w:pPr>
        <w:spacing w:line="360" w:lineRule="auto"/>
        <w:rPr>
          <w:rFonts w:ascii="宋体" w:hAnsi="宋体"/>
          <w:color w:val="000000"/>
          <w:szCs w:val="28"/>
        </w:rPr>
      </w:pPr>
    </w:p>
    <w:p>
      <w:pPr>
        <w:spacing w:line="360" w:lineRule="auto"/>
        <w:rPr>
          <w:rFonts w:ascii="宋体" w:hAnsi="宋体"/>
          <w:color w:val="000000"/>
          <w:szCs w:val="28"/>
        </w:rPr>
      </w:pPr>
    </w:p>
    <w:p>
      <w:pPr>
        <w:spacing w:line="360" w:lineRule="auto"/>
        <w:rPr>
          <w:rFonts w:ascii="宋体" w:hAnsi="宋体"/>
          <w:color w:val="000000"/>
          <w:szCs w:val="28"/>
        </w:rPr>
      </w:pPr>
    </w:p>
    <w:p>
      <w:pPr>
        <w:spacing w:line="360" w:lineRule="auto"/>
        <w:rPr>
          <w:rFonts w:ascii="宋体" w:hAnsi="宋体"/>
          <w:color w:val="000000"/>
          <w:szCs w:val="28"/>
        </w:rPr>
      </w:pPr>
    </w:p>
    <w:p>
      <w:pPr>
        <w:spacing w:line="360" w:lineRule="auto"/>
        <w:rPr>
          <w:rFonts w:ascii="宋体" w:hAnsi="宋体"/>
          <w:color w:val="000000"/>
          <w:szCs w:val="28"/>
        </w:rPr>
      </w:pPr>
    </w:p>
    <w:p>
      <w:pPr>
        <w:pStyle w:val="3"/>
        <w:rPr>
          <w:color w:val="000000"/>
        </w:rPr>
      </w:pPr>
      <w:r>
        <w:rPr>
          <w:color w:val="000000"/>
        </w:rPr>
        <w:br w:type="page"/>
      </w:r>
      <w:bookmarkStart w:id="409" w:name="_Toc487792160"/>
      <w:r>
        <w:rPr>
          <w:rFonts w:hint="eastAsia"/>
          <w:color w:val="000000"/>
        </w:rPr>
        <w:t>格式三：</w:t>
      </w:r>
      <w:bookmarkEnd w:id="409"/>
    </w:p>
    <w:p>
      <w:pPr>
        <w:jc w:val="center"/>
        <w:rPr>
          <w:rFonts w:ascii="宋体" w:hAnsi="宋体"/>
          <w:b/>
          <w:bCs/>
          <w:color w:val="000000"/>
          <w:sz w:val="36"/>
          <w:szCs w:val="36"/>
        </w:rPr>
      </w:pPr>
      <w:r>
        <w:rPr>
          <w:rFonts w:hint="eastAsia" w:ascii="宋体" w:hAnsi="宋体"/>
          <w:b/>
          <w:bCs/>
          <w:color w:val="000000"/>
          <w:sz w:val="36"/>
          <w:szCs w:val="36"/>
        </w:rPr>
        <w:t xml:space="preserve"> 投标承诺书</w:t>
      </w:r>
    </w:p>
    <w:p>
      <w:pPr>
        <w:jc w:val="center"/>
        <w:rPr>
          <w:rFonts w:ascii="宋体" w:hAnsi="宋体"/>
          <w:b/>
          <w:bCs/>
          <w:color w:val="000000"/>
          <w:sz w:val="36"/>
          <w:szCs w:val="36"/>
        </w:rPr>
      </w:pPr>
    </w:p>
    <w:p>
      <w:pPr>
        <w:spacing w:line="360" w:lineRule="auto"/>
        <w:ind w:firstLine="56" w:firstLineChars="20"/>
        <w:rPr>
          <w:rFonts w:ascii="宋体" w:hAnsi="宋体"/>
          <w:color w:val="000000"/>
        </w:rPr>
      </w:pPr>
      <w:r>
        <w:rPr>
          <w:rFonts w:hint="eastAsia" w:ascii="宋体" w:hAnsi="宋体"/>
          <w:szCs w:val="28"/>
        </w:rPr>
        <w:t>致：鄂尔多斯新能源产业示范区管理委员会</w:t>
      </w:r>
      <w:r>
        <w:rPr>
          <w:rFonts w:hint="eastAsia" w:ascii="宋体" w:hAnsi="宋体"/>
          <w:color w:val="000000"/>
        </w:rPr>
        <w:t xml:space="preserve">： </w:t>
      </w:r>
    </w:p>
    <w:p>
      <w:pPr>
        <w:spacing w:line="360" w:lineRule="auto"/>
        <w:ind w:firstLine="616" w:firstLineChars="220"/>
        <w:rPr>
          <w:rFonts w:ascii="宋体" w:hAnsi="宋体"/>
          <w:color w:val="000000"/>
        </w:rPr>
      </w:pPr>
      <w:r>
        <w:rPr>
          <w:rFonts w:hint="eastAsia" w:ascii="宋体" w:hAnsi="宋体"/>
          <w:color w:val="000000"/>
        </w:rPr>
        <w:t>1.按照已收到的项目编号为的采购项目招标文件要求，经我公司认真研究投标须知、合同条款、技术规范、资质要求和其它有关要求后，我方愿按上述合同条款、技术规范、资质要求进行投标。我方完全接受本次招标文件规定的所有要求，并承诺在中标后履行我方的全部义务。我方的最终报价为总承包价，保证不以任何理由增加报价。如有缺项、漏项部份，均由我方无条件负责补齐。</w:t>
      </w:r>
    </w:p>
    <w:p>
      <w:pPr>
        <w:spacing w:line="360" w:lineRule="auto"/>
        <w:ind w:firstLine="616" w:firstLineChars="220"/>
        <w:rPr>
          <w:rFonts w:ascii="宋体" w:hAnsi="宋体"/>
          <w:color w:val="000000"/>
        </w:rPr>
      </w:pPr>
      <w:r>
        <w:rPr>
          <w:rFonts w:hint="eastAsia" w:ascii="宋体" w:hAnsi="宋体"/>
          <w:color w:val="000000"/>
        </w:rPr>
        <w:t>2. 一旦我方中标，我方保证在合同签订后_______日历天完工。</w:t>
      </w:r>
    </w:p>
    <w:p>
      <w:pPr>
        <w:spacing w:line="360" w:lineRule="auto"/>
        <w:ind w:firstLine="57"/>
        <w:rPr>
          <w:rFonts w:ascii="宋体" w:hAnsi="宋体"/>
          <w:color w:val="000000"/>
        </w:rPr>
      </w:pPr>
      <w:r>
        <w:rPr>
          <w:rFonts w:hint="eastAsia" w:ascii="宋体" w:hAnsi="宋体"/>
          <w:color w:val="000000"/>
        </w:rPr>
        <w:t xml:space="preserve">    3. 我方同意所递交的投标文件在“投标须知”规定的投标有效期内有效，在此期间内我方的投标如能中标，我方将受此约束。</w:t>
      </w:r>
    </w:p>
    <w:p>
      <w:pPr>
        <w:spacing w:line="360" w:lineRule="auto"/>
        <w:ind w:firstLine="616" w:firstLineChars="220"/>
        <w:rPr>
          <w:rFonts w:ascii="宋体" w:hAnsi="宋体"/>
          <w:color w:val="000000"/>
        </w:rPr>
      </w:pPr>
      <w:r>
        <w:rPr>
          <w:rFonts w:hint="eastAsia" w:ascii="宋体" w:hAnsi="宋体"/>
          <w:color w:val="000000"/>
        </w:rPr>
        <w:t>4. 我方郑重声明：所提供的投标文件内容全部真实有效。</w:t>
      </w:r>
    </w:p>
    <w:p>
      <w:pPr>
        <w:spacing w:line="360" w:lineRule="auto"/>
        <w:ind w:firstLine="616" w:firstLineChars="220"/>
        <w:rPr>
          <w:rFonts w:ascii="宋体" w:hAnsi="宋体"/>
          <w:color w:val="000000"/>
          <w:szCs w:val="28"/>
        </w:rPr>
      </w:pPr>
      <w:r>
        <w:rPr>
          <w:rFonts w:hint="eastAsia" w:ascii="宋体" w:hAnsi="宋体"/>
          <w:color w:val="000000"/>
          <w:szCs w:val="28"/>
        </w:rPr>
        <w:t>5. 我单位如果存在下列情形的，愿意承担取消中标资格、投标保证金不予退还、赔偿超过投标保证金金额的损失部分、接受有关监督部门处罚等后果：</w:t>
      </w:r>
    </w:p>
    <w:p>
      <w:pPr>
        <w:spacing w:line="360" w:lineRule="auto"/>
        <w:ind w:firstLine="616" w:firstLineChars="220"/>
        <w:rPr>
          <w:rFonts w:ascii="宋体" w:hAnsi="宋体"/>
          <w:color w:val="000000"/>
          <w:szCs w:val="28"/>
        </w:rPr>
      </w:pPr>
      <w:r>
        <w:rPr>
          <w:rFonts w:hint="eastAsia" w:ascii="宋体" w:hAnsi="宋体"/>
          <w:color w:val="000000"/>
          <w:szCs w:val="28"/>
        </w:rPr>
        <w:t>（1）中标后，无正当理由放弃中标资格；</w:t>
      </w:r>
    </w:p>
    <w:p>
      <w:pPr>
        <w:spacing w:line="360" w:lineRule="auto"/>
        <w:ind w:firstLine="616" w:firstLineChars="220"/>
        <w:rPr>
          <w:rFonts w:ascii="宋体" w:hAnsi="宋体"/>
          <w:color w:val="000000"/>
          <w:szCs w:val="28"/>
        </w:rPr>
      </w:pPr>
      <w:r>
        <w:rPr>
          <w:rFonts w:hint="eastAsia" w:ascii="宋体" w:hAnsi="宋体"/>
          <w:color w:val="000000"/>
          <w:szCs w:val="28"/>
        </w:rPr>
        <w:t>（2）中标后，无正当理由不与招标人签订合同；</w:t>
      </w:r>
    </w:p>
    <w:p>
      <w:pPr>
        <w:spacing w:line="360" w:lineRule="auto"/>
        <w:ind w:firstLine="616" w:firstLineChars="220"/>
        <w:rPr>
          <w:rFonts w:ascii="宋体" w:hAnsi="宋体"/>
          <w:color w:val="000000"/>
          <w:szCs w:val="28"/>
        </w:rPr>
      </w:pPr>
      <w:r>
        <w:rPr>
          <w:rFonts w:hint="eastAsia" w:ascii="宋体" w:hAnsi="宋体"/>
          <w:color w:val="000000"/>
          <w:szCs w:val="28"/>
        </w:rPr>
        <w:t>（3）在签订合同时，向招标人提出附加条件；</w:t>
      </w:r>
    </w:p>
    <w:p>
      <w:pPr>
        <w:spacing w:line="360" w:lineRule="auto"/>
        <w:ind w:firstLine="616" w:firstLineChars="220"/>
        <w:rPr>
          <w:rFonts w:ascii="宋体" w:hAnsi="宋体"/>
          <w:color w:val="000000"/>
          <w:szCs w:val="28"/>
        </w:rPr>
      </w:pPr>
      <w:r>
        <w:rPr>
          <w:rFonts w:hint="eastAsia" w:ascii="宋体" w:hAnsi="宋体"/>
          <w:color w:val="000000"/>
          <w:szCs w:val="28"/>
        </w:rPr>
        <w:t>（4）不按照招标文件要求提交履约保证金；</w:t>
      </w:r>
    </w:p>
    <w:p>
      <w:pPr>
        <w:spacing w:line="360" w:lineRule="auto"/>
        <w:ind w:firstLine="616" w:firstLineChars="220"/>
        <w:rPr>
          <w:rFonts w:ascii="宋体" w:hAnsi="宋体"/>
          <w:color w:val="000000"/>
          <w:szCs w:val="28"/>
        </w:rPr>
      </w:pPr>
      <w:r>
        <w:rPr>
          <w:rFonts w:hint="eastAsia" w:ascii="宋体" w:hAnsi="宋体"/>
          <w:color w:val="000000"/>
          <w:szCs w:val="28"/>
        </w:rPr>
        <w:t>（5）要求修改、补充和撤销投标文件的实质性内容；</w:t>
      </w:r>
    </w:p>
    <w:p>
      <w:pPr>
        <w:spacing w:line="360" w:lineRule="auto"/>
        <w:ind w:firstLine="616" w:firstLineChars="220"/>
        <w:rPr>
          <w:rFonts w:ascii="宋体" w:hAnsi="宋体"/>
          <w:color w:val="000000"/>
          <w:szCs w:val="28"/>
        </w:rPr>
      </w:pPr>
      <w:r>
        <w:rPr>
          <w:rFonts w:hint="eastAsia" w:ascii="宋体" w:hAnsi="宋体"/>
          <w:color w:val="000000"/>
          <w:szCs w:val="28"/>
        </w:rPr>
        <w:t>（6）要求更改招标文件和中标结果公告的实质性内容；</w:t>
      </w:r>
    </w:p>
    <w:p>
      <w:pPr>
        <w:spacing w:line="360" w:lineRule="auto"/>
        <w:ind w:firstLine="616" w:firstLineChars="220"/>
        <w:rPr>
          <w:rFonts w:ascii="宋体" w:hAnsi="宋体"/>
          <w:color w:val="000000"/>
        </w:rPr>
      </w:pPr>
      <w:r>
        <w:rPr>
          <w:rFonts w:hint="eastAsia" w:ascii="宋体" w:hAnsi="宋体"/>
          <w:color w:val="000000"/>
          <w:szCs w:val="28"/>
        </w:rPr>
        <w:t>（7）法律法规和招标文件规定的其他情形。</w:t>
      </w:r>
    </w:p>
    <w:p>
      <w:pPr>
        <w:spacing w:line="360" w:lineRule="auto"/>
        <w:ind w:firstLine="616" w:firstLineChars="220"/>
        <w:rPr>
          <w:rFonts w:ascii="宋体" w:hAnsi="宋体"/>
          <w:color w:val="000000"/>
        </w:rPr>
      </w:pPr>
      <w:r>
        <w:rPr>
          <w:rFonts w:hint="eastAsia" w:ascii="宋体" w:hAnsi="宋体"/>
          <w:color w:val="000000"/>
          <w:szCs w:val="28"/>
        </w:rPr>
        <w:t xml:space="preserve">6. </w:t>
      </w:r>
      <w:r>
        <w:rPr>
          <w:rFonts w:hint="eastAsia" w:ascii="宋体" w:hAnsi="宋体"/>
          <w:color w:val="000000"/>
        </w:rPr>
        <w:t>我方</w:t>
      </w:r>
      <w:r>
        <w:rPr>
          <w:rFonts w:hint="eastAsia" w:ascii="宋体" w:hAnsi="宋体"/>
          <w:color w:val="000000"/>
          <w:szCs w:val="28"/>
        </w:rPr>
        <w:t>同意提供</w:t>
      </w:r>
      <w:r>
        <w:rPr>
          <w:rFonts w:hint="eastAsia" w:ascii="宋体" w:hAnsi="宋体"/>
          <w:color w:val="000000"/>
          <w:kern w:val="0"/>
          <w:szCs w:val="28"/>
        </w:rPr>
        <w:t>按照贵方</w:t>
      </w:r>
      <w:r>
        <w:rPr>
          <w:rFonts w:hint="eastAsia" w:ascii="宋体" w:hAnsi="宋体"/>
          <w:color w:val="000000"/>
          <w:szCs w:val="28"/>
        </w:rPr>
        <w:t>可能另外要求的与其投标有关的任何数据或资料。</w:t>
      </w:r>
      <w:r>
        <w:rPr>
          <w:rFonts w:hint="eastAsia" w:ascii="宋体" w:hAnsi="宋体"/>
          <w:color w:val="000000"/>
        </w:rPr>
        <w:t>除非另外达成协议并生效，否则，中标通知书和本投标文件将构成约束双方合同的组成部分。</w:t>
      </w:r>
    </w:p>
    <w:p>
      <w:pPr>
        <w:spacing w:line="450" w:lineRule="exact"/>
        <w:ind w:firstLine="845" w:firstLineChars="302"/>
        <w:rPr>
          <w:rFonts w:ascii="宋体" w:hAnsi="宋体"/>
          <w:color w:val="000000"/>
          <w:kern w:val="0"/>
          <w:szCs w:val="28"/>
          <w:u w:val="single"/>
        </w:rPr>
      </w:pPr>
      <w:r>
        <w:rPr>
          <w:rFonts w:hint="eastAsia" w:ascii="宋体" w:hAnsi="宋体"/>
          <w:color w:val="000000"/>
          <w:kern w:val="0"/>
          <w:szCs w:val="28"/>
        </w:rPr>
        <w:t>投标人名称：</w:t>
      </w:r>
    </w:p>
    <w:p>
      <w:pPr>
        <w:autoSpaceDE w:val="0"/>
        <w:autoSpaceDN w:val="0"/>
        <w:adjustRightInd w:val="0"/>
        <w:spacing w:line="450" w:lineRule="exact"/>
        <w:ind w:right="246" w:firstLine="840" w:firstLineChars="300"/>
        <w:rPr>
          <w:rFonts w:ascii="宋体" w:hAnsi="宋体"/>
          <w:color w:val="000000"/>
          <w:szCs w:val="28"/>
        </w:rPr>
      </w:pPr>
      <w:r>
        <w:rPr>
          <w:rFonts w:hint="eastAsia" w:ascii="宋体" w:hAnsi="宋体"/>
          <w:color w:val="000000"/>
          <w:kern w:val="0"/>
          <w:szCs w:val="28"/>
        </w:rPr>
        <w:t xml:space="preserve">详细地址：                        </w:t>
      </w:r>
      <w:r>
        <w:rPr>
          <w:rFonts w:hint="eastAsia" w:ascii="宋体" w:hAnsi="宋体"/>
          <w:color w:val="000000"/>
          <w:szCs w:val="28"/>
        </w:rPr>
        <w:t>邮政编码：</w:t>
      </w:r>
    </w:p>
    <w:p>
      <w:pPr>
        <w:autoSpaceDE w:val="0"/>
        <w:autoSpaceDN w:val="0"/>
        <w:adjustRightInd w:val="0"/>
        <w:spacing w:line="450" w:lineRule="exact"/>
        <w:ind w:right="246" w:firstLine="840" w:firstLineChars="300"/>
        <w:rPr>
          <w:rFonts w:ascii="宋体" w:hAnsi="宋体"/>
          <w:color w:val="000000"/>
          <w:kern w:val="0"/>
          <w:szCs w:val="28"/>
        </w:rPr>
      </w:pPr>
      <w:r>
        <w:rPr>
          <w:rFonts w:hint="eastAsia" w:ascii="宋体" w:hAnsi="宋体"/>
          <w:color w:val="000000"/>
          <w:kern w:val="0"/>
          <w:szCs w:val="28"/>
        </w:rPr>
        <w:t>电    话：        传    真：      电子函件：</w:t>
      </w:r>
    </w:p>
    <w:p>
      <w:pPr>
        <w:autoSpaceDE w:val="0"/>
        <w:autoSpaceDN w:val="0"/>
        <w:adjustRightInd w:val="0"/>
        <w:spacing w:line="450" w:lineRule="exact"/>
        <w:ind w:right="246" w:firstLine="840" w:firstLineChars="300"/>
        <w:rPr>
          <w:rFonts w:ascii="宋体" w:hAnsi="宋体"/>
          <w:color w:val="000000"/>
          <w:szCs w:val="28"/>
        </w:rPr>
      </w:pPr>
      <w:r>
        <w:rPr>
          <w:rFonts w:hint="eastAsia" w:ascii="宋体" w:hAnsi="宋体"/>
          <w:color w:val="000000"/>
          <w:szCs w:val="28"/>
        </w:rPr>
        <w:t>投标人开户银行：                  账号/行号：</w:t>
      </w:r>
    </w:p>
    <w:p>
      <w:pPr>
        <w:adjustRightInd w:val="0"/>
        <w:snapToGrid w:val="0"/>
        <w:spacing w:line="450" w:lineRule="exact"/>
        <w:ind w:firstLine="840" w:firstLineChars="300"/>
        <w:rPr>
          <w:rFonts w:ascii="宋体" w:hAnsi="宋体"/>
          <w:color w:val="000000"/>
          <w:szCs w:val="28"/>
        </w:rPr>
      </w:pPr>
      <w:r>
        <w:rPr>
          <w:rFonts w:hint="eastAsia" w:ascii="宋体" w:hAnsi="宋体"/>
          <w:color w:val="000000"/>
          <w:szCs w:val="28"/>
        </w:rPr>
        <w:t>投标人法人签字：</w:t>
      </w:r>
    </w:p>
    <w:p>
      <w:pPr>
        <w:adjustRightInd w:val="0"/>
        <w:snapToGrid w:val="0"/>
        <w:spacing w:line="450" w:lineRule="exact"/>
        <w:ind w:firstLine="840" w:firstLineChars="300"/>
        <w:rPr>
          <w:rFonts w:ascii="宋体" w:hAnsi="宋体"/>
          <w:color w:val="000000"/>
          <w:szCs w:val="28"/>
          <w:u w:val="single"/>
        </w:rPr>
      </w:pPr>
      <w:r>
        <w:rPr>
          <w:rFonts w:hint="eastAsia" w:ascii="宋体" w:hAnsi="宋体"/>
          <w:color w:val="000000"/>
          <w:szCs w:val="28"/>
        </w:rPr>
        <w:t>投标人法人授权代表签字：</w:t>
      </w:r>
    </w:p>
    <w:p>
      <w:pPr>
        <w:autoSpaceDE w:val="0"/>
        <w:autoSpaceDN w:val="0"/>
        <w:spacing w:line="450" w:lineRule="exact"/>
        <w:ind w:firstLine="5460" w:firstLineChars="1950"/>
        <w:rPr>
          <w:rFonts w:ascii="宋体" w:hAnsi="宋体"/>
          <w:color w:val="000000"/>
          <w:szCs w:val="28"/>
        </w:rPr>
      </w:pPr>
      <w:r>
        <w:rPr>
          <w:rFonts w:hint="eastAsia" w:ascii="宋体" w:hAnsi="宋体"/>
          <w:color w:val="000000"/>
          <w:szCs w:val="28"/>
        </w:rPr>
        <w:t>投标人名称(公章)：</w:t>
      </w:r>
    </w:p>
    <w:p>
      <w:pPr>
        <w:autoSpaceDE w:val="0"/>
        <w:autoSpaceDN w:val="0"/>
        <w:spacing w:line="450" w:lineRule="exact"/>
        <w:ind w:firstLine="6020" w:firstLineChars="2150"/>
        <w:rPr>
          <w:rFonts w:ascii="宋体" w:hAnsi="宋体"/>
          <w:color w:val="000000"/>
          <w:szCs w:val="28"/>
        </w:rPr>
      </w:pPr>
      <w:r>
        <w:rPr>
          <w:rFonts w:hint="eastAsia" w:ascii="宋体" w:hAnsi="宋体"/>
          <w:color w:val="000000"/>
          <w:szCs w:val="28"/>
        </w:rPr>
        <w:t>年 月 日</w:t>
      </w:r>
    </w:p>
    <w:p>
      <w:pPr>
        <w:pStyle w:val="3"/>
        <w:rPr>
          <w:rFonts w:ascii="宋体" w:hAnsi="宋体"/>
          <w:b w:val="0"/>
          <w:color w:val="000000"/>
          <w:sz w:val="36"/>
          <w:szCs w:val="36"/>
        </w:rPr>
      </w:pPr>
      <w:r>
        <w:rPr>
          <w:rFonts w:hint="eastAsia" w:ascii="宋体" w:hAnsi="宋体"/>
          <w:color w:val="000000"/>
        </w:rPr>
        <w:br w:type="page"/>
      </w:r>
      <w:bookmarkStart w:id="410" w:name="_Toc487792161"/>
      <w:r>
        <w:rPr>
          <w:rFonts w:hint="eastAsia"/>
          <w:color w:val="000000"/>
        </w:rPr>
        <w:t>格式四：</w:t>
      </w:r>
      <w:bookmarkEnd w:id="410"/>
    </w:p>
    <w:p>
      <w:pPr>
        <w:pStyle w:val="26"/>
        <w:ind w:right="57"/>
        <w:jc w:val="center"/>
        <w:rPr>
          <w:rFonts w:hAnsi="宋体"/>
          <w:b/>
          <w:color w:val="000000"/>
          <w:sz w:val="36"/>
          <w:szCs w:val="36"/>
        </w:rPr>
      </w:pPr>
      <w:r>
        <w:rPr>
          <w:rFonts w:hint="eastAsia" w:hAnsi="宋体"/>
          <w:b/>
          <w:color w:val="000000"/>
          <w:sz w:val="36"/>
          <w:szCs w:val="36"/>
        </w:rPr>
        <w:t xml:space="preserve"> 法定代表人授权委托书</w:t>
      </w:r>
    </w:p>
    <w:p>
      <w:pPr>
        <w:spacing w:line="480" w:lineRule="exact"/>
        <w:ind w:firstLine="840" w:firstLineChars="300"/>
        <w:rPr>
          <w:rFonts w:ascii="宋体" w:hAnsi="宋体"/>
          <w:color w:val="000000"/>
        </w:rPr>
      </w:pPr>
    </w:p>
    <w:p>
      <w:pPr>
        <w:pStyle w:val="26"/>
        <w:spacing w:line="360" w:lineRule="auto"/>
        <w:ind w:left="57" w:right="57" w:firstLine="560" w:firstLineChars="200"/>
        <w:rPr>
          <w:rFonts w:hAnsi="宋体"/>
          <w:color w:val="000000"/>
          <w:sz w:val="28"/>
        </w:rPr>
      </w:pPr>
      <w:r>
        <w:rPr>
          <w:rFonts w:hint="eastAsia" w:hAnsi="宋体"/>
          <w:color w:val="000000"/>
          <w:sz w:val="28"/>
        </w:rPr>
        <w:t>兹委派我单位（姓名）参加贵单位组织的 采购招标活动（项目编号：           ），委派人全权代表我单位处理本次投标中的有关事务，并签署全部有关文件、协议及合同。我单位对委托代理人签署内容负全部责任。</w:t>
      </w:r>
    </w:p>
    <w:p>
      <w:pPr>
        <w:pStyle w:val="26"/>
        <w:spacing w:line="360" w:lineRule="auto"/>
        <w:ind w:left="57" w:right="57" w:firstLine="560" w:firstLineChars="200"/>
        <w:rPr>
          <w:rFonts w:hAnsi="宋体"/>
          <w:color w:val="000000"/>
          <w:sz w:val="28"/>
        </w:rPr>
      </w:pPr>
      <w:r>
        <w:rPr>
          <w:rFonts w:hint="eastAsia" w:hAnsi="宋体"/>
          <w:color w:val="000000"/>
          <w:sz w:val="28"/>
        </w:rPr>
        <w:t>本授权书于签字盖章后生效，在贵中心收到撤消授权的书面通知以前，本授权书一直有效。被授权人签署的所有文件不因授权的撤消而失效。</w:t>
      </w:r>
    </w:p>
    <w:p>
      <w:pPr>
        <w:pStyle w:val="26"/>
        <w:spacing w:line="360" w:lineRule="auto"/>
        <w:ind w:left="57" w:right="57" w:firstLine="560" w:firstLineChars="200"/>
        <w:rPr>
          <w:rFonts w:hAnsi="宋体"/>
          <w:color w:val="000000"/>
          <w:sz w:val="28"/>
        </w:rPr>
      </w:pPr>
      <w:r>
        <w:rPr>
          <w:rFonts w:hint="eastAsia" w:hAnsi="宋体"/>
          <w:color w:val="000000"/>
          <w:sz w:val="28"/>
        </w:rPr>
        <w:t>委托代理人无转委权。</w:t>
      </w:r>
    </w:p>
    <w:p>
      <w:pPr>
        <w:pStyle w:val="26"/>
        <w:spacing w:line="360" w:lineRule="auto"/>
        <w:ind w:left="57" w:right="57" w:firstLine="560" w:firstLineChars="200"/>
        <w:rPr>
          <w:rFonts w:hAnsi="宋体"/>
          <w:color w:val="000000"/>
          <w:sz w:val="28"/>
        </w:rPr>
      </w:pPr>
      <w:r>
        <w:rPr>
          <w:rFonts w:hint="eastAsia" w:hAnsi="宋体"/>
          <w:color w:val="000000"/>
          <w:sz w:val="28"/>
        </w:rPr>
        <w:t>特此委托。</w:t>
      </w:r>
    </w:p>
    <w:p>
      <w:pPr>
        <w:pStyle w:val="26"/>
        <w:ind w:right="57"/>
        <w:rPr>
          <w:rFonts w:hAnsi="宋体"/>
          <w:color w:val="000000"/>
          <w:sz w:val="28"/>
        </w:rPr>
      </w:pPr>
    </w:p>
    <w:p>
      <w:pPr>
        <w:spacing w:line="480" w:lineRule="exact"/>
        <w:rPr>
          <w:rFonts w:ascii="宋体" w:hAnsi="宋体"/>
          <w:color w:val="000000"/>
          <w:szCs w:val="28"/>
        </w:rPr>
      </w:pPr>
      <w:r>
        <w:rPr>
          <w:rFonts w:ascii="宋体" w:hAnsi="宋体"/>
          <w:color w:val="000000"/>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121920</wp:posOffset>
                </wp:positionV>
                <wp:extent cx="2628900" cy="1905000"/>
                <wp:effectExtent l="4445" t="4445" r="14605" b="14605"/>
                <wp:wrapNone/>
                <wp:docPr id="1"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628900" cy="1905000"/>
                        </a:xfrm>
                        <a:prstGeom prst="rect">
                          <a:avLst/>
                        </a:prstGeom>
                        <a:solidFill>
                          <a:srgbClr val="FFFFFF"/>
                        </a:solidFill>
                        <a:ln w="9525">
                          <a:solidFill>
                            <a:srgbClr val="000000"/>
                          </a:solidFill>
                          <a:miter lim="800000"/>
                        </a:ln>
                        <a:effectLst/>
                      </wps:spPr>
                      <wps:txbx>
                        <w:txbxContent>
                          <w:p>
                            <w:pPr>
                              <w:spacing w:line="560" w:lineRule="exact"/>
                              <w:jc w:val="center"/>
                              <w:rPr>
                                <w:rFonts w:ascii="黑体" w:eastAsia="黑体"/>
                                <w:szCs w:val="28"/>
                              </w:rPr>
                            </w:pPr>
                          </w:p>
                          <w:p>
                            <w:pPr>
                              <w:spacing w:line="560" w:lineRule="exact"/>
                              <w:jc w:val="center"/>
                              <w:rPr>
                                <w:rFonts w:ascii="黑体" w:eastAsia="黑体"/>
                                <w:szCs w:val="28"/>
                              </w:rPr>
                            </w:pPr>
                          </w:p>
                          <w:p>
                            <w:pPr>
                              <w:jc w:val="center"/>
                              <w:rPr>
                                <w:rFonts w:ascii="宋体" w:hAnsi="宋体"/>
                                <w:sz w:val="32"/>
                                <w:szCs w:val="32"/>
                              </w:rPr>
                            </w:pPr>
                            <w:r>
                              <w:rPr>
                                <w:rFonts w:hint="eastAsia" w:ascii="宋体" w:hAnsi="宋体"/>
                                <w:sz w:val="32"/>
                                <w:szCs w:val="32"/>
                              </w:rPr>
                              <w:t>法定代表人身份证扫描件</w:t>
                            </w:r>
                          </w:p>
                          <w:p>
                            <w:pPr>
                              <w:jc w:val="center"/>
                              <w:rPr>
                                <w:rFonts w:ascii="宋体" w:hAnsi="宋体"/>
                                <w:sz w:val="24"/>
                              </w:rPr>
                            </w:pPr>
                            <w:r>
                              <w:rPr>
                                <w:rFonts w:hint="eastAsia" w:ascii="宋体" w:hAnsi="宋体"/>
                                <w:sz w:val="24"/>
                              </w:rPr>
                              <w:t>（本证件需直接扫描，不允许粘贴）</w:t>
                            </w:r>
                          </w:p>
                          <w:p>
                            <w:pPr>
                              <w:jc w:val="center"/>
                              <w:rPr>
                                <w:rFonts w:ascii="宋体" w:hAnsi="宋体"/>
                                <w:sz w:val="32"/>
                                <w:szCs w:val="32"/>
                              </w:rPr>
                            </w:pPr>
                            <w:r>
                              <w:rPr>
                                <w:rFonts w:hint="eastAsia" w:ascii="宋体" w:hAnsi="宋体"/>
                                <w:sz w:val="32"/>
                                <w:szCs w:val="32"/>
                              </w:rPr>
                              <w:t>正反面</w:t>
                            </w:r>
                          </w:p>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0pt;margin-top:9.6pt;height:150pt;width:207pt;z-index:251660288;mso-width-relative:page;mso-height-relative:page;" fillcolor="#FFFFFF" filled="t" stroked="t" coordsize="21600,21600" o:gfxdata="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Omr9P1QAAAAcBAAAPAAAAAAAAAAEAIAAA&#10;ACIAAABkcnMvZG93bnJldi54bWxQSwECFAAUAAAACACHTuJAqfu5XkgCAACWBAAADgAAAAAAAAAB&#10;ACAAAAAkAQAAZHJzL2Uyb0RvYy54bWxQSwUGAAAAAAYABgBZAQAA3gUAAAAA&#10;">
                <v:fill on="t" focussize="0,0"/>
                <v:stroke color="#000000" miterlimit="8" joinstyle="miter"/>
                <v:imagedata o:title=""/>
                <o:lock v:ext="edit" aspectratio="f"/>
                <v:textbox>
                  <w:txbxContent>
                    <w:p>
                      <w:pPr>
                        <w:spacing w:line="560" w:lineRule="exact"/>
                        <w:jc w:val="center"/>
                        <w:rPr>
                          <w:rFonts w:ascii="黑体" w:eastAsia="黑体"/>
                          <w:szCs w:val="28"/>
                        </w:rPr>
                      </w:pPr>
                    </w:p>
                    <w:p>
                      <w:pPr>
                        <w:spacing w:line="560" w:lineRule="exact"/>
                        <w:jc w:val="center"/>
                        <w:rPr>
                          <w:rFonts w:ascii="黑体" w:eastAsia="黑体"/>
                          <w:szCs w:val="28"/>
                        </w:rPr>
                      </w:pPr>
                    </w:p>
                    <w:p>
                      <w:pPr>
                        <w:jc w:val="center"/>
                        <w:rPr>
                          <w:rFonts w:ascii="宋体" w:hAnsi="宋体"/>
                          <w:sz w:val="32"/>
                          <w:szCs w:val="32"/>
                        </w:rPr>
                      </w:pPr>
                      <w:r>
                        <w:rPr>
                          <w:rFonts w:hint="eastAsia" w:ascii="宋体" w:hAnsi="宋体"/>
                          <w:sz w:val="32"/>
                          <w:szCs w:val="32"/>
                        </w:rPr>
                        <w:t>法定代表人身份证扫描件</w:t>
                      </w:r>
                    </w:p>
                    <w:p>
                      <w:pPr>
                        <w:jc w:val="center"/>
                        <w:rPr>
                          <w:rFonts w:ascii="宋体" w:hAnsi="宋体"/>
                          <w:sz w:val="24"/>
                        </w:rPr>
                      </w:pPr>
                      <w:r>
                        <w:rPr>
                          <w:rFonts w:hint="eastAsia" w:ascii="宋体" w:hAnsi="宋体"/>
                          <w:sz w:val="24"/>
                        </w:rPr>
                        <w:t>（本证件需直接扫描，不允许粘贴）</w:t>
                      </w:r>
                    </w:p>
                    <w:p>
                      <w:pPr>
                        <w:jc w:val="center"/>
                        <w:rPr>
                          <w:rFonts w:ascii="宋体" w:hAnsi="宋体"/>
                          <w:sz w:val="32"/>
                          <w:szCs w:val="32"/>
                        </w:rPr>
                      </w:pPr>
                      <w:r>
                        <w:rPr>
                          <w:rFonts w:hint="eastAsia" w:ascii="宋体" w:hAnsi="宋体"/>
                          <w:sz w:val="32"/>
                          <w:szCs w:val="32"/>
                        </w:rPr>
                        <w:t>正反面</w:t>
                      </w:r>
                    </w:p>
                  </w:txbxContent>
                </v:textbox>
              </v:shape>
            </w:pict>
          </mc:Fallback>
        </mc:AlternateContent>
      </w:r>
      <w:r>
        <w:rPr>
          <w:rFonts w:ascii="宋体" w:hAnsi="宋体"/>
          <w:color w:val="000000"/>
        </w:rPr>
        <mc:AlternateContent>
          <mc:Choice Requires="wps">
            <w:drawing>
              <wp:anchor distT="0" distB="0" distL="114300" distR="114300" simplePos="0" relativeHeight="251661312" behindDoc="0" locked="0" layoutInCell="1" allowOverlap="1">
                <wp:simplePos x="0" y="0"/>
                <wp:positionH relativeFrom="column">
                  <wp:posOffset>3418205</wp:posOffset>
                </wp:positionH>
                <wp:positionV relativeFrom="paragraph">
                  <wp:posOffset>121920</wp:posOffset>
                </wp:positionV>
                <wp:extent cx="2514600" cy="1905000"/>
                <wp:effectExtent l="4445" t="4445" r="14605" b="14605"/>
                <wp:wrapNone/>
                <wp:docPr id="15"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514600" cy="1905000"/>
                        </a:xfrm>
                        <a:prstGeom prst="rect">
                          <a:avLst/>
                        </a:prstGeom>
                        <a:solidFill>
                          <a:srgbClr val="FFFFFF"/>
                        </a:solidFill>
                        <a:ln w="9525">
                          <a:solidFill>
                            <a:srgbClr val="000000"/>
                          </a:solidFill>
                          <a:miter lim="800000"/>
                        </a:ln>
                        <a:effectLst/>
                      </wps:spPr>
                      <wps:txbx>
                        <w:txbxContent>
                          <w:p>
                            <w:pPr>
                              <w:spacing w:line="560" w:lineRule="exact"/>
                              <w:jc w:val="center"/>
                              <w:rPr>
                                <w:rFonts w:ascii="黑体" w:eastAsia="黑体"/>
                                <w:szCs w:val="28"/>
                              </w:rPr>
                            </w:pPr>
                          </w:p>
                          <w:p>
                            <w:pPr>
                              <w:spacing w:line="560" w:lineRule="exact"/>
                              <w:jc w:val="center"/>
                              <w:rPr>
                                <w:rFonts w:ascii="黑体" w:eastAsia="黑体"/>
                                <w:szCs w:val="28"/>
                              </w:rPr>
                            </w:pPr>
                          </w:p>
                          <w:p>
                            <w:pPr>
                              <w:jc w:val="center"/>
                              <w:rPr>
                                <w:rFonts w:ascii="宋体" w:hAnsi="宋体"/>
                                <w:sz w:val="32"/>
                                <w:szCs w:val="32"/>
                              </w:rPr>
                            </w:pPr>
                            <w:r>
                              <w:rPr>
                                <w:rFonts w:hint="eastAsia" w:ascii="宋体" w:hAnsi="宋体"/>
                                <w:sz w:val="32"/>
                                <w:szCs w:val="32"/>
                              </w:rPr>
                              <w:t>委托代理人身份证扫描件</w:t>
                            </w:r>
                          </w:p>
                          <w:p>
                            <w:pPr>
                              <w:jc w:val="center"/>
                              <w:rPr>
                                <w:rFonts w:ascii="宋体" w:hAnsi="宋体"/>
                                <w:sz w:val="24"/>
                              </w:rPr>
                            </w:pPr>
                            <w:r>
                              <w:rPr>
                                <w:rFonts w:hint="eastAsia" w:ascii="宋体" w:hAnsi="宋体"/>
                                <w:sz w:val="24"/>
                              </w:rPr>
                              <w:t>（本证件需直接扫描，不允许粘贴）</w:t>
                            </w:r>
                          </w:p>
                          <w:p>
                            <w:pPr>
                              <w:jc w:val="center"/>
                              <w:rPr>
                                <w:rFonts w:ascii="宋体" w:hAnsi="宋体"/>
                                <w:sz w:val="32"/>
                                <w:szCs w:val="32"/>
                              </w:rPr>
                            </w:pPr>
                            <w:r>
                              <w:rPr>
                                <w:rFonts w:hint="eastAsia" w:ascii="宋体" w:hAnsi="宋体"/>
                                <w:sz w:val="32"/>
                                <w:szCs w:val="32"/>
                              </w:rPr>
                              <w:t>正反面</w:t>
                            </w:r>
                          </w:p>
                          <w:p>
                            <w:pPr>
                              <w:jc w:val="center"/>
                              <w:rPr>
                                <w:rFonts w:ascii="黑体" w:eastAsia="黑体"/>
                                <w:sz w:val="32"/>
                                <w:szCs w:val="32"/>
                              </w:rPr>
                            </w:pP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269.15pt;margin-top:9.6pt;height:150pt;width:198pt;z-index:251661312;mso-width-relative:page;mso-height-relative:page;" fillcolor="#FFFFFF" filled="t" stroked="t" coordsize="21600,21600" o:gfxdata="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51R8s2AAAAAoBAAAPAAAAAAAAAAEA&#10;IAAAACIAAABkcnMvZG93bnJldi54bWxQSwECFAAUAAAACACHTuJAiRO5R0gCAACXBAAADgAAAAAA&#10;AAABACAAAAAnAQAAZHJzL2Uyb0RvYy54bWxQSwUGAAAAAAYABgBZAQAA4QUAAAAA&#10;">
                <v:fill on="t" focussize="0,0"/>
                <v:stroke color="#000000" miterlimit="8" joinstyle="miter"/>
                <v:imagedata o:title=""/>
                <o:lock v:ext="edit" aspectratio="f"/>
                <v:textbox>
                  <w:txbxContent>
                    <w:p>
                      <w:pPr>
                        <w:spacing w:line="560" w:lineRule="exact"/>
                        <w:jc w:val="center"/>
                        <w:rPr>
                          <w:rFonts w:ascii="黑体" w:eastAsia="黑体"/>
                          <w:szCs w:val="28"/>
                        </w:rPr>
                      </w:pPr>
                    </w:p>
                    <w:p>
                      <w:pPr>
                        <w:spacing w:line="560" w:lineRule="exact"/>
                        <w:jc w:val="center"/>
                        <w:rPr>
                          <w:rFonts w:ascii="黑体" w:eastAsia="黑体"/>
                          <w:szCs w:val="28"/>
                        </w:rPr>
                      </w:pPr>
                    </w:p>
                    <w:p>
                      <w:pPr>
                        <w:jc w:val="center"/>
                        <w:rPr>
                          <w:rFonts w:ascii="宋体" w:hAnsi="宋体"/>
                          <w:sz w:val="32"/>
                          <w:szCs w:val="32"/>
                        </w:rPr>
                      </w:pPr>
                      <w:r>
                        <w:rPr>
                          <w:rFonts w:hint="eastAsia" w:ascii="宋体" w:hAnsi="宋体"/>
                          <w:sz w:val="32"/>
                          <w:szCs w:val="32"/>
                        </w:rPr>
                        <w:t>委托代理人身份证扫描件</w:t>
                      </w:r>
                    </w:p>
                    <w:p>
                      <w:pPr>
                        <w:jc w:val="center"/>
                        <w:rPr>
                          <w:rFonts w:ascii="宋体" w:hAnsi="宋体"/>
                          <w:sz w:val="24"/>
                        </w:rPr>
                      </w:pPr>
                      <w:r>
                        <w:rPr>
                          <w:rFonts w:hint="eastAsia" w:ascii="宋体" w:hAnsi="宋体"/>
                          <w:sz w:val="24"/>
                        </w:rPr>
                        <w:t>（本证件需直接扫描，不允许粘贴）</w:t>
                      </w:r>
                    </w:p>
                    <w:p>
                      <w:pPr>
                        <w:jc w:val="center"/>
                        <w:rPr>
                          <w:rFonts w:ascii="宋体" w:hAnsi="宋体"/>
                          <w:sz w:val="32"/>
                          <w:szCs w:val="32"/>
                        </w:rPr>
                      </w:pPr>
                      <w:r>
                        <w:rPr>
                          <w:rFonts w:hint="eastAsia" w:ascii="宋体" w:hAnsi="宋体"/>
                          <w:sz w:val="32"/>
                          <w:szCs w:val="32"/>
                        </w:rPr>
                        <w:t>正反面</w:t>
                      </w:r>
                    </w:p>
                    <w:p>
                      <w:pPr>
                        <w:jc w:val="center"/>
                        <w:rPr>
                          <w:rFonts w:ascii="黑体" w:eastAsia="黑体"/>
                          <w:sz w:val="32"/>
                          <w:szCs w:val="32"/>
                        </w:rPr>
                      </w:pPr>
                    </w:p>
                  </w:txbxContent>
                </v:textbox>
              </v:shape>
            </w:pict>
          </mc:Fallback>
        </mc:AlternateContent>
      </w:r>
    </w:p>
    <w:p>
      <w:pPr>
        <w:spacing w:line="480" w:lineRule="exact"/>
        <w:rPr>
          <w:rFonts w:ascii="宋体" w:hAnsi="宋体"/>
          <w:color w:val="000000"/>
          <w:szCs w:val="28"/>
        </w:rPr>
      </w:pPr>
      <w:r>
        <w:rPr>
          <w:rFonts w:ascii="宋体" w:hAnsi="宋体"/>
          <w:color w:val="000000"/>
        </w:rPr>
        <mc:AlternateContent>
          <mc:Choice Requires="wps">
            <w:drawing>
              <wp:inline distT="0" distB="0" distL="114300" distR="114300">
                <wp:extent cx="6057900" cy="3562350"/>
                <wp:effectExtent l="0" t="0" r="0" b="0"/>
                <wp:docPr id="2" name="矩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56235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_x0000_s1026" o:spid="_x0000_s1026" o:spt="1" style="height:280.5pt;width:477pt;" filled="f" stroked="f" coordsize="21600,21600" o:gfxdata="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9sFUi1gAAAAUBAAAPAAAAAAAA&#10;AAEAIAAAACIAAABkcnMvZG93bnJldi54bWxQSwECFAAUAAAACACHTuJAJTFV0xQCAAAfBAAADgAA&#10;AAAAAAABACAAAAAlAQAAZHJzL2Uyb0RvYy54bWxQSwUGAAAAAAYABgBZAQAAqwUAAAAA&#10;">
                <v:fill on="f" focussize="0,0"/>
                <v:stroke on="f"/>
                <v:imagedata o:title=""/>
                <o:lock v:ext="edit" aspectratio="t"/>
                <w10:wrap type="none"/>
                <w10:anchorlock/>
              </v:rect>
            </w:pict>
          </mc:Fallback>
        </mc:AlternateContent>
      </w:r>
    </w:p>
    <w:p>
      <w:pPr>
        <w:spacing w:line="480" w:lineRule="exact"/>
        <w:rPr>
          <w:rFonts w:ascii="宋体" w:hAnsi="宋体"/>
          <w:color w:val="000000"/>
          <w:szCs w:val="28"/>
        </w:rPr>
      </w:pPr>
    </w:p>
    <w:p>
      <w:pPr>
        <w:spacing w:line="480" w:lineRule="exact"/>
        <w:rPr>
          <w:rFonts w:ascii="宋体" w:hAnsi="宋体"/>
          <w:color w:val="000000"/>
          <w:szCs w:val="28"/>
        </w:rPr>
      </w:pPr>
    </w:p>
    <w:p>
      <w:pPr>
        <w:spacing w:line="480" w:lineRule="exact"/>
        <w:rPr>
          <w:rFonts w:ascii="宋体" w:hAnsi="宋体"/>
          <w:color w:val="000000"/>
          <w:szCs w:val="28"/>
        </w:rPr>
      </w:pPr>
    </w:p>
    <w:p>
      <w:pPr>
        <w:spacing w:line="480" w:lineRule="exact"/>
        <w:rPr>
          <w:rFonts w:ascii="宋体" w:hAnsi="宋体"/>
          <w:color w:val="000000"/>
          <w:szCs w:val="28"/>
        </w:rPr>
      </w:pPr>
    </w:p>
    <w:p>
      <w:pPr>
        <w:spacing w:line="480" w:lineRule="exact"/>
        <w:rPr>
          <w:rFonts w:ascii="宋体" w:hAnsi="宋体"/>
          <w:color w:val="000000"/>
          <w:szCs w:val="28"/>
        </w:rPr>
      </w:pPr>
    </w:p>
    <w:p>
      <w:pPr>
        <w:spacing w:line="480" w:lineRule="exact"/>
        <w:ind w:firstLine="560" w:firstLineChars="200"/>
        <w:rPr>
          <w:rFonts w:ascii="宋体" w:hAnsi="宋体"/>
          <w:color w:val="000000"/>
          <w:szCs w:val="28"/>
        </w:rPr>
      </w:pPr>
    </w:p>
    <w:p>
      <w:pPr>
        <w:spacing w:line="480" w:lineRule="exact"/>
        <w:rPr>
          <w:rFonts w:ascii="宋体" w:hAnsi="宋体"/>
          <w:color w:val="000000"/>
          <w:szCs w:val="28"/>
        </w:rPr>
      </w:pPr>
    </w:p>
    <w:p>
      <w:pPr>
        <w:spacing w:line="480" w:lineRule="exact"/>
        <w:ind w:firstLine="560" w:firstLineChars="200"/>
        <w:rPr>
          <w:rFonts w:ascii="宋体" w:hAnsi="宋体"/>
          <w:color w:val="000000"/>
          <w:szCs w:val="28"/>
        </w:rPr>
      </w:pPr>
      <w:r>
        <w:rPr>
          <w:rFonts w:hint="eastAsia" w:ascii="宋体" w:hAnsi="宋体"/>
          <w:color w:val="000000"/>
          <w:szCs w:val="28"/>
        </w:rPr>
        <w:t>投标人：（公章）</w:t>
      </w:r>
    </w:p>
    <w:p>
      <w:pPr>
        <w:spacing w:line="480" w:lineRule="exact"/>
        <w:rPr>
          <w:rFonts w:ascii="宋体" w:hAnsi="宋体"/>
          <w:color w:val="000000"/>
          <w:szCs w:val="28"/>
        </w:rPr>
      </w:pPr>
    </w:p>
    <w:p>
      <w:pPr>
        <w:spacing w:line="480" w:lineRule="exact"/>
        <w:ind w:firstLine="560" w:firstLineChars="200"/>
        <w:rPr>
          <w:rFonts w:ascii="宋体" w:hAnsi="宋体"/>
          <w:color w:val="000000"/>
          <w:szCs w:val="28"/>
        </w:rPr>
      </w:pPr>
      <w:r>
        <w:rPr>
          <w:rFonts w:hint="eastAsia" w:ascii="宋体" w:hAnsi="宋体"/>
          <w:color w:val="000000"/>
          <w:szCs w:val="28"/>
        </w:rPr>
        <w:t>法定代表人：（签字）</w:t>
      </w:r>
    </w:p>
    <w:p>
      <w:pPr>
        <w:spacing w:line="480" w:lineRule="exact"/>
        <w:ind w:firstLine="560" w:firstLineChars="200"/>
        <w:rPr>
          <w:rFonts w:ascii="宋体" w:hAnsi="宋体"/>
          <w:color w:val="000000"/>
          <w:szCs w:val="28"/>
        </w:rPr>
      </w:pPr>
    </w:p>
    <w:p>
      <w:pPr>
        <w:pStyle w:val="26"/>
        <w:ind w:left="57" w:right="57" w:firstLine="57"/>
        <w:jc w:val="center"/>
        <w:rPr>
          <w:rFonts w:hAnsi="宋体"/>
          <w:color w:val="000000"/>
          <w:sz w:val="28"/>
          <w:szCs w:val="28"/>
        </w:rPr>
      </w:pPr>
      <w:r>
        <w:rPr>
          <w:rFonts w:hint="eastAsia" w:hAnsi="宋体"/>
          <w:color w:val="000000"/>
          <w:sz w:val="28"/>
          <w:szCs w:val="28"/>
        </w:rPr>
        <w:t xml:space="preserve">                                   年   月   日</w:t>
      </w:r>
    </w:p>
    <w:p>
      <w:pPr>
        <w:pStyle w:val="3"/>
        <w:rPr>
          <w:rFonts w:hAnsi="宋体"/>
          <w:b w:val="0"/>
          <w:color w:val="000000"/>
          <w:sz w:val="36"/>
          <w:szCs w:val="36"/>
        </w:rPr>
      </w:pPr>
      <w:r>
        <w:rPr>
          <w:rFonts w:hint="eastAsia" w:hAnsi="宋体"/>
          <w:b w:val="0"/>
          <w:color w:val="000000"/>
          <w:sz w:val="28"/>
          <w:szCs w:val="28"/>
        </w:rPr>
        <w:br w:type="page"/>
      </w:r>
      <w:bookmarkStart w:id="411" w:name="_Toc487792162"/>
      <w:r>
        <w:rPr>
          <w:rFonts w:hint="eastAsia"/>
          <w:color w:val="000000"/>
        </w:rPr>
        <w:t>格式五：</w:t>
      </w:r>
      <w:bookmarkEnd w:id="411"/>
    </w:p>
    <w:p>
      <w:pPr>
        <w:adjustRightInd w:val="0"/>
        <w:snapToGrid w:val="0"/>
        <w:spacing w:line="360" w:lineRule="auto"/>
        <w:ind w:firstLine="3777" w:firstLineChars="1045"/>
        <w:rPr>
          <w:rFonts w:ascii="宋体" w:hAnsi="宋体"/>
          <w:b/>
          <w:color w:val="000000"/>
          <w:sz w:val="36"/>
          <w:szCs w:val="36"/>
        </w:rPr>
      </w:pPr>
      <w:r>
        <w:rPr>
          <w:rFonts w:hint="eastAsia" w:ascii="宋体" w:hAnsi="宋体"/>
          <w:b/>
          <w:color w:val="000000"/>
          <w:sz w:val="36"/>
          <w:szCs w:val="36"/>
        </w:rPr>
        <w:t>开标一览表</w:t>
      </w:r>
    </w:p>
    <w:p>
      <w:pPr>
        <w:pStyle w:val="26"/>
        <w:spacing w:line="460" w:lineRule="exact"/>
        <w:ind w:left="57" w:right="57" w:firstLine="57"/>
        <w:rPr>
          <w:rFonts w:hAnsi="宋体"/>
          <w:color w:val="000000"/>
          <w:sz w:val="28"/>
          <w:szCs w:val="28"/>
        </w:rPr>
      </w:pPr>
      <w:r>
        <w:rPr>
          <w:rFonts w:hint="eastAsia" w:hAnsi="宋体"/>
          <w:color w:val="000000"/>
          <w:sz w:val="28"/>
          <w:szCs w:val="28"/>
        </w:rPr>
        <w:t>投标人名称：（加盖公章）</w:t>
      </w:r>
    </w:p>
    <w:p>
      <w:pPr>
        <w:spacing w:line="460" w:lineRule="exact"/>
        <w:ind w:firstLine="140" w:firstLineChars="50"/>
        <w:rPr>
          <w:rFonts w:ascii="宋体" w:hAnsi="宋体"/>
          <w:color w:val="000000"/>
          <w:szCs w:val="28"/>
        </w:rPr>
      </w:pPr>
      <w:r>
        <w:rPr>
          <w:rFonts w:hint="eastAsia" w:ascii="宋体" w:hAnsi="宋体"/>
          <w:color w:val="000000"/>
          <w:szCs w:val="28"/>
        </w:rPr>
        <w:t xml:space="preserve">项目名称：                    </w:t>
      </w:r>
    </w:p>
    <w:p>
      <w:pPr>
        <w:spacing w:line="460" w:lineRule="exact"/>
        <w:ind w:firstLine="140" w:firstLineChars="50"/>
        <w:rPr>
          <w:rFonts w:ascii="宋体" w:hAnsi="宋体"/>
          <w:color w:val="000000"/>
          <w:szCs w:val="28"/>
        </w:rPr>
      </w:pPr>
      <w:r>
        <w:rPr>
          <w:rFonts w:hint="eastAsia" w:ascii="宋体" w:hAnsi="宋体"/>
          <w:color w:val="000000"/>
          <w:szCs w:val="28"/>
        </w:rPr>
        <w:t xml:space="preserve">项目编号：                       </w:t>
      </w:r>
    </w:p>
    <w:tbl>
      <w:tblPr>
        <w:tblStyle w:val="48"/>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2208"/>
        <w:gridCol w:w="1701"/>
        <w:gridCol w:w="1701"/>
        <w:gridCol w:w="966"/>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620" w:type="dxa"/>
            <w:vAlign w:val="center"/>
          </w:tcPr>
          <w:p>
            <w:pPr>
              <w:jc w:val="center"/>
              <w:rPr>
                <w:rFonts w:ascii="宋体" w:hAnsi="宋体"/>
                <w:b/>
                <w:color w:val="000000"/>
              </w:rPr>
            </w:pPr>
            <w:r>
              <w:rPr>
                <w:rFonts w:hint="eastAsia" w:ascii="宋体" w:hAnsi="宋体"/>
                <w:b/>
                <w:color w:val="000000"/>
              </w:rPr>
              <w:t>名  称</w:t>
            </w:r>
          </w:p>
        </w:tc>
        <w:tc>
          <w:tcPr>
            <w:tcW w:w="2208" w:type="dxa"/>
            <w:vAlign w:val="center"/>
          </w:tcPr>
          <w:p>
            <w:pPr>
              <w:jc w:val="center"/>
              <w:rPr>
                <w:rFonts w:ascii="宋体" w:hAnsi="宋体"/>
                <w:b/>
                <w:color w:val="000000"/>
              </w:rPr>
            </w:pPr>
            <w:bookmarkStart w:id="412" w:name="_Toc257360794"/>
            <w:bookmarkStart w:id="413" w:name="_Toc257989764"/>
            <w:bookmarkStart w:id="414" w:name="_Toc257990001"/>
            <w:bookmarkStart w:id="415" w:name="_Toc257360971"/>
            <w:bookmarkStart w:id="416" w:name="_Toc266431138"/>
            <w:r>
              <w:rPr>
                <w:rFonts w:ascii="宋体" w:hAnsi="宋体"/>
                <w:b/>
                <w:color w:val="000000"/>
              </w:rPr>
              <w:t>投标总报价</w:t>
            </w:r>
            <w:bookmarkEnd w:id="412"/>
            <w:bookmarkEnd w:id="413"/>
            <w:bookmarkEnd w:id="414"/>
            <w:bookmarkEnd w:id="415"/>
            <w:bookmarkEnd w:id="416"/>
          </w:p>
        </w:tc>
        <w:tc>
          <w:tcPr>
            <w:tcW w:w="1701" w:type="dxa"/>
            <w:vAlign w:val="center"/>
          </w:tcPr>
          <w:p>
            <w:pPr>
              <w:ind w:firstLine="141" w:firstLineChars="50"/>
              <w:jc w:val="center"/>
              <w:rPr>
                <w:rFonts w:ascii="宋体" w:hAnsi="宋体"/>
                <w:b/>
                <w:color w:val="000000"/>
              </w:rPr>
            </w:pPr>
            <w:r>
              <w:rPr>
                <w:rFonts w:hint="eastAsia" w:ascii="宋体" w:hAnsi="宋体"/>
                <w:b/>
                <w:color w:val="000000"/>
              </w:rPr>
              <w:t>工</w:t>
            </w:r>
            <w:r>
              <w:rPr>
                <w:rFonts w:ascii="宋体" w:hAnsi="宋体"/>
                <w:b/>
                <w:color w:val="000000"/>
              </w:rPr>
              <w:t>期</w:t>
            </w:r>
          </w:p>
          <w:p>
            <w:pPr>
              <w:ind w:firstLine="141" w:firstLineChars="50"/>
              <w:jc w:val="center"/>
              <w:rPr>
                <w:rFonts w:ascii="宋体" w:hAnsi="宋体"/>
                <w:b/>
                <w:color w:val="000000"/>
              </w:rPr>
            </w:pPr>
            <w:r>
              <w:rPr>
                <w:rFonts w:hint="eastAsia" w:ascii="宋体" w:hAnsi="宋体"/>
                <w:b/>
                <w:color w:val="000000"/>
              </w:rPr>
              <w:t>（日历天）</w:t>
            </w:r>
          </w:p>
        </w:tc>
        <w:tc>
          <w:tcPr>
            <w:tcW w:w="1701" w:type="dxa"/>
            <w:vAlign w:val="center"/>
          </w:tcPr>
          <w:p>
            <w:pPr>
              <w:jc w:val="center"/>
              <w:rPr>
                <w:rFonts w:ascii="宋体" w:hAnsi="宋体"/>
                <w:b/>
                <w:color w:val="000000"/>
              </w:rPr>
            </w:pPr>
            <w:r>
              <w:rPr>
                <w:rFonts w:hint="eastAsia" w:ascii="宋体" w:hAnsi="宋体"/>
                <w:b/>
                <w:color w:val="000000"/>
              </w:rPr>
              <w:t>工程质量</w:t>
            </w:r>
          </w:p>
        </w:tc>
        <w:tc>
          <w:tcPr>
            <w:tcW w:w="966" w:type="dxa"/>
            <w:vAlign w:val="center"/>
          </w:tcPr>
          <w:p>
            <w:pPr>
              <w:ind w:firstLine="141" w:firstLineChars="50"/>
              <w:jc w:val="center"/>
              <w:rPr>
                <w:rFonts w:ascii="宋体" w:hAnsi="宋体"/>
                <w:b/>
                <w:color w:val="000000"/>
              </w:rPr>
            </w:pPr>
            <w:r>
              <w:rPr>
                <w:rFonts w:hint="eastAsia" w:ascii="宋体" w:hAnsi="宋体"/>
                <w:b/>
                <w:color w:val="000000"/>
              </w:rPr>
              <w:t>项目经理姓名</w:t>
            </w:r>
          </w:p>
        </w:tc>
        <w:tc>
          <w:tcPr>
            <w:tcW w:w="1018" w:type="dxa"/>
            <w:vAlign w:val="center"/>
          </w:tcPr>
          <w:p>
            <w:pPr>
              <w:ind w:firstLine="141" w:firstLineChars="50"/>
              <w:jc w:val="center"/>
              <w:rPr>
                <w:rFonts w:ascii="宋体" w:hAnsi="宋体"/>
                <w:b/>
                <w:color w:val="000000"/>
              </w:rPr>
            </w:pPr>
            <w:r>
              <w:rPr>
                <w:rFonts w:hint="eastAsia" w:ascii="宋体" w:hAnsi="宋体"/>
                <w:b/>
                <w:color w:val="000000"/>
              </w:rPr>
              <w:t>项目经理资格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1620" w:type="dxa"/>
            <w:vMerge w:val="restart"/>
            <w:vAlign w:val="center"/>
          </w:tcPr>
          <w:p>
            <w:pPr>
              <w:rPr>
                <w:rFonts w:ascii="宋体" w:hAnsi="宋体"/>
                <w:color w:val="000000"/>
              </w:rPr>
            </w:pPr>
          </w:p>
        </w:tc>
        <w:tc>
          <w:tcPr>
            <w:tcW w:w="2208" w:type="dxa"/>
            <w:vAlign w:val="center"/>
          </w:tcPr>
          <w:p>
            <w:pPr>
              <w:rPr>
                <w:rFonts w:ascii="宋体" w:hAnsi="宋体"/>
                <w:color w:val="000000"/>
              </w:rPr>
            </w:pPr>
            <w:bookmarkStart w:id="417" w:name="_Toc257360798"/>
            <w:bookmarkStart w:id="418" w:name="_Toc257360975"/>
            <w:bookmarkStart w:id="419" w:name="_Toc257989768"/>
            <w:bookmarkStart w:id="420" w:name="_Toc257990005"/>
            <w:bookmarkStart w:id="421" w:name="_Toc266431142"/>
            <w:r>
              <w:rPr>
                <w:rFonts w:ascii="宋体" w:hAnsi="宋体"/>
                <w:color w:val="000000"/>
              </w:rPr>
              <w:t>大写：</w:t>
            </w:r>
            <w:bookmarkEnd w:id="417"/>
            <w:bookmarkEnd w:id="418"/>
            <w:bookmarkEnd w:id="419"/>
            <w:bookmarkEnd w:id="420"/>
            <w:bookmarkEnd w:id="421"/>
          </w:p>
        </w:tc>
        <w:tc>
          <w:tcPr>
            <w:tcW w:w="1701" w:type="dxa"/>
            <w:vMerge w:val="restart"/>
            <w:vAlign w:val="center"/>
          </w:tcPr>
          <w:p>
            <w:pPr>
              <w:rPr>
                <w:rFonts w:ascii="宋体" w:hAnsi="宋体"/>
                <w:color w:val="000000"/>
              </w:rPr>
            </w:pPr>
          </w:p>
        </w:tc>
        <w:tc>
          <w:tcPr>
            <w:tcW w:w="1701" w:type="dxa"/>
            <w:vMerge w:val="restart"/>
            <w:vAlign w:val="center"/>
          </w:tcPr>
          <w:p>
            <w:pPr>
              <w:rPr>
                <w:rFonts w:ascii="宋体" w:hAnsi="宋体"/>
                <w:color w:val="000000"/>
              </w:rPr>
            </w:pPr>
          </w:p>
        </w:tc>
        <w:tc>
          <w:tcPr>
            <w:tcW w:w="966" w:type="dxa"/>
            <w:vMerge w:val="restart"/>
          </w:tcPr>
          <w:p>
            <w:pPr>
              <w:rPr>
                <w:rFonts w:ascii="宋体" w:hAnsi="宋体"/>
                <w:color w:val="000000"/>
              </w:rPr>
            </w:pPr>
          </w:p>
        </w:tc>
        <w:tc>
          <w:tcPr>
            <w:tcW w:w="1018" w:type="dxa"/>
            <w:vMerge w:val="restart"/>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1620" w:type="dxa"/>
            <w:vMerge w:val="continue"/>
            <w:vAlign w:val="center"/>
          </w:tcPr>
          <w:p>
            <w:pPr>
              <w:rPr>
                <w:rFonts w:ascii="宋体" w:hAnsi="宋体"/>
                <w:color w:val="000000"/>
              </w:rPr>
            </w:pPr>
          </w:p>
        </w:tc>
        <w:tc>
          <w:tcPr>
            <w:tcW w:w="2208" w:type="dxa"/>
            <w:vAlign w:val="center"/>
          </w:tcPr>
          <w:p>
            <w:pPr>
              <w:rPr>
                <w:rFonts w:ascii="宋体" w:hAnsi="宋体"/>
                <w:color w:val="000000"/>
              </w:rPr>
            </w:pPr>
            <w:r>
              <w:rPr>
                <w:rFonts w:ascii="宋体" w:hAnsi="宋体"/>
                <w:color w:val="000000"/>
              </w:rPr>
              <w:t>小写</w:t>
            </w:r>
            <w:bookmarkStart w:id="422" w:name="_Toc257360976"/>
            <w:bookmarkStart w:id="423" w:name="_Toc257989769"/>
            <w:bookmarkStart w:id="424" w:name="_Toc257360799"/>
            <w:bookmarkStart w:id="425" w:name="_Toc266431143"/>
            <w:bookmarkStart w:id="426" w:name="_Toc257990006"/>
            <w:r>
              <w:rPr>
                <w:rFonts w:ascii="宋体" w:hAnsi="宋体"/>
                <w:color w:val="000000"/>
              </w:rPr>
              <w:t>：</w:t>
            </w:r>
            <w:bookmarkEnd w:id="422"/>
            <w:bookmarkEnd w:id="423"/>
            <w:bookmarkEnd w:id="424"/>
            <w:bookmarkEnd w:id="425"/>
            <w:bookmarkEnd w:id="426"/>
          </w:p>
        </w:tc>
        <w:tc>
          <w:tcPr>
            <w:tcW w:w="1701" w:type="dxa"/>
            <w:vMerge w:val="continue"/>
            <w:vAlign w:val="center"/>
          </w:tcPr>
          <w:p>
            <w:pPr>
              <w:rPr>
                <w:rFonts w:ascii="宋体" w:hAnsi="宋体"/>
                <w:color w:val="000000"/>
              </w:rPr>
            </w:pPr>
          </w:p>
        </w:tc>
        <w:tc>
          <w:tcPr>
            <w:tcW w:w="1701" w:type="dxa"/>
            <w:vMerge w:val="continue"/>
            <w:vAlign w:val="center"/>
          </w:tcPr>
          <w:p>
            <w:pPr>
              <w:rPr>
                <w:rFonts w:ascii="宋体" w:hAnsi="宋体"/>
                <w:color w:val="000000"/>
              </w:rPr>
            </w:pPr>
          </w:p>
        </w:tc>
        <w:tc>
          <w:tcPr>
            <w:tcW w:w="966" w:type="dxa"/>
            <w:vMerge w:val="continue"/>
          </w:tcPr>
          <w:p>
            <w:pPr>
              <w:rPr>
                <w:rFonts w:ascii="宋体" w:hAnsi="宋体"/>
                <w:color w:val="000000"/>
              </w:rPr>
            </w:pPr>
          </w:p>
        </w:tc>
        <w:tc>
          <w:tcPr>
            <w:tcW w:w="1018" w:type="dxa"/>
            <w:vMerge w:val="continue"/>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620" w:type="dxa"/>
            <w:vAlign w:val="center"/>
          </w:tcPr>
          <w:p>
            <w:pPr>
              <w:rPr>
                <w:rFonts w:ascii="宋体" w:hAnsi="宋体"/>
                <w:color w:val="000000"/>
              </w:rPr>
            </w:pPr>
            <w:bookmarkStart w:id="427" w:name="_Toc266431147"/>
            <w:r>
              <w:rPr>
                <w:rFonts w:hint="eastAsia" w:ascii="宋体" w:hAnsi="宋体"/>
                <w:color w:val="000000"/>
              </w:rPr>
              <w:t>备  注</w:t>
            </w:r>
            <w:bookmarkEnd w:id="427"/>
          </w:p>
        </w:tc>
        <w:tc>
          <w:tcPr>
            <w:tcW w:w="7594" w:type="dxa"/>
            <w:gridSpan w:val="5"/>
            <w:vAlign w:val="center"/>
          </w:tcPr>
          <w:p>
            <w:pPr>
              <w:rPr>
                <w:rFonts w:ascii="宋体" w:hAnsi="宋体"/>
                <w:color w:val="000000"/>
              </w:rPr>
            </w:pPr>
          </w:p>
        </w:tc>
      </w:tr>
    </w:tbl>
    <w:p>
      <w:pPr>
        <w:adjustRightInd w:val="0"/>
        <w:snapToGrid w:val="0"/>
        <w:spacing w:line="460" w:lineRule="exact"/>
        <w:rPr>
          <w:rFonts w:ascii="宋体" w:hAnsi="宋体"/>
          <w:color w:val="000000"/>
          <w:szCs w:val="28"/>
        </w:rPr>
      </w:pPr>
    </w:p>
    <w:p>
      <w:pPr>
        <w:adjustRightInd w:val="0"/>
        <w:snapToGrid w:val="0"/>
        <w:spacing w:line="460" w:lineRule="exact"/>
        <w:rPr>
          <w:rFonts w:ascii="宋体" w:hAnsi="宋体"/>
          <w:color w:val="000000"/>
          <w:szCs w:val="28"/>
        </w:rPr>
      </w:pPr>
      <w:r>
        <w:rPr>
          <w:rFonts w:hint="eastAsia" w:ascii="宋体" w:hAnsi="宋体"/>
          <w:color w:val="000000"/>
          <w:szCs w:val="28"/>
        </w:rPr>
        <w:t>说明：1．所有价格均系用人民币表示，单位为元，精确到个数位。</w:t>
      </w:r>
    </w:p>
    <w:p>
      <w:pPr>
        <w:adjustRightInd w:val="0"/>
        <w:snapToGrid w:val="0"/>
        <w:spacing w:line="460" w:lineRule="exact"/>
        <w:ind w:firstLine="840" w:firstLineChars="300"/>
        <w:rPr>
          <w:rFonts w:ascii="宋体" w:hAnsi="宋体"/>
          <w:color w:val="000000"/>
          <w:szCs w:val="28"/>
        </w:rPr>
      </w:pPr>
      <w:r>
        <w:rPr>
          <w:rFonts w:hint="eastAsia" w:ascii="宋体" w:hAnsi="宋体"/>
          <w:color w:val="000000"/>
          <w:szCs w:val="28"/>
        </w:rPr>
        <w:t>2．价格应按照“竞标须知”的要求报价。</w:t>
      </w:r>
    </w:p>
    <w:p>
      <w:pPr>
        <w:adjustRightInd w:val="0"/>
        <w:snapToGrid w:val="0"/>
        <w:spacing w:line="460" w:lineRule="exact"/>
        <w:ind w:firstLine="840" w:firstLineChars="300"/>
        <w:rPr>
          <w:rFonts w:ascii="宋体" w:hAnsi="宋体"/>
          <w:color w:val="000000"/>
          <w:szCs w:val="28"/>
        </w:rPr>
      </w:pPr>
      <w:r>
        <w:rPr>
          <w:rFonts w:hint="eastAsia" w:ascii="宋体" w:hAnsi="宋体"/>
          <w:color w:val="000000"/>
          <w:szCs w:val="28"/>
        </w:rPr>
        <w:t>3．此表除保留在响应文件中外，</w:t>
      </w:r>
      <w:r>
        <w:rPr>
          <w:color w:val="000000"/>
          <w:szCs w:val="28"/>
        </w:rPr>
        <w:t>还要将另一份</w:t>
      </w:r>
      <w:r>
        <w:rPr>
          <w:rFonts w:hint="eastAsia"/>
          <w:color w:val="000000"/>
          <w:szCs w:val="28"/>
        </w:rPr>
        <w:t>完全</w:t>
      </w:r>
      <w:r>
        <w:rPr>
          <w:color w:val="000000"/>
          <w:szCs w:val="28"/>
        </w:rPr>
        <w:t>相同</w:t>
      </w:r>
      <w:r>
        <w:rPr>
          <w:rFonts w:hint="eastAsia"/>
          <w:color w:val="000000"/>
          <w:szCs w:val="28"/>
        </w:rPr>
        <w:t>的本表</w:t>
      </w:r>
      <w:r>
        <w:rPr>
          <w:rFonts w:hint="eastAsia" w:ascii="宋体" w:hAnsi="宋体"/>
          <w:color w:val="000000"/>
          <w:szCs w:val="28"/>
        </w:rPr>
        <w:t>与优惠声明（如有的话）密封装在一个信封中，单独递交，作为唱标之用。</w:t>
      </w:r>
    </w:p>
    <w:p>
      <w:pPr>
        <w:spacing w:line="460" w:lineRule="exact"/>
        <w:ind w:firstLine="840" w:firstLineChars="300"/>
        <w:rPr>
          <w:color w:val="000000"/>
          <w:szCs w:val="28"/>
        </w:rPr>
      </w:pPr>
      <w:r>
        <w:rPr>
          <w:rFonts w:hint="eastAsia"/>
          <w:color w:val="000000"/>
          <w:szCs w:val="28"/>
        </w:rPr>
        <w:t>4</w:t>
      </w:r>
      <w:r>
        <w:rPr>
          <w:color w:val="000000"/>
          <w:szCs w:val="28"/>
        </w:rPr>
        <w:t>．以上内容缺一不可，格式、内容和签署</w:t>
      </w:r>
      <w:r>
        <w:rPr>
          <w:rFonts w:hint="eastAsia"/>
          <w:color w:val="000000"/>
          <w:szCs w:val="28"/>
        </w:rPr>
        <w:t>、盖章</w:t>
      </w:r>
      <w:r>
        <w:rPr>
          <w:color w:val="000000"/>
          <w:szCs w:val="28"/>
        </w:rPr>
        <w:t>必须</w:t>
      </w:r>
      <w:r>
        <w:rPr>
          <w:rFonts w:hint="eastAsia"/>
          <w:color w:val="000000"/>
          <w:szCs w:val="28"/>
        </w:rPr>
        <w:t>完整</w:t>
      </w:r>
      <w:r>
        <w:rPr>
          <w:color w:val="000000"/>
          <w:szCs w:val="28"/>
        </w:rPr>
        <w:t>，否则为无效竞标。</w:t>
      </w:r>
    </w:p>
    <w:p>
      <w:pPr>
        <w:spacing w:line="460" w:lineRule="exact"/>
        <w:ind w:firstLine="840" w:firstLineChars="300"/>
        <w:rPr>
          <w:rFonts w:eastAsia="楷体_GB2312"/>
          <w:b/>
          <w:bCs/>
          <w:color w:val="000000"/>
        </w:rPr>
      </w:pPr>
      <w:r>
        <w:rPr>
          <w:rFonts w:hint="eastAsia"/>
          <w:color w:val="000000"/>
          <w:szCs w:val="28"/>
        </w:rPr>
        <w:t>5.优惠承诺属于服务评审内容，不作为评审依据。如成交，优惠承诺将列入合同条款。</w:t>
      </w:r>
    </w:p>
    <w:p>
      <w:pPr>
        <w:rPr>
          <w:rFonts w:eastAsia="楷体_GB2312"/>
          <w:b/>
          <w:bCs/>
          <w:color w:val="000000"/>
        </w:rPr>
      </w:pPr>
    </w:p>
    <w:p>
      <w:pPr>
        <w:rPr>
          <w:rFonts w:eastAsia="楷体_GB2312"/>
          <w:b/>
          <w:bCs/>
          <w:color w:val="000000"/>
        </w:rPr>
      </w:pPr>
    </w:p>
    <w:p>
      <w:pPr>
        <w:rPr>
          <w:rFonts w:ascii="宋体" w:hAnsi="宋体"/>
          <w:bCs/>
          <w:color w:val="000000"/>
          <w:u w:val="single"/>
        </w:rPr>
      </w:pPr>
      <w:bookmarkStart w:id="428" w:name="_Toc257360810"/>
      <w:bookmarkStart w:id="429" w:name="_Toc257989780"/>
      <w:bookmarkStart w:id="430" w:name="_Toc257360987"/>
      <w:bookmarkStart w:id="431" w:name="_Toc257990017"/>
      <w:bookmarkStart w:id="432" w:name="_Toc266776877"/>
      <w:bookmarkStart w:id="433" w:name="_Toc266431148"/>
      <w:r>
        <w:rPr>
          <w:rFonts w:ascii="宋体" w:hAnsi="宋体"/>
          <w:bCs/>
          <w:color w:val="000000"/>
        </w:rPr>
        <w:t>法定代表人或</w:t>
      </w:r>
      <w:r>
        <w:rPr>
          <w:rFonts w:hint="eastAsia" w:ascii="宋体" w:hAnsi="宋体"/>
          <w:bCs/>
          <w:color w:val="000000"/>
        </w:rPr>
        <w:t>法人授权代表</w:t>
      </w:r>
      <w:r>
        <w:rPr>
          <w:rFonts w:ascii="宋体" w:hAnsi="宋体"/>
          <w:bCs/>
          <w:color w:val="000000"/>
        </w:rPr>
        <w:t>（签字）</w:t>
      </w:r>
      <w:bookmarkEnd w:id="428"/>
      <w:bookmarkEnd w:id="429"/>
      <w:bookmarkEnd w:id="430"/>
      <w:bookmarkEnd w:id="431"/>
      <w:r>
        <w:rPr>
          <w:rFonts w:hint="eastAsia" w:ascii="宋体" w:hAnsi="宋体"/>
          <w:bCs/>
          <w:color w:val="000000"/>
        </w:rPr>
        <w:t>：</w:t>
      </w:r>
      <w:bookmarkEnd w:id="432"/>
      <w:bookmarkEnd w:id="433"/>
    </w:p>
    <w:p>
      <w:pPr>
        <w:adjustRightInd w:val="0"/>
        <w:snapToGrid w:val="0"/>
        <w:spacing w:line="460" w:lineRule="exact"/>
        <w:rPr>
          <w:rFonts w:ascii="宋体" w:hAnsi="宋体"/>
          <w:color w:val="000000"/>
          <w:szCs w:val="28"/>
        </w:rPr>
      </w:pPr>
    </w:p>
    <w:p>
      <w:pPr>
        <w:autoSpaceDE w:val="0"/>
        <w:autoSpaceDN w:val="0"/>
        <w:spacing w:line="460" w:lineRule="exact"/>
        <w:jc w:val="center"/>
        <w:rPr>
          <w:rFonts w:ascii="宋体" w:hAnsi="宋体"/>
          <w:color w:val="000000"/>
          <w:szCs w:val="28"/>
        </w:rPr>
        <w:sectPr>
          <w:footerReference r:id="rId5" w:type="first"/>
          <w:headerReference r:id="rId3" w:type="default"/>
          <w:footerReference r:id="rId4" w:type="default"/>
          <w:pgSz w:w="11906" w:h="16838"/>
          <w:pgMar w:top="1247" w:right="1474" w:bottom="1191" w:left="1588" w:header="851" w:footer="992" w:gutter="0"/>
          <w:pgNumType w:start="0"/>
          <w:cols w:space="720" w:num="1"/>
          <w:titlePg/>
          <w:docGrid w:linePitch="312" w:charSpace="0"/>
        </w:sectPr>
      </w:pPr>
      <w:r>
        <w:rPr>
          <w:rFonts w:hint="eastAsia" w:ascii="宋体" w:hAnsi="宋体"/>
          <w:color w:val="000000"/>
          <w:szCs w:val="28"/>
        </w:rPr>
        <w:t xml:space="preserve">           年    月     日</w:t>
      </w:r>
    </w:p>
    <w:p>
      <w:pPr>
        <w:pStyle w:val="3"/>
        <w:rPr>
          <w:rFonts w:ascii="宋体" w:hAnsi="宋体" w:eastAsia="宋体"/>
          <w:b w:val="0"/>
          <w:color w:val="000000"/>
          <w:sz w:val="28"/>
          <w:szCs w:val="28"/>
        </w:rPr>
      </w:pPr>
      <w:bookmarkStart w:id="434" w:name="_Toc425318639"/>
      <w:bookmarkStart w:id="435" w:name="_Toc487792163"/>
      <w:r>
        <w:rPr>
          <w:rFonts w:ascii="宋体" w:hAnsi="宋体" w:eastAsia="宋体"/>
          <w:color w:val="000000"/>
          <w:sz w:val="28"/>
          <w:szCs w:val="28"/>
        </w:rPr>
        <w:t>格式</w:t>
      </w:r>
      <w:r>
        <w:rPr>
          <w:rFonts w:hint="eastAsia" w:ascii="宋体" w:hAnsi="宋体" w:eastAsia="宋体"/>
          <w:color w:val="000000"/>
          <w:sz w:val="28"/>
          <w:szCs w:val="28"/>
        </w:rPr>
        <w:t>六</w:t>
      </w:r>
      <w:r>
        <w:rPr>
          <w:rFonts w:ascii="宋体" w:hAnsi="宋体" w:eastAsia="宋体"/>
          <w:b w:val="0"/>
          <w:color w:val="000000"/>
          <w:sz w:val="28"/>
          <w:szCs w:val="28"/>
        </w:rPr>
        <w:t>：</w:t>
      </w:r>
      <w:bookmarkEnd w:id="434"/>
      <w:bookmarkEnd w:id="435"/>
    </w:p>
    <w:p>
      <w:pPr>
        <w:pStyle w:val="3"/>
        <w:jc w:val="center"/>
      </w:pPr>
      <w:bookmarkStart w:id="436" w:name="_Toc152042584"/>
      <w:bookmarkStart w:id="437" w:name="_Toc152045795"/>
      <w:bookmarkStart w:id="438" w:name="_Toc487792164"/>
      <w:bookmarkStart w:id="439" w:name="_Toc415140830"/>
      <w:bookmarkStart w:id="440" w:name="_Toc415158081"/>
      <w:bookmarkStart w:id="441" w:name="_Toc415139895"/>
      <w:bookmarkStart w:id="442" w:name="_Toc415137458"/>
      <w:bookmarkStart w:id="443" w:name="_Toc144974863"/>
      <w:bookmarkStart w:id="444" w:name="_Toc411336284"/>
      <w:bookmarkStart w:id="445" w:name="_Toc425318643"/>
      <w:r>
        <w:rPr>
          <w:rFonts w:hint="eastAsia"/>
        </w:rPr>
        <w:t>已标价工程量清单</w:t>
      </w:r>
      <w:bookmarkEnd w:id="436"/>
      <w:bookmarkEnd w:id="437"/>
      <w:bookmarkEnd w:id="438"/>
      <w:bookmarkEnd w:id="439"/>
      <w:bookmarkEnd w:id="440"/>
      <w:bookmarkEnd w:id="441"/>
      <w:bookmarkEnd w:id="442"/>
      <w:bookmarkEnd w:id="443"/>
      <w:bookmarkEnd w:id="444"/>
    </w:p>
    <w:p>
      <w:pPr>
        <w:pStyle w:val="3"/>
        <w:jc w:val="center"/>
      </w:pPr>
      <w:bookmarkStart w:id="446" w:name="_Toc487792165"/>
      <w:r>
        <w:rPr>
          <w:rFonts w:hint="eastAsia"/>
          <w:color w:val="000000"/>
          <w:sz w:val="24"/>
        </w:rPr>
        <w:t>已标价工程量清单中投标报价汇总表需加盖预算员（或造价员或造价工程师）章</w:t>
      </w:r>
      <w:bookmarkEnd w:id="446"/>
      <w:r>
        <w:rPr>
          <w:sz w:val="20"/>
          <w:szCs w:val="20"/>
        </w:rPr>
        <w:br w:type="page"/>
      </w:r>
    </w:p>
    <w:p>
      <w:pPr>
        <w:pStyle w:val="3"/>
      </w:pPr>
      <w:bookmarkStart w:id="447" w:name="_Toc487792166"/>
      <w:bookmarkStart w:id="448" w:name="_Toc415158082"/>
      <w:bookmarkStart w:id="449" w:name="_Toc415137459"/>
      <w:bookmarkStart w:id="450" w:name="_Toc144974864"/>
      <w:bookmarkStart w:id="451" w:name="_Toc415139896"/>
      <w:bookmarkStart w:id="452" w:name="_Toc152042585"/>
      <w:bookmarkStart w:id="453" w:name="_Toc411336285"/>
      <w:bookmarkStart w:id="454" w:name="_Toc415140831"/>
      <w:bookmarkStart w:id="455" w:name="_Toc152045796"/>
      <w:r>
        <w:t>格式</w:t>
      </w:r>
      <w:r>
        <w:rPr>
          <w:rFonts w:hint="eastAsia"/>
        </w:rPr>
        <w:t>七</w:t>
      </w:r>
      <w:r>
        <w:t>：</w:t>
      </w:r>
      <w:bookmarkEnd w:id="447"/>
    </w:p>
    <w:p>
      <w:pPr>
        <w:pStyle w:val="3"/>
        <w:jc w:val="center"/>
      </w:pPr>
      <w:bookmarkStart w:id="456" w:name="_Toc487792167"/>
      <w:r>
        <w:rPr>
          <w:rFonts w:hint="eastAsia"/>
        </w:rPr>
        <w:t>施工组织设计</w:t>
      </w:r>
      <w:bookmarkEnd w:id="448"/>
      <w:bookmarkEnd w:id="449"/>
      <w:bookmarkEnd w:id="450"/>
      <w:bookmarkEnd w:id="451"/>
      <w:bookmarkEnd w:id="452"/>
      <w:bookmarkEnd w:id="453"/>
      <w:bookmarkEnd w:id="454"/>
      <w:bookmarkEnd w:id="455"/>
      <w:bookmarkEnd w:id="456"/>
    </w:p>
    <w:p>
      <w:pPr>
        <w:spacing w:line="440" w:lineRule="exact"/>
        <w:rPr>
          <w:rFonts w:eastAsia="黑体"/>
          <w:szCs w:val="21"/>
        </w:rPr>
      </w:pPr>
    </w:p>
    <w:p>
      <w:pPr>
        <w:tabs>
          <w:tab w:val="left" w:pos="720"/>
        </w:tabs>
        <w:spacing w:line="440" w:lineRule="exact"/>
        <w:ind w:firstLine="560" w:firstLineChars="200"/>
        <w:rPr>
          <w:szCs w:val="21"/>
        </w:rPr>
      </w:pPr>
      <w:r>
        <w:rPr>
          <w:szCs w:val="21"/>
        </w:rPr>
        <w:t xml:space="preserve">1. </w:t>
      </w:r>
      <w:r>
        <w:rPr>
          <w:szCs w:val="21"/>
        </w:rPr>
        <w:tab/>
      </w:r>
      <w:r>
        <w:rPr>
          <w:rFonts w:hint="eastAsia"/>
          <w:szCs w:val="21"/>
        </w:rPr>
        <w:t>投标人编制施工组织设计的要求：编制时应采用文字并结合图表形式说明施工方法；拟投入本标段的主要施工设备情况、拟配备本标段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pPr>
        <w:tabs>
          <w:tab w:val="left" w:pos="720"/>
        </w:tabs>
        <w:spacing w:line="440" w:lineRule="exact"/>
        <w:ind w:firstLine="560" w:firstLineChars="200"/>
        <w:rPr>
          <w:szCs w:val="21"/>
        </w:rPr>
      </w:pPr>
      <w:r>
        <w:rPr>
          <w:szCs w:val="21"/>
        </w:rPr>
        <w:t xml:space="preserve">2. </w:t>
      </w:r>
      <w:r>
        <w:rPr>
          <w:szCs w:val="21"/>
        </w:rPr>
        <w:tab/>
      </w:r>
      <w:r>
        <w:rPr>
          <w:rFonts w:hint="eastAsia"/>
          <w:szCs w:val="21"/>
        </w:rPr>
        <w:t>施工组织设计除采用文字表述外可附下列图表，图表及格式要求附后。</w:t>
      </w:r>
    </w:p>
    <w:p>
      <w:pPr>
        <w:tabs>
          <w:tab w:val="left" w:pos="720"/>
        </w:tabs>
        <w:spacing w:line="440" w:lineRule="exact"/>
        <w:ind w:firstLine="1008" w:firstLineChars="360"/>
        <w:rPr>
          <w:szCs w:val="21"/>
        </w:rPr>
      </w:pPr>
      <w:r>
        <w:rPr>
          <w:rFonts w:hint="eastAsia"/>
          <w:szCs w:val="21"/>
        </w:rPr>
        <w:t>附表一拟投入本标段的主要施工设备表</w:t>
      </w:r>
    </w:p>
    <w:p>
      <w:pPr>
        <w:tabs>
          <w:tab w:val="left" w:pos="720"/>
        </w:tabs>
        <w:spacing w:line="440" w:lineRule="exact"/>
        <w:ind w:firstLine="1008" w:firstLineChars="360"/>
        <w:rPr>
          <w:szCs w:val="21"/>
        </w:rPr>
      </w:pPr>
      <w:r>
        <w:rPr>
          <w:rFonts w:hint="eastAsia"/>
          <w:szCs w:val="21"/>
        </w:rPr>
        <w:t>附表二拟配备本标段的试验和检测仪器设备表</w:t>
      </w:r>
    </w:p>
    <w:p>
      <w:pPr>
        <w:tabs>
          <w:tab w:val="left" w:pos="720"/>
        </w:tabs>
        <w:spacing w:line="440" w:lineRule="exact"/>
        <w:ind w:firstLine="1008" w:firstLineChars="360"/>
        <w:rPr>
          <w:szCs w:val="21"/>
        </w:rPr>
      </w:pPr>
      <w:r>
        <w:rPr>
          <w:rFonts w:hint="eastAsia"/>
          <w:szCs w:val="21"/>
        </w:rPr>
        <w:t>附表三劳动力计划表</w:t>
      </w:r>
    </w:p>
    <w:p>
      <w:pPr>
        <w:tabs>
          <w:tab w:val="left" w:pos="720"/>
        </w:tabs>
        <w:spacing w:line="440" w:lineRule="exact"/>
        <w:ind w:firstLine="1008" w:firstLineChars="360"/>
        <w:rPr>
          <w:szCs w:val="21"/>
        </w:rPr>
      </w:pPr>
      <w:r>
        <w:rPr>
          <w:rFonts w:hint="eastAsia"/>
          <w:szCs w:val="21"/>
        </w:rPr>
        <w:t>附表四计划开、</w:t>
      </w:r>
      <w:r>
        <w:rPr>
          <w:rFonts w:hint="eastAsia"/>
        </w:rPr>
        <w:t>竣工</w:t>
      </w:r>
      <w:r>
        <w:rPr>
          <w:rFonts w:hint="eastAsia"/>
          <w:szCs w:val="21"/>
        </w:rPr>
        <w:t>日期和施工进度网络图</w:t>
      </w:r>
    </w:p>
    <w:p>
      <w:pPr>
        <w:tabs>
          <w:tab w:val="left" w:pos="720"/>
        </w:tabs>
        <w:spacing w:line="440" w:lineRule="exact"/>
        <w:ind w:firstLine="1008" w:firstLineChars="360"/>
        <w:rPr>
          <w:szCs w:val="21"/>
        </w:rPr>
      </w:pPr>
      <w:r>
        <w:rPr>
          <w:rFonts w:hint="eastAsia"/>
          <w:szCs w:val="21"/>
        </w:rPr>
        <w:t>附表五施工总平面图</w:t>
      </w:r>
    </w:p>
    <w:p>
      <w:pPr>
        <w:tabs>
          <w:tab w:val="left" w:pos="720"/>
        </w:tabs>
        <w:spacing w:line="440" w:lineRule="exact"/>
        <w:ind w:firstLine="1008" w:firstLineChars="360"/>
        <w:rPr>
          <w:szCs w:val="21"/>
        </w:rPr>
      </w:pPr>
      <w:r>
        <w:rPr>
          <w:rFonts w:hint="eastAsia"/>
          <w:szCs w:val="21"/>
        </w:rPr>
        <w:t>附表六临时用地表</w:t>
      </w:r>
    </w:p>
    <w:p>
      <w:pPr>
        <w:spacing w:line="440" w:lineRule="exact"/>
        <w:rPr>
          <w:rFonts w:eastAsia="黑体"/>
          <w:sz w:val="20"/>
        </w:rPr>
      </w:pPr>
    </w:p>
    <w:p>
      <w:pPr>
        <w:spacing w:line="440" w:lineRule="exact"/>
        <w:rPr>
          <w:rFonts w:eastAsia="黑体"/>
          <w:sz w:val="20"/>
        </w:rPr>
      </w:pPr>
    </w:p>
    <w:p>
      <w:pPr>
        <w:spacing w:line="440" w:lineRule="exact"/>
        <w:rPr>
          <w:rFonts w:eastAsia="黑体"/>
          <w:sz w:val="20"/>
        </w:rPr>
      </w:pPr>
    </w:p>
    <w:p>
      <w:pPr>
        <w:spacing w:line="440" w:lineRule="exact"/>
        <w:rPr>
          <w:rFonts w:eastAsia="黑体"/>
          <w:sz w:val="20"/>
        </w:rPr>
      </w:pPr>
    </w:p>
    <w:p>
      <w:pPr>
        <w:spacing w:line="440" w:lineRule="exact"/>
        <w:rPr>
          <w:rFonts w:eastAsia="黑体"/>
          <w:sz w:val="20"/>
        </w:rPr>
      </w:pPr>
    </w:p>
    <w:p>
      <w:pPr>
        <w:spacing w:line="440" w:lineRule="exact"/>
        <w:rPr>
          <w:rFonts w:eastAsia="黑体"/>
          <w:sz w:val="20"/>
        </w:rPr>
      </w:pPr>
    </w:p>
    <w:p>
      <w:pPr>
        <w:spacing w:line="440" w:lineRule="exact"/>
        <w:rPr>
          <w:rFonts w:eastAsia="黑体"/>
          <w:sz w:val="20"/>
        </w:rPr>
      </w:pPr>
    </w:p>
    <w:p>
      <w:pPr>
        <w:spacing w:line="440" w:lineRule="exact"/>
        <w:rPr>
          <w:rFonts w:eastAsia="黑体"/>
          <w:sz w:val="20"/>
        </w:rPr>
      </w:pPr>
    </w:p>
    <w:p>
      <w:pPr>
        <w:spacing w:line="440" w:lineRule="exact"/>
        <w:rPr>
          <w:rFonts w:eastAsia="黑体"/>
          <w:sz w:val="20"/>
        </w:rPr>
      </w:pPr>
    </w:p>
    <w:p>
      <w:pPr>
        <w:spacing w:line="440" w:lineRule="exact"/>
        <w:rPr>
          <w:rFonts w:eastAsia="黑体"/>
          <w:sz w:val="20"/>
        </w:rPr>
      </w:pPr>
    </w:p>
    <w:p>
      <w:pPr>
        <w:spacing w:line="440" w:lineRule="exact"/>
        <w:rPr>
          <w:sz w:val="20"/>
        </w:rPr>
      </w:pPr>
    </w:p>
    <w:p>
      <w:pPr>
        <w:pStyle w:val="4"/>
        <w:spacing w:before="120" w:after="156"/>
        <w:rPr>
          <w:sz w:val="28"/>
        </w:rPr>
      </w:pPr>
      <w:bookmarkStart w:id="457" w:name="_Toc415137460"/>
      <w:bookmarkStart w:id="458" w:name="_Toc415139897"/>
      <w:bookmarkStart w:id="459" w:name="_Toc411336286"/>
      <w:bookmarkStart w:id="460" w:name="_Toc487792168"/>
      <w:bookmarkStart w:id="461" w:name="_Toc415158083"/>
      <w:bookmarkStart w:id="462" w:name="_Toc415140832"/>
      <w:bookmarkStart w:id="463" w:name="_Toc152042586"/>
      <w:bookmarkStart w:id="464" w:name="_Toc144974865"/>
      <w:bookmarkStart w:id="465" w:name="_Toc152045797"/>
      <w:r>
        <w:rPr>
          <w:rFonts w:hint="eastAsia"/>
        </w:rPr>
        <w:t>附表一：拟投入本标段的主要施工设备表</w:t>
      </w:r>
      <w:bookmarkEnd w:id="457"/>
      <w:bookmarkEnd w:id="458"/>
      <w:bookmarkEnd w:id="459"/>
      <w:bookmarkEnd w:id="460"/>
      <w:bookmarkEnd w:id="461"/>
      <w:bookmarkEnd w:id="462"/>
      <w:bookmarkEnd w:id="463"/>
      <w:bookmarkEnd w:id="464"/>
      <w:bookmarkEnd w:id="465"/>
    </w:p>
    <w:p>
      <w:pPr>
        <w:spacing w:line="440" w:lineRule="exact"/>
        <w:rPr>
          <w:sz w:val="20"/>
        </w:rPr>
      </w:pPr>
    </w:p>
    <w:tbl>
      <w:tblPr>
        <w:tblStyle w:val="48"/>
        <w:tblW w:w="874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086"/>
        <w:gridCol w:w="761"/>
        <w:gridCol w:w="823"/>
        <w:gridCol w:w="839"/>
        <w:gridCol w:w="738"/>
        <w:gridCol w:w="1212"/>
        <w:gridCol w:w="874"/>
        <w:gridCol w:w="1055"/>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5"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textAlignment w:val="baseline"/>
              <w:rPr>
                <w:sz w:val="24"/>
                <w:szCs w:val="24"/>
              </w:rPr>
            </w:pPr>
            <w:r>
              <w:rPr>
                <w:rFonts w:hint="eastAsia"/>
                <w:sz w:val="24"/>
                <w:szCs w:val="24"/>
              </w:rPr>
              <w:t>序号</w:t>
            </w:r>
          </w:p>
        </w:tc>
        <w:tc>
          <w:tcPr>
            <w:tcW w:w="1086"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设备名称</w:t>
            </w:r>
          </w:p>
        </w:tc>
        <w:tc>
          <w:tcPr>
            <w:tcW w:w="761"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型号</w:t>
            </w:r>
          </w:p>
          <w:p>
            <w:pPr>
              <w:adjustRightInd w:val="0"/>
              <w:spacing w:line="440" w:lineRule="exact"/>
              <w:jc w:val="center"/>
              <w:textAlignment w:val="baseline"/>
              <w:rPr>
                <w:sz w:val="24"/>
                <w:szCs w:val="24"/>
              </w:rPr>
            </w:pPr>
            <w:r>
              <w:rPr>
                <w:rFonts w:hint="eastAsia"/>
                <w:sz w:val="24"/>
                <w:szCs w:val="24"/>
              </w:rPr>
              <w:t>规格</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数量</w:t>
            </w:r>
          </w:p>
        </w:tc>
        <w:tc>
          <w:tcPr>
            <w:tcW w:w="839"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国别</w:t>
            </w:r>
          </w:p>
          <w:p>
            <w:pPr>
              <w:adjustRightInd w:val="0"/>
              <w:spacing w:line="440" w:lineRule="exact"/>
              <w:jc w:val="center"/>
              <w:textAlignment w:val="baseline"/>
              <w:rPr>
                <w:sz w:val="24"/>
                <w:szCs w:val="24"/>
              </w:rPr>
            </w:pPr>
            <w:r>
              <w:rPr>
                <w:rFonts w:hint="eastAsia"/>
                <w:sz w:val="24"/>
                <w:szCs w:val="24"/>
              </w:rPr>
              <w:t>产地</w:t>
            </w:r>
          </w:p>
        </w:tc>
        <w:tc>
          <w:tcPr>
            <w:tcW w:w="738"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制造</w:t>
            </w:r>
          </w:p>
          <w:p>
            <w:pPr>
              <w:adjustRightInd w:val="0"/>
              <w:spacing w:line="440" w:lineRule="exact"/>
              <w:jc w:val="center"/>
              <w:textAlignment w:val="baseline"/>
              <w:rPr>
                <w:sz w:val="24"/>
                <w:szCs w:val="24"/>
              </w:rPr>
            </w:pPr>
            <w:r>
              <w:rPr>
                <w:rFonts w:hint="eastAsia"/>
                <w:sz w:val="24"/>
                <w:szCs w:val="24"/>
              </w:rPr>
              <w:t>年份</w:t>
            </w:r>
          </w:p>
        </w:tc>
        <w:tc>
          <w:tcPr>
            <w:tcW w:w="1212"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额定功率（</w:t>
            </w:r>
            <w:r>
              <w:rPr>
                <w:sz w:val="24"/>
                <w:szCs w:val="24"/>
              </w:rPr>
              <w:t>KW</w:t>
            </w:r>
            <w:r>
              <w:rPr>
                <w:rFonts w:hint="eastAsia"/>
                <w:sz w:val="24"/>
                <w:szCs w:val="24"/>
              </w:rPr>
              <w:t>）</w:t>
            </w:r>
          </w:p>
        </w:tc>
        <w:tc>
          <w:tcPr>
            <w:tcW w:w="874"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生产</w:t>
            </w:r>
          </w:p>
          <w:p>
            <w:pPr>
              <w:adjustRightInd w:val="0"/>
              <w:spacing w:line="440" w:lineRule="exact"/>
              <w:jc w:val="center"/>
              <w:textAlignment w:val="baseline"/>
              <w:rPr>
                <w:sz w:val="24"/>
                <w:szCs w:val="24"/>
              </w:rPr>
            </w:pPr>
            <w:r>
              <w:rPr>
                <w:rFonts w:hint="eastAsia"/>
                <w:sz w:val="24"/>
                <w:szCs w:val="24"/>
              </w:rPr>
              <w:t>能力</w:t>
            </w:r>
          </w:p>
        </w:tc>
        <w:tc>
          <w:tcPr>
            <w:tcW w:w="1055"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用于施工部位</w:t>
            </w:r>
          </w:p>
        </w:tc>
        <w:tc>
          <w:tcPr>
            <w:tcW w:w="691"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1086"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761"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839"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874"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1055"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691"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1086"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761"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839"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874"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1055"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691"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2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3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7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5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2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3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7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5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2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3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7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5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2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3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7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5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2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3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7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5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2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3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7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5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2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3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7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5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2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3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7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5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2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3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7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5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2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3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7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5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2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3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7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5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2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3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7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5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2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3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7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5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2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3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7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5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2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3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7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5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2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3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7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5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2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3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7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5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2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3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7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5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2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3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7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5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2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3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7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5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2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3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7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5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bl>
    <w:p>
      <w:pPr>
        <w:spacing w:line="440" w:lineRule="exact"/>
        <w:rPr>
          <w:rFonts w:eastAsia="黑体"/>
          <w:sz w:val="20"/>
        </w:rPr>
      </w:pPr>
    </w:p>
    <w:p>
      <w:pPr>
        <w:pStyle w:val="4"/>
        <w:spacing w:before="120" w:after="156"/>
        <w:rPr>
          <w:rFonts w:eastAsia="黑体"/>
          <w:sz w:val="28"/>
        </w:rPr>
      </w:pPr>
      <w:bookmarkStart w:id="466" w:name="_Toc415140833"/>
      <w:bookmarkStart w:id="467" w:name="_Toc415158084"/>
      <w:bookmarkStart w:id="468" w:name="_Toc411336287"/>
      <w:bookmarkStart w:id="469" w:name="_Toc152045798"/>
      <w:bookmarkStart w:id="470" w:name="_Toc152042587"/>
      <w:bookmarkStart w:id="471" w:name="_Toc415139898"/>
      <w:bookmarkStart w:id="472" w:name="_Toc415137461"/>
      <w:bookmarkStart w:id="473" w:name="_Toc144974866"/>
      <w:bookmarkStart w:id="474" w:name="_Toc487792169"/>
      <w:r>
        <w:rPr>
          <w:rFonts w:hint="eastAsia"/>
        </w:rPr>
        <w:t>附表二：拟配备本标段的试验和检测仪器设备表</w:t>
      </w:r>
      <w:bookmarkEnd w:id="466"/>
      <w:bookmarkEnd w:id="467"/>
      <w:bookmarkEnd w:id="468"/>
      <w:bookmarkEnd w:id="469"/>
      <w:bookmarkEnd w:id="470"/>
      <w:bookmarkEnd w:id="471"/>
      <w:bookmarkEnd w:id="472"/>
      <w:bookmarkEnd w:id="473"/>
      <w:bookmarkEnd w:id="474"/>
    </w:p>
    <w:tbl>
      <w:tblPr>
        <w:tblStyle w:val="48"/>
        <w:tblW w:w="846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087"/>
        <w:gridCol w:w="760"/>
        <w:gridCol w:w="964"/>
        <w:gridCol w:w="699"/>
        <w:gridCol w:w="738"/>
        <w:gridCol w:w="1212"/>
        <w:gridCol w:w="1653"/>
        <w:gridCol w:w="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textAlignment w:val="baseline"/>
              <w:rPr>
                <w:sz w:val="24"/>
                <w:szCs w:val="24"/>
              </w:rPr>
            </w:pPr>
            <w:r>
              <w:rPr>
                <w:rFonts w:hint="eastAsia"/>
                <w:sz w:val="24"/>
                <w:szCs w:val="24"/>
              </w:rPr>
              <w:t>序号</w:t>
            </w:r>
          </w:p>
        </w:tc>
        <w:tc>
          <w:tcPr>
            <w:tcW w:w="1087"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仪器设备名称</w:t>
            </w:r>
          </w:p>
        </w:tc>
        <w:tc>
          <w:tcPr>
            <w:tcW w:w="760"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型号</w:t>
            </w:r>
          </w:p>
          <w:p>
            <w:pPr>
              <w:adjustRightInd w:val="0"/>
              <w:spacing w:line="440" w:lineRule="exact"/>
              <w:jc w:val="center"/>
              <w:textAlignment w:val="baseline"/>
              <w:rPr>
                <w:sz w:val="24"/>
                <w:szCs w:val="24"/>
              </w:rPr>
            </w:pPr>
            <w:r>
              <w:rPr>
                <w:rFonts w:hint="eastAsia"/>
                <w:sz w:val="24"/>
                <w:szCs w:val="24"/>
              </w:rPr>
              <w:t>规格</w:t>
            </w:r>
          </w:p>
        </w:tc>
        <w:tc>
          <w:tcPr>
            <w:tcW w:w="964"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数量</w:t>
            </w:r>
          </w:p>
        </w:tc>
        <w:tc>
          <w:tcPr>
            <w:tcW w:w="699"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国别</w:t>
            </w:r>
          </w:p>
          <w:p>
            <w:pPr>
              <w:adjustRightInd w:val="0"/>
              <w:spacing w:line="440" w:lineRule="exact"/>
              <w:jc w:val="center"/>
              <w:textAlignment w:val="baseline"/>
              <w:rPr>
                <w:sz w:val="24"/>
                <w:szCs w:val="24"/>
              </w:rPr>
            </w:pPr>
            <w:r>
              <w:rPr>
                <w:rFonts w:hint="eastAsia"/>
                <w:sz w:val="24"/>
                <w:szCs w:val="24"/>
              </w:rPr>
              <w:t>产地</w:t>
            </w:r>
          </w:p>
        </w:tc>
        <w:tc>
          <w:tcPr>
            <w:tcW w:w="738"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制造</w:t>
            </w:r>
          </w:p>
          <w:p>
            <w:pPr>
              <w:adjustRightInd w:val="0"/>
              <w:spacing w:line="440" w:lineRule="exact"/>
              <w:jc w:val="center"/>
              <w:textAlignment w:val="baseline"/>
              <w:rPr>
                <w:sz w:val="24"/>
                <w:szCs w:val="24"/>
              </w:rPr>
            </w:pPr>
            <w:r>
              <w:rPr>
                <w:rFonts w:hint="eastAsia"/>
                <w:sz w:val="24"/>
                <w:szCs w:val="24"/>
              </w:rPr>
              <w:t>年份</w:t>
            </w:r>
          </w:p>
        </w:tc>
        <w:tc>
          <w:tcPr>
            <w:tcW w:w="1212"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已使用台时数</w:t>
            </w:r>
          </w:p>
        </w:tc>
        <w:tc>
          <w:tcPr>
            <w:tcW w:w="1653"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用途</w:t>
            </w:r>
          </w:p>
        </w:tc>
        <w:tc>
          <w:tcPr>
            <w:tcW w:w="688"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1087"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760"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964"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699"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1653"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688"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1087"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760"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964"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699"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1653"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688"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65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8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65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8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65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8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65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8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65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8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65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8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65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8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65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8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65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8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65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8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65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8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65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8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65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8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65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8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65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8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65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8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65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8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65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8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65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8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65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8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8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6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9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1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65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68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bl>
    <w:p>
      <w:pPr>
        <w:spacing w:line="440" w:lineRule="exact"/>
        <w:rPr>
          <w:rFonts w:eastAsia="黑体"/>
          <w:sz w:val="20"/>
        </w:rPr>
      </w:pPr>
      <w:r>
        <w:rPr>
          <w:rFonts w:eastAsia="黑体"/>
          <w:sz w:val="20"/>
        </w:rPr>
        <w:br w:type="page"/>
      </w:r>
    </w:p>
    <w:p>
      <w:pPr>
        <w:pStyle w:val="4"/>
        <w:spacing w:before="120" w:after="156"/>
        <w:rPr>
          <w:rFonts w:eastAsia="黑体"/>
          <w:sz w:val="28"/>
        </w:rPr>
      </w:pPr>
      <w:bookmarkStart w:id="475" w:name="_Toc415140834"/>
      <w:bookmarkStart w:id="476" w:name="_Toc415158085"/>
      <w:bookmarkStart w:id="477" w:name="_Toc152045799"/>
      <w:bookmarkStart w:id="478" w:name="_Toc411336288"/>
      <w:bookmarkStart w:id="479" w:name="_Toc415137462"/>
      <w:bookmarkStart w:id="480" w:name="_Toc152042588"/>
      <w:bookmarkStart w:id="481" w:name="_Toc415139899"/>
      <w:bookmarkStart w:id="482" w:name="_Toc487792170"/>
      <w:bookmarkStart w:id="483" w:name="_Toc144974867"/>
      <w:r>
        <w:rPr>
          <w:rFonts w:hint="eastAsia"/>
        </w:rPr>
        <w:t>附表三：劳动力计划表</w:t>
      </w:r>
      <w:bookmarkEnd w:id="475"/>
      <w:bookmarkEnd w:id="476"/>
      <w:bookmarkEnd w:id="477"/>
      <w:bookmarkEnd w:id="478"/>
      <w:bookmarkEnd w:id="479"/>
      <w:bookmarkEnd w:id="480"/>
      <w:bookmarkEnd w:id="481"/>
      <w:bookmarkEnd w:id="482"/>
      <w:bookmarkEnd w:id="483"/>
    </w:p>
    <w:p>
      <w:pPr>
        <w:spacing w:line="440" w:lineRule="exact"/>
        <w:ind w:right="1180"/>
        <w:jc w:val="right"/>
        <w:rPr>
          <w:rFonts w:eastAsia="黑体"/>
          <w:szCs w:val="21"/>
        </w:rPr>
      </w:pPr>
      <w:r>
        <w:rPr>
          <w:rFonts w:hint="eastAsia" w:eastAsia="黑体"/>
          <w:szCs w:val="21"/>
        </w:rPr>
        <w:t>单位：人</w:t>
      </w:r>
    </w:p>
    <w:tbl>
      <w:tblPr>
        <w:tblStyle w:val="4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304"/>
        <w:gridCol w:w="1065"/>
        <w:gridCol w:w="1065"/>
        <w:gridCol w:w="1065"/>
        <w:gridCol w:w="1065"/>
        <w:gridCol w:w="1065"/>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r>
              <w:rPr>
                <w:rFonts w:hint="eastAsia"/>
                <w:szCs w:val="21"/>
              </w:rPr>
              <w:t>工种</w:t>
            </w:r>
          </w:p>
        </w:tc>
        <w:tc>
          <w:tcPr>
            <w:tcW w:w="7693" w:type="dxa"/>
            <w:gridSpan w:val="7"/>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r>
              <w:rPr>
                <w:rFonts w:hint="eastAsia"/>
                <w:szCs w:val="21"/>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1304"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1064"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1304"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1064"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3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3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3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3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3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3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3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3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3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3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3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3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3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3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3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3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3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3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3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3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3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3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3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13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0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bl>
    <w:p>
      <w:pPr>
        <w:pStyle w:val="4"/>
        <w:spacing w:before="120" w:after="156"/>
      </w:pPr>
      <w:bookmarkStart w:id="484" w:name="_Toc152045800"/>
      <w:bookmarkStart w:id="485" w:name="_Toc415139900"/>
      <w:bookmarkStart w:id="486" w:name="_Toc144974868"/>
      <w:bookmarkStart w:id="487" w:name="_Toc411336289"/>
      <w:bookmarkStart w:id="488" w:name="_Toc415137463"/>
      <w:bookmarkStart w:id="489" w:name="_Toc152042589"/>
      <w:bookmarkStart w:id="490" w:name="_Toc487792171"/>
      <w:bookmarkStart w:id="491" w:name="_Toc415158086"/>
      <w:bookmarkStart w:id="492" w:name="_Toc415140835"/>
      <w:r>
        <w:rPr>
          <w:rFonts w:hint="eastAsia"/>
        </w:rPr>
        <w:t>附表四：计划开、竣工日期和施工进度网络图</w:t>
      </w:r>
      <w:bookmarkEnd w:id="484"/>
      <w:bookmarkEnd w:id="485"/>
      <w:bookmarkEnd w:id="486"/>
      <w:bookmarkEnd w:id="487"/>
      <w:bookmarkEnd w:id="488"/>
      <w:bookmarkEnd w:id="489"/>
      <w:bookmarkEnd w:id="490"/>
      <w:bookmarkEnd w:id="491"/>
      <w:bookmarkEnd w:id="492"/>
    </w:p>
    <w:p>
      <w:pPr>
        <w:spacing w:line="440" w:lineRule="exact"/>
        <w:rPr>
          <w:rFonts w:eastAsia="黑体"/>
          <w:sz w:val="20"/>
          <w:lang w:val="zh-CN"/>
        </w:rPr>
      </w:pPr>
    </w:p>
    <w:p>
      <w:pPr>
        <w:spacing w:line="440" w:lineRule="exact"/>
        <w:ind w:firstLine="560" w:firstLineChars="200"/>
        <w:rPr>
          <w:szCs w:val="21"/>
        </w:rPr>
      </w:pPr>
      <w:r>
        <w:rPr>
          <w:szCs w:val="21"/>
        </w:rPr>
        <w:t xml:space="preserve">1. </w:t>
      </w:r>
      <w:r>
        <w:rPr>
          <w:rFonts w:hint="eastAsia"/>
          <w:szCs w:val="21"/>
        </w:rPr>
        <w:t>投标人应递交施工进度网络图或施工进度表，说明按招标文件要求的计划工期进行施工的各个关键日期。</w:t>
      </w:r>
    </w:p>
    <w:p>
      <w:pPr>
        <w:spacing w:line="440" w:lineRule="exact"/>
        <w:ind w:firstLine="560" w:firstLineChars="200"/>
        <w:rPr>
          <w:szCs w:val="21"/>
        </w:rPr>
      </w:pPr>
      <w:r>
        <w:rPr>
          <w:szCs w:val="21"/>
        </w:rPr>
        <w:t xml:space="preserve">2. </w:t>
      </w:r>
      <w:r>
        <w:rPr>
          <w:rFonts w:hint="eastAsia"/>
          <w:szCs w:val="21"/>
        </w:rPr>
        <w:t>施工进度表可采用网络图（或横道图）表示。</w:t>
      </w:r>
    </w:p>
    <w:p>
      <w:pPr>
        <w:spacing w:line="440" w:lineRule="exact"/>
        <w:rPr>
          <w:sz w:val="20"/>
        </w:rPr>
      </w:pPr>
    </w:p>
    <w:p>
      <w:pPr>
        <w:spacing w:line="440" w:lineRule="exact"/>
        <w:rPr>
          <w:rFonts w:eastAsia="黑体"/>
          <w:sz w:val="20"/>
        </w:rPr>
      </w:pPr>
    </w:p>
    <w:p>
      <w:pPr>
        <w:spacing w:line="440" w:lineRule="exact"/>
        <w:rPr>
          <w:rFonts w:eastAsia="黑体"/>
          <w:sz w:val="20"/>
        </w:rPr>
      </w:pPr>
      <w:r>
        <w:rPr>
          <w:rFonts w:eastAsia="黑体"/>
          <w:sz w:val="20"/>
        </w:rPr>
        <w:br w:type="page"/>
      </w:r>
    </w:p>
    <w:p>
      <w:pPr>
        <w:pStyle w:val="4"/>
        <w:spacing w:before="120" w:after="156"/>
        <w:rPr>
          <w:rFonts w:eastAsia="黑体"/>
          <w:sz w:val="28"/>
        </w:rPr>
      </w:pPr>
      <w:bookmarkStart w:id="493" w:name="_Toc144974869"/>
      <w:bookmarkStart w:id="494" w:name="_Toc152042590"/>
      <w:bookmarkStart w:id="495" w:name="_Toc152045801"/>
      <w:bookmarkStart w:id="496" w:name="_Toc411336290"/>
      <w:bookmarkStart w:id="497" w:name="_Toc415137464"/>
      <w:bookmarkStart w:id="498" w:name="_Toc415140836"/>
      <w:bookmarkStart w:id="499" w:name="_Toc487792172"/>
      <w:bookmarkStart w:id="500" w:name="_Toc415158087"/>
      <w:bookmarkStart w:id="501" w:name="_Toc415139901"/>
      <w:r>
        <w:rPr>
          <w:rFonts w:hint="eastAsia"/>
        </w:rPr>
        <w:t>附表五：施工总平面图</w:t>
      </w:r>
      <w:bookmarkEnd w:id="493"/>
      <w:bookmarkEnd w:id="494"/>
      <w:bookmarkEnd w:id="495"/>
      <w:bookmarkEnd w:id="496"/>
      <w:bookmarkEnd w:id="497"/>
      <w:bookmarkEnd w:id="498"/>
      <w:bookmarkEnd w:id="499"/>
      <w:bookmarkEnd w:id="500"/>
      <w:bookmarkEnd w:id="501"/>
    </w:p>
    <w:p>
      <w:pPr>
        <w:spacing w:line="440" w:lineRule="exact"/>
        <w:rPr>
          <w:szCs w:val="21"/>
        </w:rPr>
      </w:pPr>
      <w:r>
        <w:rPr>
          <w:rFonts w:eastAsia="黑体"/>
          <w:sz w:val="20"/>
        </w:rPr>
        <w:tab/>
      </w:r>
      <w:r>
        <w:rPr>
          <w:rFonts w:hint="eastAsia"/>
          <w:szCs w:val="21"/>
        </w:rPr>
        <w:t>投标人应递交一份施工总平面图，绘出现场临时设施布置图表并附文字说明，说明临时设施、加工车间、现场办公、设备及仓储、供电、供水、卫生、生活、道路、消防等设施的情况和布置。</w:t>
      </w:r>
    </w:p>
    <w:p>
      <w:pPr>
        <w:spacing w:line="440" w:lineRule="exact"/>
        <w:rPr>
          <w:rFonts w:eastAsia="黑体"/>
          <w:sz w:val="20"/>
        </w:rPr>
      </w:pPr>
    </w:p>
    <w:p>
      <w:pPr>
        <w:spacing w:line="440" w:lineRule="exact"/>
        <w:rPr>
          <w:rFonts w:eastAsia="黑体"/>
          <w:sz w:val="20"/>
        </w:rPr>
      </w:pPr>
      <w:r>
        <w:rPr>
          <w:rFonts w:eastAsia="黑体"/>
          <w:sz w:val="20"/>
        </w:rPr>
        <w:br w:type="page"/>
      </w:r>
    </w:p>
    <w:p>
      <w:pPr>
        <w:pStyle w:val="4"/>
        <w:spacing w:before="120" w:after="156"/>
        <w:rPr>
          <w:rFonts w:eastAsia="黑体"/>
          <w:sz w:val="28"/>
        </w:rPr>
      </w:pPr>
      <w:bookmarkStart w:id="502" w:name="_Toc411336291"/>
      <w:bookmarkStart w:id="503" w:name="_Toc415140837"/>
      <w:bookmarkStart w:id="504" w:name="_Toc415137465"/>
      <w:bookmarkStart w:id="505" w:name="_Toc415158088"/>
      <w:bookmarkStart w:id="506" w:name="_Toc415139902"/>
      <w:bookmarkStart w:id="507" w:name="_Toc152045802"/>
      <w:bookmarkStart w:id="508" w:name="_Toc152042591"/>
      <w:bookmarkStart w:id="509" w:name="_Toc144974870"/>
      <w:bookmarkStart w:id="510" w:name="_Toc487792173"/>
      <w:r>
        <w:rPr>
          <w:rFonts w:hint="eastAsia"/>
        </w:rPr>
        <w:t>附表六：临时用地表</w:t>
      </w:r>
      <w:bookmarkEnd w:id="502"/>
      <w:bookmarkEnd w:id="503"/>
      <w:bookmarkEnd w:id="504"/>
      <w:bookmarkEnd w:id="505"/>
      <w:bookmarkEnd w:id="506"/>
      <w:bookmarkEnd w:id="507"/>
      <w:bookmarkEnd w:id="508"/>
      <w:bookmarkEnd w:id="509"/>
      <w:bookmarkEnd w:id="510"/>
    </w:p>
    <w:p>
      <w:pPr>
        <w:spacing w:line="440" w:lineRule="exact"/>
        <w:jc w:val="center"/>
        <w:rPr>
          <w:sz w:val="23"/>
          <w:szCs w:val="23"/>
        </w:rPr>
      </w:pPr>
    </w:p>
    <w:tbl>
      <w:tblPr>
        <w:tblStyle w:val="4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r>
              <w:rPr>
                <w:rFonts w:hint="eastAsia"/>
                <w:szCs w:val="21"/>
              </w:rPr>
              <w:t>用途</w:t>
            </w:r>
          </w:p>
        </w:tc>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r>
              <w:rPr>
                <w:rFonts w:hint="eastAsia"/>
                <w:szCs w:val="21"/>
              </w:rPr>
              <w:t>面积（平方米）</w:t>
            </w: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r>
              <w:rPr>
                <w:rFonts w:hint="eastAsia"/>
                <w:szCs w:val="21"/>
              </w:rPr>
              <w:t>位置</w:t>
            </w: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r>
              <w:rPr>
                <w:rFonts w:hint="eastAsia"/>
                <w:szCs w:val="21"/>
              </w:rPr>
              <w:t>需用时间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0"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c>
          <w:tcPr>
            <w:tcW w:w="2131" w:type="dxa"/>
            <w:tcBorders>
              <w:top w:val="single" w:color="auto" w:sz="4" w:space="0"/>
              <w:left w:val="single" w:color="auto" w:sz="4" w:space="0"/>
              <w:bottom w:val="single" w:color="auto" w:sz="4" w:space="0"/>
              <w:right w:val="single" w:color="auto" w:sz="4" w:space="0"/>
            </w:tcBorders>
          </w:tcPr>
          <w:p>
            <w:pPr>
              <w:adjustRightInd w:val="0"/>
              <w:spacing w:line="440" w:lineRule="exact"/>
              <w:textAlignment w:val="baseline"/>
              <w:rPr>
                <w:szCs w:val="21"/>
              </w:rPr>
            </w:pPr>
          </w:p>
        </w:tc>
      </w:tr>
    </w:tbl>
    <w:p>
      <w:pPr>
        <w:pStyle w:val="3"/>
        <w:rPr>
          <w:rFonts w:ascii="宋体" w:hAnsi="宋体" w:eastAsia="宋体"/>
          <w:sz w:val="28"/>
          <w:szCs w:val="28"/>
        </w:rPr>
      </w:pPr>
      <w:bookmarkStart w:id="511" w:name="_Toc487792174"/>
      <w:bookmarkStart w:id="512" w:name="_Toc415137466"/>
      <w:bookmarkStart w:id="513" w:name="_Toc415139903"/>
      <w:bookmarkStart w:id="514" w:name="_Toc415158089"/>
      <w:bookmarkStart w:id="515" w:name="_Toc152045803"/>
      <w:bookmarkStart w:id="516" w:name="_Toc144974871"/>
      <w:bookmarkStart w:id="517" w:name="_Toc415140838"/>
      <w:bookmarkStart w:id="518" w:name="_Toc411336292"/>
      <w:bookmarkStart w:id="519" w:name="_Toc152042592"/>
      <w:r>
        <w:rPr>
          <w:rFonts w:hint="eastAsia" w:ascii="宋体" w:hAnsi="宋体" w:eastAsia="宋体"/>
          <w:sz w:val="28"/>
          <w:szCs w:val="28"/>
        </w:rPr>
        <w:t>格式八：</w:t>
      </w:r>
      <w:bookmarkEnd w:id="511"/>
    </w:p>
    <w:p>
      <w:pPr>
        <w:pStyle w:val="3"/>
        <w:ind w:firstLine="3213" w:firstLineChars="1000"/>
      </w:pPr>
      <w:bookmarkStart w:id="520" w:name="_Toc487792175"/>
      <w:r>
        <w:rPr>
          <w:rFonts w:hint="eastAsia"/>
        </w:rPr>
        <w:t>项目管理机构</w:t>
      </w:r>
      <w:bookmarkEnd w:id="512"/>
      <w:bookmarkEnd w:id="513"/>
      <w:bookmarkEnd w:id="514"/>
      <w:bookmarkEnd w:id="515"/>
      <w:bookmarkEnd w:id="516"/>
      <w:bookmarkEnd w:id="517"/>
      <w:bookmarkEnd w:id="518"/>
      <w:bookmarkEnd w:id="519"/>
      <w:bookmarkEnd w:id="520"/>
    </w:p>
    <w:p>
      <w:pPr>
        <w:pStyle w:val="4"/>
        <w:spacing w:before="120" w:after="156"/>
        <w:jc w:val="center"/>
        <w:rPr>
          <w:rFonts w:eastAsia="黑体"/>
          <w:sz w:val="28"/>
        </w:rPr>
      </w:pPr>
      <w:bookmarkStart w:id="521" w:name="_Toc415140839"/>
      <w:bookmarkStart w:id="522" w:name="_Toc415139904"/>
      <w:bookmarkStart w:id="523" w:name="_Toc415137467"/>
      <w:bookmarkStart w:id="524" w:name="_Toc415158090"/>
      <w:bookmarkStart w:id="525" w:name="_Toc152045804"/>
      <w:bookmarkStart w:id="526" w:name="_Toc411336293"/>
      <w:bookmarkStart w:id="527" w:name="_Toc152042593"/>
      <w:bookmarkStart w:id="528" w:name="_Toc487792176"/>
      <w:bookmarkStart w:id="529" w:name="_Toc144974872"/>
      <w:r>
        <w:rPr>
          <w:rFonts w:hint="eastAsia"/>
        </w:rPr>
        <w:t>（一）项目管理机构组成表</w:t>
      </w:r>
      <w:bookmarkEnd w:id="521"/>
      <w:bookmarkEnd w:id="522"/>
      <w:bookmarkEnd w:id="523"/>
      <w:bookmarkEnd w:id="524"/>
      <w:bookmarkEnd w:id="525"/>
      <w:bookmarkEnd w:id="526"/>
      <w:bookmarkEnd w:id="527"/>
      <w:bookmarkEnd w:id="528"/>
      <w:bookmarkEnd w:id="529"/>
    </w:p>
    <w:tbl>
      <w:tblPr>
        <w:tblStyle w:val="4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709"/>
        <w:gridCol w:w="1275"/>
        <w:gridCol w:w="993"/>
        <w:gridCol w:w="992"/>
        <w:gridCol w:w="850"/>
        <w:gridCol w:w="1418"/>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职务</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姓名</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职称</w:t>
            </w:r>
          </w:p>
        </w:tc>
        <w:tc>
          <w:tcPr>
            <w:tcW w:w="5528" w:type="dxa"/>
            <w:gridSpan w:val="5"/>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执业或职业资格证明</w:t>
            </w:r>
          </w:p>
        </w:tc>
        <w:tc>
          <w:tcPr>
            <w:tcW w:w="759"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c>
          <w:tcPr>
            <w:tcW w:w="1275"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证书名称</w:t>
            </w:r>
          </w:p>
        </w:tc>
        <w:tc>
          <w:tcPr>
            <w:tcW w:w="993"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级别</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证号</w:t>
            </w:r>
          </w:p>
        </w:tc>
        <w:tc>
          <w:tcPr>
            <w:tcW w:w="850"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专业</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养老保险</w:t>
            </w:r>
          </w:p>
        </w:tc>
        <w:tc>
          <w:tcPr>
            <w:tcW w:w="759"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993"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850"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c>
          <w:tcPr>
            <w:tcW w:w="759"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7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5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1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5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7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5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1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5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7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5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1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5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7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5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1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5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7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5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1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5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7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5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1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5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7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5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1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5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7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5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1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5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7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5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1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5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7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5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1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5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7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5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1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5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7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5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1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5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7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5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1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5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7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5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1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5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7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5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1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5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7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5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1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5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7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5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1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5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7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5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1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5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7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5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1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5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7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5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1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5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0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7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99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85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1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75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bl>
    <w:p>
      <w:pPr>
        <w:pStyle w:val="4"/>
        <w:spacing w:before="120" w:after="156"/>
        <w:rPr>
          <w:sz w:val="28"/>
        </w:rPr>
      </w:pPr>
      <w:bookmarkStart w:id="530" w:name="_Toc144974873"/>
      <w:bookmarkStart w:id="531" w:name="_Toc411336294"/>
      <w:bookmarkStart w:id="532" w:name="_Toc152045805"/>
      <w:bookmarkStart w:id="533" w:name="_Toc152042594"/>
      <w:bookmarkStart w:id="534" w:name="_Toc415158091"/>
      <w:bookmarkStart w:id="535" w:name="_Toc415137468"/>
      <w:bookmarkStart w:id="536" w:name="_Toc487792177"/>
      <w:bookmarkStart w:id="537" w:name="_Toc415139905"/>
      <w:bookmarkStart w:id="538" w:name="_Toc415140840"/>
      <w:r>
        <w:rPr>
          <w:rFonts w:hint="eastAsia"/>
        </w:rPr>
        <w:t>（二）主要人员简历表</w:t>
      </w:r>
      <w:bookmarkEnd w:id="530"/>
      <w:bookmarkEnd w:id="531"/>
      <w:bookmarkEnd w:id="532"/>
      <w:bookmarkEnd w:id="533"/>
      <w:bookmarkEnd w:id="534"/>
      <w:bookmarkEnd w:id="535"/>
      <w:bookmarkEnd w:id="536"/>
      <w:bookmarkEnd w:id="537"/>
      <w:bookmarkEnd w:id="538"/>
    </w:p>
    <w:p>
      <w:pPr>
        <w:spacing w:line="400" w:lineRule="exact"/>
        <w:ind w:firstLine="560" w:firstLineChars="200"/>
      </w:pPr>
      <w:r>
        <w:rPr>
          <w:rFonts w:hint="eastAsia"/>
        </w:rPr>
        <w:t>“主要人员简历表”中的项目经理应附项目经理证、身份证、职称证、学历证、养老保险复印件，管理过的项目业绩须附合同协议书复印件；技术负责人应附身份证、职称证、学历证、养老保险复印件，管理过的项目业绩须附证明其所任技术职务的企业文件或用户证明；其他主要人员应附职称证（执业证或上岗证书）、养老保险复印件。</w:t>
      </w:r>
    </w:p>
    <w:p>
      <w:pPr>
        <w:topLinePunct/>
        <w:spacing w:line="440" w:lineRule="exact"/>
        <w:jc w:val="center"/>
        <w:rPr>
          <w:rFonts w:eastAsia="黑体"/>
          <w:sz w:val="23"/>
          <w:szCs w:val="23"/>
        </w:rPr>
      </w:pPr>
    </w:p>
    <w:tbl>
      <w:tblPr>
        <w:tblStyle w:val="4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sz w:val="24"/>
                <w:szCs w:val="24"/>
              </w:rPr>
            </w:pPr>
            <w:r>
              <w:rPr>
                <w:rFonts w:hint="eastAsia" w:ascii="宋体" w:hAnsi="宋体"/>
                <w:sz w:val="24"/>
                <w:szCs w:val="24"/>
              </w:rPr>
              <w:t>姓  名</w:t>
            </w:r>
          </w:p>
        </w:tc>
        <w:tc>
          <w:tcPr>
            <w:tcW w:w="1079"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sz w:val="24"/>
                <w:szCs w:val="24"/>
              </w:rPr>
            </w:pPr>
          </w:p>
        </w:tc>
        <w:tc>
          <w:tcPr>
            <w:tcW w:w="927"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sz w:val="24"/>
                <w:szCs w:val="24"/>
              </w:rPr>
            </w:pPr>
            <w:r>
              <w:rPr>
                <w:rFonts w:hint="eastAsia" w:ascii="宋体" w:hAnsi="宋体"/>
                <w:sz w:val="24"/>
                <w:szCs w:val="24"/>
              </w:rPr>
              <w:t>年 龄</w:t>
            </w:r>
          </w:p>
        </w:tc>
        <w:tc>
          <w:tcPr>
            <w:tcW w:w="1065"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sz w:val="24"/>
                <w:szCs w:val="24"/>
              </w:rPr>
            </w:pPr>
          </w:p>
        </w:tc>
        <w:tc>
          <w:tcPr>
            <w:tcW w:w="2130"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sz w:val="24"/>
                <w:szCs w:val="24"/>
              </w:rPr>
            </w:pPr>
            <w:r>
              <w:rPr>
                <w:rFonts w:hint="eastAsia" w:ascii="宋体" w:hAnsi="宋体"/>
                <w:sz w:val="24"/>
                <w:szCs w:val="24"/>
              </w:rPr>
              <w:t>学历</w:t>
            </w:r>
          </w:p>
        </w:tc>
        <w:tc>
          <w:tcPr>
            <w:tcW w:w="2135"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sz w:val="24"/>
                <w:szCs w:val="24"/>
              </w:rPr>
            </w:pPr>
            <w:r>
              <w:rPr>
                <w:rFonts w:hint="eastAsia" w:ascii="宋体" w:hAnsi="宋体"/>
                <w:sz w:val="24"/>
                <w:szCs w:val="24"/>
              </w:rPr>
              <w:t>职  称</w:t>
            </w:r>
          </w:p>
        </w:tc>
        <w:tc>
          <w:tcPr>
            <w:tcW w:w="1079"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sz w:val="24"/>
                <w:szCs w:val="24"/>
              </w:rPr>
            </w:pPr>
          </w:p>
        </w:tc>
        <w:tc>
          <w:tcPr>
            <w:tcW w:w="927"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sz w:val="24"/>
                <w:szCs w:val="24"/>
              </w:rPr>
            </w:pPr>
            <w:r>
              <w:rPr>
                <w:rFonts w:hint="eastAsia" w:ascii="宋体" w:hAnsi="宋体"/>
                <w:sz w:val="24"/>
                <w:szCs w:val="24"/>
              </w:rPr>
              <w:t>职 务</w:t>
            </w:r>
          </w:p>
        </w:tc>
        <w:tc>
          <w:tcPr>
            <w:tcW w:w="1065"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sz w:val="24"/>
                <w:szCs w:val="24"/>
              </w:rPr>
            </w:pPr>
          </w:p>
        </w:tc>
        <w:tc>
          <w:tcPr>
            <w:tcW w:w="2130"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sz w:val="24"/>
                <w:szCs w:val="24"/>
              </w:rPr>
            </w:pPr>
            <w:r>
              <w:rPr>
                <w:rFonts w:hint="eastAsia" w:ascii="宋体" w:hAnsi="宋体"/>
                <w:sz w:val="24"/>
                <w:szCs w:val="24"/>
              </w:rPr>
              <w:t>拟在本合同任职</w:t>
            </w:r>
          </w:p>
        </w:tc>
        <w:tc>
          <w:tcPr>
            <w:tcW w:w="2135"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sz w:val="24"/>
                <w:szCs w:val="24"/>
              </w:rPr>
            </w:pPr>
            <w:r>
              <w:rPr>
                <w:rFonts w:hint="eastAsia" w:ascii="宋体" w:hAnsi="宋体"/>
                <w:sz w:val="24"/>
                <w:szCs w:val="24"/>
              </w:rPr>
              <w:t>毕业学校</w:t>
            </w:r>
          </w:p>
        </w:tc>
        <w:tc>
          <w:tcPr>
            <w:tcW w:w="7336" w:type="dxa"/>
            <w:gridSpan w:val="8"/>
            <w:tcBorders>
              <w:top w:val="single" w:color="auto" w:sz="4" w:space="0"/>
              <w:left w:val="single" w:color="auto" w:sz="4" w:space="0"/>
              <w:bottom w:val="single" w:color="auto" w:sz="4" w:space="0"/>
              <w:right w:val="single" w:color="auto" w:sz="4" w:space="0"/>
            </w:tcBorders>
          </w:tcPr>
          <w:p>
            <w:pPr>
              <w:spacing w:line="440" w:lineRule="exact"/>
              <w:rPr>
                <w:rFonts w:ascii="宋体" w:hAnsi="宋体"/>
                <w:sz w:val="24"/>
                <w:szCs w:val="24"/>
              </w:rPr>
            </w:pPr>
            <w:r>
              <w:rPr>
                <w:rFonts w:hint="eastAsia" w:ascii="宋体" w:hAnsi="宋体"/>
                <w:sz w:val="24"/>
                <w:szCs w:val="24"/>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sz w:val="24"/>
                <w:szCs w:val="24"/>
              </w:rPr>
            </w:pPr>
            <w:r>
              <w:rPr>
                <w:rFonts w:hint="eastAsia" w:ascii="宋体" w:hAnsi="宋体"/>
                <w:sz w:val="24"/>
                <w:szCs w:val="24"/>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sz w:val="24"/>
                <w:szCs w:val="24"/>
              </w:rPr>
            </w:pPr>
            <w:r>
              <w:rPr>
                <w:rFonts w:hint="eastAsia" w:ascii="宋体" w:hAnsi="宋体"/>
                <w:sz w:val="24"/>
                <w:szCs w:val="24"/>
              </w:rPr>
              <w:t>时  间</w:t>
            </w:r>
          </w:p>
        </w:tc>
        <w:tc>
          <w:tcPr>
            <w:tcW w:w="3420" w:type="dxa"/>
            <w:gridSpan w:val="4"/>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sz w:val="24"/>
                <w:szCs w:val="24"/>
              </w:rPr>
            </w:pPr>
            <w:r>
              <w:rPr>
                <w:rFonts w:hint="eastAsia" w:ascii="宋体" w:hAnsi="宋体"/>
                <w:sz w:val="24"/>
                <w:szCs w:val="24"/>
              </w:rPr>
              <w:t>参加过的类似项目</w:t>
            </w:r>
          </w:p>
        </w:tc>
        <w:tc>
          <w:tcPr>
            <w:tcW w:w="1261"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sz w:val="24"/>
                <w:szCs w:val="24"/>
              </w:rPr>
            </w:pPr>
            <w:r>
              <w:rPr>
                <w:rFonts w:hint="eastAsia" w:ascii="宋体" w:hAnsi="宋体"/>
                <w:sz w:val="24"/>
                <w:szCs w:val="24"/>
              </w:rPr>
              <w:t>担任职务</w:t>
            </w:r>
          </w:p>
        </w:tc>
        <w:tc>
          <w:tcPr>
            <w:tcW w:w="2296"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sz w:val="24"/>
                <w:szCs w:val="24"/>
              </w:rPr>
            </w:pPr>
            <w:r>
              <w:rPr>
                <w:rFonts w:hint="eastAsia" w:ascii="宋体" w:hAnsi="宋体"/>
                <w:sz w:val="24"/>
                <w:szCs w:val="24"/>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pPr>
              <w:spacing w:line="440" w:lineRule="exact"/>
              <w:rPr>
                <w:rFonts w:eastAsia="黑体"/>
                <w:sz w:val="24"/>
                <w:szCs w:val="24"/>
              </w:rPr>
            </w:pPr>
          </w:p>
        </w:tc>
        <w:tc>
          <w:tcPr>
            <w:tcW w:w="3420" w:type="dxa"/>
            <w:gridSpan w:val="4"/>
            <w:tcBorders>
              <w:top w:val="single" w:color="auto" w:sz="4" w:space="0"/>
              <w:left w:val="single" w:color="auto" w:sz="4" w:space="0"/>
              <w:bottom w:val="single" w:color="auto" w:sz="4" w:space="0"/>
              <w:right w:val="single" w:color="auto" w:sz="4" w:space="0"/>
            </w:tcBorders>
          </w:tcPr>
          <w:p>
            <w:pPr>
              <w:spacing w:line="440" w:lineRule="exact"/>
              <w:rPr>
                <w:rFonts w:eastAsia="黑体"/>
                <w:sz w:val="24"/>
                <w:szCs w:val="24"/>
              </w:rPr>
            </w:pPr>
          </w:p>
        </w:tc>
        <w:tc>
          <w:tcPr>
            <w:tcW w:w="1261" w:type="dxa"/>
            <w:tcBorders>
              <w:top w:val="single" w:color="auto" w:sz="4" w:space="0"/>
              <w:left w:val="single" w:color="auto" w:sz="4" w:space="0"/>
              <w:bottom w:val="single" w:color="auto" w:sz="4" w:space="0"/>
              <w:right w:val="single" w:color="auto" w:sz="4" w:space="0"/>
            </w:tcBorders>
          </w:tcPr>
          <w:p>
            <w:pPr>
              <w:spacing w:line="440" w:lineRule="exact"/>
              <w:rPr>
                <w:rFonts w:eastAsia="黑体"/>
                <w:sz w:val="24"/>
                <w:szCs w:val="24"/>
              </w:rPr>
            </w:pPr>
          </w:p>
        </w:tc>
        <w:tc>
          <w:tcPr>
            <w:tcW w:w="2296" w:type="dxa"/>
            <w:gridSpan w:val="2"/>
            <w:tcBorders>
              <w:top w:val="single" w:color="auto" w:sz="4" w:space="0"/>
              <w:left w:val="single" w:color="auto" w:sz="4" w:space="0"/>
              <w:bottom w:val="single" w:color="auto" w:sz="4" w:space="0"/>
              <w:right w:val="single" w:color="auto" w:sz="4" w:space="0"/>
            </w:tcBorders>
          </w:tcPr>
          <w:p>
            <w:pPr>
              <w:spacing w:line="440" w:lineRule="exact"/>
              <w:rPr>
                <w:rFonts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pPr>
              <w:spacing w:line="440" w:lineRule="exact"/>
              <w:rPr>
                <w:rFonts w:eastAsia="黑体"/>
                <w:sz w:val="24"/>
                <w:szCs w:val="24"/>
              </w:rPr>
            </w:pPr>
          </w:p>
        </w:tc>
        <w:tc>
          <w:tcPr>
            <w:tcW w:w="3420" w:type="dxa"/>
            <w:gridSpan w:val="4"/>
            <w:tcBorders>
              <w:top w:val="single" w:color="auto" w:sz="4" w:space="0"/>
              <w:left w:val="single" w:color="auto" w:sz="4" w:space="0"/>
              <w:bottom w:val="single" w:color="auto" w:sz="4" w:space="0"/>
              <w:right w:val="single" w:color="auto" w:sz="4" w:space="0"/>
            </w:tcBorders>
          </w:tcPr>
          <w:p>
            <w:pPr>
              <w:spacing w:line="440" w:lineRule="exact"/>
              <w:rPr>
                <w:rFonts w:eastAsia="黑体"/>
                <w:sz w:val="24"/>
                <w:szCs w:val="24"/>
              </w:rPr>
            </w:pPr>
          </w:p>
        </w:tc>
        <w:tc>
          <w:tcPr>
            <w:tcW w:w="1261" w:type="dxa"/>
            <w:tcBorders>
              <w:top w:val="single" w:color="auto" w:sz="4" w:space="0"/>
              <w:left w:val="single" w:color="auto" w:sz="4" w:space="0"/>
              <w:bottom w:val="single" w:color="auto" w:sz="4" w:space="0"/>
              <w:right w:val="single" w:color="auto" w:sz="4" w:space="0"/>
            </w:tcBorders>
          </w:tcPr>
          <w:p>
            <w:pPr>
              <w:spacing w:line="440" w:lineRule="exact"/>
              <w:rPr>
                <w:rFonts w:eastAsia="黑体"/>
                <w:sz w:val="24"/>
                <w:szCs w:val="24"/>
              </w:rPr>
            </w:pPr>
          </w:p>
        </w:tc>
        <w:tc>
          <w:tcPr>
            <w:tcW w:w="2296" w:type="dxa"/>
            <w:gridSpan w:val="2"/>
            <w:tcBorders>
              <w:top w:val="single" w:color="auto" w:sz="4" w:space="0"/>
              <w:left w:val="single" w:color="auto" w:sz="4" w:space="0"/>
              <w:bottom w:val="single" w:color="auto" w:sz="4" w:space="0"/>
              <w:right w:val="single" w:color="auto" w:sz="4" w:space="0"/>
            </w:tcBorders>
          </w:tcPr>
          <w:p>
            <w:pPr>
              <w:spacing w:line="440" w:lineRule="exact"/>
              <w:rPr>
                <w:rFonts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tcPr>
          <w:p>
            <w:pPr>
              <w:spacing w:line="440" w:lineRule="exact"/>
              <w:rPr>
                <w:rFonts w:eastAsia="黑体"/>
                <w:sz w:val="24"/>
                <w:szCs w:val="24"/>
              </w:rPr>
            </w:pPr>
          </w:p>
        </w:tc>
        <w:tc>
          <w:tcPr>
            <w:tcW w:w="3420" w:type="dxa"/>
            <w:gridSpan w:val="4"/>
            <w:tcBorders>
              <w:top w:val="single" w:color="auto" w:sz="4" w:space="0"/>
              <w:left w:val="single" w:color="auto" w:sz="4" w:space="0"/>
              <w:bottom w:val="single" w:color="auto" w:sz="4" w:space="0"/>
              <w:right w:val="single" w:color="auto" w:sz="4" w:space="0"/>
            </w:tcBorders>
          </w:tcPr>
          <w:p>
            <w:pPr>
              <w:spacing w:line="440" w:lineRule="exact"/>
              <w:rPr>
                <w:rFonts w:eastAsia="黑体"/>
                <w:sz w:val="24"/>
                <w:szCs w:val="24"/>
              </w:rPr>
            </w:pPr>
          </w:p>
        </w:tc>
        <w:tc>
          <w:tcPr>
            <w:tcW w:w="1261" w:type="dxa"/>
            <w:tcBorders>
              <w:top w:val="single" w:color="auto" w:sz="4" w:space="0"/>
              <w:left w:val="single" w:color="auto" w:sz="4" w:space="0"/>
              <w:bottom w:val="single" w:color="auto" w:sz="4" w:space="0"/>
              <w:right w:val="single" w:color="auto" w:sz="4" w:space="0"/>
            </w:tcBorders>
          </w:tcPr>
          <w:p>
            <w:pPr>
              <w:spacing w:line="440" w:lineRule="exact"/>
              <w:rPr>
                <w:rFonts w:eastAsia="黑体"/>
                <w:sz w:val="24"/>
                <w:szCs w:val="24"/>
              </w:rPr>
            </w:pPr>
          </w:p>
        </w:tc>
        <w:tc>
          <w:tcPr>
            <w:tcW w:w="2296" w:type="dxa"/>
            <w:gridSpan w:val="2"/>
            <w:tcBorders>
              <w:top w:val="single" w:color="auto" w:sz="4" w:space="0"/>
              <w:left w:val="single" w:color="auto" w:sz="4" w:space="0"/>
              <w:bottom w:val="single" w:color="auto" w:sz="4" w:space="0"/>
              <w:right w:val="single" w:color="auto" w:sz="4" w:space="0"/>
            </w:tcBorders>
          </w:tcPr>
          <w:p>
            <w:pPr>
              <w:spacing w:line="440" w:lineRule="exact"/>
              <w:rPr>
                <w:rFonts w:eastAsia="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eastAsia="黑体"/>
                <w:szCs w:val="21"/>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spacing w:line="440" w:lineRule="exact"/>
              <w:rPr>
                <w:rFonts w:eastAsia="黑体"/>
                <w:szCs w:val="21"/>
              </w:rPr>
            </w:pPr>
          </w:p>
        </w:tc>
        <w:tc>
          <w:tcPr>
            <w:tcW w:w="1261" w:type="dxa"/>
            <w:tcBorders>
              <w:top w:val="single" w:color="auto" w:sz="4" w:space="0"/>
              <w:left w:val="single" w:color="auto" w:sz="4" w:space="0"/>
              <w:bottom w:val="single" w:color="auto" w:sz="4" w:space="0"/>
              <w:right w:val="single" w:color="auto" w:sz="4" w:space="0"/>
            </w:tcBorders>
            <w:vAlign w:val="center"/>
          </w:tcPr>
          <w:p>
            <w:pPr>
              <w:spacing w:line="440" w:lineRule="exact"/>
              <w:rPr>
                <w:rFonts w:eastAsia="黑体"/>
                <w:szCs w:val="21"/>
              </w:rPr>
            </w:pPr>
          </w:p>
        </w:tc>
        <w:tc>
          <w:tcPr>
            <w:tcW w:w="2296"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eastAsia="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eastAsia="黑体"/>
                <w:szCs w:val="21"/>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spacing w:line="440" w:lineRule="exact"/>
              <w:rPr>
                <w:rFonts w:eastAsia="黑体"/>
                <w:szCs w:val="21"/>
              </w:rPr>
            </w:pPr>
          </w:p>
        </w:tc>
        <w:tc>
          <w:tcPr>
            <w:tcW w:w="1261" w:type="dxa"/>
            <w:tcBorders>
              <w:top w:val="single" w:color="auto" w:sz="4" w:space="0"/>
              <w:left w:val="single" w:color="auto" w:sz="4" w:space="0"/>
              <w:bottom w:val="single" w:color="auto" w:sz="4" w:space="0"/>
              <w:right w:val="single" w:color="auto" w:sz="4" w:space="0"/>
            </w:tcBorders>
            <w:vAlign w:val="center"/>
          </w:tcPr>
          <w:p>
            <w:pPr>
              <w:spacing w:line="440" w:lineRule="exact"/>
              <w:rPr>
                <w:rFonts w:eastAsia="黑体"/>
                <w:szCs w:val="21"/>
              </w:rPr>
            </w:pPr>
          </w:p>
        </w:tc>
        <w:tc>
          <w:tcPr>
            <w:tcW w:w="2296"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eastAsia="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eastAsia="黑体"/>
                <w:szCs w:val="21"/>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spacing w:line="440" w:lineRule="exact"/>
              <w:rPr>
                <w:rFonts w:eastAsia="黑体"/>
                <w:szCs w:val="21"/>
              </w:rPr>
            </w:pPr>
          </w:p>
        </w:tc>
        <w:tc>
          <w:tcPr>
            <w:tcW w:w="1261" w:type="dxa"/>
            <w:tcBorders>
              <w:top w:val="single" w:color="auto" w:sz="4" w:space="0"/>
              <w:left w:val="single" w:color="auto" w:sz="4" w:space="0"/>
              <w:bottom w:val="single" w:color="auto" w:sz="4" w:space="0"/>
              <w:right w:val="single" w:color="auto" w:sz="4" w:space="0"/>
            </w:tcBorders>
            <w:vAlign w:val="center"/>
          </w:tcPr>
          <w:p>
            <w:pPr>
              <w:spacing w:line="440" w:lineRule="exact"/>
              <w:rPr>
                <w:rFonts w:eastAsia="黑体"/>
                <w:szCs w:val="21"/>
              </w:rPr>
            </w:pPr>
          </w:p>
        </w:tc>
        <w:tc>
          <w:tcPr>
            <w:tcW w:w="2296"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eastAsia="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eastAsia="黑体"/>
                <w:szCs w:val="21"/>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spacing w:line="440" w:lineRule="exact"/>
              <w:rPr>
                <w:rFonts w:eastAsia="黑体"/>
                <w:szCs w:val="21"/>
              </w:rPr>
            </w:pPr>
          </w:p>
        </w:tc>
        <w:tc>
          <w:tcPr>
            <w:tcW w:w="1261" w:type="dxa"/>
            <w:tcBorders>
              <w:top w:val="single" w:color="auto" w:sz="4" w:space="0"/>
              <w:left w:val="single" w:color="auto" w:sz="4" w:space="0"/>
              <w:bottom w:val="single" w:color="auto" w:sz="4" w:space="0"/>
              <w:right w:val="single" w:color="auto" w:sz="4" w:space="0"/>
            </w:tcBorders>
            <w:vAlign w:val="center"/>
          </w:tcPr>
          <w:p>
            <w:pPr>
              <w:spacing w:line="440" w:lineRule="exact"/>
              <w:rPr>
                <w:rFonts w:eastAsia="黑体"/>
                <w:szCs w:val="21"/>
              </w:rPr>
            </w:pPr>
          </w:p>
        </w:tc>
        <w:tc>
          <w:tcPr>
            <w:tcW w:w="2296"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eastAsia="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eastAsia="黑体"/>
                <w:szCs w:val="21"/>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spacing w:line="440" w:lineRule="exact"/>
              <w:rPr>
                <w:rFonts w:eastAsia="黑体"/>
                <w:szCs w:val="21"/>
              </w:rPr>
            </w:pPr>
          </w:p>
        </w:tc>
        <w:tc>
          <w:tcPr>
            <w:tcW w:w="1261" w:type="dxa"/>
            <w:tcBorders>
              <w:top w:val="single" w:color="auto" w:sz="4" w:space="0"/>
              <w:left w:val="single" w:color="auto" w:sz="4" w:space="0"/>
              <w:bottom w:val="single" w:color="auto" w:sz="4" w:space="0"/>
              <w:right w:val="single" w:color="auto" w:sz="4" w:space="0"/>
            </w:tcBorders>
            <w:vAlign w:val="center"/>
          </w:tcPr>
          <w:p>
            <w:pPr>
              <w:spacing w:line="440" w:lineRule="exact"/>
              <w:rPr>
                <w:rFonts w:eastAsia="黑体"/>
                <w:szCs w:val="21"/>
              </w:rPr>
            </w:pPr>
          </w:p>
        </w:tc>
        <w:tc>
          <w:tcPr>
            <w:tcW w:w="2296"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eastAsia="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eastAsia="黑体"/>
                <w:szCs w:val="21"/>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spacing w:line="440" w:lineRule="exact"/>
              <w:rPr>
                <w:rFonts w:eastAsia="黑体"/>
                <w:szCs w:val="21"/>
              </w:rPr>
            </w:pPr>
          </w:p>
        </w:tc>
        <w:tc>
          <w:tcPr>
            <w:tcW w:w="1261" w:type="dxa"/>
            <w:tcBorders>
              <w:top w:val="single" w:color="auto" w:sz="4" w:space="0"/>
              <w:left w:val="single" w:color="auto" w:sz="4" w:space="0"/>
              <w:bottom w:val="single" w:color="auto" w:sz="4" w:space="0"/>
              <w:right w:val="single" w:color="auto" w:sz="4" w:space="0"/>
            </w:tcBorders>
            <w:vAlign w:val="center"/>
          </w:tcPr>
          <w:p>
            <w:pPr>
              <w:spacing w:line="440" w:lineRule="exact"/>
              <w:rPr>
                <w:rFonts w:eastAsia="黑体"/>
                <w:szCs w:val="21"/>
              </w:rPr>
            </w:pPr>
          </w:p>
        </w:tc>
        <w:tc>
          <w:tcPr>
            <w:tcW w:w="2296"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eastAsia="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eastAsia="黑体"/>
                <w:szCs w:val="21"/>
              </w:rPr>
            </w:pPr>
          </w:p>
        </w:tc>
        <w:tc>
          <w:tcPr>
            <w:tcW w:w="3420" w:type="dxa"/>
            <w:gridSpan w:val="4"/>
            <w:tcBorders>
              <w:top w:val="single" w:color="auto" w:sz="4" w:space="0"/>
              <w:left w:val="single" w:color="auto" w:sz="4" w:space="0"/>
              <w:bottom w:val="single" w:color="auto" w:sz="4" w:space="0"/>
              <w:right w:val="single" w:color="auto" w:sz="4" w:space="0"/>
            </w:tcBorders>
            <w:vAlign w:val="center"/>
          </w:tcPr>
          <w:p>
            <w:pPr>
              <w:spacing w:line="440" w:lineRule="exact"/>
              <w:rPr>
                <w:rFonts w:eastAsia="黑体"/>
                <w:szCs w:val="21"/>
              </w:rPr>
            </w:pPr>
          </w:p>
        </w:tc>
        <w:tc>
          <w:tcPr>
            <w:tcW w:w="1261" w:type="dxa"/>
            <w:tcBorders>
              <w:top w:val="single" w:color="auto" w:sz="4" w:space="0"/>
              <w:left w:val="single" w:color="auto" w:sz="4" w:space="0"/>
              <w:bottom w:val="single" w:color="auto" w:sz="4" w:space="0"/>
              <w:right w:val="single" w:color="auto" w:sz="4" w:space="0"/>
            </w:tcBorders>
            <w:vAlign w:val="center"/>
          </w:tcPr>
          <w:p>
            <w:pPr>
              <w:spacing w:line="440" w:lineRule="exact"/>
              <w:rPr>
                <w:rFonts w:eastAsia="黑体"/>
                <w:szCs w:val="21"/>
              </w:rPr>
            </w:pPr>
          </w:p>
        </w:tc>
        <w:tc>
          <w:tcPr>
            <w:tcW w:w="2296"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eastAsia="黑体"/>
                <w:szCs w:val="21"/>
              </w:rPr>
            </w:pPr>
          </w:p>
        </w:tc>
      </w:tr>
    </w:tbl>
    <w:p>
      <w:pPr>
        <w:widowControl/>
        <w:jc w:val="left"/>
        <w:rPr>
          <w:rFonts w:ascii="宋体" w:hAnsi="宋体"/>
          <w:b/>
          <w:bCs/>
          <w:color w:val="000000"/>
          <w:kern w:val="0"/>
          <w:szCs w:val="28"/>
          <w:lang w:val="zh-CN"/>
        </w:rPr>
      </w:pPr>
    </w:p>
    <w:p>
      <w:pPr>
        <w:widowControl/>
        <w:jc w:val="left"/>
        <w:rPr>
          <w:rFonts w:ascii="宋体" w:hAnsi="宋体"/>
          <w:b/>
          <w:bCs/>
          <w:color w:val="000000"/>
          <w:kern w:val="0"/>
          <w:szCs w:val="28"/>
          <w:lang w:val="zh-CN"/>
        </w:rPr>
      </w:pPr>
    </w:p>
    <w:p>
      <w:pPr>
        <w:widowControl/>
        <w:jc w:val="left"/>
        <w:rPr>
          <w:rFonts w:ascii="宋体" w:hAnsi="宋体"/>
          <w:b/>
          <w:bCs/>
          <w:color w:val="000000"/>
          <w:kern w:val="0"/>
          <w:szCs w:val="28"/>
          <w:lang w:val="zh-CN"/>
        </w:rPr>
      </w:pPr>
    </w:p>
    <w:bookmarkEnd w:id="445"/>
    <w:p>
      <w:pPr>
        <w:autoSpaceDE w:val="0"/>
        <w:autoSpaceDN w:val="0"/>
        <w:spacing w:line="460" w:lineRule="exact"/>
        <w:jc w:val="center"/>
        <w:rPr>
          <w:rFonts w:ascii="宋体" w:hAnsi="宋体"/>
          <w:b/>
          <w:sz w:val="36"/>
          <w:szCs w:val="36"/>
          <w:lang w:val="zh-CN"/>
        </w:rPr>
        <w:sectPr>
          <w:headerReference r:id="rId6" w:type="default"/>
          <w:footerReference r:id="rId7" w:type="default"/>
          <w:footerReference r:id="rId8" w:type="even"/>
          <w:pgSz w:w="11907" w:h="16840"/>
          <w:pgMar w:top="1701" w:right="1474" w:bottom="1418" w:left="1588" w:header="851" w:footer="992" w:gutter="0"/>
          <w:cols w:space="425" w:num="1"/>
          <w:titlePg/>
          <w:docGrid w:linePitch="312" w:charSpace="0"/>
        </w:sectPr>
      </w:pPr>
    </w:p>
    <w:p>
      <w:pPr>
        <w:pStyle w:val="3"/>
        <w:rPr>
          <w:color w:val="000000"/>
          <w:sz w:val="28"/>
          <w:szCs w:val="28"/>
        </w:rPr>
      </w:pPr>
      <w:bookmarkStart w:id="539" w:name="_Toc438655705"/>
      <w:bookmarkStart w:id="540" w:name="_Toc438714735"/>
      <w:bookmarkStart w:id="541" w:name="_Toc487792178"/>
      <w:r>
        <w:rPr>
          <w:rFonts w:hint="eastAsia"/>
          <w:color w:val="000000"/>
          <w:sz w:val="28"/>
          <w:szCs w:val="28"/>
        </w:rPr>
        <w:t>格式九：</w:t>
      </w:r>
      <w:bookmarkEnd w:id="539"/>
      <w:bookmarkEnd w:id="540"/>
      <w:bookmarkEnd w:id="541"/>
    </w:p>
    <w:p>
      <w:pPr>
        <w:jc w:val="center"/>
        <w:outlineLvl w:val="1"/>
        <w:rPr>
          <w:rFonts w:ascii="宋体" w:hAnsi="宋体"/>
          <w:b/>
          <w:sz w:val="32"/>
          <w:szCs w:val="32"/>
        </w:rPr>
      </w:pPr>
      <w:bookmarkStart w:id="542" w:name="_Toc27581"/>
      <w:bookmarkStart w:id="543" w:name="_Toc487792179"/>
      <w:r>
        <w:rPr>
          <w:rFonts w:hint="eastAsia" w:ascii="宋体" w:hAnsi="宋体"/>
          <w:b/>
          <w:sz w:val="32"/>
          <w:szCs w:val="32"/>
        </w:rPr>
        <w:t>资格审查资料</w:t>
      </w:r>
      <w:bookmarkEnd w:id="542"/>
      <w:bookmarkEnd w:id="543"/>
    </w:p>
    <w:p>
      <w:pPr>
        <w:spacing w:line="480" w:lineRule="auto"/>
        <w:ind w:firstLine="412" w:firstLineChars="171"/>
        <w:rPr>
          <w:rFonts w:ascii="宋体" w:hAnsi="宋体"/>
          <w:b/>
          <w:color w:val="000000"/>
          <w:sz w:val="24"/>
        </w:rPr>
      </w:pPr>
    </w:p>
    <w:p>
      <w:pPr>
        <w:spacing w:line="480" w:lineRule="auto"/>
        <w:ind w:firstLine="412" w:firstLineChars="171"/>
        <w:rPr>
          <w:rFonts w:ascii="宋体" w:hAnsi="宋体"/>
          <w:b/>
          <w:color w:val="000000"/>
          <w:sz w:val="24"/>
        </w:rPr>
      </w:pPr>
      <w:r>
        <w:rPr>
          <w:rFonts w:hint="eastAsia" w:ascii="宋体" w:hAnsi="宋体"/>
          <w:b/>
          <w:color w:val="000000"/>
          <w:sz w:val="24"/>
        </w:rPr>
        <w:t>1、投标人基本情况表；</w:t>
      </w:r>
    </w:p>
    <w:p>
      <w:pPr>
        <w:spacing w:line="480" w:lineRule="auto"/>
        <w:ind w:firstLine="412" w:firstLineChars="171"/>
        <w:rPr>
          <w:rFonts w:ascii="宋体" w:hAnsi="宋体"/>
          <w:b/>
          <w:color w:val="000000"/>
          <w:sz w:val="24"/>
        </w:rPr>
      </w:pPr>
      <w:r>
        <w:rPr>
          <w:rFonts w:hint="eastAsia" w:ascii="宋体" w:hAnsi="宋体"/>
          <w:b/>
          <w:color w:val="000000"/>
          <w:sz w:val="24"/>
        </w:rPr>
        <w:t>2、</w:t>
      </w:r>
      <w:r>
        <w:rPr>
          <w:rFonts w:hint="eastAsia" w:ascii="宋体" w:hAnsi="宋体"/>
          <w:b/>
          <w:sz w:val="24"/>
        </w:rPr>
        <w:t>近一年财务状况表；</w:t>
      </w:r>
    </w:p>
    <w:p>
      <w:pPr>
        <w:spacing w:line="480" w:lineRule="auto"/>
        <w:ind w:firstLine="412" w:firstLineChars="171"/>
        <w:rPr>
          <w:rFonts w:ascii="宋体" w:hAnsi="宋体"/>
          <w:b/>
          <w:color w:val="000000"/>
          <w:sz w:val="24"/>
        </w:rPr>
      </w:pPr>
      <w:r>
        <w:rPr>
          <w:rFonts w:hint="eastAsia" w:ascii="宋体" w:hAnsi="宋体"/>
          <w:b/>
          <w:color w:val="000000"/>
          <w:sz w:val="24"/>
        </w:rPr>
        <w:t>3、</w:t>
      </w:r>
      <w:r>
        <w:rPr>
          <w:rFonts w:hint="eastAsia" w:ascii="宋体" w:hAnsi="宋体"/>
          <w:b/>
          <w:sz w:val="24"/>
        </w:rPr>
        <w:t>近三年（2014年-至今）完成的类似项目情况表；</w:t>
      </w:r>
    </w:p>
    <w:p>
      <w:pPr>
        <w:spacing w:line="480" w:lineRule="auto"/>
        <w:ind w:firstLine="412" w:firstLineChars="171"/>
        <w:rPr>
          <w:rFonts w:ascii="宋体" w:hAnsi="宋体"/>
          <w:b/>
          <w:color w:val="000000"/>
          <w:sz w:val="24"/>
        </w:rPr>
      </w:pPr>
      <w:r>
        <w:rPr>
          <w:rFonts w:hint="eastAsia" w:ascii="宋体" w:hAnsi="宋体"/>
          <w:b/>
          <w:color w:val="000000"/>
          <w:sz w:val="24"/>
        </w:rPr>
        <w:t>4、</w:t>
      </w:r>
      <w:r>
        <w:rPr>
          <w:rFonts w:hint="eastAsia" w:ascii="宋体" w:hAnsi="宋体"/>
          <w:b/>
          <w:sz w:val="24"/>
        </w:rPr>
        <w:t>正在建设的或新承接的项目情况表；</w:t>
      </w:r>
    </w:p>
    <w:p>
      <w:pPr>
        <w:spacing w:line="480" w:lineRule="auto"/>
        <w:ind w:firstLine="412" w:firstLineChars="171"/>
        <w:rPr>
          <w:rFonts w:ascii="宋体" w:hAnsi="宋体"/>
          <w:b/>
          <w:color w:val="000000"/>
          <w:sz w:val="24"/>
        </w:rPr>
      </w:pPr>
      <w:r>
        <w:rPr>
          <w:rFonts w:hint="eastAsia" w:ascii="宋体" w:hAnsi="宋体"/>
          <w:b/>
          <w:color w:val="000000"/>
          <w:sz w:val="24"/>
        </w:rPr>
        <w:t>5、</w:t>
      </w:r>
      <w:r>
        <w:rPr>
          <w:rFonts w:hint="eastAsia" w:ascii="宋体" w:hAnsi="宋体"/>
          <w:b/>
          <w:sz w:val="24"/>
        </w:rPr>
        <w:t>近年（2014年-至今）发生的诉讼及仲裁情况；</w:t>
      </w:r>
    </w:p>
    <w:p>
      <w:pPr>
        <w:spacing w:line="480" w:lineRule="auto"/>
        <w:ind w:firstLine="412" w:firstLineChars="171"/>
        <w:rPr>
          <w:rFonts w:ascii="宋体" w:hAnsi="宋体"/>
          <w:b/>
          <w:sz w:val="24"/>
        </w:rPr>
      </w:pPr>
      <w:r>
        <w:rPr>
          <w:rFonts w:hint="eastAsia" w:ascii="宋体" w:hAnsi="宋体"/>
          <w:b/>
          <w:sz w:val="24"/>
        </w:rPr>
        <w:t>6、检察院出具的《行贿犯罪档案查询结果告知函》。</w:t>
      </w:r>
    </w:p>
    <w:p>
      <w:pPr>
        <w:spacing w:line="480" w:lineRule="auto"/>
        <w:ind w:firstLine="412" w:firstLineChars="171"/>
        <w:rPr>
          <w:rFonts w:ascii="宋体" w:hAnsi="宋体"/>
          <w:b/>
          <w:sz w:val="24"/>
        </w:rPr>
      </w:pPr>
      <w:r>
        <w:rPr>
          <w:rFonts w:hint="eastAsia" w:ascii="宋体" w:hAnsi="宋体"/>
          <w:b/>
          <w:sz w:val="24"/>
        </w:rPr>
        <w:t>注：后附详细附表</w:t>
      </w: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ind w:firstLine="420"/>
        <w:rPr>
          <w:rFonts w:ascii="宋体" w:hAnsi="宋体"/>
          <w:szCs w:val="21"/>
        </w:rPr>
      </w:pPr>
    </w:p>
    <w:p>
      <w:pPr>
        <w:jc w:val="center"/>
        <w:outlineLvl w:val="2"/>
        <w:rPr>
          <w:rFonts w:ascii="宋体" w:hAnsi="宋体"/>
          <w:b/>
          <w:sz w:val="24"/>
        </w:rPr>
      </w:pPr>
      <w:bookmarkStart w:id="544" w:name="_Toc487792180"/>
      <w:bookmarkStart w:id="545" w:name="_Toc4686"/>
      <w:r>
        <w:rPr>
          <w:rFonts w:hint="eastAsia" w:ascii="宋体" w:hAnsi="宋体"/>
          <w:b/>
          <w:sz w:val="24"/>
        </w:rPr>
        <w:t>（一）投标人基本情况表</w:t>
      </w:r>
      <w:bookmarkEnd w:id="544"/>
      <w:bookmarkEnd w:id="545"/>
    </w:p>
    <w:p>
      <w:pPr>
        <w:jc w:val="center"/>
        <w:outlineLvl w:val="2"/>
        <w:rPr>
          <w:rFonts w:ascii="宋体" w:hAnsi="宋体"/>
          <w:b/>
          <w:sz w:val="24"/>
        </w:rPr>
      </w:pPr>
    </w:p>
    <w:tbl>
      <w:tblPr>
        <w:tblStyle w:val="48"/>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4"/>
        <w:gridCol w:w="769"/>
        <w:gridCol w:w="384"/>
        <w:gridCol w:w="577"/>
        <w:gridCol w:w="769"/>
        <w:gridCol w:w="576"/>
        <w:gridCol w:w="192"/>
        <w:gridCol w:w="1000"/>
        <w:gridCol w:w="191"/>
        <w:gridCol w:w="578"/>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2614" w:type="dxa"/>
            <w:vAlign w:val="center"/>
          </w:tcPr>
          <w:p>
            <w:pPr>
              <w:jc w:val="center"/>
              <w:rPr>
                <w:rFonts w:ascii="宋体" w:hAnsi="宋体"/>
                <w:sz w:val="24"/>
              </w:rPr>
            </w:pPr>
            <w:r>
              <w:rPr>
                <w:rFonts w:hint="eastAsia" w:ascii="宋体" w:hAnsi="宋体"/>
                <w:sz w:val="24"/>
              </w:rPr>
              <w:t>投标人名称</w:t>
            </w:r>
          </w:p>
        </w:tc>
        <w:tc>
          <w:tcPr>
            <w:tcW w:w="6332" w:type="dxa"/>
            <w:gridSpan w:val="10"/>
            <w:vAlign w:val="center"/>
          </w:tcPr>
          <w:p>
            <w:pPr>
              <w:jc w:val="center"/>
              <w:rPr>
                <w:rFonts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2614" w:type="dxa"/>
            <w:vAlign w:val="center"/>
          </w:tcPr>
          <w:p>
            <w:pPr>
              <w:jc w:val="center"/>
              <w:rPr>
                <w:rFonts w:ascii="宋体" w:hAnsi="宋体"/>
                <w:sz w:val="24"/>
              </w:rPr>
            </w:pPr>
            <w:r>
              <w:rPr>
                <w:rFonts w:hint="eastAsia" w:ascii="宋体" w:hAnsi="宋体"/>
                <w:sz w:val="24"/>
              </w:rPr>
              <w:t>注册地址</w:t>
            </w:r>
          </w:p>
        </w:tc>
        <w:tc>
          <w:tcPr>
            <w:tcW w:w="3267" w:type="dxa"/>
            <w:gridSpan w:val="6"/>
            <w:vAlign w:val="center"/>
          </w:tcPr>
          <w:p>
            <w:pPr>
              <w:jc w:val="center"/>
              <w:rPr>
                <w:rFonts w:ascii="宋体" w:hAnsi="宋体"/>
                <w:sz w:val="24"/>
              </w:rPr>
            </w:pPr>
          </w:p>
        </w:tc>
        <w:tc>
          <w:tcPr>
            <w:tcW w:w="1191" w:type="dxa"/>
            <w:gridSpan w:val="2"/>
            <w:vAlign w:val="center"/>
          </w:tcPr>
          <w:p>
            <w:pPr>
              <w:jc w:val="center"/>
              <w:rPr>
                <w:rFonts w:ascii="宋体" w:hAnsi="宋体"/>
                <w:sz w:val="24"/>
              </w:rPr>
            </w:pPr>
            <w:r>
              <w:rPr>
                <w:rFonts w:hint="eastAsia" w:ascii="宋体" w:hAnsi="宋体"/>
                <w:sz w:val="24"/>
              </w:rPr>
              <w:t>邮政编码</w:t>
            </w:r>
          </w:p>
        </w:tc>
        <w:tc>
          <w:tcPr>
            <w:tcW w:w="1874" w:type="dxa"/>
            <w:gridSpan w:val="2"/>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2614" w:type="dxa"/>
            <w:vMerge w:val="restart"/>
            <w:vAlign w:val="center"/>
          </w:tcPr>
          <w:p>
            <w:pPr>
              <w:jc w:val="center"/>
              <w:rPr>
                <w:rFonts w:ascii="宋体" w:hAnsi="宋体"/>
                <w:sz w:val="24"/>
              </w:rPr>
            </w:pPr>
            <w:r>
              <w:rPr>
                <w:rFonts w:hint="eastAsia" w:ascii="宋体" w:hAnsi="宋体"/>
                <w:sz w:val="24"/>
              </w:rPr>
              <w:t>联系方式</w:t>
            </w:r>
          </w:p>
        </w:tc>
        <w:tc>
          <w:tcPr>
            <w:tcW w:w="1153" w:type="dxa"/>
            <w:gridSpan w:val="2"/>
            <w:vAlign w:val="center"/>
          </w:tcPr>
          <w:p>
            <w:pPr>
              <w:jc w:val="center"/>
              <w:rPr>
                <w:rFonts w:ascii="宋体" w:hAnsi="宋体"/>
                <w:sz w:val="24"/>
              </w:rPr>
            </w:pPr>
            <w:r>
              <w:rPr>
                <w:rFonts w:hint="eastAsia" w:ascii="宋体" w:hAnsi="宋体"/>
                <w:sz w:val="24"/>
              </w:rPr>
              <w:t>联系人</w:t>
            </w:r>
          </w:p>
        </w:tc>
        <w:tc>
          <w:tcPr>
            <w:tcW w:w="2114" w:type="dxa"/>
            <w:gridSpan w:val="4"/>
            <w:vAlign w:val="center"/>
          </w:tcPr>
          <w:p>
            <w:pPr>
              <w:jc w:val="center"/>
              <w:rPr>
                <w:rFonts w:ascii="宋体" w:hAnsi="宋体"/>
                <w:sz w:val="24"/>
              </w:rPr>
            </w:pPr>
          </w:p>
        </w:tc>
        <w:tc>
          <w:tcPr>
            <w:tcW w:w="1191" w:type="dxa"/>
            <w:gridSpan w:val="2"/>
            <w:vAlign w:val="center"/>
          </w:tcPr>
          <w:p>
            <w:pPr>
              <w:jc w:val="center"/>
              <w:rPr>
                <w:rFonts w:ascii="宋体" w:hAnsi="宋体"/>
                <w:sz w:val="24"/>
              </w:rPr>
            </w:pPr>
            <w:r>
              <w:rPr>
                <w:rFonts w:hint="eastAsia" w:ascii="宋体" w:hAnsi="宋体"/>
                <w:sz w:val="24"/>
              </w:rPr>
              <w:t>电话</w:t>
            </w:r>
          </w:p>
        </w:tc>
        <w:tc>
          <w:tcPr>
            <w:tcW w:w="1874" w:type="dxa"/>
            <w:gridSpan w:val="2"/>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2614" w:type="dxa"/>
            <w:vMerge w:val="continue"/>
            <w:vAlign w:val="center"/>
          </w:tcPr>
          <w:p>
            <w:pPr>
              <w:jc w:val="center"/>
              <w:rPr>
                <w:rFonts w:ascii="宋体" w:hAnsi="宋体"/>
                <w:sz w:val="24"/>
              </w:rPr>
            </w:pPr>
          </w:p>
        </w:tc>
        <w:tc>
          <w:tcPr>
            <w:tcW w:w="1153" w:type="dxa"/>
            <w:gridSpan w:val="2"/>
            <w:vAlign w:val="center"/>
          </w:tcPr>
          <w:p>
            <w:pPr>
              <w:jc w:val="center"/>
              <w:rPr>
                <w:rFonts w:ascii="宋体" w:hAnsi="宋体"/>
                <w:sz w:val="24"/>
              </w:rPr>
            </w:pPr>
            <w:r>
              <w:rPr>
                <w:rFonts w:hint="eastAsia" w:ascii="宋体" w:hAnsi="宋体"/>
                <w:sz w:val="24"/>
              </w:rPr>
              <w:t>传真</w:t>
            </w:r>
          </w:p>
        </w:tc>
        <w:tc>
          <w:tcPr>
            <w:tcW w:w="2114" w:type="dxa"/>
            <w:gridSpan w:val="4"/>
            <w:vAlign w:val="center"/>
          </w:tcPr>
          <w:p>
            <w:pPr>
              <w:jc w:val="center"/>
              <w:rPr>
                <w:rFonts w:ascii="宋体" w:hAnsi="宋体"/>
                <w:sz w:val="24"/>
              </w:rPr>
            </w:pPr>
          </w:p>
        </w:tc>
        <w:tc>
          <w:tcPr>
            <w:tcW w:w="1191" w:type="dxa"/>
            <w:gridSpan w:val="2"/>
            <w:vAlign w:val="center"/>
          </w:tcPr>
          <w:p>
            <w:pPr>
              <w:jc w:val="center"/>
              <w:rPr>
                <w:rFonts w:ascii="宋体" w:hAnsi="宋体"/>
                <w:sz w:val="24"/>
              </w:rPr>
            </w:pPr>
            <w:r>
              <w:rPr>
                <w:rFonts w:hint="eastAsia" w:ascii="宋体" w:hAnsi="宋体"/>
                <w:sz w:val="24"/>
              </w:rPr>
              <w:t>网址</w:t>
            </w:r>
          </w:p>
        </w:tc>
        <w:tc>
          <w:tcPr>
            <w:tcW w:w="1874" w:type="dxa"/>
            <w:gridSpan w:val="2"/>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2614" w:type="dxa"/>
            <w:vAlign w:val="center"/>
          </w:tcPr>
          <w:p>
            <w:pPr>
              <w:jc w:val="center"/>
              <w:rPr>
                <w:rFonts w:ascii="宋体" w:hAnsi="宋体"/>
                <w:sz w:val="24"/>
              </w:rPr>
            </w:pPr>
            <w:r>
              <w:rPr>
                <w:rFonts w:hint="eastAsia" w:ascii="宋体" w:hAnsi="宋体"/>
                <w:sz w:val="24"/>
              </w:rPr>
              <w:t>组织机构</w:t>
            </w:r>
          </w:p>
        </w:tc>
        <w:tc>
          <w:tcPr>
            <w:tcW w:w="6332" w:type="dxa"/>
            <w:gridSpan w:val="10"/>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2614" w:type="dxa"/>
            <w:vAlign w:val="center"/>
          </w:tcPr>
          <w:p>
            <w:pPr>
              <w:jc w:val="center"/>
              <w:rPr>
                <w:rFonts w:ascii="宋体" w:hAnsi="宋体"/>
                <w:sz w:val="24"/>
              </w:rPr>
            </w:pPr>
            <w:r>
              <w:rPr>
                <w:rFonts w:hint="eastAsia" w:ascii="宋体" w:hAnsi="宋体"/>
                <w:sz w:val="24"/>
              </w:rPr>
              <w:t>法定代表人</w:t>
            </w:r>
          </w:p>
        </w:tc>
        <w:tc>
          <w:tcPr>
            <w:tcW w:w="769" w:type="dxa"/>
            <w:vAlign w:val="center"/>
          </w:tcPr>
          <w:p>
            <w:pPr>
              <w:jc w:val="center"/>
              <w:rPr>
                <w:rFonts w:ascii="宋体" w:hAnsi="宋体"/>
                <w:sz w:val="24"/>
              </w:rPr>
            </w:pPr>
            <w:r>
              <w:rPr>
                <w:rFonts w:hint="eastAsia" w:ascii="宋体" w:hAnsi="宋体"/>
                <w:sz w:val="24"/>
              </w:rPr>
              <w:t>姓名</w:t>
            </w:r>
          </w:p>
        </w:tc>
        <w:tc>
          <w:tcPr>
            <w:tcW w:w="961" w:type="dxa"/>
            <w:gridSpan w:val="2"/>
            <w:vAlign w:val="center"/>
          </w:tcPr>
          <w:p>
            <w:pPr>
              <w:jc w:val="center"/>
              <w:rPr>
                <w:rFonts w:ascii="宋体" w:hAnsi="宋体"/>
                <w:sz w:val="24"/>
              </w:rPr>
            </w:pPr>
          </w:p>
        </w:tc>
        <w:tc>
          <w:tcPr>
            <w:tcW w:w="1345" w:type="dxa"/>
            <w:gridSpan w:val="2"/>
            <w:vAlign w:val="center"/>
          </w:tcPr>
          <w:p>
            <w:pPr>
              <w:jc w:val="center"/>
              <w:rPr>
                <w:rFonts w:ascii="宋体" w:hAnsi="宋体"/>
                <w:sz w:val="24"/>
              </w:rPr>
            </w:pPr>
            <w:r>
              <w:rPr>
                <w:rFonts w:hint="eastAsia" w:ascii="宋体" w:hAnsi="宋体"/>
                <w:sz w:val="24"/>
              </w:rPr>
              <w:t>技术职称</w:t>
            </w:r>
          </w:p>
        </w:tc>
        <w:tc>
          <w:tcPr>
            <w:tcW w:w="1192" w:type="dxa"/>
            <w:gridSpan w:val="2"/>
            <w:vAlign w:val="center"/>
          </w:tcPr>
          <w:p>
            <w:pPr>
              <w:jc w:val="center"/>
              <w:rPr>
                <w:rFonts w:ascii="宋体" w:hAnsi="宋体"/>
                <w:sz w:val="24"/>
              </w:rPr>
            </w:pPr>
          </w:p>
        </w:tc>
        <w:tc>
          <w:tcPr>
            <w:tcW w:w="769" w:type="dxa"/>
            <w:gridSpan w:val="2"/>
            <w:vAlign w:val="center"/>
          </w:tcPr>
          <w:p>
            <w:pPr>
              <w:jc w:val="center"/>
              <w:rPr>
                <w:rFonts w:ascii="宋体" w:hAnsi="宋体"/>
                <w:sz w:val="24"/>
              </w:rPr>
            </w:pPr>
            <w:r>
              <w:rPr>
                <w:rFonts w:hint="eastAsia" w:ascii="宋体" w:hAnsi="宋体"/>
                <w:sz w:val="24"/>
              </w:rPr>
              <w:t>电话</w:t>
            </w:r>
          </w:p>
        </w:tc>
        <w:tc>
          <w:tcPr>
            <w:tcW w:w="1296"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2614" w:type="dxa"/>
            <w:vAlign w:val="center"/>
          </w:tcPr>
          <w:p>
            <w:pPr>
              <w:jc w:val="center"/>
              <w:rPr>
                <w:rFonts w:ascii="宋体" w:hAnsi="宋体"/>
                <w:sz w:val="24"/>
              </w:rPr>
            </w:pPr>
            <w:r>
              <w:rPr>
                <w:rFonts w:hint="eastAsia" w:ascii="宋体" w:hAnsi="宋体"/>
                <w:sz w:val="24"/>
              </w:rPr>
              <w:t>技术负责人</w:t>
            </w:r>
          </w:p>
        </w:tc>
        <w:tc>
          <w:tcPr>
            <w:tcW w:w="769" w:type="dxa"/>
            <w:vAlign w:val="center"/>
          </w:tcPr>
          <w:p>
            <w:pPr>
              <w:jc w:val="center"/>
              <w:rPr>
                <w:rFonts w:ascii="宋体" w:hAnsi="宋体"/>
                <w:sz w:val="24"/>
              </w:rPr>
            </w:pPr>
            <w:r>
              <w:rPr>
                <w:rFonts w:hint="eastAsia" w:ascii="宋体" w:hAnsi="宋体"/>
                <w:sz w:val="24"/>
              </w:rPr>
              <w:t>姓名</w:t>
            </w:r>
          </w:p>
        </w:tc>
        <w:tc>
          <w:tcPr>
            <w:tcW w:w="961" w:type="dxa"/>
            <w:gridSpan w:val="2"/>
            <w:vAlign w:val="center"/>
          </w:tcPr>
          <w:p>
            <w:pPr>
              <w:jc w:val="center"/>
              <w:rPr>
                <w:rFonts w:ascii="宋体" w:hAnsi="宋体"/>
                <w:sz w:val="24"/>
              </w:rPr>
            </w:pPr>
          </w:p>
        </w:tc>
        <w:tc>
          <w:tcPr>
            <w:tcW w:w="1345" w:type="dxa"/>
            <w:gridSpan w:val="2"/>
            <w:vAlign w:val="center"/>
          </w:tcPr>
          <w:p>
            <w:pPr>
              <w:jc w:val="center"/>
              <w:rPr>
                <w:rFonts w:ascii="宋体" w:hAnsi="宋体"/>
                <w:sz w:val="24"/>
              </w:rPr>
            </w:pPr>
            <w:r>
              <w:rPr>
                <w:rFonts w:hint="eastAsia" w:ascii="宋体" w:hAnsi="宋体"/>
                <w:sz w:val="24"/>
              </w:rPr>
              <w:t>技术职称</w:t>
            </w:r>
          </w:p>
        </w:tc>
        <w:tc>
          <w:tcPr>
            <w:tcW w:w="1192" w:type="dxa"/>
            <w:gridSpan w:val="2"/>
            <w:vAlign w:val="center"/>
          </w:tcPr>
          <w:p>
            <w:pPr>
              <w:jc w:val="center"/>
              <w:rPr>
                <w:rFonts w:ascii="宋体" w:hAnsi="宋体"/>
                <w:sz w:val="24"/>
              </w:rPr>
            </w:pPr>
          </w:p>
        </w:tc>
        <w:tc>
          <w:tcPr>
            <w:tcW w:w="769" w:type="dxa"/>
            <w:gridSpan w:val="2"/>
            <w:vAlign w:val="center"/>
          </w:tcPr>
          <w:p>
            <w:pPr>
              <w:jc w:val="center"/>
              <w:rPr>
                <w:rFonts w:ascii="宋体" w:hAnsi="宋体"/>
                <w:sz w:val="24"/>
              </w:rPr>
            </w:pPr>
            <w:r>
              <w:rPr>
                <w:rFonts w:hint="eastAsia" w:ascii="宋体" w:hAnsi="宋体"/>
                <w:sz w:val="24"/>
              </w:rPr>
              <w:t>电话</w:t>
            </w:r>
          </w:p>
        </w:tc>
        <w:tc>
          <w:tcPr>
            <w:tcW w:w="1296"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2614" w:type="dxa"/>
            <w:vAlign w:val="center"/>
          </w:tcPr>
          <w:p>
            <w:pPr>
              <w:jc w:val="center"/>
              <w:rPr>
                <w:rFonts w:ascii="宋体" w:hAnsi="宋体"/>
                <w:sz w:val="24"/>
              </w:rPr>
            </w:pPr>
            <w:r>
              <w:rPr>
                <w:rFonts w:hint="eastAsia" w:ascii="宋体" w:hAnsi="宋体"/>
                <w:sz w:val="24"/>
              </w:rPr>
              <w:t>成立时间</w:t>
            </w:r>
          </w:p>
        </w:tc>
        <w:tc>
          <w:tcPr>
            <w:tcW w:w="1730" w:type="dxa"/>
            <w:gridSpan w:val="3"/>
            <w:vAlign w:val="center"/>
          </w:tcPr>
          <w:p>
            <w:pPr>
              <w:jc w:val="center"/>
              <w:rPr>
                <w:rFonts w:ascii="宋体" w:hAnsi="宋体"/>
                <w:sz w:val="24"/>
              </w:rPr>
            </w:pPr>
          </w:p>
        </w:tc>
        <w:tc>
          <w:tcPr>
            <w:tcW w:w="4602" w:type="dxa"/>
            <w:gridSpan w:val="7"/>
            <w:vAlign w:val="center"/>
          </w:tcPr>
          <w:p>
            <w:pPr>
              <w:jc w:val="center"/>
              <w:rPr>
                <w:rFonts w:ascii="宋体" w:hAnsi="宋体"/>
                <w:sz w:val="24"/>
              </w:rPr>
            </w:pPr>
            <w:r>
              <w:rPr>
                <w:rFonts w:hint="eastAsia" w:ascii="宋体" w:hAnsi="宋体"/>
                <w:sz w:val="24"/>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2614" w:type="dxa"/>
            <w:vAlign w:val="center"/>
          </w:tcPr>
          <w:p>
            <w:pPr>
              <w:jc w:val="center"/>
              <w:rPr>
                <w:rFonts w:ascii="宋体" w:hAnsi="宋体"/>
                <w:sz w:val="24"/>
              </w:rPr>
            </w:pPr>
            <w:r>
              <w:rPr>
                <w:rFonts w:hint="eastAsia" w:ascii="宋体" w:hAnsi="宋体"/>
                <w:sz w:val="24"/>
              </w:rPr>
              <w:t>企业资质等级</w:t>
            </w:r>
          </w:p>
        </w:tc>
        <w:tc>
          <w:tcPr>
            <w:tcW w:w="1730" w:type="dxa"/>
            <w:gridSpan w:val="3"/>
            <w:vAlign w:val="center"/>
          </w:tcPr>
          <w:p>
            <w:pPr>
              <w:jc w:val="center"/>
              <w:rPr>
                <w:rFonts w:ascii="宋体" w:hAnsi="宋体"/>
                <w:sz w:val="24"/>
              </w:rPr>
            </w:pPr>
          </w:p>
        </w:tc>
        <w:tc>
          <w:tcPr>
            <w:tcW w:w="769" w:type="dxa"/>
            <w:vMerge w:val="restart"/>
            <w:vAlign w:val="center"/>
          </w:tcPr>
          <w:p>
            <w:pPr>
              <w:jc w:val="center"/>
              <w:rPr>
                <w:rFonts w:ascii="宋体" w:hAnsi="宋体"/>
                <w:sz w:val="24"/>
              </w:rPr>
            </w:pPr>
          </w:p>
          <w:p>
            <w:pPr>
              <w:jc w:val="center"/>
              <w:rPr>
                <w:rFonts w:ascii="宋体" w:hAnsi="宋体"/>
                <w:sz w:val="24"/>
              </w:rPr>
            </w:pPr>
            <w:r>
              <w:rPr>
                <w:rFonts w:hint="eastAsia" w:ascii="宋体" w:hAnsi="宋体"/>
                <w:sz w:val="24"/>
              </w:rPr>
              <w:t>其</w:t>
            </w:r>
          </w:p>
          <w:p>
            <w:pPr>
              <w:jc w:val="center"/>
              <w:rPr>
                <w:rFonts w:ascii="宋体" w:hAnsi="宋体"/>
                <w:sz w:val="24"/>
              </w:rPr>
            </w:pPr>
          </w:p>
          <w:p>
            <w:pPr>
              <w:jc w:val="center"/>
              <w:rPr>
                <w:rFonts w:ascii="宋体" w:hAnsi="宋体"/>
                <w:sz w:val="24"/>
              </w:rPr>
            </w:pPr>
            <w:r>
              <w:rPr>
                <w:rFonts w:hint="eastAsia" w:ascii="宋体" w:hAnsi="宋体"/>
                <w:sz w:val="24"/>
              </w:rPr>
              <w:t>中</w:t>
            </w:r>
          </w:p>
        </w:tc>
        <w:tc>
          <w:tcPr>
            <w:tcW w:w="1768" w:type="dxa"/>
            <w:gridSpan w:val="3"/>
            <w:vAlign w:val="center"/>
          </w:tcPr>
          <w:p>
            <w:pPr>
              <w:jc w:val="center"/>
              <w:rPr>
                <w:rFonts w:ascii="宋体" w:hAnsi="宋体"/>
                <w:sz w:val="24"/>
              </w:rPr>
            </w:pPr>
            <w:r>
              <w:rPr>
                <w:rFonts w:hint="eastAsia" w:ascii="宋体" w:hAnsi="宋体"/>
                <w:sz w:val="24"/>
              </w:rPr>
              <w:t>项目经理</w:t>
            </w:r>
          </w:p>
        </w:tc>
        <w:tc>
          <w:tcPr>
            <w:tcW w:w="2065" w:type="dxa"/>
            <w:gridSpan w:val="3"/>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2614" w:type="dxa"/>
            <w:vAlign w:val="center"/>
          </w:tcPr>
          <w:p>
            <w:pPr>
              <w:jc w:val="center"/>
              <w:rPr>
                <w:rFonts w:ascii="宋体" w:hAnsi="宋体"/>
                <w:sz w:val="24"/>
              </w:rPr>
            </w:pPr>
            <w:r>
              <w:rPr>
                <w:rFonts w:hint="eastAsia" w:ascii="宋体" w:hAnsi="宋体"/>
                <w:sz w:val="24"/>
              </w:rPr>
              <w:t>营业执照号</w:t>
            </w:r>
          </w:p>
        </w:tc>
        <w:tc>
          <w:tcPr>
            <w:tcW w:w="1730" w:type="dxa"/>
            <w:gridSpan w:val="3"/>
            <w:vAlign w:val="center"/>
          </w:tcPr>
          <w:p>
            <w:pPr>
              <w:jc w:val="center"/>
              <w:rPr>
                <w:rFonts w:ascii="宋体" w:hAnsi="宋体"/>
                <w:sz w:val="24"/>
              </w:rPr>
            </w:pPr>
          </w:p>
        </w:tc>
        <w:tc>
          <w:tcPr>
            <w:tcW w:w="769" w:type="dxa"/>
            <w:vMerge w:val="continue"/>
            <w:vAlign w:val="center"/>
          </w:tcPr>
          <w:p>
            <w:pPr>
              <w:jc w:val="center"/>
              <w:rPr>
                <w:rFonts w:ascii="宋体" w:hAnsi="宋体"/>
                <w:sz w:val="24"/>
              </w:rPr>
            </w:pPr>
          </w:p>
        </w:tc>
        <w:tc>
          <w:tcPr>
            <w:tcW w:w="1768" w:type="dxa"/>
            <w:gridSpan w:val="3"/>
            <w:vAlign w:val="center"/>
          </w:tcPr>
          <w:p>
            <w:pPr>
              <w:jc w:val="center"/>
              <w:rPr>
                <w:rFonts w:ascii="宋体" w:hAnsi="宋体"/>
                <w:sz w:val="24"/>
              </w:rPr>
            </w:pPr>
            <w:r>
              <w:rPr>
                <w:rFonts w:hint="eastAsia" w:ascii="宋体" w:hAnsi="宋体"/>
                <w:sz w:val="24"/>
              </w:rPr>
              <w:t>高级职称人员</w:t>
            </w:r>
          </w:p>
        </w:tc>
        <w:tc>
          <w:tcPr>
            <w:tcW w:w="2065" w:type="dxa"/>
            <w:gridSpan w:val="3"/>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2614" w:type="dxa"/>
            <w:vAlign w:val="center"/>
          </w:tcPr>
          <w:p>
            <w:pPr>
              <w:jc w:val="center"/>
              <w:rPr>
                <w:rFonts w:ascii="宋体" w:hAnsi="宋体"/>
                <w:sz w:val="24"/>
              </w:rPr>
            </w:pPr>
            <w:r>
              <w:rPr>
                <w:rFonts w:hint="eastAsia" w:ascii="宋体" w:hAnsi="宋体"/>
                <w:sz w:val="24"/>
              </w:rPr>
              <w:t>注册资金</w:t>
            </w:r>
          </w:p>
        </w:tc>
        <w:tc>
          <w:tcPr>
            <w:tcW w:w="1730" w:type="dxa"/>
            <w:gridSpan w:val="3"/>
            <w:vAlign w:val="center"/>
          </w:tcPr>
          <w:p>
            <w:pPr>
              <w:jc w:val="center"/>
              <w:rPr>
                <w:rFonts w:ascii="宋体" w:hAnsi="宋体"/>
                <w:sz w:val="24"/>
              </w:rPr>
            </w:pPr>
          </w:p>
        </w:tc>
        <w:tc>
          <w:tcPr>
            <w:tcW w:w="769" w:type="dxa"/>
            <w:vMerge w:val="continue"/>
            <w:vAlign w:val="center"/>
          </w:tcPr>
          <w:p>
            <w:pPr>
              <w:jc w:val="center"/>
              <w:rPr>
                <w:rFonts w:ascii="宋体" w:hAnsi="宋体"/>
                <w:sz w:val="24"/>
              </w:rPr>
            </w:pPr>
          </w:p>
        </w:tc>
        <w:tc>
          <w:tcPr>
            <w:tcW w:w="1768" w:type="dxa"/>
            <w:gridSpan w:val="3"/>
            <w:vAlign w:val="center"/>
          </w:tcPr>
          <w:p>
            <w:pPr>
              <w:jc w:val="center"/>
              <w:rPr>
                <w:rFonts w:ascii="宋体" w:hAnsi="宋体"/>
                <w:sz w:val="24"/>
              </w:rPr>
            </w:pPr>
            <w:r>
              <w:rPr>
                <w:rFonts w:hint="eastAsia" w:ascii="宋体" w:hAnsi="宋体"/>
                <w:sz w:val="24"/>
              </w:rPr>
              <w:t>中级职称人员</w:t>
            </w:r>
          </w:p>
        </w:tc>
        <w:tc>
          <w:tcPr>
            <w:tcW w:w="2065" w:type="dxa"/>
            <w:gridSpan w:val="3"/>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2614" w:type="dxa"/>
            <w:vAlign w:val="center"/>
          </w:tcPr>
          <w:p>
            <w:pPr>
              <w:jc w:val="center"/>
              <w:rPr>
                <w:rFonts w:ascii="宋体" w:hAnsi="宋体"/>
                <w:sz w:val="24"/>
              </w:rPr>
            </w:pPr>
            <w:r>
              <w:rPr>
                <w:rFonts w:hint="eastAsia" w:ascii="宋体" w:hAnsi="宋体"/>
                <w:sz w:val="24"/>
              </w:rPr>
              <w:t>开户银行</w:t>
            </w:r>
          </w:p>
        </w:tc>
        <w:tc>
          <w:tcPr>
            <w:tcW w:w="1730" w:type="dxa"/>
            <w:gridSpan w:val="3"/>
            <w:vAlign w:val="center"/>
          </w:tcPr>
          <w:p>
            <w:pPr>
              <w:jc w:val="center"/>
              <w:rPr>
                <w:rFonts w:ascii="宋体" w:hAnsi="宋体"/>
                <w:sz w:val="24"/>
              </w:rPr>
            </w:pPr>
          </w:p>
        </w:tc>
        <w:tc>
          <w:tcPr>
            <w:tcW w:w="769" w:type="dxa"/>
            <w:vMerge w:val="continue"/>
            <w:vAlign w:val="center"/>
          </w:tcPr>
          <w:p>
            <w:pPr>
              <w:jc w:val="center"/>
              <w:rPr>
                <w:rFonts w:ascii="宋体" w:hAnsi="宋体"/>
                <w:sz w:val="24"/>
              </w:rPr>
            </w:pPr>
          </w:p>
        </w:tc>
        <w:tc>
          <w:tcPr>
            <w:tcW w:w="1768" w:type="dxa"/>
            <w:gridSpan w:val="3"/>
            <w:vAlign w:val="center"/>
          </w:tcPr>
          <w:p>
            <w:pPr>
              <w:jc w:val="center"/>
              <w:rPr>
                <w:rFonts w:ascii="宋体" w:hAnsi="宋体"/>
                <w:sz w:val="24"/>
              </w:rPr>
            </w:pPr>
            <w:r>
              <w:rPr>
                <w:rFonts w:hint="eastAsia" w:ascii="宋体" w:hAnsi="宋体"/>
                <w:sz w:val="24"/>
              </w:rPr>
              <w:t>初级职称人员</w:t>
            </w:r>
          </w:p>
        </w:tc>
        <w:tc>
          <w:tcPr>
            <w:tcW w:w="2065" w:type="dxa"/>
            <w:gridSpan w:val="3"/>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2614" w:type="dxa"/>
            <w:vAlign w:val="center"/>
          </w:tcPr>
          <w:p>
            <w:pPr>
              <w:jc w:val="center"/>
              <w:rPr>
                <w:rFonts w:ascii="宋体" w:hAnsi="宋体"/>
                <w:sz w:val="24"/>
              </w:rPr>
            </w:pPr>
            <w:r>
              <w:rPr>
                <w:rFonts w:hint="eastAsia" w:ascii="宋体" w:hAnsi="宋体"/>
                <w:sz w:val="24"/>
              </w:rPr>
              <w:t>账号</w:t>
            </w:r>
          </w:p>
        </w:tc>
        <w:tc>
          <w:tcPr>
            <w:tcW w:w="1730" w:type="dxa"/>
            <w:gridSpan w:val="3"/>
            <w:vAlign w:val="center"/>
          </w:tcPr>
          <w:p>
            <w:pPr>
              <w:jc w:val="center"/>
              <w:rPr>
                <w:rFonts w:ascii="宋体" w:hAnsi="宋体"/>
                <w:sz w:val="24"/>
              </w:rPr>
            </w:pPr>
          </w:p>
        </w:tc>
        <w:tc>
          <w:tcPr>
            <w:tcW w:w="769" w:type="dxa"/>
            <w:vMerge w:val="continue"/>
            <w:vAlign w:val="center"/>
          </w:tcPr>
          <w:p>
            <w:pPr>
              <w:jc w:val="center"/>
              <w:rPr>
                <w:rFonts w:ascii="宋体" w:hAnsi="宋体"/>
                <w:sz w:val="24"/>
              </w:rPr>
            </w:pPr>
          </w:p>
        </w:tc>
        <w:tc>
          <w:tcPr>
            <w:tcW w:w="1768" w:type="dxa"/>
            <w:gridSpan w:val="3"/>
            <w:vAlign w:val="center"/>
          </w:tcPr>
          <w:p>
            <w:pPr>
              <w:jc w:val="center"/>
              <w:rPr>
                <w:rFonts w:ascii="宋体" w:hAnsi="宋体"/>
                <w:sz w:val="24"/>
              </w:rPr>
            </w:pPr>
            <w:r>
              <w:rPr>
                <w:rFonts w:hint="eastAsia" w:ascii="宋体" w:hAnsi="宋体"/>
                <w:sz w:val="24"/>
              </w:rPr>
              <w:t>技工</w:t>
            </w:r>
          </w:p>
        </w:tc>
        <w:tc>
          <w:tcPr>
            <w:tcW w:w="2065" w:type="dxa"/>
            <w:gridSpan w:val="3"/>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6" w:hRule="atLeast"/>
        </w:trPr>
        <w:tc>
          <w:tcPr>
            <w:tcW w:w="2614" w:type="dxa"/>
            <w:vAlign w:val="center"/>
          </w:tcPr>
          <w:p>
            <w:pPr>
              <w:jc w:val="center"/>
              <w:rPr>
                <w:rFonts w:ascii="宋体" w:hAnsi="宋体"/>
                <w:szCs w:val="21"/>
              </w:rPr>
            </w:pPr>
            <w:r>
              <w:rPr>
                <w:rFonts w:hint="eastAsia" w:ascii="宋体" w:hAnsi="宋体"/>
                <w:szCs w:val="21"/>
              </w:rPr>
              <w:t>经营范围</w:t>
            </w:r>
          </w:p>
        </w:tc>
        <w:tc>
          <w:tcPr>
            <w:tcW w:w="6332" w:type="dxa"/>
            <w:gridSpan w:val="10"/>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2614" w:type="dxa"/>
            <w:vAlign w:val="center"/>
          </w:tcPr>
          <w:p>
            <w:pPr>
              <w:jc w:val="center"/>
              <w:rPr>
                <w:rFonts w:ascii="宋体" w:hAnsi="宋体"/>
                <w:szCs w:val="21"/>
              </w:rPr>
            </w:pPr>
            <w:r>
              <w:rPr>
                <w:rFonts w:hint="eastAsia" w:ascii="宋体" w:hAnsi="宋体"/>
                <w:szCs w:val="21"/>
              </w:rPr>
              <w:t>备注</w:t>
            </w:r>
          </w:p>
        </w:tc>
        <w:tc>
          <w:tcPr>
            <w:tcW w:w="6332" w:type="dxa"/>
            <w:gridSpan w:val="10"/>
          </w:tcPr>
          <w:p>
            <w:pPr>
              <w:jc w:val="center"/>
              <w:rPr>
                <w:rFonts w:ascii="宋体" w:hAnsi="宋体"/>
                <w:szCs w:val="21"/>
              </w:rPr>
            </w:pPr>
          </w:p>
        </w:tc>
      </w:tr>
    </w:tbl>
    <w:p>
      <w:pPr>
        <w:rPr>
          <w:rFonts w:ascii="宋体" w:hAnsi="宋体"/>
          <w:b/>
          <w:szCs w:val="21"/>
        </w:rPr>
      </w:pPr>
    </w:p>
    <w:p>
      <w:pPr>
        <w:autoSpaceDE w:val="0"/>
        <w:autoSpaceDN w:val="0"/>
        <w:adjustRightInd w:val="0"/>
        <w:spacing w:line="336" w:lineRule="auto"/>
        <w:jc w:val="left"/>
        <w:rPr>
          <w:rFonts w:ascii="宋体" w:hAnsi="宋体" w:cs="宋体"/>
          <w:b/>
          <w:color w:val="000000"/>
          <w:kern w:val="0"/>
          <w:szCs w:val="21"/>
        </w:rPr>
      </w:pPr>
      <w:r>
        <w:rPr>
          <w:rFonts w:hint="eastAsia" w:ascii="宋体" w:hAnsi="宋体" w:cs="宋体"/>
          <w:b/>
          <w:color w:val="000000"/>
          <w:kern w:val="0"/>
          <w:szCs w:val="21"/>
        </w:rPr>
        <w:t>注：后附详细的营业执照副本、资质证书副本、组织机构代码证副本、税务登记证、安全生产许可证、基本开户许可证、投标保证金缴纳表、获奖证书及有利于投标的有效证件复印件。</w:t>
      </w: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jc w:val="center"/>
        <w:outlineLvl w:val="2"/>
        <w:rPr>
          <w:rFonts w:ascii="宋体" w:hAnsi="宋体"/>
          <w:b/>
          <w:sz w:val="24"/>
        </w:rPr>
      </w:pPr>
      <w:bookmarkStart w:id="546" w:name="_Toc487792181"/>
      <w:bookmarkStart w:id="547" w:name="_Toc23169"/>
      <w:r>
        <w:rPr>
          <w:rFonts w:hint="eastAsia" w:ascii="宋体" w:hAnsi="宋体"/>
          <w:b/>
          <w:sz w:val="24"/>
        </w:rPr>
        <w:t>（二）近一年财务状况表</w:t>
      </w:r>
      <w:bookmarkEnd w:id="546"/>
      <w:bookmarkEnd w:id="547"/>
    </w:p>
    <w:p>
      <w:pPr>
        <w:jc w:val="center"/>
        <w:rPr>
          <w:rFonts w:ascii="宋体" w:hAnsi="宋体"/>
          <w:b/>
          <w:szCs w:val="21"/>
        </w:rPr>
      </w:pPr>
    </w:p>
    <w:p>
      <w:pPr>
        <w:jc w:val="center"/>
        <w:rPr>
          <w:rFonts w:ascii="宋体" w:hAnsi="宋体"/>
          <w:b/>
          <w:szCs w:val="21"/>
        </w:rPr>
      </w:pPr>
      <w:r>
        <w:rPr>
          <w:rFonts w:hint="eastAsia" w:ascii="宋体" w:hAnsi="宋体"/>
          <w:b/>
          <w:sz w:val="24"/>
        </w:rPr>
        <w:t>附近一年财务审计报告复印件</w:t>
      </w:r>
    </w:p>
    <w:p>
      <w:pPr>
        <w:jc w:val="center"/>
        <w:rPr>
          <w:rFonts w:ascii="宋体" w:hAnsi="宋体"/>
          <w:b/>
          <w:szCs w:val="21"/>
        </w:rPr>
      </w:pPr>
    </w:p>
    <w:p>
      <w:pPr>
        <w:rPr>
          <w:rFonts w:ascii="宋体" w:hAnsi="宋体"/>
          <w:b/>
          <w:szCs w:val="21"/>
        </w:rPr>
      </w:pPr>
    </w:p>
    <w:p>
      <w:pPr>
        <w:rPr>
          <w:rFonts w:ascii="宋体" w:hAnsi="宋体"/>
          <w:b/>
          <w:szCs w:val="21"/>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rPr>
          <w:rFonts w:ascii="宋体" w:hAnsi="宋体"/>
          <w:b/>
          <w:sz w:val="24"/>
        </w:rPr>
      </w:pPr>
    </w:p>
    <w:p>
      <w:pPr>
        <w:rPr>
          <w:rFonts w:ascii="宋体" w:hAnsi="宋体"/>
          <w:b/>
          <w:sz w:val="24"/>
        </w:rPr>
      </w:pPr>
    </w:p>
    <w:p>
      <w:pPr>
        <w:jc w:val="center"/>
        <w:outlineLvl w:val="2"/>
        <w:rPr>
          <w:rFonts w:ascii="宋体" w:hAnsi="宋体"/>
          <w:b/>
          <w:sz w:val="24"/>
        </w:rPr>
      </w:pPr>
      <w:bookmarkStart w:id="548" w:name="_Toc11433"/>
      <w:bookmarkStart w:id="549" w:name="_Toc487792182"/>
      <w:r>
        <w:rPr>
          <w:rFonts w:hint="eastAsia" w:ascii="宋体" w:hAnsi="宋体"/>
          <w:b/>
          <w:sz w:val="24"/>
        </w:rPr>
        <w:t>（三）近三年（2014年-至今）完成的类似项目情况表</w:t>
      </w:r>
      <w:bookmarkEnd w:id="548"/>
      <w:bookmarkEnd w:id="549"/>
    </w:p>
    <w:p>
      <w:pPr>
        <w:rPr>
          <w:rFonts w:ascii="宋体" w:hAnsi="宋体"/>
          <w:b/>
          <w:szCs w:val="21"/>
        </w:rPr>
      </w:pPr>
    </w:p>
    <w:tbl>
      <w:tblPr>
        <w:tblStyle w:val="4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6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vAlign w:val="center"/>
          </w:tcPr>
          <w:p>
            <w:pPr>
              <w:jc w:val="center"/>
              <w:rPr>
                <w:rFonts w:ascii="宋体" w:hAnsi="宋体"/>
                <w:sz w:val="24"/>
              </w:rPr>
            </w:pPr>
            <w:r>
              <w:rPr>
                <w:rFonts w:hint="eastAsia" w:ascii="宋体" w:hAnsi="宋体"/>
                <w:sz w:val="24"/>
              </w:rPr>
              <w:t>项目名称</w:t>
            </w:r>
          </w:p>
        </w:tc>
        <w:tc>
          <w:tcPr>
            <w:tcW w:w="6074"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vAlign w:val="center"/>
          </w:tcPr>
          <w:p>
            <w:pPr>
              <w:jc w:val="center"/>
              <w:rPr>
                <w:rFonts w:ascii="宋体" w:hAnsi="宋体"/>
                <w:sz w:val="24"/>
              </w:rPr>
            </w:pPr>
            <w:r>
              <w:rPr>
                <w:rFonts w:hint="eastAsia" w:ascii="宋体" w:hAnsi="宋体"/>
                <w:sz w:val="24"/>
              </w:rPr>
              <w:t>项目所在地</w:t>
            </w:r>
          </w:p>
        </w:tc>
        <w:tc>
          <w:tcPr>
            <w:tcW w:w="6074"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vAlign w:val="center"/>
          </w:tcPr>
          <w:p>
            <w:pPr>
              <w:jc w:val="center"/>
              <w:rPr>
                <w:rFonts w:ascii="宋体" w:hAnsi="宋体"/>
                <w:sz w:val="24"/>
              </w:rPr>
            </w:pPr>
            <w:r>
              <w:rPr>
                <w:rFonts w:hint="eastAsia" w:ascii="宋体" w:hAnsi="宋体"/>
                <w:sz w:val="24"/>
              </w:rPr>
              <w:t>发包人名称</w:t>
            </w:r>
          </w:p>
        </w:tc>
        <w:tc>
          <w:tcPr>
            <w:tcW w:w="6074"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vAlign w:val="center"/>
          </w:tcPr>
          <w:p>
            <w:pPr>
              <w:jc w:val="center"/>
              <w:rPr>
                <w:rFonts w:ascii="宋体" w:hAnsi="宋体"/>
                <w:sz w:val="24"/>
              </w:rPr>
            </w:pPr>
            <w:r>
              <w:rPr>
                <w:rFonts w:hint="eastAsia" w:ascii="宋体" w:hAnsi="宋体"/>
                <w:sz w:val="24"/>
              </w:rPr>
              <w:t>发包人地址</w:t>
            </w:r>
          </w:p>
        </w:tc>
        <w:tc>
          <w:tcPr>
            <w:tcW w:w="6074"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vAlign w:val="center"/>
          </w:tcPr>
          <w:p>
            <w:pPr>
              <w:jc w:val="center"/>
              <w:rPr>
                <w:rFonts w:ascii="宋体" w:hAnsi="宋体"/>
                <w:sz w:val="24"/>
              </w:rPr>
            </w:pPr>
            <w:r>
              <w:rPr>
                <w:rFonts w:hint="eastAsia" w:ascii="宋体" w:hAnsi="宋体"/>
                <w:sz w:val="24"/>
              </w:rPr>
              <w:t>发包人电话</w:t>
            </w:r>
          </w:p>
        </w:tc>
        <w:tc>
          <w:tcPr>
            <w:tcW w:w="6074"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vAlign w:val="center"/>
          </w:tcPr>
          <w:p>
            <w:pPr>
              <w:jc w:val="center"/>
              <w:rPr>
                <w:rFonts w:ascii="宋体" w:hAnsi="宋体"/>
                <w:sz w:val="24"/>
              </w:rPr>
            </w:pPr>
            <w:r>
              <w:rPr>
                <w:rFonts w:hint="eastAsia" w:ascii="宋体" w:hAnsi="宋体"/>
                <w:sz w:val="24"/>
              </w:rPr>
              <w:t>合同价格</w:t>
            </w:r>
          </w:p>
        </w:tc>
        <w:tc>
          <w:tcPr>
            <w:tcW w:w="6074"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vAlign w:val="center"/>
          </w:tcPr>
          <w:p>
            <w:pPr>
              <w:jc w:val="center"/>
              <w:rPr>
                <w:rFonts w:ascii="宋体" w:hAnsi="宋体"/>
                <w:sz w:val="24"/>
              </w:rPr>
            </w:pPr>
            <w:r>
              <w:rPr>
                <w:rFonts w:hint="eastAsia" w:ascii="宋体" w:hAnsi="宋体"/>
                <w:sz w:val="24"/>
              </w:rPr>
              <w:t>开工日期</w:t>
            </w:r>
          </w:p>
        </w:tc>
        <w:tc>
          <w:tcPr>
            <w:tcW w:w="6074"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vAlign w:val="center"/>
          </w:tcPr>
          <w:p>
            <w:pPr>
              <w:jc w:val="center"/>
              <w:rPr>
                <w:rFonts w:ascii="宋体" w:hAnsi="宋体"/>
                <w:sz w:val="24"/>
              </w:rPr>
            </w:pPr>
            <w:r>
              <w:rPr>
                <w:rFonts w:hint="eastAsia" w:ascii="宋体" w:hAnsi="宋体"/>
                <w:sz w:val="24"/>
              </w:rPr>
              <w:t>竣工日期</w:t>
            </w:r>
          </w:p>
        </w:tc>
        <w:tc>
          <w:tcPr>
            <w:tcW w:w="6074"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vAlign w:val="center"/>
          </w:tcPr>
          <w:p>
            <w:pPr>
              <w:jc w:val="center"/>
              <w:rPr>
                <w:rFonts w:ascii="宋体" w:hAnsi="宋体"/>
                <w:sz w:val="24"/>
              </w:rPr>
            </w:pPr>
            <w:r>
              <w:rPr>
                <w:rFonts w:hint="eastAsia" w:ascii="宋体" w:hAnsi="宋体"/>
                <w:sz w:val="24"/>
              </w:rPr>
              <w:t>承担的工作</w:t>
            </w:r>
          </w:p>
        </w:tc>
        <w:tc>
          <w:tcPr>
            <w:tcW w:w="6074"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vAlign w:val="center"/>
          </w:tcPr>
          <w:p>
            <w:pPr>
              <w:jc w:val="center"/>
              <w:rPr>
                <w:rFonts w:ascii="宋体" w:hAnsi="宋体"/>
                <w:sz w:val="24"/>
              </w:rPr>
            </w:pPr>
            <w:r>
              <w:rPr>
                <w:rFonts w:hint="eastAsia" w:ascii="宋体" w:hAnsi="宋体"/>
                <w:sz w:val="24"/>
              </w:rPr>
              <w:t>工程质量</w:t>
            </w:r>
          </w:p>
        </w:tc>
        <w:tc>
          <w:tcPr>
            <w:tcW w:w="6074"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vAlign w:val="center"/>
          </w:tcPr>
          <w:p>
            <w:pPr>
              <w:jc w:val="center"/>
              <w:rPr>
                <w:rFonts w:ascii="宋体" w:hAnsi="宋体"/>
                <w:sz w:val="24"/>
              </w:rPr>
            </w:pPr>
            <w:r>
              <w:rPr>
                <w:rFonts w:hint="eastAsia" w:ascii="宋体" w:hAnsi="宋体"/>
                <w:sz w:val="24"/>
              </w:rPr>
              <w:t>项目经理</w:t>
            </w:r>
          </w:p>
        </w:tc>
        <w:tc>
          <w:tcPr>
            <w:tcW w:w="6074"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vAlign w:val="center"/>
          </w:tcPr>
          <w:p>
            <w:pPr>
              <w:jc w:val="center"/>
              <w:rPr>
                <w:rFonts w:ascii="宋体" w:hAnsi="宋体"/>
                <w:sz w:val="24"/>
              </w:rPr>
            </w:pPr>
            <w:r>
              <w:rPr>
                <w:rFonts w:hint="eastAsia" w:ascii="宋体" w:hAnsi="宋体"/>
                <w:sz w:val="24"/>
              </w:rPr>
              <w:t>技术负责人</w:t>
            </w:r>
          </w:p>
        </w:tc>
        <w:tc>
          <w:tcPr>
            <w:tcW w:w="6074"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vAlign w:val="center"/>
          </w:tcPr>
          <w:p>
            <w:pPr>
              <w:jc w:val="center"/>
              <w:rPr>
                <w:rFonts w:ascii="宋体" w:hAnsi="宋体"/>
                <w:sz w:val="24"/>
              </w:rPr>
            </w:pPr>
            <w:r>
              <w:rPr>
                <w:rFonts w:hint="eastAsia" w:ascii="宋体" w:hAnsi="宋体"/>
                <w:sz w:val="24"/>
              </w:rPr>
              <w:t>总监理工程师及电话</w:t>
            </w:r>
          </w:p>
        </w:tc>
        <w:tc>
          <w:tcPr>
            <w:tcW w:w="6074"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jc w:val="center"/>
        </w:trPr>
        <w:tc>
          <w:tcPr>
            <w:tcW w:w="2448" w:type="dxa"/>
            <w:vAlign w:val="center"/>
          </w:tcPr>
          <w:p>
            <w:pPr>
              <w:jc w:val="center"/>
              <w:rPr>
                <w:rFonts w:ascii="宋体" w:hAnsi="宋体"/>
                <w:sz w:val="24"/>
              </w:rPr>
            </w:pPr>
          </w:p>
          <w:p>
            <w:pPr>
              <w:jc w:val="center"/>
              <w:rPr>
                <w:rFonts w:ascii="宋体" w:hAnsi="宋体"/>
                <w:sz w:val="24"/>
              </w:rPr>
            </w:pPr>
          </w:p>
          <w:p>
            <w:pPr>
              <w:jc w:val="center"/>
              <w:rPr>
                <w:rFonts w:ascii="宋体" w:hAnsi="宋体"/>
                <w:sz w:val="24"/>
              </w:rPr>
            </w:pPr>
          </w:p>
          <w:p>
            <w:pPr>
              <w:jc w:val="center"/>
              <w:rPr>
                <w:rFonts w:ascii="宋体" w:hAnsi="宋体"/>
                <w:sz w:val="24"/>
              </w:rPr>
            </w:pPr>
          </w:p>
          <w:p>
            <w:pPr>
              <w:jc w:val="center"/>
              <w:rPr>
                <w:rFonts w:ascii="宋体" w:hAnsi="宋体"/>
                <w:sz w:val="24"/>
              </w:rPr>
            </w:pPr>
          </w:p>
          <w:p>
            <w:pPr>
              <w:jc w:val="center"/>
              <w:rPr>
                <w:rFonts w:ascii="宋体" w:hAnsi="宋体"/>
                <w:sz w:val="24"/>
              </w:rPr>
            </w:pPr>
          </w:p>
          <w:p>
            <w:pPr>
              <w:jc w:val="center"/>
              <w:rPr>
                <w:rFonts w:ascii="宋体" w:hAnsi="宋体"/>
                <w:sz w:val="24"/>
              </w:rPr>
            </w:pPr>
          </w:p>
          <w:p>
            <w:pPr>
              <w:jc w:val="center"/>
              <w:rPr>
                <w:rFonts w:ascii="宋体" w:hAnsi="宋体"/>
                <w:sz w:val="24"/>
              </w:rPr>
            </w:pPr>
            <w:r>
              <w:rPr>
                <w:rFonts w:hint="eastAsia" w:ascii="宋体" w:hAnsi="宋体"/>
                <w:sz w:val="24"/>
              </w:rPr>
              <w:t>项目描述</w:t>
            </w:r>
          </w:p>
          <w:p>
            <w:pPr>
              <w:jc w:val="center"/>
              <w:rPr>
                <w:rFonts w:ascii="宋体" w:hAnsi="宋体"/>
                <w:sz w:val="24"/>
              </w:rPr>
            </w:pPr>
          </w:p>
          <w:p>
            <w:pPr>
              <w:rPr>
                <w:rFonts w:ascii="宋体" w:hAnsi="宋体"/>
                <w:sz w:val="24"/>
              </w:rPr>
            </w:pPr>
          </w:p>
          <w:p>
            <w:pPr>
              <w:jc w:val="center"/>
              <w:rPr>
                <w:rFonts w:ascii="宋体" w:hAnsi="宋体"/>
                <w:sz w:val="24"/>
              </w:rPr>
            </w:pPr>
          </w:p>
          <w:p>
            <w:pPr>
              <w:jc w:val="center"/>
              <w:rPr>
                <w:rFonts w:ascii="宋体" w:hAnsi="宋体"/>
                <w:sz w:val="24"/>
              </w:rPr>
            </w:pPr>
          </w:p>
          <w:p>
            <w:pPr>
              <w:jc w:val="center"/>
              <w:rPr>
                <w:rFonts w:ascii="宋体" w:hAnsi="宋体"/>
                <w:sz w:val="24"/>
              </w:rPr>
            </w:pPr>
          </w:p>
          <w:p>
            <w:pPr>
              <w:rPr>
                <w:rFonts w:ascii="宋体" w:hAnsi="宋体"/>
                <w:sz w:val="24"/>
              </w:rPr>
            </w:pPr>
          </w:p>
        </w:tc>
        <w:tc>
          <w:tcPr>
            <w:tcW w:w="6074" w:type="dxa"/>
            <w:vAlign w:val="center"/>
          </w:tcPr>
          <w:p>
            <w:pPr>
              <w:rPr>
                <w:rFonts w:ascii="宋体" w:hAnsi="宋体"/>
                <w:sz w:val="24"/>
              </w:rPr>
            </w:pPr>
          </w:p>
        </w:tc>
      </w:tr>
    </w:tbl>
    <w:p>
      <w:pPr>
        <w:rPr>
          <w:rFonts w:ascii="宋体" w:hAnsi="宋体"/>
          <w:b/>
          <w:szCs w:val="21"/>
        </w:rPr>
      </w:pPr>
      <w:r>
        <w:rPr>
          <w:rFonts w:hint="eastAsia" w:ascii="宋体" w:hAnsi="宋体"/>
          <w:b/>
          <w:szCs w:val="21"/>
        </w:rPr>
        <w:t xml:space="preserve">      注：附中标通知书及相应的经建设行政主管部门备案生效后的合同复印件或者提供中标通知书和经建设主管部门备案生效后的工程竣工验收备案表复印件。</w:t>
      </w:r>
    </w:p>
    <w:p>
      <w:pPr>
        <w:outlineLvl w:val="2"/>
        <w:rPr>
          <w:rFonts w:ascii="宋体" w:hAnsi="宋体"/>
          <w:b/>
          <w:sz w:val="24"/>
        </w:rPr>
      </w:pPr>
      <w:bookmarkStart w:id="550" w:name="_Toc23196"/>
    </w:p>
    <w:p>
      <w:pPr>
        <w:jc w:val="center"/>
        <w:outlineLvl w:val="2"/>
        <w:rPr>
          <w:rFonts w:ascii="宋体" w:hAnsi="宋体"/>
          <w:b/>
          <w:sz w:val="24"/>
        </w:rPr>
      </w:pPr>
      <w:bookmarkStart w:id="551" w:name="_Toc487792183"/>
      <w:r>
        <w:rPr>
          <w:rFonts w:hint="eastAsia" w:ascii="宋体" w:hAnsi="宋体"/>
          <w:b/>
          <w:sz w:val="24"/>
        </w:rPr>
        <w:t>（四）正在施工的和新承接的项目情况表</w:t>
      </w:r>
      <w:bookmarkEnd w:id="550"/>
      <w:bookmarkEnd w:id="551"/>
    </w:p>
    <w:p>
      <w:pPr>
        <w:jc w:val="center"/>
        <w:rPr>
          <w:rFonts w:ascii="宋体" w:hAnsi="宋体"/>
          <w:b/>
          <w:szCs w:val="21"/>
        </w:rPr>
      </w:pPr>
    </w:p>
    <w:tbl>
      <w:tblPr>
        <w:tblStyle w:val="4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6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vAlign w:val="center"/>
          </w:tcPr>
          <w:p>
            <w:pPr>
              <w:jc w:val="center"/>
              <w:rPr>
                <w:rFonts w:ascii="宋体" w:hAnsi="宋体"/>
                <w:sz w:val="24"/>
              </w:rPr>
            </w:pPr>
            <w:r>
              <w:rPr>
                <w:rFonts w:hint="eastAsia" w:ascii="宋体" w:hAnsi="宋体"/>
                <w:sz w:val="24"/>
              </w:rPr>
              <w:t>项目名称</w:t>
            </w:r>
          </w:p>
        </w:tc>
        <w:tc>
          <w:tcPr>
            <w:tcW w:w="6074"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vAlign w:val="center"/>
          </w:tcPr>
          <w:p>
            <w:pPr>
              <w:jc w:val="center"/>
              <w:rPr>
                <w:rFonts w:ascii="宋体" w:hAnsi="宋体"/>
                <w:sz w:val="24"/>
              </w:rPr>
            </w:pPr>
            <w:r>
              <w:rPr>
                <w:rFonts w:hint="eastAsia" w:ascii="宋体" w:hAnsi="宋体"/>
                <w:sz w:val="24"/>
              </w:rPr>
              <w:t>项目所在地</w:t>
            </w:r>
          </w:p>
        </w:tc>
        <w:tc>
          <w:tcPr>
            <w:tcW w:w="6074"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vAlign w:val="center"/>
          </w:tcPr>
          <w:p>
            <w:pPr>
              <w:jc w:val="center"/>
              <w:rPr>
                <w:rFonts w:ascii="宋体" w:hAnsi="宋体"/>
                <w:sz w:val="24"/>
              </w:rPr>
            </w:pPr>
            <w:r>
              <w:rPr>
                <w:rFonts w:hint="eastAsia" w:ascii="宋体" w:hAnsi="宋体"/>
                <w:sz w:val="24"/>
              </w:rPr>
              <w:t>发包人名称</w:t>
            </w:r>
          </w:p>
        </w:tc>
        <w:tc>
          <w:tcPr>
            <w:tcW w:w="6074"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vAlign w:val="center"/>
          </w:tcPr>
          <w:p>
            <w:pPr>
              <w:jc w:val="center"/>
              <w:rPr>
                <w:rFonts w:ascii="宋体" w:hAnsi="宋体"/>
                <w:sz w:val="24"/>
              </w:rPr>
            </w:pPr>
            <w:r>
              <w:rPr>
                <w:rFonts w:hint="eastAsia" w:ascii="宋体" w:hAnsi="宋体"/>
                <w:sz w:val="24"/>
              </w:rPr>
              <w:t>发包人地址</w:t>
            </w:r>
          </w:p>
        </w:tc>
        <w:tc>
          <w:tcPr>
            <w:tcW w:w="6074"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vAlign w:val="center"/>
          </w:tcPr>
          <w:p>
            <w:pPr>
              <w:jc w:val="center"/>
              <w:rPr>
                <w:rFonts w:ascii="宋体" w:hAnsi="宋体"/>
                <w:sz w:val="24"/>
              </w:rPr>
            </w:pPr>
            <w:r>
              <w:rPr>
                <w:rFonts w:hint="eastAsia" w:ascii="宋体" w:hAnsi="宋体"/>
                <w:sz w:val="24"/>
              </w:rPr>
              <w:t>发包人电话</w:t>
            </w:r>
          </w:p>
        </w:tc>
        <w:tc>
          <w:tcPr>
            <w:tcW w:w="6074"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vAlign w:val="center"/>
          </w:tcPr>
          <w:p>
            <w:pPr>
              <w:jc w:val="center"/>
              <w:rPr>
                <w:rFonts w:ascii="宋体" w:hAnsi="宋体"/>
                <w:sz w:val="24"/>
              </w:rPr>
            </w:pPr>
            <w:r>
              <w:rPr>
                <w:rFonts w:hint="eastAsia" w:ascii="宋体" w:hAnsi="宋体"/>
                <w:sz w:val="24"/>
              </w:rPr>
              <w:t>合同价格</w:t>
            </w:r>
          </w:p>
        </w:tc>
        <w:tc>
          <w:tcPr>
            <w:tcW w:w="6074"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vAlign w:val="center"/>
          </w:tcPr>
          <w:p>
            <w:pPr>
              <w:jc w:val="center"/>
              <w:rPr>
                <w:rFonts w:ascii="宋体" w:hAnsi="宋体"/>
                <w:sz w:val="24"/>
              </w:rPr>
            </w:pPr>
            <w:r>
              <w:rPr>
                <w:rFonts w:hint="eastAsia" w:ascii="宋体" w:hAnsi="宋体"/>
                <w:sz w:val="24"/>
              </w:rPr>
              <w:t>开工日期</w:t>
            </w:r>
          </w:p>
        </w:tc>
        <w:tc>
          <w:tcPr>
            <w:tcW w:w="6074"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vAlign w:val="center"/>
          </w:tcPr>
          <w:p>
            <w:pPr>
              <w:jc w:val="center"/>
              <w:rPr>
                <w:rFonts w:ascii="宋体" w:hAnsi="宋体"/>
                <w:sz w:val="24"/>
              </w:rPr>
            </w:pPr>
            <w:r>
              <w:rPr>
                <w:rFonts w:hint="eastAsia" w:ascii="宋体" w:hAnsi="宋体"/>
                <w:sz w:val="24"/>
              </w:rPr>
              <w:t>竣工日期</w:t>
            </w:r>
          </w:p>
        </w:tc>
        <w:tc>
          <w:tcPr>
            <w:tcW w:w="6074"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vAlign w:val="center"/>
          </w:tcPr>
          <w:p>
            <w:pPr>
              <w:jc w:val="center"/>
              <w:rPr>
                <w:rFonts w:ascii="宋体" w:hAnsi="宋体"/>
                <w:sz w:val="24"/>
              </w:rPr>
            </w:pPr>
            <w:r>
              <w:rPr>
                <w:rFonts w:hint="eastAsia" w:ascii="宋体" w:hAnsi="宋体"/>
                <w:sz w:val="24"/>
              </w:rPr>
              <w:t>承担的工作</w:t>
            </w:r>
          </w:p>
        </w:tc>
        <w:tc>
          <w:tcPr>
            <w:tcW w:w="6074"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vAlign w:val="center"/>
          </w:tcPr>
          <w:p>
            <w:pPr>
              <w:jc w:val="center"/>
              <w:rPr>
                <w:rFonts w:ascii="宋体" w:hAnsi="宋体"/>
                <w:sz w:val="24"/>
              </w:rPr>
            </w:pPr>
            <w:r>
              <w:rPr>
                <w:rFonts w:hint="eastAsia" w:ascii="宋体" w:hAnsi="宋体"/>
                <w:sz w:val="24"/>
              </w:rPr>
              <w:t>工程质量</w:t>
            </w:r>
          </w:p>
        </w:tc>
        <w:tc>
          <w:tcPr>
            <w:tcW w:w="6074"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vAlign w:val="center"/>
          </w:tcPr>
          <w:p>
            <w:pPr>
              <w:jc w:val="center"/>
              <w:rPr>
                <w:rFonts w:ascii="宋体" w:hAnsi="宋体"/>
                <w:sz w:val="24"/>
              </w:rPr>
            </w:pPr>
            <w:r>
              <w:rPr>
                <w:rFonts w:hint="eastAsia" w:ascii="宋体" w:hAnsi="宋体"/>
                <w:sz w:val="24"/>
              </w:rPr>
              <w:t>项目经理</w:t>
            </w:r>
          </w:p>
        </w:tc>
        <w:tc>
          <w:tcPr>
            <w:tcW w:w="6074"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vAlign w:val="center"/>
          </w:tcPr>
          <w:p>
            <w:pPr>
              <w:jc w:val="center"/>
              <w:rPr>
                <w:rFonts w:ascii="宋体" w:hAnsi="宋体"/>
                <w:sz w:val="24"/>
              </w:rPr>
            </w:pPr>
            <w:r>
              <w:rPr>
                <w:rFonts w:hint="eastAsia" w:ascii="宋体" w:hAnsi="宋体"/>
                <w:sz w:val="24"/>
              </w:rPr>
              <w:t>技术负责人</w:t>
            </w:r>
          </w:p>
        </w:tc>
        <w:tc>
          <w:tcPr>
            <w:tcW w:w="6074"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vAlign w:val="center"/>
          </w:tcPr>
          <w:p>
            <w:pPr>
              <w:jc w:val="center"/>
              <w:rPr>
                <w:rFonts w:ascii="宋体" w:hAnsi="宋体"/>
                <w:sz w:val="24"/>
              </w:rPr>
            </w:pPr>
            <w:r>
              <w:rPr>
                <w:rFonts w:hint="eastAsia" w:ascii="宋体" w:hAnsi="宋体"/>
                <w:sz w:val="24"/>
              </w:rPr>
              <w:t>总监理工程师及电话</w:t>
            </w:r>
          </w:p>
        </w:tc>
        <w:tc>
          <w:tcPr>
            <w:tcW w:w="6074"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vAlign w:val="center"/>
          </w:tcPr>
          <w:p>
            <w:pPr>
              <w:jc w:val="center"/>
              <w:rPr>
                <w:rFonts w:ascii="宋体" w:hAnsi="宋体"/>
                <w:sz w:val="24"/>
              </w:rPr>
            </w:pPr>
          </w:p>
          <w:p>
            <w:pPr>
              <w:jc w:val="center"/>
              <w:rPr>
                <w:rFonts w:ascii="宋体" w:hAnsi="宋体"/>
                <w:sz w:val="24"/>
              </w:rPr>
            </w:pPr>
          </w:p>
          <w:p>
            <w:pPr>
              <w:jc w:val="center"/>
              <w:rPr>
                <w:rFonts w:ascii="宋体" w:hAnsi="宋体"/>
                <w:sz w:val="24"/>
              </w:rPr>
            </w:pPr>
          </w:p>
          <w:p>
            <w:pPr>
              <w:jc w:val="center"/>
              <w:rPr>
                <w:rFonts w:ascii="宋体" w:hAnsi="宋体"/>
                <w:sz w:val="24"/>
              </w:rPr>
            </w:pPr>
          </w:p>
          <w:p>
            <w:pPr>
              <w:rPr>
                <w:rFonts w:ascii="宋体" w:hAnsi="宋体"/>
                <w:sz w:val="24"/>
              </w:rPr>
            </w:pPr>
          </w:p>
          <w:p>
            <w:pPr>
              <w:jc w:val="center"/>
              <w:rPr>
                <w:rFonts w:ascii="宋体" w:hAnsi="宋体"/>
                <w:sz w:val="24"/>
              </w:rPr>
            </w:pPr>
            <w:r>
              <w:rPr>
                <w:rFonts w:hint="eastAsia" w:ascii="宋体" w:hAnsi="宋体"/>
                <w:sz w:val="24"/>
              </w:rPr>
              <w:t>项目描述</w:t>
            </w:r>
          </w:p>
          <w:p>
            <w:pPr>
              <w:jc w:val="center"/>
              <w:rPr>
                <w:rFonts w:ascii="宋体" w:hAnsi="宋体"/>
                <w:sz w:val="24"/>
              </w:rPr>
            </w:pPr>
          </w:p>
          <w:p>
            <w:pPr>
              <w:rPr>
                <w:rFonts w:ascii="宋体" w:hAnsi="宋体"/>
                <w:sz w:val="24"/>
              </w:rPr>
            </w:pPr>
          </w:p>
          <w:p>
            <w:pPr>
              <w:rPr>
                <w:rFonts w:ascii="宋体" w:hAnsi="宋体"/>
                <w:sz w:val="24"/>
              </w:rPr>
            </w:pPr>
          </w:p>
          <w:p>
            <w:pPr>
              <w:rPr>
                <w:rFonts w:ascii="宋体" w:hAnsi="宋体"/>
                <w:sz w:val="24"/>
              </w:rPr>
            </w:pPr>
          </w:p>
        </w:tc>
        <w:tc>
          <w:tcPr>
            <w:tcW w:w="6074"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48" w:type="dxa"/>
            <w:vAlign w:val="center"/>
          </w:tcPr>
          <w:p>
            <w:pPr>
              <w:jc w:val="center"/>
              <w:rPr>
                <w:rFonts w:ascii="宋体" w:hAnsi="宋体"/>
                <w:sz w:val="24"/>
              </w:rPr>
            </w:pPr>
            <w:r>
              <w:rPr>
                <w:rFonts w:hint="eastAsia" w:ascii="宋体" w:hAnsi="宋体"/>
                <w:sz w:val="24"/>
              </w:rPr>
              <w:t>备注</w:t>
            </w:r>
          </w:p>
        </w:tc>
        <w:tc>
          <w:tcPr>
            <w:tcW w:w="6074" w:type="dxa"/>
            <w:vAlign w:val="center"/>
          </w:tcPr>
          <w:p>
            <w:pPr>
              <w:jc w:val="center"/>
              <w:rPr>
                <w:rFonts w:ascii="宋体" w:hAnsi="宋体"/>
                <w:sz w:val="24"/>
              </w:rPr>
            </w:pPr>
          </w:p>
        </w:tc>
      </w:tr>
    </w:tbl>
    <w:p>
      <w:pPr>
        <w:jc w:val="center"/>
        <w:rPr>
          <w:rFonts w:ascii="宋体" w:hAnsi="宋体"/>
          <w:b/>
          <w:szCs w:val="21"/>
        </w:rPr>
      </w:pPr>
    </w:p>
    <w:p>
      <w:pPr>
        <w:ind w:firstLine="422" w:firstLineChars="150"/>
        <w:rPr>
          <w:rFonts w:ascii="宋体" w:hAnsi="宋体"/>
          <w:b/>
          <w:szCs w:val="21"/>
        </w:rPr>
      </w:pPr>
      <w:r>
        <w:rPr>
          <w:rFonts w:hint="eastAsia" w:ascii="宋体" w:hAnsi="宋体"/>
          <w:b/>
          <w:szCs w:val="21"/>
        </w:rPr>
        <w:t>注：附中标通知书或相应的经建设行政主管部门备案生效后的合同复印件。</w:t>
      </w:r>
    </w:p>
    <w:p>
      <w:pPr>
        <w:ind w:firstLine="422" w:firstLineChars="150"/>
        <w:rPr>
          <w:rFonts w:ascii="宋体" w:hAnsi="宋体"/>
          <w:b/>
          <w:szCs w:val="21"/>
        </w:rPr>
      </w:pPr>
    </w:p>
    <w:p>
      <w:pPr>
        <w:rPr>
          <w:rFonts w:ascii="宋体" w:hAnsi="宋体"/>
          <w:b/>
          <w:szCs w:val="21"/>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rPr>
          <w:rFonts w:ascii="宋体" w:hAnsi="宋体"/>
          <w:b/>
          <w:sz w:val="24"/>
        </w:rPr>
      </w:pPr>
    </w:p>
    <w:p>
      <w:pPr>
        <w:jc w:val="center"/>
        <w:outlineLvl w:val="2"/>
        <w:rPr>
          <w:rFonts w:ascii="宋体" w:hAnsi="宋体"/>
          <w:b/>
          <w:sz w:val="24"/>
        </w:rPr>
      </w:pPr>
      <w:bookmarkStart w:id="552" w:name="_Toc487792184"/>
      <w:bookmarkStart w:id="553" w:name="_Toc13680"/>
      <w:r>
        <w:rPr>
          <w:rFonts w:hint="eastAsia" w:ascii="宋体" w:hAnsi="宋体"/>
          <w:b/>
          <w:sz w:val="24"/>
        </w:rPr>
        <w:t>（五）近年（2014年-至今）发生的诉讼及仲裁情况</w:t>
      </w:r>
      <w:bookmarkEnd w:id="552"/>
      <w:bookmarkEnd w:id="553"/>
    </w:p>
    <w:p>
      <w:pPr>
        <w:jc w:val="center"/>
        <w:rPr>
          <w:rFonts w:ascii="宋体" w:hAnsi="宋体"/>
          <w:b/>
          <w:szCs w:val="21"/>
        </w:rPr>
      </w:pPr>
    </w:p>
    <w:p>
      <w:pPr>
        <w:jc w:val="center"/>
        <w:rPr>
          <w:rFonts w:ascii="宋体" w:hAnsi="宋体"/>
          <w:b/>
          <w:szCs w:val="21"/>
        </w:rPr>
      </w:pPr>
    </w:p>
    <w:p>
      <w:pPr>
        <w:jc w:val="center"/>
        <w:rPr>
          <w:rFonts w:ascii="宋体" w:hAnsi="宋体"/>
          <w:b/>
          <w:szCs w:val="21"/>
        </w:rPr>
      </w:pPr>
      <w:r>
        <w:rPr>
          <w:rFonts w:hint="eastAsia" w:ascii="宋体" w:hAnsi="宋体"/>
          <w:b/>
          <w:szCs w:val="21"/>
        </w:rPr>
        <w:t>（若有可附复印件）</w:t>
      </w:r>
    </w:p>
    <w:p>
      <w:pPr>
        <w:jc w:val="center"/>
        <w:rPr>
          <w:rFonts w:ascii="宋体" w:hAnsi="宋体"/>
          <w:b/>
          <w:szCs w:val="21"/>
        </w:rPr>
      </w:pPr>
    </w:p>
    <w:p>
      <w:pPr>
        <w:jc w:val="center"/>
        <w:rPr>
          <w:rFonts w:ascii="宋体" w:hAnsi="宋体"/>
          <w:b/>
          <w:szCs w:val="21"/>
        </w:rPr>
      </w:pPr>
    </w:p>
    <w:p>
      <w:pPr>
        <w:jc w:val="center"/>
        <w:rPr>
          <w:rFonts w:ascii="宋体" w:hAnsi="宋体"/>
          <w:b/>
          <w:szCs w:val="21"/>
        </w:rPr>
      </w:pPr>
    </w:p>
    <w:p>
      <w:pPr>
        <w:rPr>
          <w:rFonts w:ascii="宋体" w:hAnsi="宋体"/>
          <w:b/>
          <w:szCs w:val="21"/>
        </w:rPr>
      </w:pPr>
    </w:p>
    <w:p>
      <w:pPr>
        <w:jc w:val="center"/>
        <w:rPr>
          <w:rFonts w:ascii="宋体" w:hAnsi="宋体"/>
          <w:b/>
          <w:szCs w:val="21"/>
        </w:rPr>
      </w:pPr>
    </w:p>
    <w:p>
      <w:pPr>
        <w:jc w:val="center"/>
        <w:rPr>
          <w:rFonts w:ascii="宋体" w:hAnsi="宋体"/>
          <w:b/>
          <w:szCs w:val="21"/>
        </w:rPr>
      </w:pPr>
    </w:p>
    <w:p>
      <w:pPr>
        <w:jc w:val="center"/>
        <w:outlineLvl w:val="2"/>
        <w:rPr>
          <w:rFonts w:ascii="宋体" w:hAnsi="宋体"/>
          <w:b/>
          <w:sz w:val="24"/>
        </w:rPr>
      </w:pPr>
      <w:bookmarkStart w:id="554" w:name="_Toc487792185"/>
      <w:bookmarkStart w:id="555" w:name="_Toc16669"/>
      <w:r>
        <w:rPr>
          <w:rFonts w:hint="eastAsia" w:ascii="宋体" w:hAnsi="宋体"/>
          <w:b/>
          <w:sz w:val="24"/>
        </w:rPr>
        <w:t>（六）检察院出具的《行贿犯罪档案查询结果告知函》</w:t>
      </w:r>
      <w:bookmarkEnd w:id="554"/>
      <w:bookmarkEnd w:id="555"/>
    </w:p>
    <w:p>
      <w:pPr>
        <w:jc w:val="center"/>
        <w:rPr>
          <w:rFonts w:ascii="宋体" w:hAnsi="宋体"/>
          <w:b/>
          <w:sz w:val="24"/>
        </w:rPr>
      </w:pPr>
    </w:p>
    <w:p>
      <w:pPr>
        <w:jc w:val="center"/>
        <w:rPr>
          <w:rFonts w:ascii="宋体" w:hAnsi="宋体"/>
          <w:b/>
          <w:szCs w:val="21"/>
        </w:rPr>
      </w:pPr>
    </w:p>
    <w:p>
      <w:pPr>
        <w:jc w:val="center"/>
        <w:rPr>
          <w:rFonts w:ascii="宋体" w:hAnsi="宋体"/>
          <w:b/>
          <w:szCs w:val="21"/>
        </w:rPr>
      </w:pPr>
      <w:r>
        <w:rPr>
          <w:rFonts w:hint="eastAsia" w:ascii="宋体" w:hAnsi="宋体"/>
          <w:b/>
          <w:szCs w:val="21"/>
        </w:rPr>
        <w:t xml:space="preserve"> （附《行贿犯罪档案查询结果告知函》复印件）</w:t>
      </w:r>
    </w:p>
    <w:p>
      <w:pPr>
        <w:jc w:val="center"/>
        <w:rPr>
          <w:rFonts w:ascii="宋体" w:hAnsi="宋体"/>
          <w:b/>
          <w:szCs w:val="21"/>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pStyle w:val="3"/>
        <w:rPr>
          <w:color w:val="000000"/>
          <w:sz w:val="28"/>
          <w:szCs w:val="28"/>
        </w:rPr>
      </w:pPr>
      <w:bookmarkStart w:id="556" w:name="_Toc487792186"/>
      <w:bookmarkStart w:id="557" w:name="_Toc25111"/>
      <w:r>
        <w:rPr>
          <w:rFonts w:hint="eastAsia"/>
          <w:color w:val="000000"/>
          <w:sz w:val="28"/>
          <w:szCs w:val="28"/>
        </w:rPr>
        <w:t>格式十：</w:t>
      </w:r>
      <w:bookmarkEnd w:id="556"/>
    </w:p>
    <w:p>
      <w:pPr>
        <w:jc w:val="center"/>
        <w:outlineLvl w:val="2"/>
        <w:rPr>
          <w:rFonts w:ascii="宋体" w:hAnsi="宋体"/>
          <w:b/>
          <w:color w:val="000000"/>
          <w:sz w:val="32"/>
          <w:szCs w:val="32"/>
        </w:rPr>
      </w:pPr>
      <w:bookmarkStart w:id="558" w:name="_Toc487792187"/>
      <w:r>
        <w:rPr>
          <w:rFonts w:hint="eastAsia" w:ascii="宋体" w:hAnsi="宋体"/>
          <w:b/>
          <w:color w:val="000000"/>
          <w:sz w:val="32"/>
          <w:szCs w:val="32"/>
        </w:rPr>
        <w:t>其他材料</w:t>
      </w:r>
      <w:bookmarkEnd w:id="558"/>
    </w:p>
    <w:p>
      <w:pPr>
        <w:outlineLvl w:val="2"/>
        <w:rPr>
          <w:rFonts w:ascii="宋体" w:hAnsi="宋体"/>
          <w:b/>
          <w:color w:val="000000"/>
          <w:szCs w:val="28"/>
        </w:rPr>
      </w:pPr>
      <w:bookmarkStart w:id="559" w:name="_Toc487792188"/>
      <w:r>
        <w:rPr>
          <w:rFonts w:hint="eastAsia" w:ascii="宋体" w:hAnsi="宋体"/>
          <w:b/>
          <w:color w:val="000000"/>
          <w:szCs w:val="28"/>
        </w:rPr>
        <w:t>附件1</w:t>
      </w:r>
      <w:bookmarkEnd w:id="557"/>
      <w:bookmarkEnd w:id="559"/>
    </w:p>
    <w:p>
      <w:pPr>
        <w:rPr>
          <w:b/>
          <w:sz w:val="24"/>
        </w:rPr>
      </w:pPr>
    </w:p>
    <w:p>
      <w:pPr>
        <w:rPr>
          <w:b/>
          <w:sz w:val="24"/>
        </w:rPr>
      </w:pPr>
    </w:p>
    <w:p>
      <w:pPr>
        <w:ind w:firstLine="281" w:firstLineChars="100"/>
        <w:jc w:val="center"/>
        <w:rPr>
          <w:b/>
          <w:szCs w:val="28"/>
        </w:rPr>
      </w:pPr>
      <w:r>
        <w:rPr>
          <w:rFonts w:hint="eastAsia"/>
          <w:b/>
          <w:szCs w:val="28"/>
        </w:rPr>
        <w:t>关于自觉遵守与维护内蒙古自治区</w:t>
      </w:r>
    </w:p>
    <w:p>
      <w:pPr>
        <w:ind w:firstLine="3500" w:firstLineChars="1245"/>
        <w:rPr>
          <w:b/>
          <w:szCs w:val="28"/>
        </w:rPr>
      </w:pPr>
      <w:r>
        <w:rPr>
          <w:rFonts w:hint="eastAsia"/>
          <w:b/>
          <w:szCs w:val="28"/>
        </w:rPr>
        <w:t>建筑市场秩序的承诺</w:t>
      </w:r>
    </w:p>
    <w:p>
      <w:pPr>
        <w:ind w:firstLine="964" w:firstLineChars="400"/>
        <w:jc w:val="center"/>
        <w:rPr>
          <w:b/>
          <w:sz w:val="24"/>
        </w:rPr>
      </w:pPr>
    </w:p>
    <w:p>
      <w:pPr>
        <w:ind w:firstLine="964" w:firstLineChars="400"/>
        <w:jc w:val="center"/>
        <w:rPr>
          <w:b/>
          <w:sz w:val="24"/>
        </w:rPr>
      </w:pPr>
    </w:p>
    <w:p>
      <w:pPr>
        <w:ind w:firstLine="560" w:firstLineChars="200"/>
        <w:rPr>
          <w:rFonts w:ascii="Arial" w:hAnsi="Arial" w:cs="Arial"/>
          <w:color w:val="000000"/>
          <w:kern w:val="0"/>
          <w:szCs w:val="28"/>
          <w:lang w:val="zh-CN"/>
        </w:rPr>
      </w:pPr>
      <w:r>
        <w:rPr>
          <w:rFonts w:hint="eastAsia" w:ascii="Arial" w:hAnsi="Arial" w:cs="Arial"/>
          <w:color w:val="000000"/>
          <w:kern w:val="0"/>
          <w:szCs w:val="28"/>
          <w:lang w:val="zh-CN"/>
        </w:rPr>
        <w:t>为了维护内蒙古自治区建筑市场秩序，规范施工企业的建筑行为，本企业自觉遵守国家和自治区的法律、法规、规章的规定，并郑重承诺：如果在交易、施工、质量、安全等方面发生下列行为并造成不良社会影响的，自愿退出内蒙古自治区建筑市场。</w:t>
      </w:r>
    </w:p>
    <w:p>
      <w:pPr>
        <w:ind w:firstLine="560" w:firstLineChars="200"/>
        <w:rPr>
          <w:rFonts w:ascii="Arial" w:hAnsi="Arial" w:cs="Arial"/>
          <w:color w:val="000000"/>
          <w:kern w:val="0"/>
          <w:szCs w:val="28"/>
          <w:lang w:val="zh-CN"/>
        </w:rPr>
      </w:pPr>
      <w:r>
        <w:rPr>
          <w:rFonts w:hint="eastAsia" w:ascii="Arial" w:hAnsi="Arial" w:cs="Arial"/>
          <w:color w:val="000000"/>
          <w:kern w:val="0"/>
          <w:szCs w:val="28"/>
          <w:lang w:val="zh-CN"/>
        </w:rPr>
        <w:t>1、拒绝接受各级建设行政主管部门及其它相关部门的正常监督管理；</w:t>
      </w:r>
    </w:p>
    <w:p>
      <w:pPr>
        <w:ind w:firstLine="560" w:firstLineChars="200"/>
        <w:rPr>
          <w:rFonts w:ascii="Arial" w:hAnsi="Arial" w:cs="Arial"/>
          <w:color w:val="000000"/>
          <w:kern w:val="0"/>
          <w:szCs w:val="28"/>
          <w:lang w:val="zh-CN"/>
        </w:rPr>
      </w:pPr>
      <w:r>
        <w:rPr>
          <w:rFonts w:hint="eastAsia" w:ascii="Arial" w:hAnsi="Arial" w:cs="Arial"/>
          <w:color w:val="000000"/>
          <w:kern w:val="0"/>
          <w:szCs w:val="28"/>
          <w:lang w:val="zh-CN"/>
        </w:rPr>
        <w:t>2、发生重大质量安全生产责任事故；</w:t>
      </w:r>
    </w:p>
    <w:p>
      <w:pPr>
        <w:ind w:firstLine="560" w:firstLineChars="200"/>
        <w:rPr>
          <w:rFonts w:ascii="Arial" w:hAnsi="Arial" w:cs="Arial"/>
          <w:color w:val="000000"/>
          <w:kern w:val="0"/>
          <w:szCs w:val="28"/>
          <w:lang w:val="zh-CN"/>
        </w:rPr>
      </w:pPr>
      <w:r>
        <w:rPr>
          <w:rFonts w:hint="eastAsia" w:ascii="Arial" w:hAnsi="Arial" w:cs="Arial"/>
          <w:color w:val="000000"/>
          <w:kern w:val="0"/>
          <w:szCs w:val="28"/>
          <w:lang w:val="zh-CN"/>
        </w:rPr>
        <w:t>3、投标过程中弄虚作假、串标、围标、扰乱有形建筑市场正常秩序；</w:t>
      </w:r>
    </w:p>
    <w:p>
      <w:pPr>
        <w:ind w:firstLine="560" w:firstLineChars="200"/>
        <w:rPr>
          <w:rFonts w:ascii="Arial" w:hAnsi="Arial" w:cs="Arial"/>
          <w:color w:val="000000"/>
          <w:kern w:val="0"/>
          <w:szCs w:val="28"/>
          <w:lang w:val="zh-CN"/>
        </w:rPr>
      </w:pPr>
      <w:r>
        <w:rPr>
          <w:rFonts w:hint="eastAsia" w:ascii="Arial" w:hAnsi="Arial" w:cs="Arial"/>
          <w:color w:val="000000"/>
          <w:kern w:val="0"/>
          <w:szCs w:val="28"/>
          <w:lang w:val="zh-CN"/>
        </w:rPr>
        <w:t>4、因欠薪而引发工人聚集上访事件；</w:t>
      </w:r>
    </w:p>
    <w:p>
      <w:pPr>
        <w:ind w:firstLine="560" w:firstLineChars="200"/>
        <w:rPr>
          <w:rFonts w:ascii="Arial" w:hAnsi="Arial" w:cs="Arial"/>
          <w:color w:val="000000"/>
          <w:kern w:val="0"/>
          <w:szCs w:val="28"/>
          <w:lang w:val="zh-CN"/>
        </w:rPr>
      </w:pPr>
      <w:r>
        <w:rPr>
          <w:rFonts w:hint="eastAsia" w:ascii="Arial" w:hAnsi="Arial" w:cs="Arial"/>
          <w:color w:val="000000"/>
          <w:kern w:val="0"/>
          <w:szCs w:val="28"/>
          <w:lang w:val="zh-CN"/>
        </w:rPr>
        <w:t>5、不按时参加建设行政主管部门要求参加的会议，不按时报送建设行政主管部门要求报送的报表；</w:t>
      </w:r>
    </w:p>
    <w:p>
      <w:pPr>
        <w:ind w:firstLine="560" w:firstLineChars="200"/>
        <w:rPr>
          <w:rFonts w:ascii="Arial" w:hAnsi="Arial" w:cs="Arial"/>
          <w:color w:val="000000"/>
          <w:kern w:val="0"/>
          <w:szCs w:val="28"/>
          <w:lang w:val="zh-CN"/>
        </w:rPr>
      </w:pPr>
      <w:r>
        <w:rPr>
          <w:rFonts w:hint="eastAsia" w:ascii="Arial" w:hAnsi="Arial" w:cs="Arial"/>
          <w:color w:val="000000"/>
          <w:kern w:val="0"/>
          <w:szCs w:val="28"/>
          <w:lang w:val="zh-CN"/>
        </w:rPr>
        <w:t>6、企业负责人、经营负责人、技术负责人、项目经理、办公地址、联系电话等发生变更而逾期不办理变更手续；</w:t>
      </w:r>
    </w:p>
    <w:p>
      <w:pPr>
        <w:ind w:firstLine="560" w:firstLineChars="200"/>
        <w:rPr>
          <w:rFonts w:ascii="Arial" w:hAnsi="Arial" w:cs="Arial"/>
          <w:color w:val="000000"/>
          <w:kern w:val="0"/>
          <w:szCs w:val="28"/>
          <w:lang w:val="zh-CN"/>
        </w:rPr>
      </w:pPr>
      <w:r>
        <w:rPr>
          <w:rFonts w:hint="eastAsia" w:ascii="Arial" w:hAnsi="Arial" w:cs="Arial"/>
          <w:color w:val="000000"/>
          <w:kern w:val="0"/>
          <w:szCs w:val="28"/>
          <w:lang w:val="zh-CN"/>
        </w:rPr>
        <w:t>7、其它违反法律、法规的行为。</w:t>
      </w:r>
    </w:p>
    <w:p>
      <w:pPr>
        <w:rPr>
          <w:rFonts w:ascii="Arial" w:hAnsi="Arial" w:cs="Arial"/>
          <w:color w:val="000000"/>
          <w:kern w:val="0"/>
          <w:szCs w:val="28"/>
          <w:lang w:val="zh-CN"/>
        </w:rPr>
      </w:pPr>
    </w:p>
    <w:p>
      <w:pPr>
        <w:ind w:firstLine="560" w:firstLineChars="200"/>
        <w:rPr>
          <w:rFonts w:ascii="Arial" w:hAnsi="Arial" w:cs="Arial"/>
          <w:color w:val="000000"/>
          <w:kern w:val="0"/>
          <w:szCs w:val="28"/>
          <w:lang w:val="zh-CN"/>
        </w:rPr>
      </w:pPr>
    </w:p>
    <w:p>
      <w:pPr>
        <w:ind w:firstLine="560" w:firstLineChars="200"/>
        <w:rPr>
          <w:rFonts w:ascii="Arial" w:hAnsi="Arial" w:cs="Arial"/>
          <w:color w:val="000000"/>
          <w:kern w:val="0"/>
          <w:szCs w:val="28"/>
          <w:lang w:val="zh-CN"/>
        </w:rPr>
      </w:pPr>
    </w:p>
    <w:p>
      <w:pPr>
        <w:ind w:firstLine="560" w:firstLineChars="200"/>
        <w:rPr>
          <w:rFonts w:ascii="Arial" w:hAnsi="Arial" w:cs="Arial"/>
          <w:color w:val="000000"/>
          <w:kern w:val="0"/>
          <w:szCs w:val="28"/>
          <w:lang w:val="zh-CN"/>
        </w:rPr>
      </w:pPr>
    </w:p>
    <w:p>
      <w:pPr>
        <w:ind w:firstLine="560" w:firstLineChars="200"/>
        <w:rPr>
          <w:rFonts w:ascii="Arial" w:hAnsi="Arial" w:cs="Arial"/>
          <w:color w:val="000000"/>
          <w:kern w:val="0"/>
          <w:szCs w:val="28"/>
          <w:lang w:val="zh-CN"/>
        </w:rPr>
      </w:pPr>
    </w:p>
    <w:p>
      <w:pPr>
        <w:ind w:firstLine="560" w:firstLineChars="200"/>
        <w:rPr>
          <w:rFonts w:ascii="Arial" w:hAnsi="Arial" w:cs="Arial"/>
          <w:color w:val="000000"/>
          <w:kern w:val="0"/>
          <w:szCs w:val="28"/>
          <w:lang w:val="zh-CN"/>
        </w:rPr>
      </w:pPr>
      <w:r>
        <w:rPr>
          <w:rFonts w:hint="eastAsia" w:ascii="Arial" w:hAnsi="Arial" w:cs="Arial"/>
          <w:color w:val="000000"/>
          <w:kern w:val="0"/>
          <w:szCs w:val="28"/>
          <w:lang w:val="zh-CN"/>
        </w:rPr>
        <w:t xml:space="preserve">法定代表人签字：               单位公章：             </w:t>
      </w:r>
    </w:p>
    <w:p>
      <w:pPr>
        <w:jc w:val="center"/>
        <w:rPr>
          <w:rFonts w:ascii="Arial" w:hAnsi="Arial" w:cs="Arial"/>
          <w:color w:val="000000"/>
          <w:kern w:val="0"/>
          <w:szCs w:val="28"/>
          <w:lang w:val="zh-CN"/>
        </w:rPr>
      </w:pPr>
    </w:p>
    <w:p>
      <w:pPr>
        <w:jc w:val="center"/>
        <w:rPr>
          <w:rFonts w:ascii="Arial" w:hAnsi="Arial" w:cs="Arial"/>
          <w:color w:val="000000"/>
          <w:kern w:val="0"/>
          <w:szCs w:val="28"/>
        </w:rPr>
      </w:pPr>
    </w:p>
    <w:p>
      <w:pPr>
        <w:jc w:val="center"/>
        <w:rPr>
          <w:rFonts w:ascii="宋体" w:hAnsi="宋体"/>
          <w:b/>
          <w:color w:val="000000"/>
          <w:szCs w:val="28"/>
        </w:rPr>
      </w:pPr>
      <w:r>
        <w:rPr>
          <w:rFonts w:hint="eastAsia" w:ascii="Arial" w:hAnsi="Arial" w:cs="Arial"/>
          <w:color w:val="000000"/>
          <w:kern w:val="0"/>
          <w:szCs w:val="28"/>
          <w:lang w:val="zh-CN"/>
        </w:rPr>
        <w:t>年   月   日</w:t>
      </w:r>
    </w:p>
    <w:p>
      <w:pPr>
        <w:outlineLvl w:val="2"/>
        <w:rPr>
          <w:rFonts w:ascii="宋体" w:hAnsi="宋体"/>
          <w:b/>
          <w:color w:val="000000"/>
          <w:szCs w:val="28"/>
        </w:rPr>
      </w:pPr>
      <w:bookmarkStart w:id="560" w:name="_Toc19294"/>
    </w:p>
    <w:p>
      <w:pPr>
        <w:outlineLvl w:val="2"/>
        <w:rPr>
          <w:rFonts w:ascii="宋体" w:hAnsi="宋体"/>
          <w:b/>
          <w:color w:val="000000"/>
          <w:szCs w:val="28"/>
        </w:rPr>
      </w:pPr>
    </w:p>
    <w:p>
      <w:pPr>
        <w:outlineLvl w:val="2"/>
        <w:rPr>
          <w:rFonts w:ascii="宋体" w:hAnsi="宋体"/>
          <w:b/>
          <w:color w:val="000000"/>
          <w:szCs w:val="28"/>
        </w:rPr>
      </w:pPr>
    </w:p>
    <w:p>
      <w:pPr>
        <w:outlineLvl w:val="2"/>
        <w:rPr>
          <w:rFonts w:ascii="宋体" w:hAnsi="宋体"/>
          <w:b/>
          <w:color w:val="000000"/>
          <w:szCs w:val="28"/>
        </w:rPr>
      </w:pPr>
    </w:p>
    <w:p>
      <w:pPr>
        <w:outlineLvl w:val="2"/>
        <w:rPr>
          <w:rFonts w:ascii="宋体" w:hAnsi="宋体"/>
          <w:b/>
          <w:color w:val="000000"/>
          <w:szCs w:val="28"/>
        </w:rPr>
      </w:pPr>
    </w:p>
    <w:p>
      <w:pPr>
        <w:outlineLvl w:val="2"/>
        <w:rPr>
          <w:rFonts w:ascii="宋体" w:hAnsi="宋体"/>
          <w:b/>
          <w:color w:val="000000"/>
          <w:szCs w:val="28"/>
        </w:rPr>
      </w:pPr>
    </w:p>
    <w:p>
      <w:pPr>
        <w:outlineLvl w:val="2"/>
        <w:rPr>
          <w:rFonts w:ascii="宋体" w:hAnsi="宋体"/>
          <w:b/>
          <w:color w:val="000000"/>
          <w:szCs w:val="28"/>
        </w:rPr>
      </w:pPr>
    </w:p>
    <w:p>
      <w:pPr>
        <w:outlineLvl w:val="2"/>
        <w:rPr>
          <w:rFonts w:ascii="宋体" w:hAnsi="宋体"/>
          <w:b/>
          <w:color w:val="000000"/>
          <w:szCs w:val="28"/>
        </w:rPr>
      </w:pPr>
    </w:p>
    <w:p>
      <w:pPr>
        <w:outlineLvl w:val="2"/>
        <w:rPr>
          <w:rFonts w:ascii="宋体" w:hAnsi="宋体"/>
          <w:b/>
          <w:color w:val="000000"/>
          <w:szCs w:val="28"/>
        </w:rPr>
      </w:pPr>
      <w:bookmarkStart w:id="561" w:name="_Toc487792189"/>
      <w:r>
        <w:rPr>
          <w:rFonts w:hint="eastAsia" w:ascii="宋体" w:hAnsi="宋体"/>
          <w:b/>
          <w:color w:val="000000"/>
          <w:szCs w:val="28"/>
        </w:rPr>
        <w:t>附件2</w:t>
      </w:r>
      <w:bookmarkEnd w:id="560"/>
      <w:bookmarkEnd w:id="561"/>
    </w:p>
    <w:p>
      <w:pPr>
        <w:rPr>
          <w:rFonts w:ascii="宋体" w:hAnsi="宋体"/>
          <w:b/>
          <w:color w:val="000000"/>
          <w:sz w:val="24"/>
        </w:rPr>
      </w:pPr>
    </w:p>
    <w:p>
      <w:pPr>
        <w:jc w:val="center"/>
        <w:rPr>
          <w:rFonts w:ascii="宋体" w:hAnsi="宋体"/>
          <w:b/>
          <w:color w:val="000000"/>
          <w:sz w:val="44"/>
          <w:szCs w:val="44"/>
        </w:rPr>
      </w:pPr>
      <w:r>
        <w:rPr>
          <w:rFonts w:hint="eastAsia" w:ascii="宋体" w:hAnsi="宋体"/>
          <w:b/>
          <w:color w:val="000000"/>
          <w:sz w:val="44"/>
          <w:szCs w:val="44"/>
        </w:rPr>
        <w:t>信誉承诺书</w:t>
      </w:r>
    </w:p>
    <w:p>
      <w:pPr>
        <w:rPr>
          <w:rFonts w:ascii="宋体" w:hAnsi="宋体"/>
          <w:b/>
          <w:color w:val="000000"/>
          <w:szCs w:val="28"/>
        </w:rPr>
      </w:pPr>
    </w:p>
    <w:p>
      <w:pPr>
        <w:rPr>
          <w:rFonts w:ascii="宋体" w:hAnsi="宋体"/>
          <w:b/>
          <w:color w:val="000000"/>
          <w:szCs w:val="28"/>
          <w:u w:val="single"/>
        </w:rPr>
      </w:pPr>
      <w:r>
        <w:rPr>
          <w:rFonts w:hint="eastAsia" w:ascii="宋体" w:hAnsi="宋体"/>
          <w:b/>
          <w:color w:val="000000"/>
          <w:szCs w:val="28"/>
        </w:rPr>
        <w:t>致：</w:t>
      </w:r>
      <w:r>
        <w:rPr>
          <w:rFonts w:hint="eastAsia" w:ascii="宋体" w:hAnsi="宋体"/>
          <w:b/>
          <w:color w:val="000000"/>
          <w:szCs w:val="28"/>
          <w:u w:val="single"/>
        </w:rPr>
        <w:t xml:space="preserve">采购人      </w:t>
      </w:r>
    </w:p>
    <w:p>
      <w:pPr>
        <w:rPr>
          <w:rFonts w:ascii="宋体" w:hAnsi="宋体"/>
          <w:b/>
          <w:color w:val="000000"/>
          <w:szCs w:val="28"/>
        </w:rPr>
      </w:pPr>
      <w:r>
        <w:rPr>
          <w:rFonts w:hint="eastAsia" w:ascii="宋体" w:hAnsi="宋体"/>
          <w:b/>
          <w:color w:val="000000"/>
          <w:szCs w:val="28"/>
        </w:rPr>
        <w:t>我方在此声明：</w:t>
      </w:r>
    </w:p>
    <w:p>
      <w:pPr>
        <w:ind w:firstLine="551" w:firstLineChars="197"/>
        <w:rPr>
          <w:rFonts w:ascii="宋体" w:hAnsi="宋体"/>
          <w:color w:val="000000"/>
          <w:szCs w:val="28"/>
          <w:u w:val="single"/>
        </w:rPr>
      </w:pPr>
      <w:r>
        <w:rPr>
          <w:rFonts w:hint="eastAsia" w:ascii="宋体" w:hAnsi="宋体"/>
          <w:color w:val="000000"/>
          <w:szCs w:val="28"/>
        </w:rPr>
        <w:t>1、我单位</w:t>
      </w:r>
      <w:r>
        <w:rPr>
          <w:rFonts w:hint="eastAsia" w:ascii="宋体" w:hAnsi="宋体"/>
          <w:color w:val="000000"/>
          <w:szCs w:val="28"/>
          <w:u w:val="single"/>
        </w:rPr>
        <w:t xml:space="preserve">    （公司名称）          </w:t>
      </w:r>
      <w:r>
        <w:rPr>
          <w:rFonts w:hint="eastAsia" w:ascii="宋体" w:hAnsi="宋体"/>
          <w:color w:val="000000"/>
          <w:szCs w:val="28"/>
        </w:rPr>
        <w:t>拟派往</w:t>
      </w:r>
      <w:r>
        <w:rPr>
          <w:rFonts w:hint="eastAsia" w:ascii="宋体" w:hAnsi="宋体"/>
          <w:color w:val="000000"/>
          <w:szCs w:val="28"/>
          <w:u w:val="single"/>
        </w:rPr>
        <w:t xml:space="preserve">  （项目名称） </w:t>
      </w:r>
      <w:r>
        <w:rPr>
          <w:rFonts w:hint="eastAsia" w:ascii="宋体" w:hAnsi="宋体"/>
          <w:color w:val="000000"/>
          <w:szCs w:val="28"/>
        </w:rPr>
        <w:t>的项目经理</w:t>
      </w:r>
      <w:r>
        <w:rPr>
          <w:rFonts w:hint="eastAsia" w:ascii="宋体" w:hAnsi="宋体"/>
          <w:color w:val="000000"/>
          <w:szCs w:val="28"/>
          <w:u w:val="single"/>
        </w:rPr>
        <w:t>（项目经理姓名）</w:t>
      </w:r>
      <w:r>
        <w:rPr>
          <w:rFonts w:hint="eastAsia" w:ascii="宋体" w:hAnsi="宋体"/>
          <w:color w:val="000000"/>
          <w:szCs w:val="28"/>
        </w:rPr>
        <w:t>未担任其它在建项目建设工程的项目经理。</w:t>
      </w:r>
    </w:p>
    <w:p>
      <w:pPr>
        <w:ind w:firstLine="560" w:firstLineChars="200"/>
        <w:rPr>
          <w:rFonts w:ascii="Arial" w:hAnsi="Arial" w:cs="Arial"/>
          <w:color w:val="000000"/>
          <w:kern w:val="0"/>
          <w:szCs w:val="28"/>
        </w:rPr>
      </w:pPr>
      <w:r>
        <w:rPr>
          <w:rFonts w:hint="eastAsia" w:ascii="Arial" w:hAnsi="Arial" w:cs="Arial"/>
          <w:color w:val="000000"/>
          <w:szCs w:val="28"/>
        </w:rPr>
        <w:t>2、</w:t>
      </w:r>
      <w:r>
        <w:rPr>
          <w:rFonts w:hint="eastAsia" w:ascii="宋体" w:hAnsi="宋体"/>
          <w:color w:val="000000"/>
          <w:szCs w:val="28"/>
        </w:rPr>
        <w:t>投标人不得存在下列情形之一： ①近年（2014年至今）被责令停业，投标资格被暂停或取消，财产被接管、冻结，破产状态； ②近年（2014年至今）内有骗取中标和严重违约及重大工程质量问题</w:t>
      </w:r>
      <w:r>
        <w:rPr>
          <w:rFonts w:hint="eastAsia" w:ascii="Arial" w:hAnsi="Arial" w:cs="Arial"/>
          <w:color w:val="000000"/>
          <w:kern w:val="0"/>
          <w:szCs w:val="28"/>
        </w:rPr>
        <w:t>。</w:t>
      </w:r>
    </w:p>
    <w:p>
      <w:pPr>
        <w:ind w:firstLine="560" w:firstLineChars="200"/>
        <w:rPr>
          <w:rFonts w:ascii="Arial" w:hAnsi="Arial" w:cs="Arial"/>
          <w:color w:val="000000"/>
          <w:kern w:val="0"/>
          <w:szCs w:val="28"/>
          <w:lang w:val="zh-CN"/>
        </w:rPr>
      </w:pPr>
      <w:r>
        <w:rPr>
          <w:rFonts w:hint="eastAsia" w:ascii="Arial" w:hAnsi="Arial" w:cs="Arial"/>
          <w:color w:val="000000"/>
          <w:kern w:val="0"/>
          <w:szCs w:val="28"/>
        </w:rPr>
        <w:t>3、</w:t>
      </w:r>
      <w:r>
        <w:rPr>
          <w:rFonts w:hint="eastAsia" w:ascii="Arial" w:hAnsi="Arial" w:cs="Arial"/>
          <w:color w:val="000000"/>
          <w:kern w:val="0"/>
          <w:szCs w:val="28"/>
          <w:lang w:val="zh-CN"/>
        </w:rPr>
        <w:t>近三年（201</w:t>
      </w:r>
      <w:r>
        <w:rPr>
          <w:rFonts w:hint="eastAsia" w:ascii="Arial" w:hAnsi="Arial" w:cs="Arial"/>
          <w:color w:val="000000"/>
          <w:kern w:val="0"/>
          <w:szCs w:val="28"/>
        </w:rPr>
        <w:t>4</w:t>
      </w:r>
      <w:r>
        <w:rPr>
          <w:rFonts w:hint="eastAsia" w:ascii="Arial" w:hAnsi="Arial" w:cs="Arial"/>
          <w:color w:val="000000"/>
          <w:kern w:val="0"/>
          <w:szCs w:val="28"/>
          <w:lang w:val="zh-CN"/>
        </w:rPr>
        <w:t>年-至今）财务状况良好，没有处于财产被接管、破产或其他关、停、并、转状态。</w:t>
      </w:r>
    </w:p>
    <w:p>
      <w:pPr>
        <w:ind w:firstLine="560" w:firstLineChars="200"/>
        <w:rPr>
          <w:rFonts w:ascii="Arial" w:hAnsi="Arial" w:cs="Arial"/>
          <w:color w:val="000000"/>
          <w:kern w:val="0"/>
          <w:szCs w:val="28"/>
        </w:rPr>
      </w:pPr>
      <w:r>
        <w:rPr>
          <w:rFonts w:hint="eastAsia" w:ascii="Arial" w:hAnsi="Arial" w:cs="Arial"/>
          <w:color w:val="000000"/>
          <w:kern w:val="0"/>
          <w:szCs w:val="28"/>
        </w:rPr>
        <w:t>我方保证上述信息真实且准确，并愿意承担因我方就此弄虚作假所引起的一切法律后果。</w:t>
      </w:r>
    </w:p>
    <w:p>
      <w:pPr>
        <w:rPr>
          <w:rFonts w:ascii="Arial" w:hAnsi="Arial" w:cs="Arial"/>
          <w:color w:val="000000"/>
          <w:kern w:val="0"/>
          <w:szCs w:val="28"/>
        </w:rPr>
      </w:pPr>
    </w:p>
    <w:p>
      <w:pPr>
        <w:ind w:firstLine="560" w:firstLineChars="200"/>
        <w:rPr>
          <w:rFonts w:ascii="Arial" w:hAnsi="Arial" w:cs="Arial"/>
          <w:color w:val="000000"/>
          <w:kern w:val="0"/>
          <w:szCs w:val="28"/>
        </w:rPr>
      </w:pPr>
      <w:r>
        <w:rPr>
          <w:rFonts w:hint="eastAsia" w:ascii="Arial" w:hAnsi="Arial" w:cs="Arial"/>
          <w:color w:val="000000"/>
          <w:kern w:val="0"/>
          <w:szCs w:val="28"/>
        </w:rPr>
        <w:t>特此承诺。</w:t>
      </w:r>
    </w:p>
    <w:p>
      <w:pPr>
        <w:rPr>
          <w:rFonts w:ascii="宋体" w:hAnsi="宋体"/>
          <w:b/>
          <w:color w:val="000000"/>
          <w:szCs w:val="28"/>
          <w:u w:val="single"/>
        </w:rPr>
      </w:pPr>
    </w:p>
    <w:p>
      <w:pPr>
        <w:spacing w:line="480" w:lineRule="auto"/>
        <w:rPr>
          <w:rFonts w:ascii="Arial" w:hAnsi="Arial" w:cs="Arial"/>
          <w:color w:val="000000"/>
          <w:kern w:val="0"/>
          <w:szCs w:val="28"/>
        </w:rPr>
      </w:pPr>
    </w:p>
    <w:p>
      <w:pPr>
        <w:spacing w:line="480" w:lineRule="auto"/>
        <w:rPr>
          <w:rFonts w:ascii="Arial" w:hAnsi="Arial" w:cs="Arial"/>
          <w:color w:val="000000"/>
          <w:kern w:val="0"/>
          <w:szCs w:val="28"/>
        </w:rPr>
      </w:pPr>
    </w:p>
    <w:p>
      <w:pPr>
        <w:spacing w:line="480" w:lineRule="auto"/>
        <w:rPr>
          <w:rFonts w:ascii="Arial" w:hAnsi="Arial" w:cs="Arial"/>
          <w:color w:val="000000"/>
          <w:kern w:val="0"/>
          <w:szCs w:val="28"/>
        </w:rPr>
      </w:pPr>
    </w:p>
    <w:p>
      <w:pPr>
        <w:spacing w:line="480" w:lineRule="auto"/>
        <w:rPr>
          <w:rFonts w:ascii="Arial" w:hAnsi="Arial" w:cs="Arial"/>
          <w:color w:val="000000"/>
          <w:kern w:val="0"/>
          <w:szCs w:val="28"/>
          <w:u w:val="single"/>
        </w:rPr>
      </w:pPr>
    </w:p>
    <w:p>
      <w:pPr>
        <w:spacing w:line="480" w:lineRule="auto"/>
        <w:ind w:firstLine="2800" w:firstLineChars="1000"/>
        <w:rPr>
          <w:rFonts w:ascii="Arial" w:hAnsi="Arial" w:cs="Arial"/>
          <w:color w:val="000000"/>
          <w:kern w:val="0"/>
          <w:szCs w:val="28"/>
          <w:u w:val="single"/>
        </w:rPr>
      </w:pPr>
      <w:r>
        <w:rPr>
          <w:rFonts w:hint="eastAsia" w:ascii="Arial" w:hAnsi="Arial" w:cs="Arial"/>
          <w:color w:val="000000"/>
          <w:kern w:val="0"/>
          <w:szCs w:val="28"/>
        </w:rPr>
        <w:t>投标人：（盖单位章）</w:t>
      </w:r>
    </w:p>
    <w:p>
      <w:pPr>
        <w:spacing w:line="480" w:lineRule="auto"/>
        <w:ind w:firstLine="2800" w:firstLineChars="1000"/>
        <w:rPr>
          <w:rFonts w:ascii="Arial" w:hAnsi="Arial" w:cs="Arial"/>
          <w:color w:val="000000"/>
          <w:kern w:val="0"/>
          <w:szCs w:val="28"/>
          <w:u w:val="single"/>
        </w:rPr>
      </w:pPr>
      <w:r>
        <w:rPr>
          <w:rFonts w:hint="eastAsia" w:ascii="Arial" w:hAnsi="Arial" w:cs="Arial"/>
          <w:color w:val="000000"/>
          <w:kern w:val="0"/>
          <w:szCs w:val="28"/>
        </w:rPr>
        <w:t>法定代表人或其委托代理人：（签字或盖章）</w:t>
      </w:r>
    </w:p>
    <w:p>
      <w:pPr>
        <w:spacing w:line="360" w:lineRule="auto"/>
        <w:ind w:right="1280" w:firstLine="5880" w:firstLineChars="2100"/>
        <w:jc w:val="left"/>
        <w:rPr>
          <w:rFonts w:ascii="Arial" w:hAnsi="Arial" w:cs="Arial"/>
          <w:color w:val="000000"/>
          <w:kern w:val="0"/>
          <w:szCs w:val="28"/>
        </w:rPr>
      </w:pPr>
    </w:p>
    <w:p>
      <w:pPr>
        <w:spacing w:line="360" w:lineRule="auto"/>
        <w:ind w:right="1280" w:firstLine="5880" w:firstLineChars="2100"/>
        <w:jc w:val="left"/>
        <w:rPr>
          <w:rFonts w:ascii="Arial" w:hAnsi="Arial" w:cs="Arial"/>
          <w:color w:val="000000"/>
          <w:kern w:val="0"/>
          <w:szCs w:val="28"/>
        </w:rPr>
      </w:pPr>
      <w:r>
        <w:rPr>
          <w:rFonts w:hint="eastAsia" w:ascii="Arial" w:hAnsi="Arial" w:cs="Arial"/>
          <w:color w:val="000000"/>
          <w:kern w:val="0"/>
          <w:szCs w:val="28"/>
        </w:rPr>
        <w:t>年   月    日</w:t>
      </w:r>
    </w:p>
    <w:p>
      <w:pPr>
        <w:spacing w:line="360" w:lineRule="auto"/>
        <w:ind w:right="1280" w:firstLine="5880" w:firstLineChars="2100"/>
        <w:jc w:val="left"/>
        <w:rPr>
          <w:rFonts w:ascii="Arial" w:hAnsi="Arial" w:cs="Arial"/>
          <w:color w:val="000000"/>
          <w:kern w:val="0"/>
          <w:szCs w:val="28"/>
        </w:rPr>
      </w:pPr>
    </w:p>
    <w:p>
      <w:pPr>
        <w:outlineLvl w:val="2"/>
        <w:rPr>
          <w:rFonts w:ascii="宋体" w:hAnsi="宋体"/>
          <w:b/>
          <w:color w:val="000000"/>
          <w:szCs w:val="28"/>
        </w:rPr>
      </w:pPr>
      <w:bookmarkStart w:id="562" w:name="_Toc23925"/>
    </w:p>
    <w:p>
      <w:pPr>
        <w:outlineLvl w:val="2"/>
        <w:rPr>
          <w:rFonts w:ascii="宋体" w:hAnsi="宋体"/>
          <w:b/>
          <w:color w:val="000000"/>
          <w:szCs w:val="28"/>
        </w:rPr>
      </w:pPr>
    </w:p>
    <w:p>
      <w:pPr>
        <w:outlineLvl w:val="2"/>
        <w:rPr>
          <w:rFonts w:ascii="宋体" w:hAnsi="宋体"/>
          <w:b/>
          <w:color w:val="000000"/>
          <w:szCs w:val="28"/>
        </w:rPr>
      </w:pPr>
    </w:p>
    <w:p>
      <w:pPr>
        <w:outlineLvl w:val="2"/>
        <w:rPr>
          <w:rFonts w:ascii="宋体" w:hAnsi="宋体"/>
          <w:b/>
          <w:color w:val="000000"/>
          <w:szCs w:val="28"/>
        </w:rPr>
      </w:pPr>
    </w:p>
    <w:p>
      <w:pPr>
        <w:outlineLvl w:val="2"/>
        <w:rPr>
          <w:rFonts w:ascii="宋体" w:hAnsi="宋体"/>
          <w:b/>
          <w:color w:val="000000"/>
          <w:szCs w:val="28"/>
        </w:rPr>
      </w:pPr>
    </w:p>
    <w:p>
      <w:pPr>
        <w:outlineLvl w:val="2"/>
        <w:rPr>
          <w:rFonts w:ascii="宋体" w:hAnsi="宋体"/>
          <w:b/>
          <w:color w:val="000000"/>
          <w:szCs w:val="28"/>
        </w:rPr>
      </w:pPr>
      <w:bookmarkStart w:id="563" w:name="_Toc487792190"/>
      <w:r>
        <w:rPr>
          <w:rFonts w:hint="eastAsia" w:ascii="宋体" w:hAnsi="宋体"/>
          <w:b/>
          <w:color w:val="000000"/>
          <w:szCs w:val="28"/>
        </w:rPr>
        <w:t>附件3：</w:t>
      </w:r>
      <w:bookmarkEnd w:id="562"/>
      <w:bookmarkEnd w:id="563"/>
    </w:p>
    <w:p>
      <w:pPr>
        <w:spacing w:line="360" w:lineRule="auto"/>
        <w:jc w:val="center"/>
        <w:rPr>
          <w:rFonts w:ascii="宋体"/>
          <w:b/>
          <w:sz w:val="30"/>
          <w:szCs w:val="30"/>
        </w:rPr>
      </w:pPr>
    </w:p>
    <w:p>
      <w:pPr>
        <w:spacing w:line="360" w:lineRule="auto"/>
        <w:jc w:val="center"/>
        <w:rPr>
          <w:rFonts w:ascii="宋体"/>
          <w:b/>
          <w:sz w:val="30"/>
          <w:szCs w:val="30"/>
        </w:rPr>
      </w:pPr>
      <w:r>
        <w:rPr>
          <w:rFonts w:hint="eastAsia" w:ascii="宋体"/>
          <w:b/>
          <w:sz w:val="30"/>
          <w:szCs w:val="30"/>
        </w:rPr>
        <w:t>农民工工资保障金的交纳与使用承诺书</w:t>
      </w:r>
    </w:p>
    <w:p>
      <w:pPr>
        <w:spacing w:line="360" w:lineRule="auto"/>
        <w:jc w:val="center"/>
        <w:rPr>
          <w:rFonts w:ascii="宋体"/>
          <w:b/>
          <w:sz w:val="30"/>
          <w:szCs w:val="30"/>
        </w:rPr>
      </w:pPr>
    </w:p>
    <w:p>
      <w:pPr>
        <w:spacing w:line="600" w:lineRule="exact"/>
        <w:rPr>
          <w:rFonts w:ascii="宋体"/>
          <w:szCs w:val="28"/>
        </w:rPr>
      </w:pPr>
      <w:r>
        <w:rPr>
          <w:rFonts w:hint="eastAsia" w:ascii="宋体"/>
          <w:szCs w:val="28"/>
        </w:rPr>
        <w:t>致：</w:t>
      </w:r>
      <w:r>
        <w:rPr>
          <w:szCs w:val="28"/>
        </w:rPr>
        <w:t>（招</w:t>
      </w:r>
      <w:r>
        <w:rPr>
          <w:rFonts w:hint="eastAsia" w:ascii="宋体"/>
          <w:szCs w:val="28"/>
        </w:rPr>
        <w:t>标人名称）：</w:t>
      </w:r>
    </w:p>
    <w:p>
      <w:pPr>
        <w:spacing w:line="600" w:lineRule="exact"/>
        <w:ind w:firstLine="560" w:firstLineChars="200"/>
        <w:rPr>
          <w:rFonts w:ascii="宋体"/>
          <w:szCs w:val="28"/>
        </w:rPr>
      </w:pPr>
      <w:r>
        <w:rPr>
          <w:rFonts w:hint="eastAsia" w:ascii="宋体"/>
          <w:szCs w:val="28"/>
        </w:rPr>
        <w:t>根据《内蒙古自治区人民政府办公厅关于印发自治区建设领域农民工工资保障金管理办法的通知》内政办字[2006]443号文件的规定，我方对农民工工资保证金的交纳与使用在此向招标人承诺：</w:t>
      </w:r>
    </w:p>
    <w:p>
      <w:pPr>
        <w:spacing w:line="600" w:lineRule="exact"/>
        <w:ind w:firstLine="560" w:firstLineChars="200"/>
        <w:rPr>
          <w:rFonts w:ascii="宋体"/>
          <w:szCs w:val="28"/>
        </w:rPr>
      </w:pPr>
      <w:r>
        <w:rPr>
          <w:rFonts w:hint="eastAsia" w:ascii="宋体"/>
          <w:szCs w:val="28"/>
        </w:rPr>
        <w:t>1、我方参与投标的（工程名称）项目，一旦中标，我方保证及时并且足额将农民工工资保障金存入建设行政主管部门指定的账户。</w:t>
      </w:r>
    </w:p>
    <w:p>
      <w:pPr>
        <w:spacing w:line="600" w:lineRule="exact"/>
        <w:ind w:firstLine="560" w:firstLineChars="200"/>
        <w:rPr>
          <w:rFonts w:ascii="宋体"/>
          <w:szCs w:val="28"/>
        </w:rPr>
      </w:pPr>
      <w:r>
        <w:rPr>
          <w:rFonts w:hint="eastAsia" w:ascii="宋体"/>
          <w:szCs w:val="28"/>
        </w:rPr>
        <w:t>2、如果我方中标，所承包的（工程名称）项目出现拖欠农民工工资情况的，由有关部门按规定从我方的农民工工资保障金中先予支取。</w:t>
      </w:r>
    </w:p>
    <w:p>
      <w:pPr>
        <w:spacing w:line="600" w:lineRule="exact"/>
        <w:ind w:firstLine="560" w:firstLineChars="200"/>
        <w:rPr>
          <w:rFonts w:ascii="宋体"/>
          <w:szCs w:val="28"/>
        </w:rPr>
      </w:pPr>
    </w:p>
    <w:p>
      <w:pPr>
        <w:spacing w:line="600" w:lineRule="exact"/>
        <w:ind w:right="560" w:firstLine="140" w:firstLineChars="50"/>
        <w:rPr>
          <w:rFonts w:ascii="宋体"/>
          <w:szCs w:val="28"/>
        </w:rPr>
      </w:pPr>
    </w:p>
    <w:p>
      <w:pPr>
        <w:spacing w:line="600" w:lineRule="exact"/>
        <w:ind w:right="560" w:firstLine="140" w:firstLineChars="50"/>
        <w:rPr>
          <w:rFonts w:ascii="宋体"/>
          <w:szCs w:val="28"/>
        </w:rPr>
      </w:pPr>
    </w:p>
    <w:p>
      <w:pPr>
        <w:spacing w:line="600" w:lineRule="exact"/>
        <w:ind w:right="560" w:firstLine="3220" w:firstLineChars="1150"/>
        <w:rPr>
          <w:rFonts w:ascii="宋体"/>
          <w:szCs w:val="28"/>
        </w:rPr>
      </w:pPr>
      <w:r>
        <w:rPr>
          <w:rFonts w:hint="eastAsia" w:ascii="宋体"/>
          <w:szCs w:val="28"/>
        </w:rPr>
        <w:t>投标人：（盖章）</w:t>
      </w:r>
    </w:p>
    <w:p>
      <w:pPr>
        <w:spacing w:line="600" w:lineRule="exact"/>
        <w:ind w:right="560" w:firstLine="3220" w:firstLineChars="1150"/>
        <w:rPr>
          <w:rFonts w:ascii="宋体"/>
          <w:szCs w:val="28"/>
        </w:rPr>
      </w:pPr>
      <w:r>
        <w:rPr>
          <w:rFonts w:hint="eastAsia" w:ascii="宋体"/>
          <w:szCs w:val="28"/>
        </w:rPr>
        <w:t>法定代表人：（签字或盖章）</w:t>
      </w:r>
    </w:p>
    <w:p>
      <w:pPr>
        <w:spacing w:line="600" w:lineRule="exact"/>
        <w:ind w:right="480"/>
        <w:rPr>
          <w:rFonts w:ascii="宋体"/>
          <w:szCs w:val="28"/>
        </w:rPr>
      </w:pPr>
      <w:r>
        <w:rPr>
          <w:rFonts w:hint="eastAsia" w:ascii="宋体"/>
          <w:szCs w:val="28"/>
        </w:rPr>
        <w:t xml:space="preserve">                       日   期：        年    月    日</w:t>
      </w:r>
    </w:p>
    <w:p>
      <w:pPr>
        <w:rPr>
          <w:rFonts w:ascii="宋体" w:hAnsi="宋体"/>
          <w:b/>
          <w:color w:val="000000"/>
          <w:szCs w:val="28"/>
        </w:rPr>
      </w:pPr>
    </w:p>
    <w:p>
      <w:pPr>
        <w:rPr>
          <w:rFonts w:ascii="宋体" w:hAnsi="宋体"/>
          <w:b/>
          <w:color w:val="000000"/>
          <w:szCs w:val="28"/>
        </w:rPr>
      </w:pPr>
    </w:p>
    <w:p>
      <w:pPr>
        <w:rPr>
          <w:rFonts w:ascii="宋体" w:hAnsi="宋体"/>
          <w:b/>
          <w:color w:val="000000"/>
          <w:szCs w:val="28"/>
        </w:rPr>
      </w:pPr>
    </w:p>
    <w:p>
      <w:pPr>
        <w:rPr>
          <w:rFonts w:ascii="宋体" w:hAnsi="宋体"/>
          <w:b/>
          <w:color w:val="000000"/>
          <w:szCs w:val="28"/>
        </w:rPr>
      </w:pPr>
    </w:p>
    <w:p>
      <w:pPr>
        <w:rPr>
          <w:rFonts w:ascii="宋体" w:hAnsi="宋体"/>
          <w:b/>
          <w:color w:val="000000"/>
          <w:szCs w:val="28"/>
        </w:rPr>
      </w:pPr>
    </w:p>
    <w:p>
      <w:pPr>
        <w:rPr>
          <w:rFonts w:ascii="宋体" w:hAnsi="宋体"/>
          <w:b/>
          <w:color w:val="000000"/>
          <w:szCs w:val="28"/>
        </w:rPr>
      </w:pPr>
    </w:p>
    <w:p>
      <w:pPr>
        <w:rPr>
          <w:rFonts w:ascii="宋体" w:hAnsi="宋体"/>
          <w:b/>
          <w:color w:val="000000"/>
          <w:szCs w:val="28"/>
        </w:rPr>
      </w:pPr>
    </w:p>
    <w:p>
      <w:pPr>
        <w:rPr>
          <w:rFonts w:ascii="宋体" w:hAnsi="宋体"/>
          <w:b/>
          <w:color w:val="000000"/>
          <w:szCs w:val="28"/>
        </w:rPr>
      </w:pPr>
    </w:p>
    <w:p>
      <w:pPr>
        <w:rPr>
          <w:rFonts w:ascii="宋体" w:hAnsi="宋体"/>
          <w:b/>
          <w:color w:val="000000"/>
          <w:szCs w:val="28"/>
        </w:rPr>
      </w:pPr>
    </w:p>
    <w:p>
      <w:pPr>
        <w:rPr>
          <w:rFonts w:ascii="宋体" w:hAnsi="宋体"/>
          <w:b/>
          <w:color w:val="000000"/>
          <w:szCs w:val="28"/>
        </w:rPr>
      </w:pPr>
    </w:p>
    <w:p>
      <w:pPr>
        <w:outlineLvl w:val="2"/>
        <w:rPr>
          <w:rFonts w:ascii="宋体" w:hAnsi="宋体"/>
          <w:b/>
          <w:color w:val="000000"/>
          <w:szCs w:val="28"/>
        </w:rPr>
      </w:pPr>
      <w:bookmarkStart w:id="564" w:name="_Toc4576"/>
      <w:bookmarkStart w:id="565" w:name="_Toc487792191"/>
      <w:r>
        <w:rPr>
          <w:rFonts w:hint="eastAsia" w:ascii="宋体" w:hAnsi="宋体"/>
          <w:b/>
          <w:color w:val="000000"/>
          <w:szCs w:val="28"/>
        </w:rPr>
        <w:t>附件4：</w:t>
      </w:r>
      <w:bookmarkEnd w:id="564"/>
      <w:bookmarkEnd w:id="565"/>
    </w:p>
    <w:p>
      <w:pPr>
        <w:jc w:val="center"/>
        <w:rPr>
          <w:rFonts w:ascii="宋体" w:hAnsi="宋体"/>
          <w:b/>
          <w:color w:val="000000"/>
          <w:sz w:val="44"/>
          <w:szCs w:val="44"/>
        </w:rPr>
      </w:pPr>
      <w:r>
        <w:rPr>
          <w:rFonts w:hint="eastAsia" w:ascii="宋体" w:hAnsi="宋体"/>
          <w:b/>
          <w:color w:val="000000"/>
          <w:sz w:val="44"/>
          <w:szCs w:val="44"/>
        </w:rPr>
        <w:t>投标人资信原件信息核实表</w:t>
      </w:r>
    </w:p>
    <w:p>
      <w:pPr>
        <w:jc w:val="left"/>
        <w:rPr>
          <w:rFonts w:ascii="宋体" w:hAnsi="宋体"/>
          <w:szCs w:val="28"/>
        </w:rPr>
      </w:pPr>
    </w:p>
    <w:p>
      <w:pPr>
        <w:jc w:val="left"/>
        <w:rPr>
          <w:rFonts w:ascii="宋体" w:hAnsi="宋体"/>
          <w:szCs w:val="28"/>
        </w:rPr>
      </w:pPr>
      <w:r>
        <w:rPr>
          <w:rFonts w:hint="eastAsia" w:ascii="宋体" w:hAnsi="宋体"/>
          <w:szCs w:val="28"/>
        </w:rPr>
        <w:t>投标单位名称：</w:t>
      </w:r>
    </w:p>
    <w:p>
      <w:pPr>
        <w:jc w:val="left"/>
        <w:rPr>
          <w:rFonts w:ascii="宋体" w:hAnsi="宋体"/>
          <w:szCs w:val="28"/>
        </w:rPr>
      </w:pPr>
      <w:r>
        <w:rPr>
          <w:rFonts w:hint="eastAsia" w:ascii="宋体" w:hAnsi="宋体"/>
          <w:szCs w:val="28"/>
        </w:rPr>
        <w:t>开标时间：</w:t>
      </w:r>
    </w:p>
    <w:tbl>
      <w:tblPr>
        <w:tblStyle w:val="48"/>
        <w:tblW w:w="96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
        <w:gridCol w:w="1693"/>
        <w:gridCol w:w="2268"/>
        <w:gridCol w:w="1851"/>
        <w:gridCol w:w="1559"/>
        <w:gridCol w:w="843"/>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529" w:type="dxa"/>
            <w:vAlign w:val="center"/>
          </w:tcPr>
          <w:p>
            <w:pPr>
              <w:spacing w:line="360" w:lineRule="auto"/>
              <w:jc w:val="center"/>
              <w:rPr>
                <w:rFonts w:ascii="宋体" w:hAnsi="宋体"/>
                <w:sz w:val="24"/>
              </w:rPr>
            </w:pPr>
            <w:r>
              <w:rPr>
                <w:rFonts w:hint="eastAsia" w:ascii="宋体" w:hAnsi="宋体"/>
                <w:sz w:val="24"/>
              </w:rPr>
              <w:t>序号</w:t>
            </w:r>
          </w:p>
        </w:tc>
        <w:tc>
          <w:tcPr>
            <w:tcW w:w="1693" w:type="dxa"/>
            <w:vAlign w:val="center"/>
          </w:tcPr>
          <w:p>
            <w:pPr>
              <w:spacing w:line="240" w:lineRule="atLeast"/>
              <w:jc w:val="center"/>
              <w:rPr>
                <w:rFonts w:ascii="宋体" w:hAnsi="宋体"/>
                <w:sz w:val="24"/>
              </w:rPr>
            </w:pPr>
            <w:r>
              <w:rPr>
                <w:rFonts w:hint="eastAsia" w:ascii="宋体" w:hAnsi="宋体"/>
                <w:sz w:val="24"/>
              </w:rPr>
              <w:t>证件名称</w:t>
            </w:r>
          </w:p>
          <w:p>
            <w:pPr>
              <w:spacing w:line="240" w:lineRule="atLeast"/>
              <w:jc w:val="center"/>
              <w:rPr>
                <w:rFonts w:ascii="宋体" w:hAnsi="宋体"/>
                <w:sz w:val="24"/>
              </w:rPr>
            </w:pPr>
            <w:r>
              <w:rPr>
                <w:rFonts w:hint="eastAsia" w:ascii="宋体" w:hAnsi="宋体"/>
                <w:sz w:val="24"/>
              </w:rPr>
              <w:t>（填写全称）</w:t>
            </w:r>
          </w:p>
        </w:tc>
        <w:tc>
          <w:tcPr>
            <w:tcW w:w="2268" w:type="dxa"/>
            <w:vAlign w:val="center"/>
          </w:tcPr>
          <w:p>
            <w:pPr>
              <w:spacing w:line="240" w:lineRule="atLeast"/>
              <w:jc w:val="center"/>
              <w:rPr>
                <w:rFonts w:ascii="宋体" w:hAnsi="宋体"/>
                <w:sz w:val="24"/>
              </w:rPr>
            </w:pPr>
            <w:r>
              <w:rPr>
                <w:rFonts w:hint="eastAsia" w:ascii="宋体" w:hAnsi="宋体"/>
                <w:sz w:val="24"/>
              </w:rPr>
              <w:t>证书编号</w:t>
            </w:r>
          </w:p>
          <w:p>
            <w:pPr>
              <w:spacing w:line="240" w:lineRule="atLeast"/>
              <w:jc w:val="center"/>
              <w:rPr>
                <w:rFonts w:ascii="宋体" w:hAnsi="宋体"/>
                <w:sz w:val="24"/>
              </w:rPr>
            </w:pPr>
            <w:r>
              <w:rPr>
                <w:rFonts w:hint="eastAsia" w:ascii="宋体" w:hAnsi="宋体"/>
                <w:sz w:val="24"/>
              </w:rPr>
              <w:t>（编号须正确填写）</w:t>
            </w:r>
          </w:p>
        </w:tc>
        <w:tc>
          <w:tcPr>
            <w:tcW w:w="1851" w:type="dxa"/>
            <w:vAlign w:val="center"/>
          </w:tcPr>
          <w:p>
            <w:pPr>
              <w:spacing w:line="240" w:lineRule="atLeast"/>
              <w:jc w:val="center"/>
              <w:rPr>
                <w:rFonts w:ascii="宋体" w:hAnsi="宋体"/>
                <w:sz w:val="24"/>
              </w:rPr>
            </w:pPr>
            <w:r>
              <w:rPr>
                <w:rFonts w:hint="eastAsia" w:ascii="宋体" w:hAnsi="宋体"/>
                <w:sz w:val="24"/>
              </w:rPr>
              <w:t>证书信息</w:t>
            </w:r>
          </w:p>
          <w:p>
            <w:pPr>
              <w:spacing w:line="240" w:lineRule="atLeast"/>
              <w:jc w:val="center"/>
              <w:rPr>
                <w:rFonts w:ascii="宋体" w:hAnsi="宋体"/>
                <w:sz w:val="24"/>
              </w:rPr>
            </w:pPr>
            <w:r>
              <w:rPr>
                <w:rFonts w:hint="eastAsia" w:ascii="宋体" w:hAnsi="宋体"/>
                <w:sz w:val="24"/>
              </w:rPr>
              <w:t>（正本或副本）</w:t>
            </w:r>
          </w:p>
        </w:tc>
        <w:tc>
          <w:tcPr>
            <w:tcW w:w="1559" w:type="dxa"/>
            <w:vAlign w:val="center"/>
          </w:tcPr>
          <w:p>
            <w:pPr>
              <w:spacing w:line="240" w:lineRule="atLeast"/>
              <w:jc w:val="center"/>
              <w:rPr>
                <w:rFonts w:ascii="宋体" w:hAnsi="宋体"/>
                <w:sz w:val="24"/>
              </w:rPr>
            </w:pPr>
            <w:r>
              <w:rPr>
                <w:rFonts w:hint="eastAsia" w:ascii="宋体" w:hAnsi="宋体"/>
                <w:sz w:val="24"/>
              </w:rPr>
              <w:t>有效期限</w:t>
            </w:r>
          </w:p>
          <w:p>
            <w:pPr>
              <w:spacing w:line="240" w:lineRule="atLeast"/>
              <w:jc w:val="center"/>
              <w:rPr>
                <w:rFonts w:ascii="宋体" w:hAnsi="宋体"/>
                <w:sz w:val="24"/>
              </w:rPr>
            </w:pPr>
            <w:r>
              <w:rPr>
                <w:rFonts w:hint="eastAsia" w:ascii="宋体" w:hAnsi="宋体"/>
                <w:sz w:val="24"/>
              </w:rPr>
              <w:t>（起止时间）</w:t>
            </w:r>
          </w:p>
        </w:tc>
        <w:tc>
          <w:tcPr>
            <w:tcW w:w="843" w:type="dxa"/>
            <w:vAlign w:val="center"/>
          </w:tcPr>
          <w:p>
            <w:pPr>
              <w:spacing w:line="240" w:lineRule="atLeast"/>
              <w:jc w:val="center"/>
              <w:rPr>
                <w:rFonts w:ascii="宋体" w:hAnsi="宋体"/>
                <w:sz w:val="24"/>
              </w:rPr>
            </w:pPr>
            <w:r>
              <w:rPr>
                <w:rFonts w:hint="eastAsia" w:ascii="宋体" w:hAnsi="宋体"/>
                <w:sz w:val="24"/>
              </w:rPr>
              <w:t>数量</w:t>
            </w:r>
          </w:p>
          <w:p>
            <w:pPr>
              <w:spacing w:line="240" w:lineRule="atLeast"/>
              <w:jc w:val="center"/>
              <w:rPr>
                <w:rFonts w:ascii="宋体" w:hAnsi="宋体"/>
                <w:sz w:val="24"/>
              </w:rPr>
            </w:pPr>
            <w:r>
              <w:rPr>
                <w:rFonts w:hint="eastAsia" w:ascii="宋体" w:hAnsi="宋体"/>
                <w:sz w:val="24"/>
              </w:rPr>
              <w:t>（件）</w:t>
            </w:r>
          </w:p>
        </w:tc>
        <w:tc>
          <w:tcPr>
            <w:tcW w:w="950" w:type="dxa"/>
            <w:vAlign w:val="center"/>
          </w:tcPr>
          <w:p>
            <w:pPr>
              <w:spacing w:line="240" w:lineRule="atLeast"/>
              <w:jc w:val="center"/>
              <w:rPr>
                <w:rFonts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Align w:val="center"/>
          </w:tcPr>
          <w:p>
            <w:pPr>
              <w:jc w:val="center"/>
              <w:rPr>
                <w:rFonts w:ascii="宋体" w:hAnsi="宋体"/>
                <w:sz w:val="24"/>
              </w:rPr>
            </w:pPr>
            <w:r>
              <w:rPr>
                <w:rFonts w:ascii="宋体" w:hAnsi="宋体"/>
                <w:sz w:val="24"/>
              </w:rPr>
              <w:t>1</w:t>
            </w:r>
          </w:p>
        </w:tc>
        <w:tc>
          <w:tcPr>
            <w:tcW w:w="1693" w:type="dxa"/>
            <w:vAlign w:val="center"/>
          </w:tcPr>
          <w:p>
            <w:pPr>
              <w:jc w:val="center"/>
              <w:rPr>
                <w:rFonts w:ascii="宋体" w:hAnsi="宋体"/>
                <w:sz w:val="24"/>
              </w:rPr>
            </w:pPr>
          </w:p>
        </w:tc>
        <w:tc>
          <w:tcPr>
            <w:tcW w:w="2268" w:type="dxa"/>
            <w:vAlign w:val="center"/>
          </w:tcPr>
          <w:p>
            <w:pPr>
              <w:jc w:val="center"/>
              <w:rPr>
                <w:rFonts w:ascii="宋体" w:hAnsi="宋体"/>
                <w:sz w:val="24"/>
              </w:rPr>
            </w:pPr>
          </w:p>
        </w:tc>
        <w:tc>
          <w:tcPr>
            <w:tcW w:w="1851" w:type="dxa"/>
            <w:vAlign w:val="center"/>
          </w:tcPr>
          <w:p>
            <w:pPr>
              <w:jc w:val="center"/>
              <w:rPr>
                <w:rFonts w:ascii="宋体" w:hAnsi="宋体"/>
                <w:sz w:val="24"/>
              </w:rPr>
            </w:pPr>
          </w:p>
        </w:tc>
        <w:tc>
          <w:tcPr>
            <w:tcW w:w="1559" w:type="dxa"/>
            <w:vAlign w:val="center"/>
          </w:tcPr>
          <w:p>
            <w:pPr>
              <w:jc w:val="center"/>
              <w:rPr>
                <w:rFonts w:ascii="宋体" w:hAnsi="宋体"/>
                <w:sz w:val="24"/>
              </w:rPr>
            </w:pPr>
          </w:p>
        </w:tc>
        <w:tc>
          <w:tcPr>
            <w:tcW w:w="843" w:type="dxa"/>
            <w:vAlign w:val="center"/>
          </w:tcPr>
          <w:p>
            <w:pPr>
              <w:jc w:val="center"/>
              <w:rPr>
                <w:rFonts w:ascii="宋体" w:hAnsi="宋体"/>
                <w:sz w:val="24"/>
              </w:rPr>
            </w:pPr>
          </w:p>
        </w:tc>
        <w:tc>
          <w:tcPr>
            <w:tcW w:w="950"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Align w:val="center"/>
          </w:tcPr>
          <w:p>
            <w:pPr>
              <w:jc w:val="center"/>
              <w:rPr>
                <w:rFonts w:ascii="宋体" w:hAnsi="宋体"/>
                <w:sz w:val="24"/>
              </w:rPr>
            </w:pPr>
            <w:r>
              <w:rPr>
                <w:rFonts w:ascii="宋体" w:hAnsi="宋体"/>
                <w:sz w:val="24"/>
              </w:rPr>
              <w:t>2</w:t>
            </w:r>
          </w:p>
        </w:tc>
        <w:tc>
          <w:tcPr>
            <w:tcW w:w="1693" w:type="dxa"/>
            <w:vAlign w:val="center"/>
          </w:tcPr>
          <w:p>
            <w:pPr>
              <w:jc w:val="center"/>
              <w:rPr>
                <w:rFonts w:ascii="宋体" w:hAnsi="宋体"/>
                <w:sz w:val="24"/>
              </w:rPr>
            </w:pPr>
          </w:p>
        </w:tc>
        <w:tc>
          <w:tcPr>
            <w:tcW w:w="2268" w:type="dxa"/>
            <w:vAlign w:val="center"/>
          </w:tcPr>
          <w:p>
            <w:pPr>
              <w:jc w:val="center"/>
              <w:rPr>
                <w:rFonts w:ascii="宋体" w:hAnsi="宋体"/>
                <w:sz w:val="24"/>
              </w:rPr>
            </w:pPr>
          </w:p>
        </w:tc>
        <w:tc>
          <w:tcPr>
            <w:tcW w:w="1851" w:type="dxa"/>
            <w:vAlign w:val="center"/>
          </w:tcPr>
          <w:p>
            <w:pPr>
              <w:jc w:val="center"/>
              <w:rPr>
                <w:rFonts w:ascii="宋体" w:hAnsi="宋体"/>
                <w:sz w:val="24"/>
              </w:rPr>
            </w:pPr>
          </w:p>
        </w:tc>
        <w:tc>
          <w:tcPr>
            <w:tcW w:w="1559" w:type="dxa"/>
            <w:vAlign w:val="center"/>
          </w:tcPr>
          <w:p>
            <w:pPr>
              <w:jc w:val="center"/>
              <w:rPr>
                <w:rFonts w:ascii="宋体" w:hAnsi="宋体"/>
                <w:sz w:val="24"/>
              </w:rPr>
            </w:pPr>
          </w:p>
        </w:tc>
        <w:tc>
          <w:tcPr>
            <w:tcW w:w="843" w:type="dxa"/>
            <w:vAlign w:val="center"/>
          </w:tcPr>
          <w:p>
            <w:pPr>
              <w:jc w:val="center"/>
              <w:rPr>
                <w:rFonts w:ascii="宋体" w:hAnsi="宋体"/>
                <w:sz w:val="24"/>
              </w:rPr>
            </w:pPr>
          </w:p>
        </w:tc>
        <w:tc>
          <w:tcPr>
            <w:tcW w:w="950"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Align w:val="center"/>
          </w:tcPr>
          <w:p>
            <w:pPr>
              <w:jc w:val="center"/>
              <w:rPr>
                <w:rFonts w:ascii="宋体" w:hAnsi="宋体"/>
                <w:sz w:val="24"/>
              </w:rPr>
            </w:pPr>
            <w:r>
              <w:rPr>
                <w:rFonts w:ascii="宋体" w:hAnsi="宋体"/>
                <w:sz w:val="24"/>
              </w:rPr>
              <w:t>3</w:t>
            </w:r>
          </w:p>
        </w:tc>
        <w:tc>
          <w:tcPr>
            <w:tcW w:w="1693" w:type="dxa"/>
            <w:vAlign w:val="center"/>
          </w:tcPr>
          <w:p>
            <w:pPr>
              <w:jc w:val="center"/>
              <w:rPr>
                <w:rFonts w:ascii="宋体" w:hAnsi="宋体"/>
                <w:sz w:val="24"/>
              </w:rPr>
            </w:pPr>
          </w:p>
        </w:tc>
        <w:tc>
          <w:tcPr>
            <w:tcW w:w="2268" w:type="dxa"/>
            <w:vAlign w:val="center"/>
          </w:tcPr>
          <w:p>
            <w:pPr>
              <w:jc w:val="center"/>
              <w:rPr>
                <w:rFonts w:ascii="宋体" w:hAnsi="宋体"/>
                <w:sz w:val="24"/>
              </w:rPr>
            </w:pPr>
          </w:p>
        </w:tc>
        <w:tc>
          <w:tcPr>
            <w:tcW w:w="1851" w:type="dxa"/>
            <w:vAlign w:val="center"/>
          </w:tcPr>
          <w:p>
            <w:pPr>
              <w:jc w:val="center"/>
              <w:rPr>
                <w:rFonts w:ascii="宋体" w:hAnsi="宋体"/>
                <w:sz w:val="24"/>
              </w:rPr>
            </w:pPr>
          </w:p>
        </w:tc>
        <w:tc>
          <w:tcPr>
            <w:tcW w:w="1559" w:type="dxa"/>
            <w:vAlign w:val="center"/>
          </w:tcPr>
          <w:p>
            <w:pPr>
              <w:jc w:val="center"/>
              <w:rPr>
                <w:rFonts w:ascii="宋体" w:hAnsi="宋体"/>
                <w:sz w:val="24"/>
              </w:rPr>
            </w:pPr>
          </w:p>
        </w:tc>
        <w:tc>
          <w:tcPr>
            <w:tcW w:w="843" w:type="dxa"/>
            <w:vAlign w:val="center"/>
          </w:tcPr>
          <w:p>
            <w:pPr>
              <w:jc w:val="center"/>
              <w:rPr>
                <w:rFonts w:ascii="宋体" w:hAnsi="宋体"/>
                <w:sz w:val="24"/>
              </w:rPr>
            </w:pPr>
          </w:p>
        </w:tc>
        <w:tc>
          <w:tcPr>
            <w:tcW w:w="950"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Align w:val="center"/>
          </w:tcPr>
          <w:p>
            <w:pPr>
              <w:jc w:val="center"/>
              <w:rPr>
                <w:rFonts w:ascii="宋体" w:hAnsi="宋体"/>
                <w:sz w:val="24"/>
              </w:rPr>
            </w:pPr>
            <w:r>
              <w:rPr>
                <w:rFonts w:ascii="宋体" w:hAnsi="宋体"/>
                <w:sz w:val="24"/>
              </w:rPr>
              <w:t>4</w:t>
            </w:r>
          </w:p>
        </w:tc>
        <w:tc>
          <w:tcPr>
            <w:tcW w:w="1693" w:type="dxa"/>
            <w:vAlign w:val="center"/>
          </w:tcPr>
          <w:p>
            <w:pPr>
              <w:jc w:val="center"/>
              <w:rPr>
                <w:rFonts w:ascii="宋体" w:hAnsi="宋体"/>
                <w:sz w:val="24"/>
              </w:rPr>
            </w:pPr>
          </w:p>
        </w:tc>
        <w:tc>
          <w:tcPr>
            <w:tcW w:w="2268" w:type="dxa"/>
            <w:vAlign w:val="center"/>
          </w:tcPr>
          <w:p>
            <w:pPr>
              <w:jc w:val="center"/>
              <w:rPr>
                <w:rFonts w:ascii="宋体" w:hAnsi="宋体"/>
                <w:sz w:val="24"/>
              </w:rPr>
            </w:pPr>
          </w:p>
        </w:tc>
        <w:tc>
          <w:tcPr>
            <w:tcW w:w="1851" w:type="dxa"/>
            <w:vAlign w:val="center"/>
          </w:tcPr>
          <w:p>
            <w:pPr>
              <w:jc w:val="center"/>
              <w:rPr>
                <w:rFonts w:ascii="宋体" w:hAnsi="宋体"/>
                <w:sz w:val="24"/>
              </w:rPr>
            </w:pPr>
          </w:p>
        </w:tc>
        <w:tc>
          <w:tcPr>
            <w:tcW w:w="1559" w:type="dxa"/>
            <w:vAlign w:val="center"/>
          </w:tcPr>
          <w:p>
            <w:pPr>
              <w:jc w:val="center"/>
              <w:rPr>
                <w:rFonts w:ascii="宋体" w:hAnsi="宋体"/>
                <w:sz w:val="24"/>
              </w:rPr>
            </w:pPr>
          </w:p>
        </w:tc>
        <w:tc>
          <w:tcPr>
            <w:tcW w:w="843" w:type="dxa"/>
            <w:vAlign w:val="center"/>
          </w:tcPr>
          <w:p>
            <w:pPr>
              <w:jc w:val="center"/>
              <w:rPr>
                <w:rFonts w:ascii="宋体" w:hAnsi="宋体"/>
                <w:sz w:val="24"/>
              </w:rPr>
            </w:pPr>
          </w:p>
        </w:tc>
        <w:tc>
          <w:tcPr>
            <w:tcW w:w="950"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Align w:val="center"/>
          </w:tcPr>
          <w:p>
            <w:pPr>
              <w:jc w:val="center"/>
              <w:rPr>
                <w:rFonts w:ascii="宋体" w:hAnsi="宋体"/>
                <w:sz w:val="24"/>
              </w:rPr>
            </w:pPr>
            <w:r>
              <w:rPr>
                <w:rFonts w:ascii="宋体" w:hAnsi="宋体"/>
                <w:sz w:val="24"/>
              </w:rPr>
              <w:t>5</w:t>
            </w:r>
          </w:p>
        </w:tc>
        <w:tc>
          <w:tcPr>
            <w:tcW w:w="1693" w:type="dxa"/>
            <w:vAlign w:val="center"/>
          </w:tcPr>
          <w:p>
            <w:pPr>
              <w:jc w:val="center"/>
              <w:rPr>
                <w:rFonts w:ascii="宋体" w:hAnsi="宋体"/>
                <w:sz w:val="24"/>
              </w:rPr>
            </w:pPr>
          </w:p>
        </w:tc>
        <w:tc>
          <w:tcPr>
            <w:tcW w:w="2268" w:type="dxa"/>
            <w:vAlign w:val="center"/>
          </w:tcPr>
          <w:p>
            <w:pPr>
              <w:jc w:val="center"/>
              <w:rPr>
                <w:rFonts w:ascii="宋体" w:hAnsi="宋体"/>
                <w:sz w:val="24"/>
              </w:rPr>
            </w:pPr>
          </w:p>
        </w:tc>
        <w:tc>
          <w:tcPr>
            <w:tcW w:w="1851" w:type="dxa"/>
            <w:vAlign w:val="center"/>
          </w:tcPr>
          <w:p>
            <w:pPr>
              <w:jc w:val="center"/>
              <w:rPr>
                <w:rFonts w:ascii="宋体" w:hAnsi="宋体"/>
                <w:sz w:val="24"/>
              </w:rPr>
            </w:pPr>
          </w:p>
        </w:tc>
        <w:tc>
          <w:tcPr>
            <w:tcW w:w="1559" w:type="dxa"/>
            <w:vAlign w:val="center"/>
          </w:tcPr>
          <w:p>
            <w:pPr>
              <w:jc w:val="center"/>
              <w:rPr>
                <w:rFonts w:ascii="宋体" w:hAnsi="宋体"/>
                <w:sz w:val="24"/>
              </w:rPr>
            </w:pPr>
          </w:p>
        </w:tc>
        <w:tc>
          <w:tcPr>
            <w:tcW w:w="843" w:type="dxa"/>
            <w:vAlign w:val="center"/>
          </w:tcPr>
          <w:p>
            <w:pPr>
              <w:jc w:val="center"/>
              <w:rPr>
                <w:rFonts w:ascii="宋体" w:hAnsi="宋体"/>
                <w:sz w:val="24"/>
              </w:rPr>
            </w:pPr>
          </w:p>
        </w:tc>
        <w:tc>
          <w:tcPr>
            <w:tcW w:w="950"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Align w:val="center"/>
          </w:tcPr>
          <w:p>
            <w:pPr>
              <w:jc w:val="center"/>
              <w:rPr>
                <w:rFonts w:ascii="宋体" w:hAnsi="宋体"/>
                <w:sz w:val="24"/>
              </w:rPr>
            </w:pPr>
            <w:r>
              <w:rPr>
                <w:rFonts w:ascii="宋体" w:hAnsi="宋体"/>
                <w:sz w:val="24"/>
              </w:rPr>
              <w:t>6</w:t>
            </w:r>
          </w:p>
        </w:tc>
        <w:tc>
          <w:tcPr>
            <w:tcW w:w="1693" w:type="dxa"/>
            <w:vAlign w:val="center"/>
          </w:tcPr>
          <w:p>
            <w:pPr>
              <w:jc w:val="center"/>
              <w:rPr>
                <w:rFonts w:ascii="宋体" w:hAnsi="宋体"/>
                <w:sz w:val="24"/>
              </w:rPr>
            </w:pPr>
          </w:p>
        </w:tc>
        <w:tc>
          <w:tcPr>
            <w:tcW w:w="2268" w:type="dxa"/>
            <w:vAlign w:val="center"/>
          </w:tcPr>
          <w:p>
            <w:pPr>
              <w:jc w:val="center"/>
              <w:rPr>
                <w:rFonts w:ascii="宋体" w:hAnsi="宋体"/>
                <w:sz w:val="24"/>
              </w:rPr>
            </w:pPr>
          </w:p>
        </w:tc>
        <w:tc>
          <w:tcPr>
            <w:tcW w:w="1851" w:type="dxa"/>
            <w:vAlign w:val="center"/>
          </w:tcPr>
          <w:p>
            <w:pPr>
              <w:jc w:val="center"/>
              <w:rPr>
                <w:rFonts w:ascii="宋体" w:hAnsi="宋体"/>
                <w:sz w:val="24"/>
              </w:rPr>
            </w:pPr>
          </w:p>
        </w:tc>
        <w:tc>
          <w:tcPr>
            <w:tcW w:w="1559" w:type="dxa"/>
            <w:vAlign w:val="center"/>
          </w:tcPr>
          <w:p>
            <w:pPr>
              <w:jc w:val="center"/>
              <w:rPr>
                <w:rFonts w:ascii="宋体" w:hAnsi="宋体"/>
                <w:sz w:val="24"/>
              </w:rPr>
            </w:pPr>
          </w:p>
        </w:tc>
        <w:tc>
          <w:tcPr>
            <w:tcW w:w="843" w:type="dxa"/>
            <w:vAlign w:val="center"/>
          </w:tcPr>
          <w:p>
            <w:pPr>
              <w:jc w:val="center"/>
              <w:rPr>
                <w:rFonts w:ascii="宋体" w:hAnsi="宋体"/>
                <w:sz w:val="24"/>
              </w:rPr>
            </w:pPr>
          </w:p>
        </w:tc>
        <w:tc>
          <w:tcPr>
            <w:tcW w:w="950"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Align w:val="center"/>
          </w:tcPr>
          <w:p>
            <w:pPr>
              <w:jc w:val="center"/>
              <w:rPr>
                <w:rFonts w:ascii="宋体" w:hAnsi="宋体"/>
                <w:sz w:val="24"/>
              </w:rPr>
            </w:pPr>
            <w:r>
              <w:rPr>
                <w:rFonts w:ascii="宋体" w:hAnsi="宋体"/>
                <w:sz w:val="24"/>
              </w:rPr>
              <w:t>7</w:t>
            </w:r>
          </w:p>
        </w:tc>
        <w:tc>
          <w:tcPr>
            <w:tcW w:w="1693" w:type="dxa"/>
            <w:vAlign w:val="center"/>
          </w:tcPr>
          <w:p>
            <w:pPr>
              <w:jc w:val="center"/>
              <w:rPr>
                <w:rFonts w:ascii="宋体" w:hAnsi="宋体"/>
                <w:sz w:val="24"/>
              </w:rPr>
            </w:pPr>
          </w:p>
        </w:tc>
        <w:tc>
          <w:tcPr>
            <w:tcW w:w="2268" w:type="dxa"/>
            <w:vAlign w:val="center"/>
          </w:tcPr>
          <w:p>
            <w:pPr>
              <w:jc w:val="center"/>
              <w:rPr>
                <w:rFonts w:ascii="宋体" w:hAnsi="宋体"/>
                <w:sz w:val="24"/>
              </w:rPr>
            </w:pPr>
          </w:p>
        </w:tc>
        <w:tc>
          <w:tcPr>
            <w:tcW w:w="1851" w:type="dxa"/>
            <w:vAlign w:val="center"/>
          </w:tcPr>
          <w:p>
            <w:pPr>
              <w:jc w:val="center"/>
              <w:rPr>
                <w:rFonts w:ascii="宋体" w:hAnsi="宋体"/>
                <w:sz w:val="24"/>
              </w:rPr>
            </w:pPr>
          </w:p>
        </w:tc>
        <w:tc>
          <w:tcPr>
            <w:tcW w:w="1559" w:type="dxa"/>
            <w:vAlign w:val="center"/>
          </w:tcPr>
          <w:p>
            <w:pPr>
              <w:jc w:val="center"/>
              <w:rPr>
                <w:rFonts w:ascii="宋体" w:hAnsi="宋体"/>
                <w:sz w:val="24"/>
              </w:rPr>
            </w:pPr>
          </w:p>
        </w:tc>
        <w:tc>
          <w:tcPr>
            <w:tcW w:w="843" w:type="dxa"/>
            <w:vAlign w:val="center"/>
          </w:tcPr>
          <w:p>
            <w:pPr>
              <w:jc w:val="center"/>
              <w:rPr>
                <w:rFonts w:ascii="宋体" w:hAnsi="宋体"/>
                <w:sz w:val="24"/>
              </w:rPr>
            </w:pPr>
          </w:p>
        </w:tc>
        <w:tc>
          <w:tcPr>
            <w:tcW w:w="950"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Align w:val="center"/>
          </w:tcPr>
          <w:p>
            <w:pPr>
              <w:jc w:val="center"/>
              <w:rPr>
                <w:rFonts w:ascii="宋体" w:hAnsi="宋体"/>
                <w:sz w:val="24"/>
              </w:rPr>
            </w:pPr>
            <w:r>
              <w:rPr>
                <w:rFonts w:ascii="宋体" w:hAnsi="宋体"/>
                <w:sz w:val="24"/>
              </w:rPr>
              <w:t>8</w:t>
            </w:r>
          </w:p>
        </w:tc>
        <w:tc>
          <w:tcPr>
            <w:tcW w:w="1693" w:type="dxa"/>
            <w:vAlign w:val="center"/>
          </w:tcPr>
          <w:p>
            <w:pPr>
              <w:jc w:val="center"/>
              <w:rPr>
                <w:rFonts w:ascii="宋体" w:hAnsi="宋体"/>
                <w:sz w:val="24"/>
              </w:rPr>
            </w:pPr>
          </w:p>
        </w:tc>
        <w:tc>
          <w:tcPr>
            <w:tcW w:w="2268" w:type="dxa"/>
            <w:vAlign w:val="center"/>
          </w:tcPr>
          <w:p>
            <w:pPr>
              <w:jc w:val="center"/>
              <w:rPr>
                <w:rFonts w:ascii="宋体" w:hAnsi="宋体"/>
                <w:sz w:val="24"/>
              </w:rPr>
            </w:pPr>
          </w:p>
        </w:tc>
        <w:tc>
          <w:tcPr>
            <w:tcW w:w="1851" w:type="dxa"/>
            <w:vAlign w:val="center"/>
          </w:tcPr>
          <w:p>
            <w:pPr>
              <w:jc w:val="center"/>
              <w:rPr>
                <w:rFonts w:ascii="宋体" w:hAnsi="宋体"/>
                <w:sz w:val="24"/>
              </w:rPr>
            </w:pPr>
          </w:p>
        </w:tc>
        <w:tc>
          <w:tcPr>
            <w:tcW w:w="1559" w:type="dxa"/>
            <w:vAlign w:val="center"/>
          </w:tcPr>
          <w:p>
            <w:pPr>
              <w:jc w:val="center"/>
              <w:rPr>
                <w:rFonts w:ascii="宋体" w:hAnsi="宋体"/>
                <w:sz w:val="24"/>
              </w:rPr>
            </w:pPr>
          </w:p>
        </w:tc>
        <w:tc>
          <w:tcPr>
            <w:tcW w:w="843" w:type="dxa"/>
            <w:vAlign w:val="center"/>
          </w:tcPr>
          <w:p>
            <w:pPr>
              <w:jc w:val="center"/>
              <w:rPr>
                <w:rFonts w:ascii="宋体" w:hAnsi="宋体"/>
                <w:sz w:val="24"/>
              </w:rPr>
            </w:pPr>
          </w:p>
        </w:tc>
        <w:tc>
          <w:tcPr>
            <w:tcW w:w="950"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Align w:val="center"/>
          </w:tcPr>
          <w:p>
            <w:pPr>
              <w:jc w:val="center"/>
              <w:rPr>
                <w:rFonts w:ascii="宋体" w:hAnsi="宋体"/>
                <w:sz w:val="24"/>
              </w:rPr>
            </w:pPr>
            <w:r>
              <w:rPr>
                <w:rFonts w:ascii="宋体" w:hAnsi="宋体"/>
                <w:sz w:val="24"/>
              </w:rPr>
              <w:t>9</w:t>
            </w:r>
          </w:p>
        </w:tc>
        <w:tc>
          <w:tcPr>
            <w:tcW w:w="1693" w:type="dxa"/>
            <w:vAlign w:val="center"/>
          </w:tcPr>
          <w:p>
            <w:pPr>
              <w:jc w:val="center"/>
              <w:rPr>
                <w:rFonts w:ascii="宋体" w:hAnsi="宋体"/>
                <w:sz w:val="24"/>
              </w:rPr>
            </w:pPr>
          </w:p>
        </w:tc>
        <w:tc>
          <w:tcPr>
            <w:tcW w:w="2268" w:type="dxa"/>
            <w:vAlign w:val="center"/>
          </w:tcPr>
          <w:p>
            <w:pPr>
              <w:jc w:val="center"/>
              <w:rPr>
                <w:rFonts w:ascii="宋体" w:hAnsi="宋体"/>
                <w:sz w:val="24"/>
              </w:rPr>
            </w:pPr>
          </w:p>
        </w:tc>
        <w:tc>
          <w:tcPr>
            <w:tcW w:w="1851" w:type="dxa"/>
            <w:vAlign w:val="center"/>
          </w:tcPr>
          <w:p>
            <w:pPr>
              <w:jc w:val="center"/>
              <w:rPr>
                <w:rFonts w:ascii="宋体" w:hAnsi="宋体"/>
                <w:sz w:val="24"/>
              </w:rPr>
            </w:pPr>
          </w:p>
        </w:tc>
        <w:tc>
          <w:tcPr>
            <w:tcW w:w="1559" w:type="dxa"/>
            <w:vAlign w:val="center"/>
          </w:tcPr>
          <w:p>
            <w:pPr>
              <w:jc w:val="center"/>
              <w:rPr>
                <w:rFonts w:ascii="宋体" w:hAnsi="宋体"/>
                <w:sz w:val="24"/>
              </w:rPr>
            </w:pPr>
          </w:p>
        </w:tc>
        <w:tc>
          <w:tcPr>
            <w:tcW w:w="843" w:type="dxa"/>
            <w:vAlign w:val="center"/>
          </w:tcPr>
          <w:p>
            <w:pPr>
              <w:jc w:val="center"/>
              <w:rPr>
                <w:rFonts w:ascii="宋体" w:hAnsi="宋体"/>
                <w:sz w:val="24"/>
              </w:rPr>
            </w:pPr>
          </w:p>
        </w:tc>
        <w:tc>
          <w:tcPr>
            <w:tcW w:w="950"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Align w:val="center"/>
          </w:tcPr>
          <w:p>
            <w:pPr>
              <w:jc w:val="center"/>
              <w:rPr>
                <w:rFonts w:ascii="宋体" w:hAnsi="宋体"/>
                <w:sz w:val="24"/>
              </w:rPr>
            </w:pPr>
            <w:r>
              <w:rPr>
                <w:rFonts w:ascii="宋体" w:hAnsi="宋体"/>
                <w:sz w:val="24"/>
              </w:rPr>
              <w:t>10</w:t>
            </w:r>
          </w:p>
        </w:tc>
        <w:tc>
          <w:tcPr>
            <w:tcW w:w="1693" w:type="dxa"/>
            <w:vAlign w:val="center"/>
          </w:tcPr>
          <w:p>
            <w:pPr>
              <w:jc w:val="center"/>
              <w:rPr>
                <w:rFonts w:ascii="宋体" w:hAnsi="宋体"/>
                <w:sz w:val="24"/>
              </w:rPr>
            </w:pPr>
          </w:p>
        </w:tc>
        <w:tc>
          <w:tcPr>
            <w:tcW w:w="2268" w:type="dxa"/>
            <w:vAlign w:val="center"/>
          </w:tcPr>
          <w:p>
            <w:pPr>
              <w:jc w:val="center"/>
              <w:rPr>
                <w:rFonts w:ascii="宋体" w:hAnsi="宋体"/>
                <w:sz w:val="24"/>
              </w:rPr>
            </w:pPr>
          </w:p>
        </w:tc>
        <w:tc>
          <w:tcPr>
            <w:tcW w:w="1851" w:type="dxa"/>
            <w:vAlign w:val="center"/>
          </w:tcPr>
          <w:p>
            <w:pPr>
              <w:jc w:val="center"/>
              <w:rPr>
                <w:rFonts w:ascii="宋体" w:hAnsi="宋体"/>
                <w:sz w:val="24"/>
              </w:rPr>
            </w:pPr>
          </w:p>
        </w:tc>
        <w:tc>
          <w:tcPr>
            <w:tcW w:w="1559" w:type="dxa"/>
            <w:vAlign w:val="center"/>
          </w:tcPr>
          <w:p>
            <w:pPr>
              <w:jc w:val="center"/>
              <w:rPr>
                <w:rFonts w:ascii="宋体" w:hAnsi="宋体"/>
                <w:sz w:val="24"/>
              </w:rPr>
            </w:pPr>
          </w:p>
        </w:tc>
        <w:tc>
          <w:tcPr>
            <w:tcW w:w="843" w:type="dxa"/>
            <w:vAlign w:val="center"/>
          </w:tcPr>
          <w:p>
            <w:pPr>
              <w:jc w:val="center"/>
              <w:rPr>
                <w:rFonts w:ascii="宋体" w:hAnsi="宋体"/>
                <w:sz w:val="24"/>
              </w:rPr>
            </w:pPr>
          </w:p>
        </w:tc>
        <w:tc>
          <w:tcPr>
            <w:tcW w:w="950"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Align w:val="center"/>
          </w:tcPr>
          <w:p>
            <w:pPr>
              <w:jc w:val="center"/>
              <w:rPr>
                <w:rFonts w:ascii="宋体" w:hAnsi="宋体"/>
                <w:sz w:val="24"/>
              </w:rPr>
            </w:pPr>
            <w:r>
              <w:rPr>
                <w:rFonts w:ascii="宋体" w:hAnsi="宋体"/>
                <w:sz w:val="24"/>
              </w:rPr>
              <w:t>11</w:t>
            </w:r>
          </w:p>
        </w:tc>
        <w:tc>
          <w:tcPr>
            <w:tcW w:w="1693" w:type="dxa"/>
            <w:vAlign w:val="center"/>
          </w:tcPr>
          <w:p>
            <w:pPr>
              <w:jc w:val="center"/>
              <w:rPr>
                <w:rFonts w:ascii="宋体" w:hAnsi="宋体"/>
                <w:sz w:val="24"/>
              </w:rPr>
            </w:pPr>
          </w:p>
        </w:tc>
        <w:tc>
          <w:tcPr>
            <w:tcW w:w="2268" w:type="dxa"/>
            <w:vAlign w:val="center"/>
          </w:tcPr>
          <w:p>
            <w:pPr>
              <w:jc w:val="center"/>
              <w:rPr>
                <w:rFonts w:ascii="宋体" w:hAnsi="宋体"/>
                <w:sz w:val="24"/>
              </w:rPr>
            </w:pPr>
          </w:p>
        </w:tc>
        <w:tc>
          <w:tcPr>
            <w:tcW w:w="1851" w:type="dxa"/>
            <w:vAlign w:val="center"/>
          </w:tcPr>
          <w:p>
            <w:pPr>
              <w:jc w:val="center"/>
              <w:rPr>
                <w:rFonts w:ascii="宋体" w:hAnsi="宋体"/>
                <w:sz w:val="24"/>
              </w:rPr>
            </w:pPr>
          </w:p>
        </w:tc>
        <w:tc>
          <w:tcPr>
            <w:tcW w:w="1559" w:type="dxa"/>
            <w:vAlign w:val="center"/>
          </w:tcPr>
          <w:p>
            <w:pPr>
              <w:jc w:val="center"/>
              <w:rPr>
                <w:rFonts w:ascii="宋体" w:hAnsi="宋体"/>
                <w:sz w:val="24"/>
              </w:rPr>
            </w:pPr>
          </w:p>
        </w:tc>
        <w:tc>
          <w:tcPr>
            <w:tcW w:w="843" w:type="dxa"/>
            <w:vAlign w:val="center"/>
          </w:tcPr>
          <w:p>
            <w:pPr>
              <w:jc w:val="center"/>
              <w:rPr>
                <w:rFonts w:ascii="宋体" w:hAnsi="宋体"/>
                <w:sz w:val="24"/>
              </w:rPr>
            </w:pPr>
          </w:p>
        </w:tc>
        <w:tc>
          <w:tcPr>
            <w:tcW w:w="950"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Align w:val="center"/>
          </w:tcPr>
          <w:p>
            <w:pPr>
              <w:jc w:val="center"/>
              <w:rPr>
                <w:rFonts w:ascii="宋体" w:hAnsi="宋体"/>
                <w:sz w:val="24"/>
              </w:rPr>
            </w:pPr>
            <w:r>
              <w:rPr>
                <w:rFonts w:ascii="宋体" w:hAnsi="宋体"/>
                <w:sz w:val="24"/>
              </w:rPr>
              <w:t>12</w:t>
            </w:r>
          </w:p>
        </w:tc>
        <w:tc>
          <w:tcPr>
            <w:tcW w:w="1693" w:type="dxa"/>
            <w:vAlign w:val="center"/>
          </w:tcPr>
          <w:p>
            <w:pPr>
              <w:jc w:val="center"/>
              <w:rPr>
                <w:rFonts w:ascii="宋体" w:hAnsi="宋体"/>
                <w:sz w:val="24"/>
              </w:rPr>
            </w:pPr>
          </w:p>
        </w:tc>
        <w:tc>
          <w:tcPr>
            <w:tcW w:w="2268" w:type="dxa"/>
            <w:vAlign w:val="center"/>
          </w:tcPr>
          <w:p>
            <w:pPr>
              <w:jc w:val="center"/>
              <w:rPr>
                <w:rFonts w:ascii="宋体" w:hAnsi="宋体"/>
                <w:sz w:val="24"/>
              </w:rPr>
            </w:pPr>
          </w:p>
        </w:tc>
        <w:tc>
          <w:tcPr>
            <w:tcW w:w="1851" w:type="dxa"/>
            <w:vAlign w:val="center"/>
          </w:tcPr>
          <w:p>
            <w:pPr>
              <w:jc w:val="center"/>
              <w:rPr>
                <w:rFonts w:ascii="宋体" w:hAnsi="宋体"/>
                <w:sz w:val="24"/>
              </w:rPr>
            </w:pPr>
          </w:p>
        </w:tc>
        <w:tc>
          <w:tcPr>
            <w:tcW w:w="1559" w:type="dxa"/>
            <w:vAlign w:val="center"/>
          </w:tcPr>
          <w:p>
            <w:pPr>
              <w:jc w:val="center"/>
              <w:rPr>
                <w:rFonts w:ascii="宋体" w:hAnsi="宋体"/>
                <w:sz w:val="24"/>
              </w:rPr>
            </w:pPr>
          </w:p>
        </w:tc>
        <w:tc>
          <w:tcPr>
            <w:tcW w:w="843" w:type="dxa"/>
            <w:vAlign w:val="center"/>
          </w:tcPr>
          <w:p>
            <w:pPr>
              <w:jc w:val="center"/>
              <w:rPr>
                <w:rFonts w:ascii="宋体" w:hAnsi="宋体"/>
                <w:sz w:val="24"/>
              </w:rPr>
            </w:pPr>
          </w:p>
        </w:tc>
        <w:tc>
          <w:tcPr>
            <w:tcW w:w="950"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Align w:val="center"/>
          </w:tcPr>
          <w:p>
            <w:pPr>
              <w:jc w:val="center"/>
              <w:rPr>
                <w:rFonts w:ascii="宋体" w:hAnsi="宋体"/>
                <w:sz w:val="24"/>
              </w:rPr>
            </w:pPr>
            <w:r>
              <w:rPr>
                <w:rFonts w:ascii="宋体" w:hAnsi="宋体"/>
                <w:sz w:val="24"/>
              </w:rPr>
              <w:t>13</w:t>
            </w:r>
          </w:p>
        </w:tc>
        <w:tc>
          <w:tcPr>
            <w:tcW w:w="1693" w:type="dxa"/>
            <w:vAlign w:val="center"/>
          </w:tcPr>
          <w:p>
            <w:pPr>
              <w:jc w:val="center"/>
              <w:rPr>
                <w:rFonts w:ascii="宋体" w:hAnsi="宋体"/>
                <w:sz w:val="24"/>
              </w:rPr>
            </w:pPr>
          </w:p>
        </w:tc>
        <w:tc>
          <w:tcPr>
            <w:tcW w:w="2268" w:type="dxa"/>
            <w:vAlign w:val="center"/>
          </w:tcPr>
          <w:p>
            <w:pPr>
              <w:jc w:val="center"/>
              <w:rPr>
                <w:rFonts w:ascii="宋体" w:hAnsi="宋体"/>
                <w:sz w:val="24"/>
              </w:rPr>
            </w:pPr>
          </w:p>
        </w:tc>
        <w:tc>
          <w:tcPr>
            <w:tcW w:w="1851" w:type="dxa"/>
            <w:vAlign w:val="center"/>
          </w:tcPr>
          <w:p>
            <w:pPr>
              <w:jc w:val="center"/>
              <w:rPr>
                <w:rFonts w:ascii="宋体" w:hAnsi="宋体"/>
                <w:sz w:val="24"/>
              </w:rPr>
            </w:pPr>
          </w:p>
        </w:tc>
        <w:tc>
          <w:tcPr>
            <w:tcW w:w="1559" w:type="dxa"/>
            <w:vAlign w:val="center"/>
          </w:tcPr>
          <w:p>
            <w:pPr>
              <w:jc w:val="center"/>
              <w:rPr>
                <w:rFonts w:ascii="宋体" w:hAnsi="宋体"/>
                <w:sz w:val="24"/>
              </w:rPr>
            </w:pPr>
          </w:p>
        </w:tc>
        <w:tc>
          <w:tcPr>
            <w:tcW w:w="843" w:type="dxa"/>
            <w:vAlign w:val="center"/>
          </w:tcPr>
          <w:p>
            <w:pPr>
              <w:jc w:val="center"/>
              <w:rPr>
                <w:rFonts w:ascii="宋体" w:hAnsi="宋体"/>
                <w:sz w:val="24"/>
              </w:rPr>
            </w:pPr>
          </w:p>
        </w:tc>
        <w:tc>
          <w:tcPr>
            <w:tcW w:w="950"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Align w:val="center"/>
          </w:tcPr>
          <w:p>
            <w:pPr>
              <w:jc w:val="center"/>
              <w:rPr>
                <w:rFonts w:ascii="宋体" w:hAnsi="宋体"/>
                <w:sz w:val="24"/>
              </w:rPr>
            </w:pPr>
            <w:r>
              <w:rPr>
                <w:rFonts w:ascii="宋体" w:hAnsi="宋体"/>
                <w:sz w:val="24"/>
              </w:rPr>
              <w:t>14</w:t>
            </w:r>
          </w:p>
        </w:tc>
        <w:tc>
          <w:tcPr>
            <w:tcW w:w="1693" w:type="dxa"/>
            <w:vAlign w:val="center"/>
          </w:tcPr>
          <w:p>
            <w:pPr>
              <w:jc w:val="center"/>
              <w:rPr>
                <w:rFonts w:ascii="宋体" w:hAnsi="宋体"/>
                <w:sz w:val="24"/>
              </w:rPr>
            </w:pPr>
          </w:p>
        </w:tc>
        <w:tc>
          <w:tcPr>
            <w:tcW w:w="2268" w:type="dxa"/>
            <w:vAlign w:val="center"/>
          </w:tcPr>
          <w:p>
            <w:pPr>
              <w:jc w:val="center"/>
              <w:rPr>
                <w:rFonts w:ascii="宋体" w:hAnsi="宋体"/>
                <w:sz w:val="24"/>
              </w:rPr>
            </w:pPr>
          </w:p>
        </w:tc>
        <w:tc>
          <w:tcPr>
            <w:tcW w:w="1851" w:type="dxa"/>
            <w:vAlign w:val="center"/>
          </w:tcPr>
          <w:p>
            <w:pPr>
              <w:jc w:val="center"/>
              <w:rPr>
                <w:rFonts w:ascii="宋体" w:hAnsi="宋体"/>
                <w:sz w:val="24"/>
              </w:rPr>
            </w:pPr>
          </w:p>
        </w:tc>
        <w:tc>
          <w:tcPr>
            <w:tcW w:w="1559" w:type="dxa"/>
            <w:vAlign w:val="center"/>
          </w:tcPr>
          <w:p>
            <w:pPr>
              <w:jc w:val="center"/>
              <w:rPr>
                <w:rFonts w:ascii="宋体" w:hAnsi="宋体"/>
                <w:sz w:val="24"/>
              </w:rPr>
            </w:pPr>
          </w:p>
        </w:tc>
        <w:tc>
          <w:tcPr>
            <w:tcW w:w="843" w:type="dxa"/>
            <w:vAlign w:val="center"/>
          </w:tcPr>
          <w:p>
            <w:pPr>
              <w:jc w:val="center"/>
              <w:rPr>
                <w:rFonts w:ascii="宋体" w:hAnsi="宋体"/>
                <w:sz w:val="24"/>
              </w:rPr>
            </w:pPr>
          </w:p>
        </w:tc>
        <w:tc>
          <w:tcPr>
            <w:tcW w:w="950"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vAlign w:val="center"/>
          </w:tcPr>
          <w:p>
            <w:pPr>
              <w:jc w:val="center"/>
              <w:rPr>
                <w:rFonts w:ascii="宋体" w:hAnsi="宋体"/>
                <w:sz w:val="24"/>
              </w:rPr>
            </w:pPr>
            <w:r>
              <w:rPr>
                <w:rFonts w:ascii="宋体" w:hAnsi="宋体"/>
                <w:sz w:val="24"/>
              </w:rPr>
              <w:t>15</w:t>
            </w:r>
          </w:p>
        </w:tc>
        <w:tc>
          <w:tcPr>
            <w:tcW w:w="1693" w:type="dxa"/>
            <w:vAlign w:val="center"/>
          </w:tcPr>
          <w:p>
            <w:pPr>
              <w:jc w:val="center"/>
              <w:rPr>
                <w:rFonts w:ascii="宋体" w:hAnsi="宋体"/>
                <w:sz w:val="24"/>
              </w:rPr>
            </w:pPr>
          </w:p>
        </w:tc>
        <w:tc>
          <w:tcPr>
            <w:tcW w:w="2268" w:type="dxa"/>
            <w:vAlign w:val="center"/>
          </w:tcPr>
          <w:p>
            <w:pPr>
              <w:jc w:val="center"/>
              <w:rPr>
                <w:rFonts w:ascii="宋体" w:hAnsi="宋体"/>
                <w:sz w:val="24"/>
              </w:rPr>
            </w:pPr>
          </w:p>
        </w:tc>
        <w:tc>
          <w:tcPr>
            <w:tcW w:w="1851" w:type="dxa"/>
            <w:vAlign w:val="center"/>
          </w:tcPr>
          <w:p>
            <w:pPr>
              <w:jc w:val="center"/>
              <w:rPr>
                <w:rFonts w:ascii="宋体" w:hAnsi="宋体"/>
                <w:sz w:val="24"/>
              </w:rPr>
            </w:pPr>
          </w:p>
        </w:tc>
        <w:tc>
          <w:tcPr>
            <w:tcW w:w="1559" w:type="dxa"/>
            <w:vAlign w:val="center"/>
          </w:tcPr>
          <w:p>
            <w:pPr>
              <w:jc w:val="center"/>
              <w:rPr>
                <w:rFonts w:ascii="宋体" w:hAnsi="宋体"/>
                <w:sz w:val="24"/>
              </w:rPr>
            </w:pPr>
          </w:p>
        </w:tc>
        <w:tc>
          <w:tcPr>
            <w:tcW w:w="843" w:type="dxa"/>
            <w:vAlign w:val="center"/>
          </w:tcPr>
          <w:p>
            <w:pPr>
              <w:jc w:val="center"/>
              <w:rPr>
                <w:rFonts w:ascii="宋体" w:hAnsi="宋体"/>
                <w:sz w:val="24"/>
              </w:rPr>
            </w:pPr>
          </w:p>
        </w:tc>
        <w:tc>
          <w:tcPr>
            <w:tcW w:w="950" w:type="dxa"/>
            <w:vAlign w:val="center"/>
          </w:tcPr>
          <w:p>
            <w:pPr>
              <w:jc w:val="center"/>
              <w:rPr>
                <w:rFonts w:ascii="宋体" w:hAnsi="宋体"/>
                <w:sz w:val="24"/>
              </w:rPr>
            </w:pPr>
          </w:p>
        </w:tc>
      </w:tr>
    </w:tbl>
    <w:p>
      <w:pPr>
        <w:rPr>
          <w:rFonts w:ascii="宋体" w:hAnsi="宋体"/>
          <w:sz w:val="24"/>
        </w:rPr>
      </w:pPr>
    </w:p>
    <w:tbl>
      <w:tblPr>
        <w:tblStyle w:val="48"/>
        <w:tblW w:w="9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4"/>
        <w:gridCol w:w="1694"/>
        <w:gridCol w:w="1693"/>
        <w:gridCol w:w="1694"/>
        <w:gridCol w:w="2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jc w:val="center"/>
        </w:trPr>
        <w:tc>
          <w:tcPr>
            <w:tcW w:w="1894" w:type="dxa"/>
          </w:tcPr>
          <w:p>
            <w:pPr>
              <w:rPr>
                <w:sz w:val="24"/>
              </w:rPr>
            </w:pPr>
            <w:r>
              <w:rPr>
                <w:rFonts w:hint="eastAsia"/>
                <w:sz w:val="24"/>
              </w:rPr>
              <w:t>投标单位送件人签字：</w:t>
            </w:r>
          </w:p>
        </w:tc>
        <w:tc>
          <w:tcPr>
            <w:tcW w:w="1694" w:type="dxa"/>
          </w:tcPr>
          <w:p>
            <w:pPr>
              <w:rPr>
                <w:sz w:val="24"/>
              </w:rPr>
            </w:pPr>
            <w:r>
              <w:rPr>
                <w:rFonts w:hint="eastAsia"/>
                <w:sz w:val="24"/>
              </w:rPr>
              <w:t>接收审核人签字：</w:t>
            </w:r>
          </w:p>
        </w:tc>
        <w:tc>
          <w:tcPr>
            <w:tcW w:w="1693" w:type="dxa"/>
          </w:tcPr>
          <w:p>
            <w:pPr>
              <w:rPr>
                <w:sz w:val="24"/>
              </w:rPr>
            </w:pPr>
            <w:r>
              <w:rPr>
                <w:rFonts w:hint="eastAsia"/>
                <w:sz w:val="24"/>
              </w:rPr>
              <w:t>退件人签字：</w:t>
            </w:r>
          </w:p>
        </w:tc>
        <w:tc>
          <w:tcPr>
            <w:tcW w:w="1694" w:type="dxa"/>
          </w:tcPr>
          <w:p>
            <w:pPr>
              <w:rPr>
                <w:sz w:val="24"/>
              </w:rPr>
            </w:pPr>
            <w:r>
              <w:rPr>
                <w:rFonts w:hint="eastAsia"/>
                <w:sz w:val="24"/>
              </w:rPr>
              <w:t>投标单位收件人签字：</w:t>
            </w:r>
          </w:p>
        </w:tc>
        <w:tc>
          <w:tcPr>
            <w:tcW w:w="2703" w:type="dxa"/>
          </w:tcPr>
          <w:p>
            <w:pPr>
              <w:rPr>
                <w:sz w:val="24"/>
              </w:rPr>
            </w:pPr>
            <w:r>
              <w:rPr>
                <w:rFonts w:hint="eastAsia"/>
                <w:sz w:val="24"/>
              </w:rPr>
              <w:t>投标单位名称（加盖公章）：</w:t>
            </w:r>
          </w:p>
        </w:tc>
      </w:tr>
    </w:tbl>
    <w:p>
      <w:pPr>
        <w:spacing w:line="360" w:lineRule="auto"/>
        <w:ind w:left="843" w:hanging="843" w:hangingChars="350"/>
        <w:rPr>
          <w:rFonts w:ascii="宋体" w:hAnsi="宋体"/>
          <w:b/>
          <w:sz w:val="24"/>
        </w:rPr>
      </w:pPr>
    </w:p>
    <w:p>
      <w:pPr>
        <w:spacing w:line="360" w:lineRule="auto"/>
        <w:ind w:left="843" w:hanging="843" w:hangingChars="350"/>
        <w:rPr>
          <w:rFonts w:ascii="宋体" w:hAnsi="宋体"/>
          <w:b/>
          <w:sz w:val="24"/>
        </w:rPr>
      </w:pPr>
      <w:r>
        <w:rPr>
          <w:rFonts w:hint="eastAsia" w:ascii="宋体" w:hAnsi="宋体"/>
          <w:b/>
          <w:sz w:val="24"/>
        </w:rPr>
        <w:t>注：</w:t>
      </w:r>
    </w:p>
    <w:p>
      <w:pPr>
        <w:numPr>
          <w:ilvl w:val="0"/>
          <w:numId w:val="12"/>
        </w:numPr>
        <w:spacing w:line="360" w:lineRule="auto"/>
        <w:ind w:left="840" w:hanging="840" w:hangingChars="350"/>
        <w:rPr>
          <w:rFonts w:ascii="宋体" w:hAnsi="宋体"/>
          <w:sz w:val="24"/>
        </w:rPr>
      </w:pPr>
      <w:r>
        <w:rPr>
          <w:rFonts w:hint="eastAsia" w:ascii="宋体" w:hAnsi="宋体"/>
          <w:sz w:val="24"/>
        </w:rPr>
        <w:t>《投标人资质原件信息核实表》须在开标前由投标人填写并加盖公章，开标时单独递交，</w:t>
      </w:r>
    </w:p>
    <w:p>
      <w:pPr>
        <w:spacing w:line="360" w:lineRule="auto"/>
        <w:rPr>
          <w:rFonts w:ascii="宋体" w:hAnsi="宋体"/>
          <w:sz w:val="24"/>
        </w:rPr>
      </w:pPr>
      <w:r>
        <w:rPr>
          <w:rFonts w:hint="eastAsia" w:ascii="宋体" w:hAnsi="宋体"/>
          <w:sz w:val="24"/>
        </w:rPr>
        <w:t>否则若因资质原件引起的一切后果由投标人承担。</w:t>
      </w:r>
    </w:p>
    <w:p>
      <w:pPr>
        <w:spacing w:line="360" w:lineRule="auto"/>
        <w:ind w:left="840" w:hanging="840" w:hangingChars="350"/>
        <w:rPr>
          <w:rFonts w:ascii="宋体" w:hAnsi="宋体"/>
          <w:sz w:val="24"/>
        </w:rPr>
      </w:pPr>
      <w:r>
        <w:rPr>
          <w:rFonts w:hint="eastAsia" w:ascii="宋体" w:hAnsi="宋体"/>
          <w:sz w:val="24"/>
        </w:rPr>
        <w:t>2、本表由上述相关人员签字后与评标报告一同存档备查。</w:t>
      </w:r>
    </w:p>
    <w:p>
      <w:pPr>
        <w:spacing w:line="360" w:lineRule="auto"/>
        <w:ind w:left="840" w:hanging="840" w:hangingChars="350"/>
        <w:rPr>
          <w:rFonts w:ascii="宋体" w:hAnsi="宋体"/>
          <w:sz w:val="24"/>
        </w:rPr>
      </w:pPr>
      <w:r>
        <w:rPr>
          <w:rFonts w:hint="eastAsia" w:ascii="宋体" w:hAnsi="宋体"/>
          <w:sz w:val="24"/>
        </w:rPr>
        <w:t>3、投标人送件人须附身份证复印件一份。</w:t>
      </w:r>
    </w:p>
    <w:p>
      <w:pPr>
        <w:spacing w:line="360" w:lineRule="auto"/>
        <w:ind w:left="840" w:hanging="840" w:hangingChars="350"/>
        <w:rPr>
          <w:rFonts w:ascii="宋体" w:hAnsi="宋体"/>
          <w:sz w:val="24"/>
        </w:rPr>
      </w:pPr>
      <w:r>
        <w:rPr>
          <w:rFonts w:hint="eastAsia" w:ascii="宋体" w:hAnsi="宋体"/>
          <w:sz w:val="24"/>
        </w:rPr>
        <w:t>4、凡提供的原件都一一列在此表中。</w:t>
      </w:r>
    </w:p>
    <w:p>
      <w:pPr>
        <w:spacing w:line="360" w:lineRule="auto"/>
        <w:ind w:left="840" w:hanging="840" w:hangingChars="350"/>
      </w:pPr>
      <w:r>
        <w:rPr>
          <w:rFonts w:hint="eastAsia" w:ascii="宋体" w:hAnsi="宋体"/>
          <w:sz w:val="24"/>
        </w:rPr>
        <w:t>5、此表若不加盖公章则视为你公司默认该表所写一切内容，本表不需要做进投标书中。</w:t>
      </w:r>
    </w:p>
    <w:sectPr>
      <w:headerReference r:id="rId10" w:type="first"/>
      <w:headerReference r:id="rId9" w:type="default"/>
      <w:footerReference r:id="rId11" w:type="default"/>
      <w:pgSz w:w="11906" w:h="16838"/>
      <w:pgMar w:top="907" w:right="1247" w:bottom="737" w:left="1247"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方正楷体简体">
    <w:altName w:val="黑体"/>
    <w:panose1 w:val="00000000000000000000"/>
    <w:charset w:val="86"/>
    <w:family w:val="script"/>
    <w:pitch w:val="default"/>
    <w:sig w:usb0="00000000" w:usb1="00000000" w:usb2="00000010" w:usb3="00000000" w:csb0="00040000" w:csb1="00000000"/>
  </w:font>
  <w:font w:name="方正大黑简体">
    <w:altName w:val="宋体"/>
    <w:panose1 w:val="00000000000000000000"/>
    <w:charset w:val="86"/>
    <w:family w:val="auto"/>
    <w:pitch w:val="default"/>
    <w:sig w:usb0="00000000" w:usb1="00000000" w:usb2="00000010" w:usb3="00000000" w:csb0="00040000" w:csb1="00000000"/>
  </w:font>
  <w:font w:name="方正小标宋简体">
    <w:altName w:val="微软雅黑"/>
    <w:panose1 w:val="00000000000000000000"/>
    <w:charset w:val="86"/>
    <w:family w:val="script"/>
    <w:pitch w:val="default"/>
    <w:sig w:usb0="00000000" w:usb1="00000000" w:usb2="00000010" w:usb3="00000000" w:csb0="00040000" w:csb1="00000000"/>
  </w:font>
  <w:font w:name="昆仑黑体">
    <w:altName w:val="黑体"/>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新宋体">
    <w:panose1 w:val="02010609030101010101"/>
    <w:charset w:val="86"/>
    <w:family w:val="modern"/>
    <w:pitch w:val="default"/>
    <w:sig w:usb0="00000203" w:usb1="288F0000" w:usb2="0000000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长城仿宋">
    <w:altName w:val="黑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华文细黑">
    <w:altName w:val="微软雅黑"/>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黑体....">
    <w:altName w:val="仿宋"/>
    <w:panose1 w:val="00000000000000000000"/>
    <w:charset w:val="86"/>
    <w:family w:val="swiss"/>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right="360"/>
      <w:rPr>
        <w:rFonts w:ascii="宋体" w:hAnsi="宋体"/>
        <w:bCs/>
        <w:sz w:val="21"/>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1"/>
                            <w:rPr>
                              <w:rStyle w:val="52"/>
                            </w:rPr>
                          </w:pPr>
                          <w:r>
                            <w:fldChar w:fldCharType="begin"/>
                          </w:r>
                          <w:r>
                            <w:rPr>
                              <w:rStyle w:val="52"/>
                            </w:rPr>
                            <w:instrText xml:space="preserve">PAGE  </w:instrText>
                          </w:r>
                          <w:r>
                            <w:fldChar w:fldCharType="separate"/>
                          </w:r>
                          <w:r>
                            <w:rPr>
                              <w:rStyle w:val="52"/>
                            </w:rP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BIWg3AgAAcA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aQSFoNwIAAHAEAAAOAAAAAAAAAAEAIAAAAB8BAABkcnMvZTJvRG9jLnht&#10;bFBLBQYAAAAABgAGAFkBAADIBQAAAAA=&#10;">
              <v:fill on="f" focussize="0,0"/>
              <v:stroke on="f" weight="0.5pt"/>
              <v:imagedata o:title=""/>
              <o:lock v:ext="edit" aspectratio="f"/>
              <v:textbox inset="0mm,0mm,0mm,0mm" style="mso-fit-shape-to-text:t;">
                <w:txbxContent>
                  <w:p>
                    <w:pPr>
                      <w:pStyle w:val="31"/>
                      <w:rPr>
                        <w:rStyle w:val="52"/>
                      </w:rPr>
                    </w:pPr>
                    <w:r>
                      <w:fldChar w:fldCharType="begin"/>
                    </w:r>
                    <w:r>
                      <w:rPr>
                        <w:rStyle w:val="52"/>
                      </w:rPr>
                      <w:instrText xml:space="preserve">PAGE  </w:instrText>
                    </w:r>
                    <w:r>
                      <w:fldChar w:fldCharType="separate"/>
                    </w:r>
                    <w:r>
                      <w:rPr>
                        <w:rStyle w:val="52"/>
                      </w:rPr>
                      <w:t>66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1"/>
                            <w:jc w:val="center"/>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l9/c4AgAAcAQAAA4AAABkcnMvZTJvRG9jLnhtbK1UzY7TMBC+I/EO&#10;lu80adGuSt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1eX39zgCAABwBAAADgAAAAAAAAABACAAAAAfAQAAZHJzL2Uyb0RvYy54&#10;bWxQSwUGAAAAAAYABgBZAQAAyQUAAAAA&#10;">
              <v:fill on="f" focussize="0,0"/>
              <v:stroke on="f" weight="0.5pt"/>
              <v:imagedata o:title=""/>
              <o:lock v:ext="edit" aspectratio="f"/>
              <v:textbox inset="0mm,0mm,0mm,0mm" style="mso-fit-shape-to-text:t;">
                <w:txbxContent>
                  <w:p>
                    <w:pPr>
                      <w:pStyle w:val="31"/>
                      <w:jc w:val="center"/>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left="1120" w:firstLine="420"/>
      <w:rPr>
        <w:rStyle w:val="5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FqR44AgAAcA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q8WpHjgCAABwBAAADgAAAAAAAAABACAAAAAfAQAAZHJzL2Uyb0RvYy54&#10;bWxQSwUGAAAAAAYABgBZAQAAy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81</w:t>
                    </w:r>
                    <w:r>
                      <w:rPr>
                        <w:rFonts w:hint="eastAsia"/>
                        <w:sz w:val="18"/>
                      </w:rPr>
                      <w:fldChar w:fldCharType="end"/>
                    </w:r>
                  </w:p>
                </w:txbxContent>
              </v:textbox>
            </v:shape>
          </w:pict>
        </mc:Fallback>
      </mc:AlternateContent>
    </w:r>
  </w:p>
  <w:p>
    <w:pPr>
      <w:pStyle w:val="31"/>
      <w:tabs>
        <w:tab w:val="right" w:pos="8485"/>
        <w:tab w:val="clear" w:pos="4153"/>
        <w:tab w:val="clear" w:pos="8306"/>
      </w:tabs>
      <w:ind w:left="1120" w:right="360" w:firstLine="420"/>
      <w:rPr>
        <w:rFonts w:ascii="宋体" w:hAnsi="宋体"/>
        <w:bCs/>
        <w:sz w:val="21"/>
        <w:szCs w:val="21"/>
      </w:rPr>
    </w:pPr>
    <w:r>
      <w:rPr>
        <w:rFonts w:ascii="宋体" w:hAnsi="宋体"/>
        <w:bCs/>
        <w:sz w:val="21"/>
        <w:szCs w:val="21"/>
      </w:rPr>
      <mc:AlternateContent>
        <mc:Choice Requires="wps">
          <w:drawing>
            <wp:anchor distT="0" distB="0" distL="114300" distR="114300" simplePos="0" relativeHeight="251663360" behindDoc="0" locked="0" layoutInCell="1" allowOverlap="1">
              <wp:simplePos x="0" y="0"/>
              <wp:positionH relativeFrom="column">
                <wp:posOffset>33020</wp:posOffset>
              </wp:positionH>
              <wp:positionV relativeFrom="paragraph">
                <wp:posOffset>-635</wp:posOffset>
              </wp:positionV>
              <wp:extent cx="4914900" cy="0"/>
              <wp:effectExtent l="0" t="0" r="0" b="0"/>
              <wp:wrapNone/>
              <wp:docPr id="17" name="直接连接符 12"/>
              <wp:cNvGraphicFramePr/>
              <a:graphic xmlns:a="http://schemas.openxmlformats.org/drawingml/2006/main">
                <a:graphicData uri="http://schemas.microsoft.com/office/word/2010/wordprocessingShape">
                  <wps:wsp>
                    <wps:cNvCnPr>
                      <a:cxnSpLocks noChangeShapeType="1"/>
                    </wps:cNvCnPr>
                    <wps:spPr bwMode="auto">
                      <a:xfrm flipV="1">
                        <a:off x="0" y="0"/>
                        <a:ext cx="4914900" cy="0"/>
                      </a:xfrm>
                      <a:prstGeom prst="line">
                        <a:avLst/>
                      </a:prstGeom>
                      <a:noFill/>
                      <a:ln w="9525">
                        <a:solidFill>
                          <a:srgbClr val="000000"/>
                        </a:solidFill>
                        <a:round/>
                      </a:ln>
                      <a:effectLst/>
                    </wps:spPr>
                    <wps:bodyPr/>
                  </wps:wsp>
                </a:graphicData>
              </a:graphic>
            </wp:anchor>
          </w:drawing>
        </mc:Choice>
        <mc:Fallback>
          <w:pict>
            <v:line id="直接连接符 12" o:spid="_x0000_s1026" o:spt="20" style="position:absolute;left:0pt;flip:y;margin-left:2.6pt;margin-top:-0.05pt;height:0pt;width:387pt;z-index:251663360;mso-width-relative:page;mso-height-relative:page;" filled="f" stroked="t" coordsize="21600,21600" o:gfxdata="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L&#10;DGMA0gAAAAUBAAAPAAAAAAAAAAEAIAAAACIAAABkcnMvZG93bnJldi54bWxQSwECFAAUAAAACACH&#10;TuJAJI3q1PEBAADEAwAADgAAAAAAAAABACAAAAAhAQAAZHJzL2Uyb0RvYy54bWxQSwUGAAAAAAYA&#10;BgBZAQAAhAUAAAAA&#10;">
              <v:fill on="f" focussize="0,0"/>
              <v:stroke color="#000000" joinstyle="round"/>
              <v:imagedata o:title=""/>
              <o:lock v:ext="edit" aspectratio="f"/>
            </v:line>
          </w:pict>
        </mc:Fallback>
      </mc:AlternateContent>
    </w:r>
    <w:r>
      <w:rPr>
        <w:rFonts w:ascii="宋体" w:hAnsi="宋体"/>
        <w:bCs/>
        <w:sz w:val="21"/>
        <w:szCs w:val="21"/>
      </w:rPr>
      <mc:AlternateContent>
        <mc:Choice Requires="wps">
          <w:drawing>
            <wp:anchor distT="0" distB="0" distL="114300" distR="114300" simplePos="0" relativeHeight="251662336" behindDoc="0" locked="0" layoutInCell="1" allowOverlap="1">
              <wp:simplePos x="0" y="0"/>
              <wp:positionH relativeFrom="column">
                <wp:posOffset>4000500</wp:posOffset>
              </wp:positionH>
              <wp:positionV relativeFrom="paragraph">
                <wp:posOffset>2982595</wp:posOffset>
              </wp:positionV>
              <wp:extent cx="5257800" cy="0"/>
              <wp:effectExtent l="0" t="0" r="0" b="0"/>
              <wp:wrapNone/>
              <wp:docPr id="16" name="直接连接符 11"/>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ln>
                      <a:effectLst/>
                    </wps:spPr>
                    <wps:bodyPr/>
                  </wps:wsp>
                </a:graphicData>
              </a:graphic>
            </wp:anchor>
          </w:drawing>
        </mc:Choice>
        <mc:Fallback>
          <w:pict>
            <v:line id="直接连接符 11" o:spid="_x0000_s1026" o:spt="20" style="position:absolute;left:0pt;margin-left:315pt;margin-top:234.85pt;height:0pt;width:414pt;z-index:251662336;mso-width-relative:page;mso-height-relative:page;" filled="f" stroked="t" coordsize="21600,21600" o:gfxdata="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MZ&#10;R1rZAAAADAEAAA8AAAAAAAAAAQAgAAAAIgAAAGRycy9kb3ducmV2LnhtbFBLAQIUABQAAAAIAIdO&#10;4kDrXzsn6QEAALoDAAAOAAAAAAAAAAEAIAAAACgBAABkcnMvZTJvRG9jLnhtbFBLBQYAAAAABgAG&#10;AFkBAACDBQAAAAA=&#10;">
              <v:fill on="f" focussize="0,0"/>
              <v:stroke color="#000000" joinstyle="round"/>
              <v:imagedata o:title=""/>
              <o:lock v:ext="edit" aspectratio="f"/>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right" w:y="1"/>
      <w:ind w:left="1120" w:firstLine="340"/>
      <w:rPr>
        <w:rStyle w:val="52"/>
        <w:sz w:val="17"/>
        <w:szCs w:val="17"/>
      </w:rPr>
    </w:pPr>
    <w:r>
      <w:rPr>
        <w:rStyle w:val="52"/>
        <w:sz w:val="17"/>
        <w:szCs w:val="17"/>
      </w:rPr>
      <w:fldChar w:fldCharType="begin"/>
    </w:r>
    <w:r>
      <w:rPr>
        <w:rStyle w:val="52"/>
        <w:sz w:val="17"/>
        <w:szCs w:val="17"/>
      </w:rPr>
      <w:instrText xml:space="preserve">PAGE  </w:instrText>
    </w:r>
    <w:r>
      <w:rPr>
        <w:rStyle w:val="52"/>
        <w:sz w:val="17"/>
        <w:szCs w:val="17"/>
      </w:rPr>
      <w:fldChar w:fldCharType="end"/>
    </w:r>
  </w:p>
  <w:p>
    <w:pPr>
      <w:pStyle w:val="31"/>
      <w:ind w:left="1120" w:right="360" w:firstLine="340"/>
      <w:rPr>
        <w:sz w:val="17"/>
        <w:szCs w:val="17"/>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right="36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1"/>
                          </w:pPr>
                          <w:r>
                            <w:fldChar w:fldCharType="begin"/>
                          </w:r>
                          <w:r>
                            <w:rPr>
                              <w:rStyle w:val="52"/>
                            </w:rPr>
                            <w:instrText xml:space="preserve"> PAGE  </w:instrText>
                          </w:r>
                          <w:r>
                            <w:fldChar w:fldCharType="separate"/>
                          </w:r>
                          <w:r>
                            <w:rPr>
                              <w:rStyle w:val="52"/>
                            </w:rP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08U29zgCAABxBAAADgAAAAAAAAABACAAAAAfAQAAZHJzL2Uyb0RvYy54&#10;bWxQSwUGAAAAAAYABgBZAQAAyQUAAAAA&#10;">
              <v:fill on="f" focussize="0,0"/>
              <v:stroke on="f" weight="0.5pt"/>
              <v:imagedata o:title=""/>
              <o:lock v:ext="edit" aspectratio="f"/>
              <v:textbox inset="0mm,0mm,0mm,0mm" style="mso-fit-shape-to-text:t;">
                <w:txbxContent>
                  <w:p>
                    <w:pPr>
                      <w:pStyle w:val="31"/>
                    </w:pPr>
                    <w:r>
                      <w:fldChar w:fldCharType="begin"/>
                    </w:r>
                    <w:r>
                      <w:rPr>
                        <w:rStyle w:val="52"/>
                      </w:rPr>
                      <w:instrText xml:space="preserve"> PAGE  </w:instrText>
                    </w:r>
                    <w:r>
                      <w:fldChar w:fldCharType="separate"/>
                    </w:r>
                    <w:r>
                      <w:rPr>
                        <w:rStyle w:val="52"/>
                      </w:rPr>
                      <w:t>91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center" w:pos="4156"/>
        <w:tab w:val="right" w:pos="8312"/>
        <w:tab w:val="clear" w:pos="4153"/>
        <w:tab w:val="clear" w:pos="8306"/>
      </w:tabs>
      <w:ind w:right="360" w:firstLine="56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1"/>
      </w:pBdr>
      <w:jc w:val="both"/>
      <w:rPr>
        <w:sz w:val="24"/>
        <w:szCs w:val="24"/>
      </w:rPr>
    </w:pPr>
  </w:p>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none"/>
      <w:pStyle w:val="229"/>
      <w:lvlText w:val="一、"/>
      <w:lvlJc w:val="left"/>
      <w:pPr>
        <w:tabs>
          <w:tab w:val="left" w:pos="1282"/>
        </w:tabs>
        <w:ind w:left="1282" w:hanging="720"/>
      </w:pPr>
      <w:rPr>
        <w:rFonts w:hint="default"/>
        <w:color w:val="000000"/>
      </w:rPr>
    </w:lvl>
    <w:lvl w:ilvl="1" w:tentative="0">
      <w:start w:val="1"/>
      <w:numFmt w:val="lowerLetter"/>
      <w:lvlText w:val="%2)"/>
      <w:lvlJc w:val="left"/>
      <w:pPr>
        <w:tabs>
          <w:tab w:val="left" w:pos="1402"/>
        </w:tabs>
        <w:ind w:left="1402" w:hanging="420"/>
      </w:pPr>
    </w:lvl>
    <w:lvl w:ilvl="2" w:tentative="0">
      <w:start w:val="1"/>
      <w:numFmt w:val="lowerRoman"/>
      <w:lvlText w:val="%3."/>
      <w:lvlJc w:val="right"/>
      <w:pPr>
        <w:tabs>
          <w:tab w:val="left" w:pos="1822"/>
        </w:tabs>
        <w:ind w:left="1822" w:hanging="420"/>
      </w:pPr>
    </w:lvl>
    <w:lvl w:ilvl="3" w:tentative="0">
      <w:start w:val="1"/>
      <w:numFmt w:val="decimal"/>
      <w:lvlText w:val="%4."/>
      <w:lvlJc w:val="left"/>
      <w:pPr>
        <w:tabs>
          <w:tab w:val="left" w:pos="2242"/>
        </w:tabs>
        <w:ind w:left="2242" w:hanging="420"/>
      </w:pPr>
    </w:lvl>
    <w:lvl w:ilvl="4" w:tentative="0">
      <w:start w:val="1"/>
      <w:numFmt w:val="lowerLetter"/>
      <w:lvlText w:val="%5)"/>
      <w:lvlJc w:val="left"/>
      <w:pPr>
        <w:tabs>
          <w:tab w:val="left" w:pos="2662"/>
        </w:tabs>
        <w:ind w:left="2662" w:hanging="420"/>
      </w:pPr>
    </w:lvl>
    <w:lvl w:ilvl="5" w:tentative="0">
      <w:start w:val="1"/>
      <w:numFmt w:val="lowerRoman"/>
      <w:lvlText w:val="%6."/>
      <w:lvlJc w:val="right"/>
      <w:pPr>
        <w:tabs>
          <w:tab w:val="left" w:pos="3082"/>
        </w:tabs>
        <w:ind w:left="3082" w:hanging="420"/>
      </w:pPr>
    </w:lvl>
    <w:lvl w:ilvl="6" w:tentative="0">
      <w:start w:val="1"/>
      <w:numFmt w:val="decimal"/>
      <w:lvlText w:val="%7."/>
      <w:lvlJc w:val="left"/>
      <w:pPr>
        <w:tabs>
          <w:tab w:val="left" w:pos="3502"/>
        </w:tabs>
        <w:ind w:left="3502" w:hanging="420"/>
      </w:pPr>
    </w:lvl>
    <w:lvl w:ilvl="7" w:tentative="0">
      <w:start w:val="1"/>
      <w:numFmt w:val="lowerLetter"/>
      <w:lvlText w:val="%8)"/>
      <w:lvlJc w:val="left"/>
      <w:pPr>
        <w:tabs>
          <w:tab w:val="left" w:pos="3922"/>
        </w:tabs>
        <w:ind w:left="3922" w:hanging="420"/>
      </w:pPr>
    </w:lvl>
    <w:lvl w:ilvl="8" w:tentative="0">
      <w:start w:val="1"/>
      <w:numFmt w:val="lowerRoman"/>
      <w:lvlText w:val="%9."/>
      <w:lvlJc w:val="right"/>
      <w:pPr>
        <w:tabs>
          <w:tab w:val="left" w:pos="4342"/>
        </w:tabs>
        <w:ind w:left="4342" w:hanging="420"/>
      </w:pPr>
    </w:lvl>
  </w:abstractNum>
  <w:abstractNum w:abstractNumId="1">
    <w:nsid w:val="00000002"/>
    <w:multiLevelType w:val="multilevel"/>
    <w:tmpl w:val="00000002"/>
    <w:lvl w:ilvl="0" w:tentative="0">
      <w:start w:val="1"/>
      <w:numFmt w:val="none"/>
      <w:pStyle w:val="260"/>
      <w:suff w:val="nothing"/>
      <w:lvlText w:val="%1"/>
      <w:lvlJc w:val="left"/>
      <w:pPr>
        <w:ind w:left="0" w:firstLine="0"/>
      </w:pPr>
      <w:rPr>
        <w:rFonts w:hint="default" w:ascii="Times New Roman" w:hAnsi="Times New Roman" w:cs="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lvl>
    <w:lvl w:ilvl="8" w:tentative="0">
      <w:start w:val="1"/>
      <w:numFmt w:val="decimal"/>
      <w:lvlText w:val="%1.%2.%3.%4.%5.%6.%7.%8.%9"/>
      <w:lvlJc w:val="left"/>
      <w:pPr>
        <w:tabs>
          <w:tab w:val="left" w:pos="4777"/>
        </w:tabs>
        <w:ind w:left="4677" w:hanging="1700"/>
      </w:pPr>
    </w:lvl>
  </w:abstractNum>
  <w:abstractNum w:abstractNumId="2">
    <w:nsid w:val="00000003"/>
    <w:multiLevelType w:val="multilevel"/>
    <w:tmpl w:val="00000003"/>
    <w:lvl w:ilvl="0" w:tentative="0">
      <w:start w:val="2"/>
      <w:numFmt w:val="japaneseCounting"/>
      <w:lvlText w:val="第%1节"/>
      <w:lvlJc w:val="left"/>
      <w:pPr>
        <w:tabs>
          <w:tab w:val="left" w:pos="1674"/>
        </w:tabs>
        <w:ind w:left="1674" w:hanging="1125"/>
      </w:pPr>
      <w:rPr>
        <w:rFonts w:hint="default"/>
      </w:rPr>
    </w:lvl>
    <w:lvl w:ilvl="1" w:tentative="0">
      <w:start w:val="1"/>
      <w:numFmt w:val="japaneseCounting"/>
      <w:lvlText w:val="第%2章"/>
      <w:lvlJc w:val="left"/>
      <w:pPr>
        <w:tabs>
          <w:tab w:val="left" w:pos="3495"/>
        </w:tabs>
        <w:ind w:left="3495" w:hanging="1515"/>
      </w:pPr>
      <w:rPr>
        <w:rFonts w:hint="default"/>
      </w:rPr>
    </w:lvl>
    <w:lvl w:ilvl="2" w:tentative="0">
      <w:start w:val="1"/>
      <w:numFmt w:val="lowerRoman"/>
      <w:lvlText w:val="%3."/>
      <w:lvlJc w:val="right"/>
      <w:pPr>
        <w:tabs>
          <w:tab w:val="left" w:pos="1809"/>
        </w:tabs>
        <w:ind w:left="1809" w:hanging="420"/>
      </w:pPr>
    </w:lvl>
    <w:lvl w:ilvl="3" w:tentative="0">
      <w:start w:val="1"/>
      <w:numFmt w:val="decimal"/>
      <w:lvlText w:val="%4."/>
      <w:lvlJc w:val="left"/>
      <w:pPr>
        <w:tabs>
          <w:tab w:val="left" w:pos="2229"/>
        </w:tabs>
        <w:ind w:left="2229" w:hanging="420"/>
      </w:pPr>
    </w:lvl>
    <w:lvl w:ilvl="4" w:tentative="0">
      <w:start w:val="1"/>
      <w:numFmt w:val="lowerLetter"/>
      <w:pStyle w:val="6"/>
      <w:lvlText w:val="%5)"/>
      <w:lvlJc w:val="left"/>
      <w:pPr>
        <w:tabs>
          <w:tab w:val="left" w:pos="2649"/>
        </w:tabs>
        <w:ind w:left="2649" w:hanging="420"/>
      </w:pPr>
    </w:lvl>
    <w:lvl w:ilvl="5" w:tentative="0">
      <w:start w:val="1"/>
      <w:numFmt w:val="lowerRoman"/>
      <w:pStyle w:val="7"/>
      <w:lvlText w:val="%6."/>
      <w:lvlJc w:val="right"/>
      <w:pPr>
        <w:tabs>
          <w:tab w:val="left" w:pos="3069"/>
        </w:tabs>
        <w:ind w:left="3069" w:hanging="420"/>
      </w:pPr>
    </w:lvl>
    <w:lvl w:ilvl="6" w:tentative="0">
      <w:start w:val="1"/>
      <w:numFmt w:val="decimal"/>
      <w:pStyle w:val="8"/>
      <w:lvlText w:val="%7."/>
      <w:lvlJc w:val="left"/>
      <w:pPr>
        <w:tabs>
          <w:tab w:val="left" w:pos="3489"/>
        </w:tabs>
        <w:ind w:left="3489" w:hanging="420"/>
      </w:pPr>
    </w:lvl>
    <w:lvl w:ilvl="7" w:tentative="0">
      <w:start w:val="1"/>
      <w:numFmt w:val="lowerLetter"/>
      <w:pStyle w:val="9"/>
      <w:lvlText w:val="%8)"/>
      <w:lvlJc w:val="left"/>
      <w:pPr>
        <w:tabs>
          <w:tab w:val="left" w:pos="3909"/>
        </w:tabs>
        <w:ind w:left="3909" w:hanging="420"/>
      </w:pPr>
    </w:lvl>
    <w:lvl w:ilvl="8" w:tentative="0">
      <w:start w:val="1"/>
      <w:numFmt w:val="lowerRoman"/>
      <w:pStyle w:val="10"/>
      <w:lvlText w:val="%9."/>
      <w:lvlJc w:val="right"/>
      <w:pPr>
        <w:tabs>
          <w:tab w:val="left" w:pos="4329"/>
        </w:tabs>
        <w:ind w:left="4329" w:hanging="420"/>
      </w:pPr>
    </w:lvl>
  </w:abstractNum>
  <w:abstractNum w:abstractNumId="3">
    <w:nsid w:val="0000000E"/>
    <w:multiLevelType w:val="multilevel"/>
    <w:tmpl w:val="0000000E"/>
    <w:lvl w:ilvl="0" w:tentative="0">
      <w:start w:val="1"/>
      <w:numFmt w:val="bullet"/>
      <w:pStyle w:val="77"/>
      <w:lvlText w:val=""/>
      <w:lvlJc w:val="left"/>
      <w:pPr>
        <w:tabs>
          <w:tab w:val="left" w:pos="840"/>
        </w:tabs>
        <w:ind w:left="840" w:hanging="420"/>
      </w:pPr>
      <w:rPr>
        <w:rFonts w:hint="default" w:ascii="Wingdings" w:hAnsi="Wingdings"/>
        <w:color w:val="auto"/>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4">
    <w:nsid w:val="444E35EA"/>
    <w:multiLevelType w:val="multilevel"/>
    <w:tmpl w:val="444E35EA"/>
    <w:lvl w:ilvl="0" w:tentative="0">
      <w:start w:val="1"/>
      <w:numFmt w:val="decimal"/>
      <w:lvlText w:val="%1."/>
      <w:lvlJc w:val="left"/>
      <w:pPr>
        <w:tabs>
          <w:tab w:val="left" w:pos="720"/>
        </w:tabs>
        <w:ind w:left="720" w:hanging="720"/>
      </w:pPr>
    </w:lvl>
    <w:lvl w:ilvl="1" w:tentative="0">
      <w:start w:val="1"/>
      <w:numFmt w:val="decimal"/>
      <w:pStyle w:val="314"/>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5">
    <w:nsid w:val="54E17E1C"/>
    <w:multiLevelType w:val="multilevel"/>
    <w:tmpl w:val="54E17E1C"/>
    <w:lvl w:ilvl="0" w:tentative="0">
      <w:start w:val="1"/>
      <w:numFmt w:val="japaneseCounting"/>
      <w:lvlText w:val="%1、"/>
      <w:lvlJc w:val="left"/>
      <w:pPr>
        <w:ind w:left="4973" w:hanging="720"/>
      </w:p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6">
    <w:nsid w:val="58E49071"/>
    <w:multiLevelType w:val="singleLevel"/>
    <w:tmpl w:val="58E49071"/>
    <w:lvl w:ilvl="0" w:tentative="0">
      <w:start w:val="1"/>
      <w:numFmt w:val="decimal"/>
      <w:suff w:val="nothing"/>
      <w:lvlText w:val="%1、"/>
      <w:lvlJc w:val="left"/>
    </w:lvl>
  </w:abstractNum>
  <w:abstractNum w:abstractNumId="7">
    <w:nsid w:val="58E5AD76"/>
    <w:multiLevelType w:val="singleLevel"/>
    <w:tmpl w:val="58E5AD76"/>
    <w:lvl w:ilvl="0" w:tentative="0">
      <w:start w:val="1"/>
      <w:numFmt w:val="decimal"/>
      <w:suff w:val="nothing"/>
      <w:lvlText w:val="%1、"/>
      <w:lvlJc w:val="left"/>
    </w:lvl>
  </w:abstractNum>
  <w:abstractNum w:abstractNumId="8">
    <w:nsid w:val="60B55DC2"/>
    <w:multiLevelType w:val="multilevel"/>
    <w:tmpl w:val="60B55DC2"/>
    <w:lvl w:ilvl="0" w:tentative="0">
      <w:start w:val="1"/>
      <w:numFmt w:val="upperLetter"/>
      <w:pStyle w:val="244"/>
      <w:lvlText w:val="%1"/>
      <w:lvlJc w:val="left"/>
      <w:pPr>
        <w:tabs>
          <w:tab w:val="left" w:pos="0"/>
        </w:tabs>
        <w:ind w:left="0" w:hanging="425"/>
      </w:pPr>
    </w:lvl>
    <w:lvl w:ilvl="1" w:tentative="0">
      <w:start w:val="1"/>
      <w:numFmt w:val="decimal"/>
      <w:pStyle w:val="215"/>
      <w:suff w:val="nothing"/>
      <w:lvlText w:val="表%1.%2　"/>
      <w:lvlJc w:val="left"/>
      <w:pPr>
        <w:ind w:left="3545" w:hanging="567"/>
      </w:pPr>
    </w:lvl>
    <w:lvl w:ilvl="2" w:tentative="0">
      <w:start w:val="1"/>
      <w:numFmt w:val="decimal"/>
      <w:lvlText w:val="%1.%2.%3"/>
      <w:lvlJc w:val="left"/>
      <w:pPr>
        <w:tabs>
          <w:tab w:val="left" w:pos="993"/>
        </w:tabs>
        <w:ind w:left="993" w:hanging="567"/>
      </w:pPr>
    </w:lvl>
    <w:lvl w:ilvl="3" w:tentative="0">
      <w:start w:val="1"/>
      <w:numFmt w:val="decimal"/>
      <w:lvlText w:val="%1.%2.%3.%4"/>
      <w:lvlJc w:val="left"/>
      <w:pPr>
        <w:tabs>
          <w:tab w:val="left" w:pos="2291"/>
        </w:tabs>
        <w:ind w:left="1559" w:hanging="708"/>
      </w:pPr>
    </w:lvl>
    <w:lvl w:ilvl="4" w:tentative="0">
      <w:start w:val="1"/>
      <w:numFmt w:val="decimal"/>
      <w:lvlText w:val="%1.%2.%3.%4.%5"/>
      <w:lvlJc w:val="left"/>
      <w:pPr>
        <w:tabs>
          <w:tab w:val="left" w:pos="3076"/>
        </w:tabs>
        <w:ind w:left="2126" w:hanging="850"/>
      </w:pPr>
    </w:lvl>
    <w:lvl w:ilvl="5" w:tentative="0">
      <w:start w:val="1"/>
      <w:numFmt w:val="decimal"/>
      <w:lvlText w:val="%1.%2.%3.%4.%5.%6"/>
      <w:lvlJc w:val="left"/>
      <w:pPr>
        <w:tabs>
          <w:tab w:val="left" w:pos="3861"/>
        </w:tabs>
        <w:ind w:left="2835" w:hanging="1134"/>
      </w:pPr>
    </w:lvl>
    <w:lvl w:ilvl="6" w:tentative="0">
      <w:start w:val="1"/>
      <w:numFmt w:val="decimal"/>
      <w:lvlText w:val="%1.%2.%3.%4.%5.%6.%7"/>
      <w:lvlJc w:val="left"/>
      <w:pPr>
        <w:tabs>
          <w:tab w:val="left" w:pos="4646"/>
        </w:tabs>
        <w:ind w:left="3402" w:hanging="1276"/>
      </w:pPr>
    </w:lvl>
    <w:lvl w:ilvl="7" w:tentative="0">
      <w:start w:val="1"/>
      <w:numFmt w:val="decimal"/>
      <w:lvlText w:val="%1.%2.%3.%4.%5.%6.%7.%8"/>
      <w:lvlJc w:val="left"/>
      <w:pPr>
        <w:tabs>
          <w:tab w:val="left" w:pos="5431"/>
        </w:tabs>
        <w:ind w:left="3969" w:hanging="1418"/>
      </w:pPr>
    </w:lvl>
    <w:lvl w:ilvl="8" w:tentative="0">
      <w:start w:val="1"/>
      <w:numFmt w:val="decimal"/>
      <w:lvlText w:val="%1.%2.%3.%4.%5.%6.%7.%8.%9"/>
      <w:lvlJc w:val="left"/>
      <w:pPr>
        <w:tabs>
          <w:tab w:val="left" w:pos="6217"/>
        </w:tabs>
        <w:ind w:left="4677" w:hanging="1700"/>
      </w:pPr>
    </w:lvl>
  </w:abstractNum>
  <w:abstractNum w:abstractNumId="9">
    <w:nsid w:val="646D6388"/>
    <w:multiLevelType w:val="multilevel"/>
    <w:tmpl w:val="646D6388"/>
    <w:lvl w:ilvl="0" w:tentative="0">
      <w:start w:val="1"/>
      <w:numFmt w:val="decimal"/>
      <w:lvlText w:val="%1、"/>
      <w:lvlJc w:val="left"/>
      <w:pPr>
        <w:ind w:left="1287" w:hanging="720"/>
      </w:pPr>
      <w:rPr>
        <w:rFonts w:eastAsia="宋体"/>
        <w:b w:val="0"/>
        <w:color w:val="auto"/>
        <w:sz w:val="28"/>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0">
    <w:nsid w:val="6D6E7565"/>
    <w:multiLevelType w:val="multilevel"/>
    <w:tmpl w:val="6D6E7565"/>
    <w:lvl w:ilvl="0" w:tentative="0">
      <w:start w:val="1"/>
      <w:numFmt w:val="decimal"/>
      <w:pStyle w:val="308"/>
      <w:lvlText w:val="%1．"/>
      <w:lvlJc w:val="left"/>
      <w:pPr>
        <w:ind w:left="780" w:hanging="360"/>
      </w:pPr>
      <w:rPr>
        <w:rFonts w:hint="eastAsia" w:ascii="宋体" w:hAnsi="宋体" w:eastAsia="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72421897"/>
    <w:multiLevelType w:val="multilevel"/>
    <w:tmpl w:val="72421897"/>
    <w:lvl w:ilvl="0" w:tentative="0">
      <w:start w:val="1"/>
      <w:numFmt w:val="japaneseCounting"/>
      <w:pStyle w:val="312"/>
      <w:lvlText w:val="%1、"/>
      <w:lvlJc w:val="left"/>
      <w:pPr>
        <w:ind w:left="420" w:hanging="420"/>
      </w:pPr>
      <w:rPr>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8"/>
  </w:num>
  <w:num w:numId="4">
    <w:abstractNumId w:val="0"/>
  </w:num>
  <w:num w:numId="5">
    <w:abstractNumId w:val="1"/>
  </w:num>
  <w:num w:numId="6">
    <w:abstractNumId w:val="10"/>
  </w:num>
  <w:num w:numId="7">
    <w:abstractNumId w:val="11"/>
  </w:num>
  <w:num w:numId="8">
    <w:abstractNumId w:val="4"/>
  </w:num>
  <w:num w:numId="9">
    <w:abstractNumId w:val="5"/>
    <w:lvlOverride w:ilvl="0">
      <w:startOverride w:val="1"/>
    </w:lvlOverride>
  </w:num>
  <w:num w:numId="10">
    <w:abstractNumId w:val="9"/>
    <w:lvlOverride w:ilvl="0">
      <w:startOverride w:val="1"/>
    </w:lvlOverride>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wYmZiMGUyMDMzNGNkNWQxYjg1MDkxNzE1NmUxZTIifQ=="/>
  </w:docVars>
  <w:rsids>
    <w:rsidRoot w:val="006042D5"/>
    <w:rsid w:val="000564FE"/>
    <w:rsid w:val="00060193"/>
    <w:rsid w:val="00085A25"/>
    <w:rsid w:val="000933AE"/>
    <w:rsid w:val="00097108"/>
    <w:rsid w:val="000C20E1"/>
    <w:rsid w:val="00152784"/>
    <w:rsid w:val="0015542E"/>
    <w:rsid w:val="001703FC"/>
    <w:rsid w:val="001763F3"/>
    <w:rsid w:val="00191F90"/>
    <w:rsid w:val="001928B4"/>
    <w:rsid w:val="001E4F3D"/>
    <w:rsid w:val="00232C95"/>
    <w:rsid w:val="002331AD"/>
    <w:rsid w:val="00233E82"/>
    <w:rsid w:val="002937B5"/>
    <w:rsid w:val="002B0B4D"/>
    <w:rsid w:val="002C4F89"/>
    <w:rsid w:val="002C6558"/>
    <w:rsid w:val="002E268D"/>
    <w:rsid w:val="00320557"/>
    <w:rsid w:val="0033221E"/>
    <w:rsid w:val="0035251E"/>
    <w:rsid w:val="0035544E"/>
    <w:rsid w:val="0036086F"/>
    <w:rsid w:val="003732E9"/>
    <w:rsid w:val="003C1544"/>
    <w:rsid w:val="003F0B32"/>
    <w:rsid w:val="00456AB1"/>
    <w:rsid w:val="0048334E"/>
    <w:rsid w:val="0049495B"/>
    <w:rsid w:val="004B0181"/>
    <w:rsid w:val="004C4C01"/>
    <w:rsid w:val="004D52CE"/>
    <w:rsid w:val="004E1F29"/>
    <w:rsid w:val="004E3E59"/>
    <w:rsid w:val="00505DD8"/>
    <w:rsid w:val="00512671"/>
    <w:rsid w:val="0051301B"/>
    <w:rsid w:val="00526AC2"/>
    <w:rsid w:val="00526D21"/>
    <w:rsid w:val="005503A5"/>
    <w:rsid w:val="005566F3"/>
    <w:rsid w:val="005B45D2"/>
    <w:rsid w:val="005C2907"/>
    <w:rsid w:val="005C40A2"/>
    <w:rsid w:val="005D5031"/>
    <w:rsid w:val="005D66F1"/>
    <w:rsid w:val="005D7DE6"/>
    <w:rsid w:val="005E1A3A"/>
    <w:rsid w:val="005F3CC9"/>
    <w:rsid w:val="006042D5"/>
    <w:rsid w:val="00613C90"/>
    <w:rsid w:val="00647D6B"/>
    <w:rsid w:val="006632EA"/>
    <w:rsid w:val="00673E57"/>
    <w:rsid w:val="00682B9C"/>
    <w:rsid w:val="0069397F"/>
    <w:rsid w:val="006C5CA6"/>
    <w:rsid w:val="006F5AF2"/>
    <w:rsid w:val="00706498"/>
    <w:rsid w:val="007553BA"/>
    <w:rsid w:val="00755D6A"/>
    <w:rsid w:val="007624E3"/>
    <w:rsid w:val="007C011E"/>
    <w:rsid w:val="007D4F91"/>
    <w:rsid w:val="00823217"/>
    <w:rsid w:val="00876609"/>
    <w:rsid w:val="00886065"/>
    <w:rsid w:val="008D1B3D"/>
    <w:rsid w:val="0092346D"/>
    <w:rsid w:val="00926CBB"/>
    <w:rsid w:val="00951CA3"/>
    <w:rsid w:val="009572F7"/>
    <w:rsid w:val="00996A92"/>
    <w:rsid w:val="009A3179"/>
    <w:rsid w:val="009A7240"/>
    <w:rsid w:val="009B1DDD"/>
    <w:rsid w:val="009C47A4"/>
    <w:rsid w:val="009C510E"/>
    <w:rsid w:val="009F56B9"/>
    <w:rsid w:val="00A4286E"/>
    <w:rsid w:val="00A6539A"/>
    <w:rsid w:val="00A72582"/>
    <w:rsid w:val="00A7261A"/>
    <w:rsid w:val="00AA23B8"/>
    <w:rsid w:val="00AB10F0"/>
    <w:rsid w:val="00AD18D8"/>
    <w:rsid w:val="00AE5E35"/>
    <w:rsid w:val="00B10CA8"/>
    <w:rsid w:val="00B67855"/>
    <w:rsid w:val="00B70892"/>
    <w:rsid w:val="00B71CE3"/>
    <w:rsid w:val="00B73DAE"/>
    <w:rsid w:val="00B93C00"/>
    <w:rsid w:val="00BC72DD"/>
    <w:rsid w:val="00BE2AB2"/>
    <w:rsid w:val="00C0650B"/>
    <w:rsid w:val="00C304DD"/>
    <w:rsid w:val="00C32F18"/>
    <w:rsid w:val="00C85253"/>
    <w:rsid w:val="00C96179"/>
    <w:rsid w:val="00CA1F0A"/>
    <w:rsid w:val="00CB07FE"/>
    <w:rsid w:val="00CB60CC"/>
    <w:rsid w:val="00CD10A0"/>
    <w:rsid w:val="00CD26B1"/>
    <w:rsid w:val="00CF0086"/>
    <w:rsid w:val="00D07B9C"/>
    <w:rsid w:val="00D20AC8"/>
    <w:rsid w:val="00D272C5"/>
    <w:rsid w:val="00D54283"/>
    <w:rsid w:val="00D774A1"/>
    <w:rsid w:val="00D87881"/>
    <w:rsid w:val="00E30B18"/>
    <w:rsid w:val="00E42B41"/>
    <w:rsid w:val="00E448AC"/>
    <w:rsid w:val="00E45700"/>
    <w:rsid w:val="00E47152"/>
    <w:rsid w:val="00E676B1"/>
    <w:rsid w:val="00E72B4E"/>
    <w:rsid w:val="00E75B99"/>
    <w:rsid w:val="00E80116"/>
    <w:rsid w:val="00E8592F"/>
    <w:rsid w:val="00ED7511"/>
    <w:rsid w:val="00EE0D06"/>
    <w:rsid w:val="00F11099"/>
    <w:rsid w:val="00F32ACD"/>
    <w:rsid w:val="00F65C2A"/>
    <w:rsid w:val="00F913E3"/>
    <w:rsid w:val="00F971F3"/>
    <w:rsid w:val="00FA3C8B"/>
    <w:rsid w:val="00FF0E82"/>
    <w:rsid w:val="18184DA0"/>
    <w:rsid w:val="3A067A18"/>
    <w:rsid w:val="40CE5137"/>
    <w:rsid w:val="42015635"/>
    <w:rsid w:val="54414DC3"/>
    <w:rsid w:val="5AFC686F"/>
    <w:rsid w:val="616D471C"/>
    <w:rsid w:val="6F030607"/>
    <w:rsid w:val="763B6A77"/>
    <w:rsid w:val="77EC443A"/>
    <w:rsid w:val="7BD71D67"/>
    <w:rsid w:val="7C744EDD"/>
    <w:rsid w:val="7ECC4F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iPriority="0" w:semiHidden="0" w:name="table of authorities"/>
    <w:lsdException w:uiPriority="99" w:name="macro"/>
    <w:lsdException w:qFormat="1"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0" w:semiHidden="0" w:name="HTML Cite"/>
    <w:lsdException w:qFormat="1" w:uiPriority="0" w:semiHidden="0" w:name="HTML Code"/>
    <w:lsdException w:qFormat="1" w:uiPriority="0" w:semiHidden="0" w:name="HTML Definition"/>
    <w:lsdException w:qFormat="1" w:uiPriority="0" w:semiHidden="0" w:name="HTML Keyboard"/>
    <w:lsdException w:qFormat="1" w:unhideWhenUsed="0" w:uiPriority="0" w:semiHidden="0" w:name="HTML Preformatted"/>
    <w:lsdException w:qFormat="1" w:uiPriority="0" w:semiHidden="0" w:name="HTML Sample"/>
    <w:lsdException w:uiPriority="99" w:name="HTML Typewriter"/>
    <w:lsdException w:qFormat="1"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link w:val="66"/>
    <w:qFormat/>
    <w:uiPriority w:val="0"/>
    <w:pPr>
      <w:keepNext/>
      <w:keepLines/>
      <w:spacing w:before="340" w:after="330" w:line="576" w:lineRule="auto"/>
      <w:jc w:val="center"/>
      <w:outlineLvl w:val="0"/>
    </w:pPr>
    <w:rPr>
      <w:b/>
      <w:bCs/>
      <w:kern w:val="44"/>
      <w:sz w:val="36"/>
      <w:szCs w:val="44"/>
      <w:lang w:val="zh-CN"/>
    </w:rPr>
  </w:style>
  <w:style w:type="paragraph" w:styleId="3">
    <w:name w:val="heading 2"/>
    <w:basedOn w:val="1"/>
    <w:next w:val="1"/>
    <w:link w:val="67"/>
    <w:qFormat/>
    <w:uiPriority w:val="0"/>
    <w:pPr>
      <w:keepNext/>
      <w:keepLines/>
      <w:spacing w:before="260" w:after="260" w:line="413" w:lineRule="auto"/>
      <w:outlineLvl w:val="1"/>
    </w:pPr>
    <w:rPr>
      <w:rFonts w:ascii="Arial" w:hAnsi="Arial" w:eastAsia="黑体"/>
      <w:b/>
      <w:bCs/>
      <w:kern w:val="0"/>
      <w:sz w:val="32"/>
      <w:szCs w:val="32"/>
      <w:lang w:val="zh-CN"/>
    </w:rPr>
  </w:style>
  <w:style w:type="paragraph" w:styleId="4">
    <w:name w:val="heading 3"/>
    <w:basedOn w:val="1"/>
    <w:next w:val="1"/>
    <w:link w:val="68"/>
    <w:qFormat/>
    <w:uiPriority w:val="0"/>
    <w:pPr>
      <w:keepNext/>
      <w:keepLines/>
      <w:spacing w:before="260" w:after="260" w:line="413" w:lineRule="auto"/>
      <w:outlineLvl w:val="2"/>
    </w:pPr>
    <w:rPr>
      <w:b/>
      <w:bCs/>
      <w:kern w:val="0"/>
      <w:sz w:val="32"/>
      <w:szCs w:val="32"/>
      <w:lang w:val="zh-CN"/>
    </w:rPr>
  </w:style>
  <w:style w:type="paragraph" w:styleId="5">
    <w:name w:val="heading 4"/>
    <w:basedOn w:val="1"/>
    <w:next w:val="1"/>
    <w:link w:val="69"/>
    <w:qFormat/>
    <w:uiPriority w:val="0"/>
    <w:pPr>
      <w:keepNext/>
      <w:spacing w:line="440" w:lineRule="exact"/>
      <w:jc w:val="center"/>
      <w:outlineLvl w:val="3"/>
    </w:pPr>
    <w:rPr>
      <w:rFonts w:ascii="仿宋_GB2312" w:eastAsia="仿宋_GB2312"/>
      <w:kern w:val="0"/>
      <w:szCs w:val="24"/>
      <w:lang w:val="zh-CN"/>
    </w:rPr>
  </w:style>
  <w:style w:type="paragraph" w:styleId="6">
    <w:name w:val="heading 5"/>
    <w:basedOn w:val="1"/>
    <w:next w:val="1"/>
    <w:link w:val="70"/>
    <w:qFormat/>
    <w:uiPriority w:val="0"/>
    <w:pPr>
      <w:keepNext/>
      <w:keepLines/>
      <w:numPr>
        <w:ilvl w:val="4"/>
        <w:numId w:val="1"/>
      </w:numPr>
      <w:tabs>
        <w:tab w:val="left" w:pos="1008"/>
        <w:tab w:val="clear" w:pos="2649"/>
      </w:tabs>
      <w:suppressAutoHyphens/>
      <w:spacing w:before="280" w:after="290" w:line="372" w:lineRule="auto"/>
      <w:outlineLvl w:val="4"/>
    </w:pPr>
    <w:rPr>
      <w:rFonts w:ascii="宋体" w:hAnsi="宋体"/>
      <w:b/>
      <w:kern w:val="21"/>
      <w:lang w:val="zh-CN" w:eastAsia="ar-SA"/>
    </w:rPr>
  </w:style>
  <w:style w:type="paragraph" w:styleId="7">
    <w:name w:val="heading 6"/>
    <w:basedOn w:val="1"/>
    <w:next w:val="1"/>
    <w:link w:val="71"/>
    <w:qFormat/>
    <w:uiPriority w:val="0"/>
    <w:pPr>
      <w:keepNext/>
      <w:keepLines/>
      <w:numPr>
        <w:ilvl w:val="5"/>
        <w:numId w:val="1"/>
      </w:numPr>
      <w:tabs>
        <w:tab w:val="left" w:pos="1152"/>
        <w:tab w:val="clear" w:pos="3069"/>
      </w:tabs>
      <w:suppressAutoHyphens/>
      <w:spacing w:before="240" w:after="64" w:line="317" w:lineRule="auto"/>
      <w:outlineLvl w:val="5"/>
    </w:pPr>
    <w:rPr>
      <w:rFonts w:ascii="Arial" w:hAnsi="Arial" w:eastAsia="黑体"/>
      <w:b/>
      <w:kern w:val="21"/>
      <w:sz w:val="24"/>
      <w:lang w:val="zh-CN" w:eastAsia="ar-SA"/>
    </w:rPr>
  </w:style>
  <w:style w:type="paragraph" w:styleId="8">
    <w:name w:val="heading 7"/>
    <w:basedOn w:val="1"/>
    <w:next w:val="1"/>
    <w:link w:val="72"/>
    <w:qFormat/>
    <w:uiPriority w:val="0"/>
    <w:pPr>
      <w:keepNext/>
      <w:keepLines/>
      <w:numPr>
        <w:ilvl w:val="6"/>
        <w:numId w:val="1"/>
      </w:numPr>
      <w:tabs>
        <w:tab w:val="left" w:pos="1296"/>
        <w:tab w:val="clear" w:pos="3489"/>
      </w:tabs>
      <w:suppressAutoHyphens/>
      <w:spacing w:before="240" w:after="64" w:line="317" w:lineRule="auto"/>
      <w:outlineLvl w:val="6"/>
    </w:pPr>
    <w:rPr>
      <w:rFonts w:ascii="宋体" w:hAnsi="宋体"/>
      <w:b/>
      <w:kern w:val="21"/>
      <w:sz w:val="24"/>
      <w:lang w:val="zh-CN" w:eastAsia="ar-SA"/>
    </w:rPr>
  </w:style>
  <w:style w:type="paragraph" w:styleId="9">
    <w:name w:val="heading 8"/>
    <w:basedOn w:val="1"/>
    <w:next w:val="1"/>
    <w:link w:val="73"/>
    <w:qFormat/>
    <w:uiPriority w:val="0"/>
    <w:pPr>
      <w:keepNext/>
      <w:keepLines/>
      <w:numPr>
        <w:ilvl w:val="7"/>
        <w:numId w:val="1"/>
      </w:numPr>
      <w:tabs>
        <w:tab w:val="left" w:pos="1440"/>
        <w:tab w:val="clear" w:pos="3909"/>
      </w:tabs>
      <w:suppressAutoHyphens/>
      <w:spacing w:before="240" w:after="64" w:line="317" w:lineRule="auto"/>
      <w:outlineLvl w:val="7"/>
    </w:pPr>
    <w:rPr>
      <w:rFonts w:ascii="Arial" w:hAnsi="Arial" w:eastAsia="黑体"/>
      <w:kern w:val="21"/>
      <w:sz w:val="24"/>
      <w:lang w:val="zh-CN" w:eastAsia="ar-SA"/>
    </w:rPr>
  </w:style>
  <w:style w:type="paragraph" w:styleId="10">
    <w:name w:val="heading 9"/>
    <w:basedOn w:val="1"/>
    <w:next w:val="1"/>
    <w:link w:val="74"/>
    <w:qFormat/>
    <w:uiPriority w:val="0"/>
    <w:pPr>
      <w:keepNext/>
      <w:keepLines/>
      <w:numPr>
        <w:ilvl w:val="8"/>
        <w:numId w:val="1"/>
      </w:numPr>
      <w:tabs>
        <w:tab w:val="left" w:pos="1584"/>
        <w:tab w:val="clear" w:pos="4329"/>
      </w:tabs>
      <w:suppressAutoHyphens/>
      <w:spacing w:before="240" w:after="64" w:line="317" w:lineRule="auto"/>
      <w:outlineLvl w:val="8"/>
    </w:pPr>
    <w:rPr>
      <w:rFonts w:ascii="Arial" w:hAnsi="Arial" w:eastAsia="黑体"/>
      <w:kern w:val="21"/>
      <w:sz w:val="21"/>
      <w:lang w:val="zh-CN" w:eastAsia="ar-SA"/>
    </w:rPr>
  </w:style>
  <w:style w:type="character" w:default="1" w:styleId="50">
    <w:name w:val="Default Paragraph Font"/>
    <w:unhideWhenUsed/>
    <w:qFormat/>
    <w:uiPriority w:val="1"/>
  </w:style>
  <w:style w:type="table" w:default="1" w:styleId="48">
    <w:name w:val="Normal Table"/>
    <w:unhideWhenUsed/>
    <w:qFormat/>
    <w:uiPriority w:val="99"/>
    <w:tblPr>
      <w:tblCellMar>
        <w:top w:w="0" w:type="dxa"/>
        <w:left w:w="108" w:type="dxa"/>
        <w:bottom w:w="0" w:type="dxa"/>
        <w:right w:w="108" w:type="dxa"/>
      </w:tblCellMar>
    </w:tblPr>
  </w:style>
  <w:style w:type="paragraph" w:styleId="11">
    <w:name w:val="toc 7"/>
    <w:basedOn w:val="12"/>
    <w:next w:val="1"/>
    <w:qFormat/>
    <w:uiPriority w:val="0"/>
    <w:pPr>
      <w:suppressLineNumbers w:val="0"/>
      <w:ind w:left="1260"/>
      <w:jc w:val="left"/>
    </w:pPr>
    <w:rPr>
      <w:rFonts w:ascii="Times New Roman" w:hAnsi="Times New Roman"/>
      <w:sz w:val="18"/>
    </w:rPr>
  </w:style>
  <w:style w:type="paragraph" w:customStyle="1" w:styleId="12">
    <w:name w:val="目录"/>
    <w:basedOn w:val="1"/>
    <w:qFormat/>
    <w:uiPriority w:val="0"/>
    <w:pPr>
      <w:suppressLineNumbers/>
      <w:suppressAutoHyphens/>
    </w:pPr>
    <w:rPr>
      <w:rFonts w:ascii="宋体" w:hAnsi="宋体"/>
      <w:kern w:val="21"/>
      <w:lang w:eastAsia="ar-SA"/>
    </w:rPr>
  </w:style>
  <w:style w:type="paragraph" w:styleId="13">
    <w:name w:val="table of authorities"/>
    <w:basedOn w:val="1"/>
    <w:next w:val="1"/>
    <w:unhideWhenUsed/>
    <w:qFormat/>
    <w:uiPriority w:val="0"/>
    <w:pPr>
      <w:ind w:left="420" w:leftChars="200"/>
    </w:pPr>
    <w:rPr>
      <w:sz w:val="21"/>
      <w:szCs w:val="24"/>
    </w:rPr>
  </w:style>
  <w:style w:type="paragraph" w:styleId="14">
    <w:name w:val="Normal Indent"/>
    <w:basedOn w:val="1"/>
    <w:link w:val="262"/>
    <w:qFormat/>
    <w:uiPriority w:val="0"/>
    <w:pPr>
      <w:ind w:firstLine="420"/>
    </w:pPr>
  </w:style>
  <w:style w:type="paragraph" w:styleId="15">
    <w:name w:val="caption"/>
    <w:basedOn w:val="1"/>
    <w:next w:val="1"/>
    <w:link w:val="369"/>
    <w:unhideWhenUsed/>
    <w:qFormat/>
    <w:uiPriority w:val="0"/>
    <w:rPr>
      <w:rFonts w:ascii="Cambria" w:hAnsi="Cambria" w:eastAsia="黑体"/>
      <w:sz w:val="20"/>
    </w:rPr>
  </w:style>
  <w:style w:type="paragraph" w:styleId="16">
    <w:name w:val="Document Map"/>
    <w:basedOn w:val="1"/>
    <w:link w:val="167"/>
    <w:qFormat/>
    <w:uiPriority w:val="0"/>
    <w:pPr>
      <w:shd w:val="clear" w:color="auto" w:fill="000080"/>
      <w:suppressAutoHyphens/>
    </w:pPr>
    <w:rPr>
      <w:rFonts w:ascii="宋体" w:hAnsi="宋体"/>
      <w:kern w:val="21"/>
      <w:lang w:eastAsia="ar-SA"/>
    </w:rPr>
  </w:style>
  <w:style w:type="paragraph" w:styleId="17">
    <w:name w:val="toa heading"/>
    <w:basedOn w:val="13"/>
    <w:next w:val="1"/>
    <w:unhideWhenUsed/>
    <w:qFormat/>
    <w:uiPriority w:val="0"/>
    <w:pPr>
      <w:spacing w:before="120"/>
    </w:pPr>
    <w:rPr>
      <w:rFonts w:ascii="Arial" w:hAnsi="Arial" w:cs="Arial"/>
      <w:sz w:val="24"/>
    </w:rPr>
  </w:style>
  <w:style w:type="paragraph" w:styleId="18">
    <w:name w:val="annotation text"/>
    <w:basedOn w:val="1"/>
    <w:link w:val="155"/>
    <w:unhideWhenUsed/>
    <w:qFormat/>
    <w:uiPriority w:val="99"/>
    <w:pPr>
      <w:jc w:val="left"/>
    </w:pPr>
  </w:style>
  <w:style w:type="paragraph" w:styleId="19">
    <w:name w:val="Salutation"/>
    <w:basedOn w:val="1"/>
    <w:next w:val="1"/>
    <w:link w:val="254"/>
    <w:qFormat/>
    <w:uiPriority w:val="0"/>
    <w:rPr>
      <w:sz w:val="24"/>
      <w:szCs w:val="24"/>
    </w:rPr>
  </w:style>
  <w:style w:type="paragraph" w:styleId="20">
    <w:name w:val="Body Text 3"/>
    <w:basedOn w:val="1"/>
    <w:link w:val="131"/>
    <w:qFormat/>
    <w:uiPriority w:val="0"/>
    <w:rPr>
      <w:rFonts w:ascii="黑体" w:hAnsi="Arial" w:eastAsia="黑体"/>
      <w:b/>
    </w:rPr>
  </w:style>
  <w:style w:type="paragraph" w:styleId="21">
    <w:name w:val="Body Text"/>
    <w:basedOn w:val="1"/>
    <w:link w:val="157"/>
    <w:unhideWhenUsed/>
    <w:qFormat/>
    <w:uiPriority w:val="99"/>
    <w:pPr>
      <w:spacing w:after="120"/>
    </w:pPr>
  </w:style>
  <w:style w:type="paragraph" w:styleId="22">
    <w:name w:val="Body Text Indent"/>
    <w:basedOn w:val="1"/>
    <w:link w:val="85"/>
    <w:qFormat/>
    <w:uiPriority w:val="0"/>
    <w:pPr>
      <w:ind w:firstLine="830" w:firstLineChars="352"/>
    </w:pPr>
    <w:rPr>
      <w:rFonts w:ascii="仿宋_GB2312" w:eastAsia="仿宋_GB2312"/>
      <w:sz w:val="32"/>
    </w:rPr>
  </w:style>
  <w:style w:type="paragraph" w:styleId="23">
    <w:name w:val="Block Text"/>
    <w:basedOn w:val="1"/>
    <w:qFormat/>
    <w:uiPriority w:val="0"/>
    <w:pPr>
      <w:autoSpaceDE w:val="0"/>
      <w:autoSpaceDN w:val="0"/>
      <w:adjustRightInd w:val="0"/>
      <w:spacing w:line="500" w:lineRule="exact"/>
      <w:ind w:left="391" w:right="246"/>
    </w:pPr>
    <w:rPr>
      <w:rFonts w:ascii="仿宋_GB2312" w:eastAsia="仿宋_GB2312"/>
      <w:kern w:val="0"/>
      <w:sz w:val="24"/>
      <w:szCs w:val="24"/>
    </w:rPr>
  </w:style>
  <w:style w:type="paragraph" w:styleId="24">
    <w:name w:val="toc 5"/>
    <w:basedOn w:val="12"/>
    <w:next w:val="1"/>
    <w:qFormat/>
    <w:uiPriority w:val="0"/>
    <w:pPr>
      <w:suppressLineNumbers w:val="0"/>
      <w:ind w:left="840"/>
      <w:jc w:val="left"/>
    </w:pPr>
    <w:rPr>
      <w:rFonts w:ascii="Times New Roman" w:hAnsi="Times New Roman"/>
      <w:sz w:val="18"/>
    </w:rPr>
  </w:style>
  <w:style w:type="paragraph" w:styleId="25">
    <w:name w:val="toc 3"/>
    <w:basedOn w:val="1"/>
    <w:next w:val="1"/>
    <w:qFormat/>
    <w:uiPriority w:val="39"/>
    <w:pPr>
      <w:ind w:left="840" w:leftChars="400"/>
    </w:pPr>
  </w:style>
  <w:style w:type="paragraph" w:styleId="26">
    <w:name w:val="Plain Text"/>
    <w:basedOn w:val="1"/>
    <w:link w:val="116"/>
    <w:qFormat/>
    <w:uiPriority w:val="0"/>
    <w:rPr>
      <w:rFonts w:ascii="宋体" w:hAnsi="Courier New" w:cs="Courier New"/>
      <w:sz w:val="21"/>
      <w:szCs w:val="21"/>
    </w:rPr>
  </w:style>
  <w:style w:type="paragraph" w:styleId="27">
    <w:name w:val="toc 8"/>
    <w:basedOn w:val="12"/>
    <w:next w:val="1"/>
    <w:qFormat/>
    <w:uiPriority w:val="0"/>
    <w:pPr>
      <w:suppressLineNumbers w:val="0"/>
      <w:ind w:left="1470"/>
      <w:jc w:val="left"/>
    </w:pPr>
    <w:rPr>
      <w:rFonts w:ascii="Times New Roman" w:hAnsi="Times New Roman"/>
      <w:sz w:val="18"/>
    </w:rPr>
  </w:style>
  <w:style w:type="paragraph" w:styleId="28">
    <w:name w:val="Date"/>
    <w:basedOn w:val="1"/>
    <w:next w:val="1"/>
    <w:link w:val="142"/>
    <w:qFormat/>
    <w:uiPriority w:val="0"/>
    <w:pPr>
      <w:ind w:left="100" w:leftChars="2500"/>
    </w:pPr>
    <w:rPr>
      <w:rFonts w:ascii="宋体" w:hAnsi="Courier New" w:cs="Courier New"/>
      <w:sz w:val="21"/>
      <w:szCs w:val="21"/>
    </w:rPr>
  </w:style>
  <w:style w:type="paragraph" w:styleId="29">
    <w:name w:val="Body Text Indent 2"/>
    <w:basedOn w:val="1"/>
    <w:link w:val="138"/>
    <w:qFormat/>
    <w:uiPriority w:val="0"/>
    <w:pPr>
      <w:spacing w:after="120" w:line="480" w:lineRule="auto"/>
      <w:ind w:left="420" w:leftChars="200"/>
    </w:pPr>
    <w:rPr>
      <w:sz w:val="21"/>
      <w:szCs w:val="24"/>
    </w:rPr>
  </w:style>
  <w:style w:type="paragraph" w:styleId="30">
    <w:name w:val="Balloon Text"/>
    <w:basedOn w:val="1"/>
    <w:link w:val="83"/>
    <w:qFormat/>
    <w:uiPriority w:val="0"/>
    <w:rPr>
      <w:sz w:val="18"/>
      <w:szCs w:val="18"/>
    </w:rPr>
  </w:style>
  <w:style w:type="paragraph" w:styleId="31">
    <w:name w:val="footer"/>
    <w:basedOn w:val="1"/>
    <w:link w:val="65"/>
    <w:unhideWhenUsed/>
    <w:qFormat/>
    <w:uiPriority w:val="0"/>
    <w:pPr>
      <w:tabs>
        <w:tab w:val="center" w:pos="4153"/>
        <w:tab w:val="right" w:pos="8306"/>
      </w:tabs>
      <w:snapToGrid w:val="0"/>
      <w:jc w:val="left"/>
    </w:pPr>
    <w:rPr>
      <w:sz w:val="18"/>
      <w:szCs w:val="18"/>
    </w:rPr>
  </w:style>
  <w:style w:type="paragraph" w:styleId="32">
    <w:name w:val="header"/>
    <w:basedOn w:val="1"/>
    <w:link w:val="64"/>
    <w:unhideWhenUsed/>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after="120"/>
      <w:jc w:val="left"/>
    </w:pPr>
    <w:rPr>
      <w:b/>
      <w:bCs/>
      <w:caps/>
    </w:rPr>
  </w:style>
  <w:style w:type="paragraph" w:styleId="34">
    <w:name w:val="toc 4"/>
    <w:basedOn w:val="1"/>
    <w:next w:val="1"/>
    <w:qFormat/>
    <w:uiPriority w:val="0"/>
    <w:pPr>
      <w:ind w:left="1260" w:leftChars="600"/>
    </w:pPr>
    <w:rPr>
      <w:szCs w:val="24"/>
    </w:rPr>
  </w:style>
  <w:style w:type="paragraph" w:styleId="35">
    <w:name w:val="Subtitle"/>
    <w:basedOn w:val="1"/>
    <w:next w:val="1"/>
    <w:link w:val="133"/>
    <w:qFormat/>
    <w:uiPriority w:val="0"/>
    <w:pPr>
      <w:spacing w:before="240" w:after="60" w:line="312" w:lineRule="auto"/>
      <w:jc w:val="center"/>
      <w:outlineLvl w:val="1"/>
    </w:pPr>
    <w:rPr>
      <w:rFonts w:ascii="Cambria" w:hAnsi="Cambria" w:eastAsia="方正楷体简体"/>
      <w:bCs/>
      <w:kern w:val="28"/>
      <w:sz w:val="21"/>
      <w:szCs w:val="32"/>
    </w:rPr>
  </w:style>
  <w:style w:type="paragraph" w:styleId="36">
    <w:name w:val="List"/>
    <w:basedOn w:val="21"/>
    <w:qFormat/>
    <w:uiPriority w:val="0"/>
    <w:pPr>
      <w:suppressAutoHyphens/>
    </w:pPr>
    <w:rPr>
      <w:rFonts w:hint="eastAsia" w:ascii="方正大黑简体" w:hAnsi="宋体"/>
      <w:kern w:val="44"/>
      <w:position w:val="6"/>
      <w:sz w:val="30"/>
      <w:lang w:val="zh-CN"/>
    </w:rPr>
  </w:style>
  <w:style w:type="paragraph" w:styleId="37">
    <w:name w:val="toc 6"/>
    <w:basedOn w:val="12"/>
    <w:next w:val="1"/>
    <w:qFormat/>
    <w:uiPriority w:val="0"/>
    <w:pPr>
      <w:suppressLineNumbers w:val="0"/>
      <w:ind w:left="1050"/>
      <w:jc w:val="left"/>
    </w:pPr>
    <w:rPr>
      <w:rFonts w:ascii="Times New Roman" w:hAnsi="Times New Roman"/>
      <w:sz w:val="18"/>
    </w:rPr>
  </w:style>
  <w:style w:type="paragraph" w:styleId="38">
    <w:name w:val="Body Text Indent 3"/>
    <w:basedOn w:val="1"/>
    <w:link w:val="140"/>
    <w:qFormat/>
    <w:uiPriority w:val="0"/>
    <w:pPr>
      <w:spacing w:after="120"/>
      <w:ind w:left="420" w:leftChars="200"/>
    </w:pPr>
    <w:rPr>
      <w:sz w:val="16"/>
      <w:szCs w:val="16"/>
    </w:rPr>
  </w:style>
  <w:style w:type="paragraph" w:styleId="39">
    <w:name w:val="toc 2"/>
    <w:basedOn w:val="1"/>
    <w:next w:val="1"/>
    <w:qFormat/>
    <w:uiPriority w:val="39"/>
    <w:pPr>
      <w:ind w:left="420" w:leftChars="200"/>
    </w:pPr>
    <w:rPr>
      <w:sz w:val="24"/>
    </w:rPr>
  </w:style>
  <w:style w:type="paragraph" w:styleId="40">
    <w:name w:val="toc 9"/>
    <w:basedOn w:val="12"/>
    <w:next w:val="1"/>
    <w:qFormat/>
    <w:uiPriority w:val="0"/>
    <w:pPr>
      <w:suppressLineNumbers w:val="0"/>
      <w:ind w:left="1680"/>
      <w:jc w:val="left"/>
    </w:pPr>
    <w:rPr>
      <w:rFonts w:ascii="Times New Roman" w:hAnsi="Times New Roman"/>
      <w:sz w:val="18"/>
    </w:rPr>
  </w:style>
  <w:style w:type="paragraph" w:styleId="41">
    <w:name w:val="Body Text 2"/>
    <w:basedOn w:val="1"/>
    <w:link w:val="263"/>
    <w:unhideWhenUsed/>
    <w:qFormat/>
    <w:uiPriority w:val="0"/>
    <w:pPr>
      <w:spacing w:after="120" w:line="480" w:lineRule="auto"/>
    </w:pPr>
    <w:rPr>
      <w:kern w:val="0"/>
      <w:sz w:val="20"/>
      <w:szCs w:val="24"/>
    </w:rPr>
  </w:style>
  <w:style w:type="paragraph" w:styleId="42">
    <w:name w:val="HTML Preformatted"/>
    <w:basedOn w:val="1"/>
    <w:link w:val="17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43">
    <w:name w:val="Normal (Web)"/>
    <w:basedOn w:val="1"/>
    <w:qFormat/>
    <w:uiPriority w:val="0"/>
    <w:pPr>
      <w:widowControl/>
      <w:spacing w:before="100" w:beforeAutospacing="1" w:after="100" w:afterAutospacing="1"/>
      <w:jc w:val="left"/>
    </w:pPr>
    <w:rPr>
      <w:rFonts w:ascii="宋体" w:hAnsi="宋体"/>
      <w:kern w:val="0"/>
      <w:sz w:val="24"/>
      <w:szCs w:val="24"/>
    </w:rPr>
  </w:style>
  <w:style w:type="paragraph" w:styleId="44">
    <w:name w:val="index 1"/>
    <w:basedOn w:val="1"/>
    <w:next w:val="1"/>
    <w:unhideWhenUsed/>
    <w:qFormat/>
    <w:uiPriority w:val="0"/>
    <w:pPr>
      <w:spacing w:line="260" w:lineRule="exact"/>
      <w:jc w:val="center"/>
    </w:pPr>
    <w:rPr>
      <w:sz w:val="21"/>
      <w:szCs w:val="24"/>
    </w:rPr>
  </w:style>
  <w:style w:type="paragraph" w:styleId="45">
    <w:name w:val="Title"/>
    <w:basedOn w:val="1"/>
    <w:next w:val="1"/>
    <w:link w:val="128"/>
    <w:qFormat/>
    <w:uiPriority w:val="0"/>
    <w:pPr>
      <w:spacing w:before="240" w:after="60"/>
      <w:jc w:val="center"/>
      <w:outlineLvl w:val="0"/>
    </w:pPr>
    <w:rPr>
      <w:rFonts w:ascii="Cambria" w:hAnsi="Cambria" w:eastAsia="方正小标宋简体"/>
      <w:b/>
      <w:bCs/>
      <w:sz w:val="44"/>
      <w:szCs w:val="32"/>
    </w:rPr>
  </w:style>
  <w:style w:type="paragraph" w:styleId="46">
    <w:name w:val="annotation subject"/>
    <w:basedOn w:val="18"/>
    <w:next w:val="18"/>
    <w:link w:val="156"/>
    <w:qFormat/>
    <w:uiPriority w:val="0"/>
    <w:pPr>
      <w:suppressAutoHyphens/>
    </w:pPr>
    <w:rPr>
      <w:rFonts w:ascii="宋体" w:hAnsi="宋体"/>
      <w:b/>
      <w:kern w:val="21"/>
      <w:lang w:eastAsia="ar-SA"/>
    </w:rPr>
  </w:style>
  <w:style w:type="paragraph" w:styleId="47">
    <w:name w:val="Body Text First Indent"/>
    <w:basedOn w:val="21"/>
    <w:link w:val="89"/>
    <w:qFormat/>
    <w:uiPriority w:val="0"/>
    <w:pPr>
      <w:ind w:firstLine="420" w:firstLineChars="100"/>
    </w:pPr>
    <w:rPr>
      <w:szCs w:val="24"/>
    </w:rPr>
  </w:style>
  <w:style w:type="table" w:styleId="49">
    <w:name w:val="Table Grid"/>
    <w:basedOn w:val="48"/>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1">
    <w:name w:val="Strong"/>
    <w:qFormat/>
    <w:uiPriority w:val="0"/>
    <w:rPr>
      <w:b/>
    </w:rPr>
  </w:style>
  <w:style w:type="character" w:styleId="52">
    <w:name w:val="page number"/>
    <w:basedOn w:val="50"/>
    <w:qFormat/>
    <w:uiPriority w:val="0"/>
  </w:style>
  <w:style w:type="character" w:styleId="53">
    <w:name w:val="FollowedHyperlink"/>
    <w:qFormat/>
    <w:uiPriority w:val="99"/>
    <w:rPr>
      <w:color w:val="800080"/>
      <w:u w:val="single"/>
    </w:rPr>
  </w:style>
  <w:style w:type="character" w:styleId="54">
    <w:name w:val="Emphasis"/>
    <w:qFormat/>
    <w:uiPriority w:val="0"/>
    <w:rPr>
      <w:rFonts w:hint="default" w:ascii="Times New Roman" w:hAnsi="Times New Roman" w:cs="Times New Roman"/>
    </w:rPr>
  </w:style>
  <w:style w:type="character" w:styleId="55">
    <w:name w:val="HTML Definition"/>
    <w:unhideWhenUsed/>
    <w:qFormat/>
    <w:uiPriority w:val="0"/>
    <w:rPr>
      <w:szCs w:val="24"/>
    </w:rPr>
  </w:style>
  <w:style w:type="character" w:styleId="56">
    <w:name w:val="HTML Variable"/>
    <w:unhideWhenUsed/>
    <w:qFormat/>
    <w:uiPriority w:val="0"/>
    <w:rPr>
      <w:szCs w:val="24"/>
    </w:rPr>
  </w:style>
  <w:style w:type="character" w:styleId="57">
    <w:name w:val="Hyperlink"/>
    <w:qFormat/>
    <w:uiPriority w:val="99"/>
    <w:rPr>
      <w:color w:val="0000FF"/>
      <w:u w:val="single"/>
    </w:rPr>
  </w:style>
  <w:style w:type="character" w:styleId="58">
    <w:name w:val="HTML Code"/>
    <w:unhideWhenUsed/>
    <w:qFormat/>
    <w:uiPriority w:val="0"/>
    <w:rPr>
      <w:rFonts w:hint="default" w:ascii="Arial" w:hAnsi="Arial" w:eastAsia="Times New Roman" w:cs="Arial"/>
      <w:sz w:val="24"/>
      <w:szCs w:val="24"/>
    </w:rPr>
  </w:style>
  <w:style w:type="character" w:styleId="59">
    <w:name w:val="annotation reference"/>
    <w:qFormat/>
    <w:uiPriority w:val="99"/>
    <w:rPr>
      <w:sz w:val="21"/>
    </w:rPr>
  </w:style>
  <w:style w:type="character" w:styleId="60">
    <w:name w:val="HTML Cite"/>
    <w:unhideWhenUsed/>
    <w:qFormat/>
    <w:uiPriority w:val="0"/>
    <w:rPr>
      <w:szCs w:val="24"/>
    </w:rPr>
  </w:style>
  <w:style w:type="character" w:styleId="61">
    <w:name w:val="footnote reference"/>
    <w:unhideWhenUsed/>
    <w:qFormat/>
    <w:uiPriority w:val="0"/>
    <w:rPr>
      <w:vertAlign w:val="superscript"/>
    </w:rPr>
  </w:style>
  <w:style w:type="character" w:styleId="62">
    <w:name w:val="HTML Keyboard"/>
    <w:unhideWhenUsed/>
    <w:qFormat/>
    <w:uiPriority w:val="0"/>
    <w:rPr>
      <w:rFonts w:hint="default" w:ascii="Arial" w:hAnsi="Arial" w:eastAsia="Times New Roman" w:cs="Arial"/>
      <w:sz w:val="24"/>
      <w:szCs w:val="24"/>
    </w:rPr>
  </w:style>
  <w:style w:type="character" w:styleId="63">
    <w:name w:val="HTML Sample"/>
    <w:unhideWhenUsed/>
    <w:qFormat/>
    <w:uiPriority w:val="0"/>
    <w:rPr>
      <w:rFonts w:hint="default" w:ascii="Arial" w:hAnsi="Arial" w:eastAsia="Times New Roman" w:cs="Arial"/>
      <w:szCs w:val="24"/>
    </w:rPr>
  </w:style>
  <w:style w:type="character" w:customStyle="1" w:styleId="64">
    <w:name w:val="页眉 Char"/>
    <w:basedOn w:val="50"/>
    <w:link w:val="32"/>
    <w:qFormat/>
    <w:uiPriority w:val="0"/>
    <w:rPr>
      <w:sz w:val="18"/>
      <w:szCs w:val="18"/>
    </w:rPr>
  </w:style>
  <w:style w:type="character" w:customStyle="1" w:styleId="65">
    <w:name w:val="页脚 Char"/>
    <w:basedOn w:val="50"/>
    <w:link w:val="31"/>
    <w:qFormat/>
    <w:uiPriority w:val="0"/>
    <w:rPr>
      <w:sz w:val="18"/>
      <w:szCs w:val="18"/>
    </w:rPr>
  </w:style>
  <w:style w:type="character" w:customStyle="1" w:styleId="66">
    <w:name w:val="标题 1 Char"/>
    <w:basedOn w:val="50"/>
    <w:link w:val="2"/>
    <w:qFormat/>
    <w:uiPriority w:val="0"/>
    <w:rPr>
      <w:rFonts w:ascii="Times New Roman" w:hAnsi="Times New Roman" w:eastAsia="宋体" w:cs="Times New Roman"/>
      <w:b/>
      <w:bCs/>
      <w:kern w:val="44"/>
      <w:sz w:val="36"/>
      <w:szCs w:val="44"/>
      <w:lang w:val="zh-CN" w:eastAsia="zh-CN"/>
    </w:rPr>
  </w:style>
  <w:style w:type="character" w:customStyle="1" w:styleId="67">
    <w:name w:val="标题 2 Char"/>
    <w:basedOn w:val="50"/>
    <w:link w:val="3"/>
    <w:qFormat/>
    <w:uiPriority w:val="0"/>
    <w:rPr>
      <w:rFonts w:ascii="Arial" w:hAnsi="Arial" w:eastAsia="黑体" w:cs="Times New Roman"/>
      <w:b/>
      <w:bCs/>
      <w:kern w:val="0"/>
      <w:sz w:val="32"/>
      <w:szCs w:val="32"/>
      <w:lang w:val="zh-CN" w:eastAsia="zh-CN"/>
    </w:rPr>
  </w:style>
  <w:style w:type="character" w:customStyle="1" w:styleId="68">
    <w:name w:val="标题 3 Char"/>
    <w:basedOn w:val="50"/>
    <w:link w:val="4"/>
    <w:qFormat/>
    <w:uiPriority w:val="0"/>
    <w:rPr>
      <w:rFonts w:ascii="Times New Roman" w:hAnsi="Times New Roman" w:eastAsia="宋体" w:cs="Times New Roman"/>
      <w:b/>
      <w:bCs/>
      <w:kern w:val="0"/>
      <w:sz w:val="32"/>
      <w:szCs w:val="32"/>
      <w:lang w:val="zh-CN" w:eastAsia="zh-CN"/>
    </w:rPr>
  </w:style>
  <w:style w:type="character" w:customStyle="1" w:styleId="69">
    <w:name w:val="标题 4 Char"/>
    <w:basedOn w:val="50"/>
    <w:link w:val="5"/>
    <w:qFormat/>
    <w:uiPriority w:val="0"/>
    <w:rPr>
      <w:rFonts w:ascii="仿宋_GB2312" w:hAnsi="Times New Roman" w:eastAsia="仿宋_GB2312" w:cs="Times New Roman"/>
      <w:kern w:val="0"/>
      <w:sz w:val="28"/>
      <w:szCs w:val="24"/>
      <w:lang w:val="zh-CN" w:eastAsia="zh-CN"/>
    </w:rPr>
  </w:style>
  <w:style w:type="character" w:customStyle="1" w:styleId="70">
    <w:name w:val="标题 5 Char"/>
    <w:basedOn w:val="50"/>
    <w:link w:val="6"/>
    <w:qFormat/>
    <w:uiPriority w:val="0"/>
    <w:rPr>
      <w:rFonts w:ascii="宋体" w:hAnsi="宋体" w:eastAsia="宋体" w:cs="Times New Roman"/>
      <w:b/>
      <w:kern w:val="21"/>
      <w:sz w:val="28"/>
      <w:szCs w:val="20"/>
      <w:lang w:val="zh-CN" w:eastAsia="ar-SA"/>
    </w:rPr>
  </w:style>
  <w:style w:type="character" w:customStyle="1" w:styleId="71">
    <w:name w:val="标题 6 Char"/>
    <w:basedOn w:val="50"/>
    <w:link w:val="7"/>
    <w:qFormat/>
    <w:uiPriority w:val="0"/>
    <w:rPr>
      <w:rFonts w:ascii="Arial" w:hAnsi="Arial" w:eastAsia="黑体" w:cs="Times New Roman"/>
      <w:b/>
      <w:kern w:val="21"/>
      <w:sz w:val="24"/>
      <w:szCs w:val="20"/>
      <w:lang w:val="zh-CN" w:eastAsia="ar-SA"/>
    </w:rPr>
  </w:style>
  <w:style w:type="character" w:customStyle="1" w:styleId="72">
    <w:name w:val="标题 7 Char"/>
    <w:basedOn w:val="50"/>
    <w:link w:val="8"/>
    <w:qFormat/>
    <w:uiPriority w:val="0"/>
    <w:rPr>
      <w:rFonts w:ascii="宋体" w:hAnsi="宋体" w:eastAsia="宋体" w:cs="Times New Roman"/>
      <w:b/>
      <w:kern w:val="21"/>
      <w:sz w:val="24"/>
      <w:szCs w:val="20"/>
      <w:lang w:val="zh-CN" w:eastAsia="ar-SA"/>
    </w:rPr>
  </w:style>
  <w:style w:type="character" w:customStyle="1" w:styleId="73">
    <w:name w:val="标题 8 Char"/>
    <w:basedOn w:val="50"/>
    <w:link w:val="9"/>
    <w:qFormat/>
    <w:uiPriority w:val="0"/>
    <w:rPr>
      <w:rFonts w:ascii="Arial" w:hAnsi="Arial" w:eastAsia="黑体" w:cs="Times New Roman"/>
      <w:kern w:val="21"/>
      <w:sz w:val="24"/>
      <w:szCs w:val="20"/>
      <w:lang w:val="zh-CN" w:eastAsia="ar-SA"/>
    </w:rPr>
  </w:style>
  <w:style w:type="character" w:customStyle="1" w:styleId="74">
    <w:name w:val="标题 9 Char"/>
    <w:basedOn w:val="50"/>
    <w:link w:val="10"/>
    <w:qFormat/>
    <w:uiPriority w:val="0"/>
    <w:rPr>
      <w:rFonts w:ascii="Arial" w:hAnsi="Arial" w:eastAsia="黑体" w:cs="Times New Roman"/>
      <w:kern w:val="21"/>
      <w:szCs w:val="20"/>
      <w:lang w:val="zh-CN" w:eastAsia="ar-SA"/>
    </w:rPr>
  </w:style>
  <w:style w:type="character" w:customStyle="1" w:styleId="75">
    <w:name w:val="正文要点内容 Char Char"/>
    <w:link w:val="76"/>
    <w:qFormat/>
    <w:uiPriority w:val="0"/>
    <w:rPr>
      <w:rFonts w:ascii="Times New Roman" w:hAnsi="Times New Roman"/>
      <w:szCs w:val="24"/>
    </w:rPr>
  </w:style>
  <w:style w:type="paragraph" w:customStyle="1" w:styleId="76">
    <w:name w:val="正文要点内容"/>
    <w:basedOn w:val="77"/>
    <w:link w:val="75"/>
    <w:qFormat/>
    <w:uiPriority w:val="0"/>
    <w:pPr>
      <w:numPr>
        <w:numId w:val="0"/>
      </w:numPr>
      <w:tabs>
        <w:tab w:val="left" w:pos="420"/>
      </w:tabs>
      <w:ind w:left="400" w:leftChars="400" w:firstLine="200" w:firstLineChars="200"/>
    </w:pPr>
    <w:rPr>
      <w:rFonts w:ascii="Times New Roman" w:hAnsi="Times New Roman"/>
    </w:rPr>
  </w:style>
  <w:style w:type="paragraph" w:customStyle="1" w:styleId="77">
    <w:name w:val="正文要点"/>
    <w:basedOn w:val="1"/>
    <w:next w:val="76"/>
    <w:link w:val="86"/>
    <w:qFormat/>
    <w:uiPriority w:val="0"/>
    <w:pPr>
      <w:numPr>
        <w:ilvl w:val="0"/>
        <w:numId w:val="2"/>
      </w:numPr>
      <w:tabs>
        <w:tab w:val="left" w:pos="420"/>
        <w:tab w:val="clear" w:pos="840"/>
      </w:tabs>
      <w:spacing w:line="360" w:lineRule="auto"/>
    </w:pPr>
    <w:rPr>
      <w:rFonts w:asciiTheme="minorHAnsi" w:hAnsiTheme="minorHAnsi" w:eastAsiaTheme="minorEastAsia" w:cstheme="minorBidi"/>
      <w:sz w:val="21"/>
      <w:szCs w:val="24"/>
    </w:rPr>
  </w:style>
  <w:style w:type="character" w:customStyle="1" w:styleId="78">
    <w:name w:val="页眉 Char1"/>
    <w:semiHidden/>
    <w:qFormat/>
    <w:uiPriority w:val="99"/>
    <w:rPr>
      <w:rFonts w:ascii="Times New Roman" w:hAnsi="Times New Roman"/>
      <w:kern w:val="2"/>
      <w:sz w:val="18"/>
      <w:szCs w:val="18"/>
    </w:rPr>
  </w:style>
  <w:style w:type="character" w:customStyle="1" w:styleId="79">
    <w:name w:val="首行缩进:  0.85 厘米 Char Char"/>
    <w:link w:val="80"/>
    <w:qFormat/>
    <w:uiPriority w:val="0"/>
    <w:rPr>
      <w:rFonts w:eastAsia="昆仑黑体" w:cs="Arial Unicode MS"/>
      <w:sz w:val="28"/>
      <w:lang w:eastAsia="en-US" w:bidi="en-US"/>
    </w:rPr>
  </w:style>
  <w:style w:type="paragraph" w:customStyle="1" w:styleId="80">
    <w:name w:val="首行缩进:  0.85 厘米"/>
    <w:basedOn w:val="1"/>
    <w:link w:val="79"/>
    <w:uiPriority w:val="0"/>
    <w:pPr>
      <w:spacing w:line="360" w:lineRule="auto"/>
      <w:ind w:firstLine="482"/>
      <w:jc w:val="left"/>
    </w:pPr>
    <w:rPr>
      <w:rFonts w:eastAsia="昆仑黑体" w:cs="Arial Unicode MS" w:asciiTheme="minorHAnsi" w:hAnsiTheme="minorHAnsi"/>
      <w:szCs w:val="22"/>
      <w:lang w:eastAsia="en-US" w:bidi="en-US"/>
    </w:rPr>
  </w:style>
  <w:style w:type="character" w:customStyle="1" w:styleId="81">
    <w:name w:val="WW8Num14z0"/>
    <w:qFormat/>
    <w:uiPriority w:val="0"/>
    <w:rPr>
      <w:b/>
    </w:rPr>
  </w:style>
  <w:style w:type="character" w:customStyle="1" w:styleId="82">
    <w:name w:val="WW8Num15z6"/>
    <w:qFormat/>
    <w:uiPriority w:val="0"/>
    <w:rPr>
      <w:rFonts w:ascii="Times New Roman" w:hAnsi="Times New Roman"/>
    </w:rPr>
  </w:style>
  <w:style w:type="character" w:customStyle="1" w:styleId="83">
    <w:name w:val="批注框文本 Char"/>
    <w:link w:val="30"/>
    <w:qFormat/>
    <w:uiPriority w:val="0"/>
    <w:rPr>
      <w:rFonts w:ascii="Times New Roman" w:hAnsi="Times New Roman" w:eastAsia="宋体" w:cs="Times New Roman"/>
      <w:sz w:val="18"/>
      <w:szCs w:val="18"/>
    </w:rPr>
  </w:style>
  <w:style w:type="character" w:customStyle="1" w:styleId="84">
    <w:name w:val="Char Char10"/>
    <w:qFormat/>
    <w:uiPriority w:val="0"/>
    <w:rPr>
      <w:rFonts w:hint="eastAsia" w:ascii="宋体" w:hAnsi="Courier New" w:eastAsia="宋体" w:cs="Times New Roman"/>
      <w:sz w:val="18"/>
      <w:szCs w:val="20"/>
    </w:rPr>
  </w:style>
  <w:style w:type="character" w:customStyle="1" w:styleId="85">
    <w:name w:val="正文文本缩进 Char"/>
    <w:link w:val="22"/>
    <w:qFormat/>
    <w:uiPriority w:val="0"/>
    <w:rPr>
      <w:rFonts w:ascii="仿宋_GB2312" w:hAnsi="Times New Roman" w:eastAsia="仿宋_GB2312" w:cs="Times New Roman"/>
      <w:sz w:val="32"/>
      <w:szCs w:val="20"/>
    </w:rPr>
  </w:style>
  <w:style w:type="character" w:customStyle="1" w:styleId="86">
    <w:name w:val="正文要点 Char Char"/>
    <w:link w:val="77"/>
    <w:qFormat/>
    <w:uiPriority w:val="0"/>
    <w:rPr>
      <w:szCs w:val="24"/>
    </w:rPr>
  </w:style>
  <w:style w:type="character" w:customStyle="1" w:styleId="87">
    <w:name w:val="WW8Num16z0"/>
    <w:qFormat/>
    <w:uiPriority w:val="0"/>
    <w:rPr>
      <w:b/>
    </w:rPr>
  </w:style>
  <w:style w:type="character" w:customStyle="1" w:styleId="88">
    <w:name w:val="Char Char"/>
    <w:qFormat/>
    <w:uiPriority w:val="0"/>
    <w:rPr>
      <w:rFonts w:ascii="Times New Roman" w:hAnsi="Times New Roman"/>
      <w:sz w:val="21"/>
      <w:szCs w:val="24"/>
    </w:rPr>
  </w:style>
  <w:style w:type="character" w:customStyle="1" w:styleId="89">
    <w:name w:val="正文首行缩进 Char"/>
    <w:link w:val="47"/>
    <w:qFormat/>
    <w:uiPriority w:val="0"/>
    <w:rPr>
      <w:rFonts w:ascii="Times New Roman" w:hAnsi="Times New Roman" w:eastAsia="宋体" w:cs="Times New Roman"/>
      <w:sz w:val="28"/>
      <w:szCs w:val="24"/>
    </w:rPr>
  </w:style>
  <w:style w:type="character" w:customStyle="1" w:styleId="90">
    <w:name w:val="case31"/>
    <w:qFormat/>
    <w:uiPriority w:val="0"/>
    <w:rPr>
      <w:rFonts w:hint="default"/>
      <w:spacing w:val="390"/>
      <w:sz w:val="21"/>
      <w:szCs w:val="21"/>
    </w:rPr>
  </w:style>
  <w:style w:type="character" w:customStyle="1" w:styleId="91">
    <w:name w:val="WW8Num23z0"/>
    <w:qFormat/>
    <w:uiPriority w:val="0"/>
    <w:rPr>
      <w:rFonts w:ascii="Wingdings" w:hAnsi="Wingdings"/>
    </w:rPr>
  </w:style>
  <w:style w:type="character" w:customStyle="1" w:styleId="92">
    <w:name w:val="正文文本 Char"/>
    <w:qFormat/>
    <w:uiPriority w:val="99"/>
    <w:rPr>
      <w:rFonts w:ascii="Times New Roman" w:hAnsi="Times New Roman" w:eastAsia="宋体" w:cs="Times New Roman"/>
      <w:szCs w:val="24"/>
    </w:rPr>
  </w:style>
  <w:style w:type="character" w:customStyle="1" w:styleId="93">
    <w:name w:val="正文段落 Char Char"/>
    <w:link w:val="94"/>
    <w:qFormat/>
    <w:uiPriority w:val="0"/>
    <w:rPr>
      <w:rFonts w:ascii="宋体" w:hAnsi="宋体" w:eastAsia="宋体"/>
      <w:sz w:val="28"/>
    </w:rPr>
  </w:style>
  <w:style w:type="paragraph" w:customStyle="1" w:styleId="94">
    <w:name w:val="正文段落"/>
    <w:basedOn w:val="1"/>
    <w:link w:val="93"/>
    <w:qFormat/>
    <w:uiPriority w:val="0"/>
    <w:pPr>
      <w:ind w:firstLine="560" w:firstLineChars="200"/>
    </w:pPr>
    <w:rPr>
      <w:rFonts w:ascii="宋体" w:hAnsi="宋体" w:cstheme="minorBidi"/>
      <w:szCs w:val="22"/>
    </w:rPr>
  </w:style>
  <w:style w:type="character" w:customStyle="1" w:styleId="95">
    <w:name w:val="0921 Char"/>
    <w:qFormat/>
    <w:uiPriority w:val="0"/>
    <w:rPr>
      <w:rFonts w:ascii="宋体" w:hAnsi="Courier New" w:cs="宋体"/>
      <w:kern w:val="2"/>
      <w:sz w:val="21"/>
      <w:szCs w:val="21"/>
    </w:rPr>
  </w:style>
  <w:style w:type="character" w:customStyle="1" w:styleId="96">
    <w:name w:val="无间隔 Char"/>
    <w:link w:val="97"/>
    <w:qFormat/>
    <w:uiPriority w:val="0"/>
    <w:rPr>
      <w:sz w:val="22"/>
    </w:rPr>
  </w:style>
  <w:style w:type="paragraph" w:customStyle="1" w:styleId="97">
    <w:name w:val="无间隔1"/>
    <w:link w:val="96"/>
    <w:qFormat/>
    <w:uiPriority w:val="0"/>
    <w:rPr>
      <w:rFonts w:asciiTheme="minorHAnsi" w:hAnsiTheme="minorHAnsi" w:eastAsiaTheme="minorEastAsia" w:cstheme="minorBidi"/>
      <w:kern w:val="2"/>
      <w:sz w:val="22"/>
      <w:szCs w:val="22"/>
      <w:lang w:val="en-US" w:eastAsia="zh-CN" w:bidi="ar-SA"/>
    </w:rPr>
  </w:style>
  <w:style w:type="character" w:customStyle="1" w:styleId="98">
    <w:name w:val="默认段落字体1"/>
    <w:qFormat/>
    <w:uiPriority w:val="0"/>
  </w:style>
  <w:style w:type="character" w:customStyle="1" w:styleId="99">
    <w:name w:val="普通文字 Char Char1"/>
    <w:qFormat/>
    <w:uiPriority w:val="0"/>
    <w:rPr>
      <w:rFonts w:ascii="宋体" w:hAnsi="Courier New" w:eastAsia="宋体" w:cs="Times New Roman"/>
      <w:szCs w:val="20"/>
    </w:rPr>
  </w:style>
  <w:style w:type="character" w:customStyle="1" w:styleId="100">
    <w:name w:val="huei12b1"/>
    <w:qFormat/>
    <w:uiPriority w:val="0"/>
    <w:rPr>
      <w:b/>
      <w:color w:val="333333"/>
      <w:sz w:val="18"/>
    </w:rPr>
  </w:style>
  <w:style w:type="character" w:customStyle="1" w:styleId="101">
    <w:name w:val="WW8Num9z0"/>
    <w:qFormat/>
    <w:uiPriority w:val="0"/>
    <w:rPr>
      <w:b/>
    </w:rPr>
  </w:style>
  <w:style w:type="character" w:customStyle="1" w:styleId="102">
    <w:name w:val="ca-2"/>
    <w:basedOn w:val="50"/>
    <w:qFormat/>
    <w:uiPriority w:val="0"/>
  </w:style>
  <w:style w:type="character" w:customStyle="1" w:styleId="103">
    <w:name w:val="正文文本 Char1"/>
    <w:semiHidden/>
    <w:qFormat/>
    <w:uiPriority w:val="99"/>
    <w:rPr>
      <w:rFonts w:ascii="Times New Roman" w:hAnsi="Times New Roman"/>
      <w:kern w:val="2"/>
      <w:sz w:val="28"/>
    </w:rPr>
  </w:style>
  <w:style w:type="character" w:customStyle="1" w:styleId="104">
    <w:name w:val="paramname2"/>
    <w:qFormat/>
    <w:uiPriority w:val="0"/>
    <w:rPr>
      <w:color w:val="999999"/>
    </w:rPr>
  </w:style>
  <w:style w:type="character" w:customStyle="1" w:styleId="105">
    <w:name w:val="text91"/>
    <w:qFormat/>
    <w:uiPriority w:val="0"/>
    <w:rPr>
      <w:sz w:val="18"/>
      <w:u w:val="none"/>
    </w:rPr>
  </w:style>
  <w:style w:type="character" w:customStyle="1" w:styleId="106">
    <w:name w:val="apple-converted-space"/>
    <w:qFormat/>
    <w:uiPriority w:val="0"/>
  </w:style>
  <w:style w:type="character" w:customStyle="1" w:styleId="107">
    <w:name w:val="WW8Num2z2"/>
    <w:qFormat/>
    <w:uiPriority w:val="0"/>
    <w:rPr>
      <w:rFonts w:ascii="Arial" w:hAnsi="Arial"/>
      <w:color w:val="000000"/>
      <w:position w:val="0"/>
      <w:sz w:val="24"/>
      <w:vertAlign w:val="baseline"/>
    </w:rPr>
  </w:style>
  <w:style w:type="character" w:customStyle="1" w:styleId="108">
    <w:name w:val="WW8Num8z0"/>
    <w:qFormat/>
    <w:uiPriority w:val="0"/>
    <w:rPr>
      <w:b/>
    </w:rPr>
  </w:style>
  <w:style w:type="character" w:customStyle="1" w:styleId="109">
    <w:name w:val="mark4"/>
    <w:qFormat/>
    <w:uiPriority w:val="0"/>
  </w:style>
  <w:style w:type="character" w:customStyle="1" w:styleId="110">
    <w:name w:val="WW8Num31z1"/>
    <w:qFormat/>
    <w:uiPriority w:val="0"/>
    <w:rPr>
      <w:b/>
      <w:color w:val="000000"/>
    </w:rPr>
  </w:style>
  <w:style w:type="character" w:customStyle="1" w:styleId="111">
    <w:name w:val="WW8Num19z0"/>
    <w:qFormat/>
    <w:uiPriority w:val="0"/>
    <w:rPr>
      <w:rFonts w:ascii="Wingdings" w:hAnsi="Wingdings"/>
    </w:rPr>
  </w:style>
  <w:style w:type="character" w:customStyle="1" w:styleId="112">
    <w:name w:val="WW-Absatz-Standardschriftart1"/>
    <w:qFormat/>
    <w:uiPriority w:val="0"/>
  </w:style>
  <w:style w:type="character" w:customStyle="1" w:styleId="113">
    <w:name w:val="WW8Num12z6"/>
    <w:qFormat/>
    <w:uiPriority w:val="0"/>
    <w:rPr>
      <w:rFonts w:ascii="Times New Roman" w:hAnsi="Times New Roman"/>
    </w:rPr>
  </w:style>
  <w:style w:type="character" w:customStyle="1" w:styleId="114">
    <w:name w:val="jk"/>
    <w:qFormat/>
    <w:uiPriority w:val="0"/>
  </w:style>
  <w:style w:type="character" w:customStyle="1" w:styleId="115">
    <w:name w:val="featurehead Char"/>
    <w:qFormat/>
    <w:uiPriority w:val="0"/>
    <w:rPr>
      <w:rFonts w:eastAsia="宋体"/>
      <w:b/>
      <w:bCs/>
      <w:kern w:val="44"/>
      <w:sz w:val="44"/>
      <w:szCs w:val="44"/>
      <w:lang w:val="en-US" w:eastAsia="zh-CN" w:bidi="ar-SA"/>
    </w:rPr>
  </w:style>
  <w:style w:type="character" w:customStyle="1" w:styleId="116">
    <w:name w:val="纯文本 Char"/>
    <w:link w:val="26"/>
    <w:qFormat/>
    <w:uiPriority w:val="0"/>
    <w:rPr>
      <w:rFonts w:ascii="宋体" w:hAnsi="Courier New" w:eastAsia="宋体" w:cs="Courier New"/>
      <w:szCs w:val="21"/>
    </w:rPr>
  </w:style>
  <w:style w:type="character" w:customStyle="1" w:styleId="117">
    <w:name w:val="页脚 Char1"/>
    <w:semiHidden/>
    <w:qFormat/>
    <w:uiPriority w:val="99"/>
    <w:rPr>
      <w:rFonts w:ascii="Times New Roman" w:hAnsi="Times New Roman"/>
      <w:kern w:val="2"/>
      <w:sz w:val="18"/>
      <w:szCs w:val="18"/>
    </w:rPr>
  </w:style>
  <w:style w:type="character" w:customStyle="1" w:styleId="118">
    <w:name w:val="WW8Num2z3"/>
    <w:qFormat/>
    <w:uiPriority w:val="0"/>
    <w:rPr>
      <w:rFonts w:ascii="Arial" w:hAnsi="Arial"/>
      <w:color w:val="auto"/>
      <w:position w:val="0"/>
      <w:sz w:val="21"/>
      <w:vertAlign w:val="baseline"/>
    </w:rPr>
  </w:style>
  <w:style w:type="character" w:customStyle="1" w:styleId="119">
    <w:name w:val="WW8Num27z0"/>
    <w:qFormat/>
    <w:uiPriority w:val="0"/>
    <w:rPr>
      <w:b/>
    </w:rPr>
  </w:style>
  <w:style w:type="character" w:customStyle="1" w:styleId="120">
    <w:name w:val="Absatz-Standardschriftart"/>
    <w:qFormat/>
    <w:uiPriority w:val="0"/>
  </w:style>
  <w:style w:type="character" w:customStyle="1" w:styleId="121">
    <w:name w:val="WW8Num2z1"/>
    <w:qFormat/>
    <w:uiPriority w:val="0"/>
    <w:rPr>
      <w:rFonts w:ascii="Arial" w:hAnsi="Arial"/>
      <w:color w:val="000000"/>
      <w:position w:val="0"/>
      <w:sz w:val="30"/>
      <w:vertAlign w:val="baseline"/>
    </w:rPr>
  </w:style>
  <w:style w:type="character" w:customStyle="1" w:styleId="122">
    <w:name w:val="WW8Num16z1"/>
    <w:qFormat/>
    <w:uiPriority w:val="0"/>
    <w:rPr>
      <w:rFonts w:ascii="Wingdings" w:hAnsi="Wingdings"/>
    </w:rPr>
  </w:style>
  <w:style w:type="character" w:customStyle="1" w:styleId="123">
    <w:name w:val="WW8Num1z0"/>
    <w:qFormat/>
    <w:uiPriority w:val="0"/>
    <w:rPr>
      <w:rFonts w:ascii="Arial" w:hAnsi="Arial"/>
      <w:b/>
      <w:color w:val="000000"/>
      <w:position w:val="0"/>
      <w:sz w:val="36"/>
      <w:vertAlign w:val="baseline"/>
    </w:rPr>
  </w:style>
  <w:style w:type="character" w:customStyle="1" w:styleId="124">
    <w:name w:val="WW8Num1z2"/>
    <w:qFormat/>
    <w:uiPriority w:val="0"/>
    <w:rPr>
      <w:b/>
      <w:sz w:val="28"/>
    </w:rPr>
  </w:style>
  <w:style w:type="character" w:customStyle="1" w:styleId="125">
    <w:name w:val="WW8Num22z1"/>
    <w:qFormat/>
    <w:uiPriority w:val="0"/>
    <w:rPr>
      <w:rFonts w:ascii="Wingdings" w:hAnsi="Wingdings"/>
    </w:rPr>
  </w:style>
  <w:style w:type="character" w:customStyle="1" w:styleId="126">
    <w:name w:val="段 Char"/>
    <w:link w:val="127"/>
    <w:qFormat/>
    <w:locked/>
    <w:uiPriority w:val="0"/>
    <w:rPr>
      <w:rFonts w:ascii="宋体" w:hAnsi="Times New Roman"/>
    </w:rPr>
  </w:style>
  <w:style w:type="paragraph" w:customStyle="1" w:styleId="127">
    <w:name w:val="段"/>
    <w:link w:val="126"/>
    <w:qFormat/>
    <w:uiPriority w:val="0"/>
    <w:pPr>
      <w:autoSpaceDE w:val="0"/>
      <w:autoSpaceDN w:val="0"/>
      <w:ind w:firstLine="200" w:firstLineChars="200"/>
      <w:jc w:val="both"/>
    </w:pPr>
    <w:rPr>
      <w:rFonts w:ascii="宋体" w:hAnsi="Times New Roman" w:eastAsiaTheme="minorEastAsia" w:cstheme="minorBidi"/>
      <w:kern w:val="2"/>
      <w:sz w:val="21"/>
      <w:szCs w:val="22"/>
      <w:lang w:val="en-US" w:eastAsia="zh-CN" w:bidi="ar-SA"/>
    </w:rPr>
  </w:style>
  <w:style w:type="character" w:customStyle="1" w:styleId="128">
    <w:name w:val="标题 Char"/>
    <w:link w:val="45"/>
    <w:qFormat/>
    <w:uiPriority w:val="0"/>
    <w:rPr>
      <w:rFonts w:ascii="Cambria" w:hAnsi="Cambria" w:eastAsia="方正小标宋简体" w:cs="Times New Roman"/>
      <w:b/>
      <w:bCs/>
      <w:sz w:val="44"/>
      <w:szCs w:val="32"/>
    </w:rPr>
  </w:style>
  <w:style w:type="character" w:customStyle="1" w:styleId="129">
    <w:name w:val="WW8Num18z0"/>
    <w:qFormat/>
    <w:uiPriority w:val="0"/>
    <w:rPr>
      <w:b/>
    </w:rPr>
  </w:style>
  <w:style w:type="character" w:customStyle="1" w:styleId="130">
    <w:name w:val="font131"/>
    <w:qFormat/>
    <w:uiPriority w:val="0"/>
    <w:rPr>
      <w:sz w:val="20"/>
      <w:szCs w:val="20"/>
    </w:rPr>
  </w:style>
  <w:style w:type="character" w:customStyle="1" w:styleId="131">
    <w:name w:val="正文文本 3 Char"/>
    <w:link w:val="20"/>
    <w:qFormat/>
    <w:uiPriority w:val="0"/>
    <w:rPr>
      <w:rFonts w:ascii="黑体" w:hAnsi="Arial" w:eastAsia="黑体" w:cs="Times New Roman"/>
      <w:b/>
      <w:sz w:val="28"/>
      <w:szCs w:val="20"/>
    </w:rPr>
  </w:style>
  <w:style w:type="character" w:customStyle="1" w:styleId="132">
    <w:name w:val="WW8Num1z3"/>
    <w:qFormat/>
    <w:uiPriority w:val="0"/>
    <w:rPr>
      <w:rFonts w:ascii="Arial" w:hAnsi="Arial"/>
      <w:color w:val="auto"/>
      <w:position w:val="0"/>
      <w:sz w:val="21"/>
      <w:vertAlign w:val="baseline"/>
    </w:rPr>
  </w:style>
  <w:style w:type="character" w:customStyle="1" w:styleId="133">
    <w:name w:val="副标题 Char"/>
    <w:link w:val="35"/>
    <w:qFormat/>
    <w:uiPriority w:val="0"/>
    <w:rPr>
      <w:rFonts w:ascii="Cambria" w:hAnsi="Cambria" w:eastAsia="方正楷体简体" w:cs="Times New Roman"/>
      <w:bCs/>
      <w:kern w:val="28"/>
      <w:szCs w:val="32"/>
    </w:rPr>
  </w:style>
  <w:style w:type="character" w:customStyle="1" w:styleId="134">
    <w:name w:val="ca-6"/>
    <w:basedOn w:val="50"/>
    <w:qFormat/>
    <w:uiPriority w:val="0"/>
  </w:style>
  <w:style w:type="character" w:customStyle="1" w:styleId="135">
    <w:name w:val="Char Char4"/>
    <w:qFormat/>
    <w:uiPriority w:val="0"/>
    <w:rPr>
      <w:rFonts w:eastAsia="宋体"/>
      <w:b/>
      <w:bCs/>
      <w:kern w:val="44"/>
      <w:sz w:val="44"/>
      <w:szCs w:val="44"/>
      <w:lang w:val="en-US" w:eastAsia="zh-CN" w:bidi="ar-SA"/>
    </w:rPr>
  </w:style>
  <w:style w:type="character" w:customStyle="1" w:styleId="136">
    <w:name w:val="WW-Absatz-Standardschriftart"/>
    <w:qFormat/>
    <w:uiPriority w:val="0"/>
  </w:style>
  <w:style w:type="character" w:customStyle="1" w:styleId="137">
    <w:name w:val="apple-style-span"/>
    <w:basedOn w:val="50"/>
    <w:qFormat/>
    <w:uiPriority w:val="0"/>
  </w:style>
  <w:style w:type="character" w:customStyle="1" w:styleId="138">
    <w:name w:val="正文文本缩进 2 Char"/>
    <w:link w:val="29"/>
    <w:qFormat/>
    <w:uiPriority w:val="0"/>
    <w:rPr>
      <w:rFonts w:ascii="Times New Roman" w:hAnsi="Times New Roman" w:eastAsia="宋体" w:cs="Times New Roman"/>
      <w:szCs w:val="24"/>
    </w:rPr>
  </w:style>
  <w:style w:type="character" w:customStyle="1" w:styleId="139">
    <w:name w:val="h4 Char"/>
    <w:qFormat/>
    <w:uiPriority w:val="0"/>
    <w:rPr>
      <w:rFonts w:ascii="Arial" w:hAnsi="Arial" w:eastAsia="黑体" w:cs="Arial"/>
      <w:b/>
      <w:bCs/>
      <w:sz w:val="28"/>
      <w:szCs w:val="28"/>
      <w:lang w:val="en-US" w:eastAsia="zh-CN" w:bidi="ar-SA"/>
    </w:rPr>
  </w:style>
  <w:style w:type="character" w:customStyle="1" w:styleId="140">
    <w:name w:val="正文文本缩进 3 Char"/>
    <w:link w:val="38"/>
    <w:qFormat/>
    <w:uiPriority w:val="0"/>
    <w:rPr>
      <w:rFonts w:ascii="Times New Roman" w:hAnsi="Times New Roman" w:eastAsia="宋体" w:cs="Times New Roman"/>
      <w:sz w:val="16"/>
      <w:szCs w:val="16"/>
    </w:rPr>
  </w:style>
  <w:style w:type="character" w:customStyle="1" w:styleId="141">
    <w:name w:val="WW8Num1z1"/>
    <w:qFormat/>
    <w:uiPriority w:val="0"/>
    <w:rPr>
      <w:b/>
      <w:sz w:val="28"/>
    </w:rPr>
  </w:style>
  <w:style w:type="character" w:customStyle="1" w:styleId="142">
    <w:name w:val="日期 Char"/>
    <w:link w:val="28"/>
    <w:qFormat/>
    <w:uiPriority w:val="0"/>
    <w:rPr>
      <w:rFonts w:ascii="宋体" w:hAnsi="Courier New" w:eastAsia="宋体" w:cs="Courier New"/>
      <w:szCs w:val="21"/>
    </w:rPr>
  </w:style>
  <w:style w:type="character" w:customStyle="1" w:styleId="143">
    <w:name w:val="样式 标题 2第一层条论文标题 1正文二级标题heading 2 + Indent: Left 0.25 inh2h...1 Char Char"/>
    <w:link w:val="144"/>
    <w:qFormat/>
    <w:uiPriority w:val="0"/>
    <w:rPr>
      <w:rFonts w:ascii="新宋体" w:hAnsi="新宋体" w:eastAsia="新宋体" w:cs="宋体"/>
      <w:b/>
      <w:bCs/>
      <w:sz w:val="28"/>
    </w:rPr>
  </w:style>
  <w:style w:type="paragraph" w:customStyle="1" w:styleId="144">
    <w:name w:val="样式 标题 2第一层条论文标题 1正文二级标题heading 2 + Indent: Left 0.25 inh2h...1"/>
    <w:basedOn w:val="3"/>
    <w:link w:val="143"/>
    <w:qFormat/>
    <w:uiPriority w:val="0"/>
    <w:pPr>
      <w:keepNext w:val="0"/>
      <w:keepLines w:val="0"/>
      <w:spacing w:before="0" w:after="156" w:line="360" w:lineRule="auto"/>
    </w:pPr>
    <w:rPr>
      <w:rFonts w:ascii="新宋体" w:hAnsi="新宋体" w:eastAsia="新宋体" w:cs="宋体"/>
      <w:kern w:val="2"/>
      <w:sz w:val="28"/>
      <w:szCs w:val="22"/>
      <w:lang w:val="en-US"/>
    </w:rPr>
  </w:style>
  <w:style w:type="character" w:customStyle="1" w:styleId="145">
    <w:name w:val="fontheight2"/>
    <w:qFormat/>
    <w:uiPriority w:val="0"/>
    <w:rPr>
      <w:sz w:val="20"/>
      <w:szCs w:val="20"/>
      <w:u w:val="none"/>
    </w:rPr>
  </w:style>
  <w:style w:type="character" w:customStyle="1" w:styleId="146">
    <w:name w:val="a14_red_bold1"/>
    <w:qFormat/>
    <w:uiPriority w:val="0"/>
    <w:rPr>
      <w:rFonts w:ascii="Arial" w:hAnsi="Arial" w:cs="Arial"/>
      <w:b/>
      <w:bCs/>
      <w:color w:val="auto"/>
      <w:sz w:val="21"/>
      <w:szCs w:val="21"/>
      <w:u w:val="none"/>
    </w:rPr>
  </w:style>
  <w:style w:type="character" w:customStyle="1" w:styleId="147">
    <w:name w:val="H2 Char"/>
    <w:qFormat/>
    <w:uiPriority w:val="0"/>
    <w:rPr>
      <w:rFonts w:ascii="Arial" w:hAnsi="Arial" w:eastAsia="黑体" w:cs="Arial"/>
      <w:b/>
      <w:bCs/>
      <w:sz w:val="32"/>
      <w:szCs w:val="32"/>
      <w:lang w:val="en-US" w:eastAsia="zh-CN" w:bidi="ar-SA"/>
    </w:rPr>
  </w:style>
  <w:style w:type="character" w:customStyle="1" w:styleId="148">
    <w:name w:val="H3 Char"/>
    <w:qFormat/>
    <w:uiPriority w:val="0"/>
    <w:rPr>
      <w:rFonts w:eastAsia="宋体"/>
      <w:b/>
      <w:bCs/>
      <w:sz w:val="32"/>
      <w:szCs w:val="32"/>
      <w:lang w:val="en-US" w:eastAsia="zh-CN" w:bidi="ar-SA"/>
    </w:rPr>
  </w:style>
  <w:style w:type="character" w:customStyle="1" w:styleId="149">
    <w:name w:val="WW8Num31z2"/>
    <w:qFormat/>
    <w:uiPriority w:val="0"/>
    <w:rPr>
      <w:b/>
    </w:rPr>
  </w:style>
  <w:style w:type="character" w:customStyle="1" w:styleId="150">
    <w:name w:val="faq"/>
    <w:basedOn w:val="50"/>
    <w:qFormat/>
    <w:uiPriority w:val="0"/>
  </w:style>
  <w:style w:type="character" w:customStyle="1" w:styleId="151">
    <w:name w:val="WW8Num17z0"/>
    <w:qFormat/>
    <w:uiPriority w:val="0"/>
    <w:rPr>
      <w:rFonts w:ascii="Wingdings" w:hAnsi="Wingdings"/>
    </w:rPr>
  </w:style>
  <w:style w:type="character" w:customStyle="1" w:styleId="152">
    <w:name w:val="WW8Num2z0"/>
    <w:qFormat/>
    <w:uiPriority w:val="0"/>
    <w:rPr>
      <w:rFonts w:ascii="Arial" w:hAnsi="Arial"/>
      <w:b/>
      <w:color w:val="000000"/>
      <w:position w:val="0"/>
      <w:sz w:val="36"/>
      <w:vertAlign w:val="baseline"/>
    </w:rPr>
  </w:style>
  <w:style w:type="character" w:customStyle="1" w:styleId="153">
    <w:name w:val="WW8Num13z0"/>
    <w:qFormat/>
    <w:uiPriority w:val="0"/>
    <w:rPr>
      <w:rFonts w:ascii="Wingdings" w:hAnsi="Wingdings"/>
    </w:rPr>
  </w:style>
  <w:style w:type="character" w:customStyle="1" w:styleId="154">
    <w:name w:val="ca-3"/>
    <w:basedOn w:val="50"/>
    <w:qFormat/>
    <w:uiPriority w:val="0"/>
  </w:style>
  <w:style w:type="character" w:customStyle="1" w:styleId="155">
    <w:name w:val="批注文字 Char"/>
    <w:basedOn w:val="50"/>
    <w:link w:val="18"/>
    <w:qFormat/>
    <w:uiPriority w:val="99"/>
    <w:rPr>
      <w:rFonts w:ascii="Times New Roman" w:hAnsi="Times New Roman" w:eastAsia="宋体" w:cs="Times New Roman"/>
      <w:sz w:val="28"/>
      <w:szCs w:val="20"/>
    </w:rPr>
  </w:style>
  <w:style w:type="character" w:customStyle="1" w:styleId="156">
    <w:name w:val="批注主题 Char"/>
    <w:basedOn w:val="155"/>
    <w:link w:val="46"/>
    <w:qFormat/>
    <w:uiPriority w:val="0"/>
    <w:rPr>
      <w:rFonts w:ascii="宋体" w:hAnsi="宋体" w:eastAsia="宋体" w:cs="Times New Roman"/>
      <w:b/>
      <w:kern w:val="21"/>
      <w:sz w:val="28"/>
      <w:szCs w:val="20"/>
      <w:lang w:eastAsia="ar-SA"/>
    </w:rPr>
  </w:style>
  <w:style w:type="character" w:customStyle="1" w:styleId="157">
    <w:name w:val="正文文本 Char2"/>
    <w:basedOn w:val="50"/>
    <w:link w:val="21"/>
    <w:semiHidden/>
    <w:qFormat/>
    <w:uiPriority w:val="99"/>
    <w:rPr>
      <w:rFonts w:ascii="Times New Roman" w:hAnsi="Times New Roman" w:eastAsia="宋体" w:cs="Times New Roman"/>
      <w:sz w:val="28"/>
      <w:szCs w:val="20"/>
    </w:rPr>
  </w:style>
  <w:style w:type="character" w:customStyle="1" w:styleId="158">
    <w:name w:val="正文首行缩进 Char1"/>
    <w:basedOn w:val="157"/>
    <w:semiHidden/>
    <w:qFormat/>
    <w:uiPriority w:val="99"/>
    <w:rPr>
      <w:rFonts w:ascii="Times New Roman" w:hAnsi="Times New Roman" w:eastAsia="宋体" w:cs="Times New Roman"/>
      <w:sz w:val="28"/>
      <w:szCs w:val="20"/>
    </w:rPr>
  </w:style>
  <w:style w:type="paragraph" w:customStyle="1" w:styleId="159">
    <w:name w:val="我的正文"/>
    <w:basedOn w:val="1"/>
    <w:qFormat/>
    <w:uiPriority w:val="0"/>
    <w:pPr>
      <w:ind w:firstLine="200" w:firstLineChars="200"/>
    </w:pPr>
    <w:rPr>
      <w:rFonts w:ascii="宋体" w:hAnsi="宋体"/>
      <w:sz w:val="24"/>
    </w:rPr>
  </w:style>
  <w:style w:type="paragraph" w:customStyle="1" w:styleId="160">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rPr>
  </w:style>
  <w:style w:type="paragraph" w:customStyle="1" w:styleId="161">
    <w:name w:val="font7"/>
    <w:basedOn w:val="1"/>
    <w:qFormat/>
    <w:uiPriority w:val="0"/>
    <w:pPr>
      <w:widowControl/>
      <w:spacing w:before="100" w:beforeAutospacing="1" w:after="100" w:afterAutospacing="1"/>
      <w:jc w:val="left"/>
    </w:pPr>
    <w:rPr>
      <w:rFonts w:ascii="楷体_GB2312" w:hAnsi="宋体" w:eastAsia="楷体_GB2312" w:cs="楷体_GB2312"/>
      <w:b/>
      <w:bCs/>
      <w:kern w:val="0"/>
      <w:sz w:val="22"/>
      <w:szCs w:val="22"/>
    </w:rPr>
  </w:style>
  <w:style w:type="paragraph" w:customStyle="1" w:styleId="162">
    <w:name w:val="Table Description"/>
    <w:basedOn w:val="1"/>
    <w:qFormat/>
    <w:uiPriority w:val="0"/>
    <w:pPr>
      <w:suppressAutoHyphens/>
    </w:pPr>
    <w:rPr>
      <w:rFonts w:ascii="宋体" w:hAnsi="宋体"/>
      <w:kern w:val="1"/>
      <w:lang w:eastAsia="ar-SA"/>
    </w:rPr>
  </w:style>
  <w:style w:type="paragraph" w:customStyle="1" w:styleId="163">
    <w:name w:val="列出段落2"/>
    <w:basedOn w:val="1"/>
    <w:qFormat/>
    <w:uiPriority w:val="99"/>
    <w:pPr>
      <w:ind w:firstLine="420" w:firstLineChars="200"/>
    </w:pPr>
    <w:rPr>
      <w:rFonts w:ascii="Calibri" w:hAnsi="Calibri"/>
      <w:sz w:val="21"/>
      <w:szCs w:val="22"/>
    </w:rPr>
  </w:style>
  <w:style w:type="paragraph" w:customStyle="1" w:styleId="164">
    <w:name w:val="CSS1级正文"/>
    <w:basedOn w:val="21"/>
    <w:qFormat/>
    <w:uiPriority w:val="0"/>
    <w:pPr>
      <w:adjustRightInd w:val="0"/>
      <w:snapToGrid w:val="0"/>
      <w:spacing w:after="0" w:line="360" w:lineRule="auto"/>
      <w:ind w:firstLine="480" w:firstLineChars="200"/>
    </w:pPr>
    <w:rPr>
      <w:rFonts w:ascii="黑体" w:hAnsi="Courier New"/>
      <w:kern w:val="0"/>
      <w:sz w:val="24"/>
      <w:shd w:val="pct10" w:color="auto" w:fill="FFFFFF"/>
      <w:lang w:val="zh-CN"/>
    </w:rPr>
  </w:style>
  <w:style w:type="character" w:customStyle="1" w:styleId="165">
    <w:name w:val="副标题 Char1"/>
    <w:basedOn w:val="50"/>
    <w:qFormat/>
    <w:uiPriority w:val="11"/>
    <w:rPr>
      <w:rFonts w:eastAsia="宋体" w:asciiTheme="majorHAnsi" w:hAnsiTheme="majorHAnsi" w:cstheme="majorBidi"/>
      <w:b/>
      <w:bCs/>
      <w:kern w:val="28"/>
      <w:sz w:val="32"/>
      <w:szCs w:val="32"/>
    </w:rPr>
  </w:style>
  <w:style w:type="character" w:customStyle="1" w:styleId="166">
    <w:name w:val="纯文本 Char1"/>
    <w:basedOn w:val="50"/>
    <w:semiHidden/>
    <w:qFormat/>
    <w:uiPriority w:val="99"/>
    <w:rPr>
      <w:rFonts w:ascii="宋体" w:hAnsi="Courier New" w:eastAsia="宋体" w:cs="Courier New"/>
      <w:szCs w:val="21"/>
    </w:rPr>
  </w:style>
  <w:style w:type="character" w:customStyle="1" w:styleId="167">
    <w:name w:val="文档结构图 Char"/>
    <w:basedOn w:val="50"/>
    <w:link w:val="16"/>
    <w:qFormat/>
    <w:uiPriority w:val="0"/>
    <w:rPr>
      <w:rFonts w:ascii="宋体" w:hAnsi="宋体" w:eastAsia="宋体" w:cs="Times New Roman"/>
      <w:kern w:val="21"/>
      <w:sz w:val="28"/>
      <w:szCs w:val="20"/>
      <w:shd w:val="clear" w:color="auto" w:fill="000080"/>
      <w:lang w:eastAsia="ar-SA"/>
    </w:rPr>
  </w:style>
  <w:style w:type="character" w:customStyle="1" w:styleId="168">
    <w:name w:val="正文文本缩进 Char1"/>
    <w:basedOn w:val="50"/>
    <w:semiHidden/>
    <w:qFormat/>
    <w:uiPriority w:val="99"/>
    <w:rPr>
      <w:rFonts w:ascii="Times New Roman" w:hAnsi="Times New Roman" w:eastAsia="宋体" w:cs="Times New Roman"/>
      <w:sz w:val="28"/>
      <w:szCs w:val="20"/>
    </w:rPr>
  </w:style>
  <w:style w:type="character" w:customStyle="1" w:styleId="169">
    <w:name w:val="正文文本缩进 3 Char1"/>
    <w:basedOn w:val="50"/>
    <w:semiHidden/>
    <w:qFormat/>
    <w:uiPriority w:val="99"/>
    <w:rPr>
      <w:rFonts w:ascii="Times New Roman" w:hAnsi="Times New Roman" w:eastAsia="宋体" w:cs="Times New Roman"/>
      <w:sz w:val="16"/>
      <w:szCs w:val="16"/>
    </w:rPr>
  </w:style>
  <w:style w:type="character" w:customStyle="1" w:styleId="170">
    <w:name w:val="正文文本 3 Char1"/>
    <w:basedOn w:val="50"/>
    <w:qFormat/>
    <w:uiPriority w:val="0"/>
    <w:rPr>
      <w:rFonts w:ascii="Times New Roman" w:hAnsi="Times New Roman" w:eastAsia="宋体" w:cs="Times New Roman"/>
      <w:sz w:val="16"/>
      <w:szCs w:val="16"/>
    </w:rPr>
  </w:style>
  <w:style w:type="character" w:customStyle="1" w:styleId="171">
    <w:name w:val="批注框文本 Char1"/>
    <w:basedOn w:val="50"/>
    <w:semiHidden/>
    <w:qFormat/>
    <w:uiPriority w:val="99"/>
    <w:rPr>
      <w:rFonts w:ascii="Times New Roman" w:hAnsi="Times New Roman" w:eastAsia="宋体" w:cs="Times New Roman"/>
      <w:sz w:val="18"/>
      <w:szCs w:val="18"/>
    </w:rPr>
  </w:style>
  <w:style w:type="character" w:customStyle="1" w:styleId="172">
    <w:name w:val="日期 Char1"/>
    <w:basedOn w:val="50"/>
    <w:semiHidden/>
    <w:qFormat/>
    <w:uiPriority w:val="99"/>
    <w:rPr>
      <w:rFonts w:ascii="Times New Roman" w:hAnsi="Times New Roman" w:eastAsia="宋体" w:cs="Times New Roman"/>
      <w:sz w:val="28"/>
      <w:szCs w:val="20"/>
    </w:rPr>
  </w:style>
  <w:style w:type="character" w:customStyle="1" w:styleId="173">
    <w:name w:val="正文文本缩进 2 Char1"/>
    <w:basedOn w:val="50"/>
    <w:semiHidden/>
    <w:qFormat/>
    <w:uiPriority w:val="99"/>
    <w:rPr>
      <w:rFonts w:ascii="Times New Roman" w:hAnsi="Times New Roman" w:eastAsia="宋体" w:cs="Times New Roman"/>
      <w:sz w:val="28"/>
      <w:szCs w:val="20"/>
    </w:rPr>
  </w:style>
  <w:style w:type="character" w:customStyle="1" w:styleId="174">
    <w:name w:val="HTML 预设格式 Char"/>
    <w:basedOn w:val="50"/>
    <w:link w:val="42"/>
    <w:qFormat/>
    <w:uiPriority w:val="0"/>
    <w:rPr>
      <w:rFonts w:ascii="Arial" w:hAnsi="Arial" w:eastAsia="宋体" w:cs="Arial"/>
      <w:kern w:val="0"/>
      <w:sz w:val="24"/>
      <w:szCs w:val="20"/>
    </w:rPr>
  </w:style>
  <w:style w:type="paragraph" w:customStyle="1" w:styleId="175">
    <w:name w:val="文档正文"/>
    <w:basedOn w:val="1"/>
    <w:qFormat/>
    <w:uiPriority w:val="0"/>
    <w:pPr>
      <w:adjustRightInd w:val="0"/>
      <w:spacing w:line="480" w:lineRule="atLeast"/>
      <w:ind w:firstLine="567"/>
      <w:textAlignment w:val="baseline"/>
    </w:pPr>
    <w:rPr>
      <w:rFonts w:ascii="长城仿宋"/>
      <w:kern w:val="0"/>
      <w:sz w:val="24"/>
    </w:rPr>
  </w:style>
  <w:style w:type="character" w:customStyle="1" w:styleId="176">
    <w:name w:val="标题 Char1"/>
    <w:basedOn w:val="50"/>
    <w:qFormat/>
    <w:uiPriority w:val="10"/>
    <w:rPr>
      <w:rFonts w:eastAsia="宋体" w:asciiTheme="majorHAnsi" w:hAnsiTheme="majorHAnsi" w:cstheme="majorBidi"/>
      <w:b/>
      <w:bCs/>
      <w:sz w:val="32"/>
      <w:szCs w:val="32"/>
    </w:rPr>
  </w:style>
  <w:style w:type="paragraph" w:customStyle="1" w:styleId="177">
    <w:name w:val="table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8">
    <w:name w:val="Char Char Char Char Char Char Char1 Char"/>
    <w:basedOn w:val="1"/>
    <w:qFormat/>
    <w:uiPriority w:val="0"/>
    <w:rPr>
      <w:rFonts w:ascii="Tahoma" w:hAnsi="Tahoma"/>
      <w:sz w:val="24"/>
    </w:rPr>
  </w:style>
  <w:style w:type="paragraph" w:customStyle="1" w:styleId="179">
    <w:name w:val="标签"/>
    <w:basedOn w:val="1"/>
    <w:qFormat/>
    <w:uiPriority w:val="0"/>
    <w:pPr>
      <w:suppressLineNumbers/>
      <w:suppressAutoHyphens/>
      <w:spacing w:before="120" w:after="120"/>
    </w:pPr>
    <w:rPr>
      <w:rFonts w:ascii="宋体" w:hAnsi="宋体"/>
      <w:i/>
      <w:kern w:val="1"/>
      <w:sz w:val="24"/>
      <w:lang w:eastAsia="ar-SA"/>
    </w:rPr>
  </w:style>
  <w:style w:type="paragraph" w:customStyle="1" w:styleId="180">
    <w:name w:val="框内容"/>
    <w:basedOn w:val="21"/>
    <w:qFormat/>
    <w:uiPriority w:val="0"/>
    <w:pPr>
      <w:suppressAutoHyphens/>
    </w:pPr>
    <w:rPr>
      <w:rFonts w:hint="eastAsia" w:ascii="方正大黑简体" w:hAnsi="宋体" w:eastAsia="方正大黑简体"/>
      <w:kern w:val="44"/>
      <w:position w:val="6"/>
      <w:sz w:val="30"/>
      <w:lang w:val="zh-CN"/>
    </w:rPr>
  </w:style>
  <w:style w:type="paragraph" w:customStyle="1" w:styleId="181">
    <w:name w:val="xl27"/>
    <w:basedOn w:val="1"/>
    <w:qFormat/>
    <w:uiPriority w:val="0"/>
    <w:pPr>
      <w:widowControl/>
      <w:spacing w:before="100" w:beforeAutospacing="1" w:after="100" w:afterAutospacing="1"/>
      <w:jc w:val="center"/>
      <w:textAlignment w:val="center"/>
    </w:pPr>
    <w:rPr>
      <w:rFonts w:hint="eastAsia" w:ascii="华文细黑" w:hAnsi="华文细黑" w:eastAsia="华文细黑" w:cs="Arial Unicode MS"/>
      <w:b/>
      <w:bCs/>
      <w:kern w:val="0"/>
      <w:sz w:val="22"/>
      <w:szCs w:val="22"/>
    </w:rPr>
  </w:style>
  <w:style w:type="paragraph" w:customStyle="1" w:styleId="182">
    <w:name w:val="font8"/>
    <w:basedOn w:val="1"/>
    <w:qFormat/>
    <w:uiPriority w:val="0"/>
    <w:pPr>
      <w:widowControl/>
      <w:spacing w:before="100" w:beforeAutospacing="1" w:after="100" w:afterAutospacing="1"/>
      <w:jc w:val="left"/>
    </w:pPr>
    <w:rPr>
      <w:rFonts w:hint="eastAsia" w:ascii="黑体" w:hAnsi="Arial Unicode MS" w:eastAsia="黑体" w:cs="Arial Unicode MS"/>
      <w:kern w:val="0"/>
      <w:sz w:val="22"/>
      <w:szCs w:val="22"/>
    </w:rPr>
  </w:style>
  <w:style w:type="paragraph" w:customStyle="1" w:styleId="183">
    <w:name w:val="p0"/>
    <w:basedOn w:val="1"/>
    <w:qFormat/>
    <w:uiPriority w:val="0"/>
    <w:pPr>
      <w:widowControl/>
    </w:pPr>
    <w:rPr>
      <w:kern w:val="0"/>
      <w:szCs w:val="21"/>
    </w:rPr>
  </w:style>
  <w:style w:type="paragraph" w:customStyle="1" w:styleId="184">
    <w:name w:val="Figure Description"/>
    <w:basedOn w:val="1"/>
    <w:qFormat/>
    <w:uiPriority w:val="0"/>
    <w:pPr>
      <w:suppressAutoHyphens/>
    </w:pPr>
    <w:rPr>
      <w:rFonts w:ascii="宋体" w:hAnsi="宋体"/>
      <w:kern w:val="1"/>
      <w:lang w:eastAsia="ar-SA"/>
    </w:rPr>
  </w:style>
  <w:style w:type="paragraph" w:customStyle="1" w:styleId="185">
    <w:name w:val="Char Char Char"/>
    <w:basedOn w:val="1"/>
    <w:qFormat/>
    <w:uiPriority w:val="0"/>
    <w:pPr>
      <w:widowControl/>
      <w:suppressAutoHyphens/>
      <w:spacing w:after="160" w:line="240" w:lineRule="exact"/>
      <w:jc w:val="left"/>
    </w:pPr>
    <w:rPr>
      <w:rFonts w:ascii="Verdana" w:hAnsi="Verdana"/>
      <w:kern w:val="1"/>
      <w:sz w:val="20"/>
      <w:lang w:eastAsia="ar-SA"/>
    </w:rPr>
  </w:style>
  <w:style w:type="paragraph" w:customStyle="1" w:styleId="186">
    <w:name w:val="Char Char Char Char Char Char Char"/>
    <w:basedOn w:val="1"/>
    <w:qFormat/>
    <w:uiPriority w:val="0"/>
    <w:pPr>
      <w:tabs>
        <w:tab w:val="left" w:pos="840"/>
      </w:tabs>
      <w:ind w:left="840" w:hanging="420"/>
    </w:pPr>
    <w:rPr>
      <w:sz w:val="24"/>
      <w:szCs w:val="24"/>
    </w:rPr>
  </w:style>
  <w:style w:type="paragraph" w:customStyle="1" w:styleId="187">
    <w:name w:val="xl65"/>
    <w:basedOn w:val="1"/>
    <w:qFormat/>
    <w:uiPriority w:val="0"/>
    <w:pPr>
      <w:widowControl/>
      <w:spacing w:before="100" w:beforeAutospacing="1" w:after="100" w:afterAutospacing="1"/>
      <w:jc w:val="center"/>
    </w:pPr>
    <w:rPr>
      <w:rFonts w:ascii="宋体" w:hAnsi="宋体" w:cs="宋体"/>
      <w:color w:val="000000"/>
      <w:kern w:val="0"/>
      <w:sz w:val="20"/>
    </w:rPr>
  </w:style>
  <w:style w:type="paragraph" w:customStyle="1" w:styleId="188">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189">
    <w:name w:val="pa-2"/>
    <w:basedOn w:val="1"/>
    <w:qFormat/>
    <w:uiPriority w:val="0"/>
    <w:pPr>
      <w:widowControl/>
      <w:spacing w:line="360" w:lineRule="atLeast"/>
      <w:ind w:firstLine="480"/>
    </w:pPr>
    <w:rPr>
      <w:rFonts w:ascii="宋体" w:hAnsi="宋体" w:cs="宋体"/>
      <w:kern w:val="0"/>
      <w:sz w:val="24"/>
      <w:szCs w:val="24"/>
    </w:rPr>
  </w:style>
  <w:style w:type="paragraph" w:customStyle="1" w:styleId="190">
    <w:name w:val="三级条标题"/>
    <w:basedOn w:val="191"/>
    <w:next w:val="1"/>
    <w:qFormat/>
    <w:uiPriority w:val="0"/>
    <w:pPr>
      <w:tabs>
        <w:tab w:val="left" w:pos="360"/>
      </w:tabs>
      <w:outlineLvl w:val="4"/>
    </w:pPr>
  </w:style>
  <w:style w:type="paragraph" w:customStyle="1" w:styleId="191">
    <w:name w:val="二级条标题"/>
    <w:basedOn w:val="1"/>
    <w:next w:val="1"/>
    <w:qFormat/>
    <w:uiPriority w:val="0"/>
    <w:pPr>
      <w:widowControl/>
      <w:jc w:val="left"/>
      <w:outlineLvl w:val="3"/>
    </w:pPr>
    <w:rPr>
      <w:rFonts w:eastAsia="黑体"/>
      <w:kern w:val="0"/>
    </w:rPr>
  </w:style>
  <w:style w:type="paragraph" w:customStyle="1" w:styleId="192">
    <w:name w:val="样式1"/>
    <w:basedOn w:val="1"/>
    <w:qFormat/>
    <w:uiPriority w:val="0"/>
    <w:pPr>
      <w:tabs>
        <w:tab w:val="left" w:pos="1674"/>
      </w:tabs>
      <w:adjustRightInd w:val="0"/>
      <w:ind w:left="1674" w:hanging="1125"/>
      <w:textAlignment w:val="baseline"/>
    </w:pPr>
    <w:rPr>
      <w:rFonts w:ascii="宋体" w:hAnsi="宋体"/>
      <w:kern w:val="0"/>
      <w:szCs w:val="21"/>
    </w:rPr>
  </w:style>
  <w:style w:type="paragraph" w:customStyle="1" w:styleId="193">
    <w:name w:val="List1"/>
    <w:basedOn w:val="1"/>
    <w:qFormat/>
    <w:uiPriority w:val="0"/>
    <w:pPr>
      <w:widowControl/>
      <w:tabs>
        <w:tab w:val="left" w:pos="1145"/>
      </w:tabs>
      <w:spacing w:after="120" w:line="360" w:lineRule="auto"/>
      <w:ind w:left="425"/>
    </w:pPr>
    <w:rPr>
      <w:rFonts w:hint="eastAsia" w:ascii="楷体_GB2312" w:eastAsia="楷体_GB2312"/>
      <w:kern w:val="0"/>
      <w:sz w:val="24"/>
      <w:szCs w:val="24"/>
    </w:rPr>
  </w:style>
  <w:style w:type="paragraph" w:customStyle="1" w:styleId="194">
    <w:name w:val="xl26"/>
    <w:basedOn w:val="1"/>
    <w:qFormat/>
    <w:uiPriority w:val="0"/>
    <w:pPr>
      <w:widowControl/>
      <w:spacing w:before="100" w:beforeAutospacing="1" w:after="100" w:afterAutospacing="1"/>
      <w:jc w:val="left"/>
    </w:pPr>
    <w:rPr>
      <w:rFonts w:ascii="楷体_GB2312" w:hAnsi="宋体" w:eastAsia="楷体_GB2312" w:cs="楷体_GB2312"/>
      <w:b/>
      <w:bCs/>
      <w:kern w:val="0"/>
      <w:sz w:val="24"/>
      <w:szCs w:val="24"/>
    </w:rPr>
  </w:style>
  <w:style w:type="paragraph" w:customStyle="1" w:styleId="195">
    <w:name w:val="样式 加粗 居中"/>
    <w:basedOn w:val="1"/>
    <w:qFormat/>
    <w:uiPriority w:val="0"/>
    <w:pPr>
      <w:spacing w:beforeLines="50" w:line="360" w:lineRule="auto"/>
      <w:ind w:right="210" w:rightChars="100"/>
      <w:jc w:val="center"/>
    </w:pPr>
    <w:rPr>
      <w:rFonts w:ascii="宋体" w:hAnsi="宋体" w:cs="宋体"/>
      <w:b/>
      <w:bCs/>
      <w:kern w:val="0"/>
      <w:sz w:val="24"/>
      <w:szCs w:val="24"/>
    </w:rPr>
  </w:style>
  <w:style w:type="paragraph" w:customStyle="1" w:styleId="196">
    <w:name w:val="首行缩进"/>
    <w:basedOn w:val="1"/>
    <w:qFormat/>
    <w:uiPriority w:val="0"/>
    <w:pPr>
      <w:autoSpaceDE w:val="0"/>
      <w:autoSpaceDN w:val="0"/>
      <w:adjustRightInd w:val="0"/>
      <w:spacing w:line="360" w:lineRule="auto"/>
      <w:ind w:firstLine="480" w:firstLineChars="200"/>
      <w:jc w:val="left"/>
    </w:pPr>
    <w:rPr>
      <w:sz w:val="24"/>
      <w:szCs w:val="21"/>
    </w:rPr>
  </w:style>
  <w:style w:type="paragraph" w:customStyle="1" w:styleId="197">
    <w:name w:val="二级无"/>
    <w:basedOn w:val="191"/>
    <w:qFormat/>
    <w:uiPriority w:val="0"/>
    <w:pPr>
      <w:spacing w:before="50" w:after="50"/>
    </w:pPr>
    <w:rPr>
      <w:rFonts w:ascii="宋体" w:eastAsia="宋体"/>
      <w:sz w:val="21"/>
      <w:szCs w:val="21"/>
    </w:rPr>
  </w:style>
  <w:style w:type="paragraph" w:customStyle="1" w:styleId="198">
    <w:name w:val="TOC 标题1"/>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99">
    <w:name w:val="列出段落1"/>
    <w:basedOn w:val="1"/>
    <w:qFormat/>
    <w:uiPriority w:val="34"/>
    <w:pPr>
      <w:ind w:firstLine="420" w:firstLineChars="200"/>
    </w:pPr>
    <w:rPr>
      <w:rFonts w:ascii="Calibri" w:hAnsi="Calibri"/>
      <w:szCs w:val="22"/>
    </w:rPr>
  </w:style>
  <w:style w:type="paragraph" w:customStyle="1" w:styleId="200">
    <w:name w:val="内容目录 10"/>
    <w:basedOn w:val="12"/>
    <w:qFormat/>
    <w:uiPriority w:val="0"/>
    <w:pPr>
      <w:tabs>
        <w:tab w:val="right" w:leader="dot" w:pos="9637"/>
      </w:tabs>
      <w:ind w:left="2547"/>
    </w:pPr>
  </w:style>
  <w:style w:type="paragraph" w:customStyle="1" w:styleId="201">
    <w:name w:val="前言、引言标题"/>
    <w:next w:val="1"/>
    <w:qFormat/>
    <w:uiPriority w:val="0"/>
    <w:pPr>
      <w:shd w:val="clear" w:color="auto"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02">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03">
    <w:name w:val="默认段落字体 Para Char"/>
    <w:basedOn w:val="1"/>
    <w:qFormat/>
    <w:uiPriority w:val="0"/>
    <w:rPr>
      <w:szCs w:val="21"/>
    </w:rPr>
  </w:style>
  <w:style w:type="paragraph" w:customStyle="1" w:styleId="204">
    <w:name w:val="正文内容"/>
    <w:basedOn w:val="1"/>
    <w:qFormat/>
    <w:uiPriority w:val="0"/>
    <w:pPr>
      <w:suppressAutoHyphens/>
    </w:pPr>
    <w:rPr>
      <w:rFonts w:ascii="Arial" w:hAnsi="Arial"/>
      <w:spacing w:val="-12"/>
      <w:kern w:val="21"/>
      <w:lang w:eastAsia="ar-SA"/>
    </w:rPr>
  </w:style>
  <w:style w:type="paragraph" w:customStyle="1" w:styleId="205">
    <w:name w:val="表格标题"/>
    <w:basedOn w:val="206"/>
    <w:qFormat/>
    <w:uiPriority w:val="0"/>
    <w:pPr>
      <w:jc w:val="center"/>
    </w:pPr>
    <w:rPr>
      <w:b/>
    </w:rPr>
  </w:style>
  <w:style w:type="paragraph" w:customStyle="1" w:styleId="206">
    <w:name w:val="表格内容"/>
    <w:basedOn w:val="1"/>
    <w:qFormat/>
    <w:uiPriority w:val="0"/>
    <w:pPr>
      <w:suppressLineNumbers/>
      <w:suppressAutoHyphens/>
    </w:pPr>
    <w:rPr>
      <w:rFonts w:ascii="宋体" w:hAnsi="宋体"/>
      <w:kern w:val="1"/>
      <w:lang w:eastAsia="ar-SA"/>
    </w:rPr>
  </w:style>
  <w:style w:type="paragraph" w:customStyle="1" w:styleId="207">
    <w:name w:val="Char1 Char Char Char Char Char Char"/>
    <w:basedOn w:val="1"/>
    <w:qFormat/>
    <w:uiPriority w:val="0"/>
    <w:rPr>
      <w:rFonts w:ascii="Tahoma" w:hAnsi="Tahoma"/>
      <w:sz w:val="24"/>
    </w:rPr>
  </w:style>
  <w:style w:type="paragraph" w:customStyle="1" w:styleId="208">
    <w:name w:val="批注框文本 Char Char"/>
    <w:basedOn w:val="1"/>
    <w:qFormat/>
    <w:uiPriority w:val="0"/>
    <w:rPr>
      <w:sz w:val="18"/>
      <w:szCs w:val="18"/>
    </w:rPr>
  </w:style>
  <w:style w:type="paragraph" w:customStyle="1" w:styleId="209">
    <w:name w:val="列出段落3"/>
    <w:basedOn w:val="1"/>
    <w:qFormat/>
    <w:uiPriority w:val="0"/>
    <w:pPr>
      <w:ind w:firstLine="420" w:firstLineChars="200"/>
    </w:pPr>
  </w:style>
  <w:style w:type="paragraph" w:customStyle="1" w:styleId="210">
    <w:name w:val="D&amp;L"/>
    <w:basedOn w:val="32"/>
    <w:qFormat/>
    <w:uiPriority w:val="0"/>
    <w:pPr>
      <w:pBdr>
        <w:bottom w:val="thinThickSmallGap" w:color="auto" w:sz="18" w:space="1"/>
      </w:pBdr>
      <w:adjustRightInd w:val="0"/>
      <w:snapToGrid/>
      <w:spacing w:line="240" w:lineRule="atLeast"/>
      <w:textAlignment w:val="baseline"/>
    </w:pPr>
    <w:rPr>
      <w:kern w:val="0"/>
      <w:sz w:val="24"/>
      <w:szCs w:val="20"/>
      <w:lang w:val="zh-CN"/>
    </w:rPr>
  </w:style>
  <w:style w:type="paragraph" w:customStyle="1" w:styleId="211">
    <w:name w:val="标题二样式"/>
    <w:basedOn w:val="3"/>
    <w:qFormat/>
    <w:uiPriority w:val="0"/>
    <w:pPr>
      <w:suppressAutoHyphens/>
      <w:spacing w:before="0" w:after="0" w:line="240" w:lineRule="auto"/>
      <w:jc w:val="left"/>
    </w:pPr>
    <w:rPr>
      <w:bCs w:val="0"/>
      <w:kern w:val="1"/>
      <w:szCs w:val="20"/>
      <w:lang w:eastAsia="ar-SA"/>
    </w:rPr>
  </w:style>
  <w:style w:type="paragraph" w:customStyle="1" w:styleId="212">
    <w:name w:val="Normal1"/>
    <w:basedOn w:val="1"/>
    <w:qFormat/>
    <w:uiPriority w:val="0"/>
    <w:pPr>
      <w:suppressAutoHyphens/>
      <w:spacing w:line="360" w:lineRule="auto"/>
    </w:pPr>
    <w:rPr>
      <w:rFonts w:ascii="宋体" w:hAnsi="宋体"/>
      <w:kern w:val="1"/>
      <w:lang w:eastAsia="ar-SA"/>
    </w:rPr>
  </w:style>
  <w:style w:type="paragraph" w:customStyle="1" w:styleId="213">
    <w:name w:val="标准正文"/>
    <w:basedOn w:val="1"/>
    <w:qFormat/>
    <w:uiPriority w:val="0"/>
    <w:pPr>
      <w:spacing w:line="360" w:lineRule="auto"/>
      <w:ind w:firstLine="420" w:firstLineChars="200"/>
    </w:pPr>
    <w:rPr>
      <w:rFonts w:ascii="Calibri" w:hAnsi="Calibri"/>
    </w:rPr>
  </w:style>
  <w:style w:type="paragraph" w:customStyle="1" w:styleId="214">
    <w:name w:val="论文标题1"/>
    <w:basedOn w:val="2"/>
    <w:qFormat/>
    <w:uiPriority w:val="0"/>
    <w:pPr>
      <w:tabs>
        <w:tab w:val="left" w:pos="747"/>
      </w:tabs>
      <w:adjustRightInd w:val="0"/>
      <w:spacing w:line="240" w:lineRule="auto"/>
      <w:ind w:left="747" w:hanging="567"/>
      <w:textAlignment w:val="baseline"/>
    </w:pPr>
  </w:style>
  <w:style w:type="paragraph" w:customStyle="1" w:styleId="215">
    <w:name w:val="附录表标题"/>
    <w:basedOn w:val="1"/>
    <w:next w:val="127"/>
    <w:qFormat/>
    <w:uiPriority w:val="0"/>
    <w:pPr>
      <w:numPr>
        <w:ilvl w:val="1"/>
        <w:numId w:val="3"/>
      </w:numPr>
      <w:spacing w:beforeLines="50"/>
      <w:ind w:left="7090"/>
      <w:jc w:val="center"/>
    </w:pPr>
    <w:rPr>
      <w:rFonts w:ascii="黑体" w:eastAsia="黑体"/>
      <w:sz w:val="21"/>
      <w:szCs w:val="21"/>
    </w:rPr>
  </w:style>
  <w:style w:type="paragraph" w:customStyle="1" w:styleId="216">
    <w:name w:val="表格"/>
    <w:basedOn w:val="217"/>
    <w:qFormat/>
    <w:uiPriority w:val="0"/>
    <w:pPr>
      <w:spacing w:line="240" w:lineRule="atLeast"/>
      <w:ind w:firstLine="0" w:firstLineChars="0"/>
      <w:jc w:val="center"/>
    </w:pPr>
    <w:rPr>
      <w:rFonts w:ascii="Arial" w:hAnsi="Arial" w:eastAsia="宋体"/>
      <w:sz w:val="21"/>
    </w:rPr>
  </w:style>
  <w:style w:type="paragraph" w:customStyle="1" w:styleId="217">
    <w:name w:val="正文部分"/>
    <w:basedOn w:val="1"/>
    <w:qFormat/>
    <w:uiPriority w:val="0"/>
    <w:pPr>
      <w:spacing w:line="500" w:lineRule="exact"/>
      <w:ind w:firstLine="480" w:firstLineChars="200"/>
      <w:textAlignment w:val="center"/>
    </w:pPr>
    <w:rPr>
      <w:rFonts w:ascii="华文细黑" w:hAnsi="华文细黑" w:eastAsia="楷体_GB2312"/>
      <w:sz w:val="24"/>
    </w:rPr>
  </w:style>
  <w:style w:type="paragraph" w:customStyle="1" w:styleId="21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9">
    <w:name w:val="点序列"/>
    <w:basedOn w:val="1"/>
    <w:qFormat/>
    <w:uiPriority w:val="0"/>
    <w:pPr>
      <w:widowControl/>
      <w:tabs>
        <w:tab w:val="left" w:pos="1145"/>
        <w:tab w:val="left" w:pos="1412"/>
      </w:tabs>
      <w:spacing w:line="400" w:lineRule="atLeast"/>
      <w:ind w:left="1412"/>
      <w:jc w:val="left"/>
    </w:pPr>
    <w:rPr>
      <w:kern w:val="0"/>
      <w:sz w:val="24"/>
      <w:szCs w:val="24"/>
    </w:rPr>
  </w:style>
  <w:style w:type="paragraph" w:customStyle="1" w:styleId="220">
    <w:name w:val="Char"/>
    <w:basedOn w:val="1"/>
    <w:qFormat/>
    <w:uiPriority w:val="0"/>
    <w:rPr>
      <w:szCs w:val="24"/>
    </w:rPr>
  </w:style>
  <w:style w:type="paragraph" w:customStyle="1" w:styleId="221">
    <w:name w:val="章标题"/>
    <w:next w:val="127"/>
    <w:qFormat/>
    <w:uiPriority w:val="0"/>
    <w:pPr>
      <w:spacing w:beforeLines="100"/>
      <w:ind w:left="2310"/>
      <w:jc w:val="both"/>
      <w:outlineLvl w:val="1"/>
    </w:pPr>
    <w:rPr>
      <w:rFonts w:ascii="黑体" w:hAnsi="Times New Roman" w:eastAsia="黑体" w:cs="Times New Roman"/>
      <w:sz w:val="21"/>
      <w:lang w:val="en-US" w:eastAsia="zh-CN" w:bidi="ar-SA"/>
    </w:rPr>
  </w:style>
  <w:style w:type="paragraph" w:customStyle="1" w:styleId="222">
    <w:name w:val="xl33"/>
    <w:basedOn w:val="1"/>
    <w:qFormat/>
    <w:uiPriority w:val="0"/>
    <w:pPr>
      <w:widowControl/>
      <w:spacing w:before="100" w:beforeAutospacing="1" w:after="100" w:afterAutospacing="1"/>
      <w:jc w:val="center"/>
      <w:textAlignment w:val="center"/>
    </w:pPr>
    <w:rPr>
      <w:rFonts w:hint="eastAsia" w:ascii="黑体" w:hAnsi="Arial Unicode MS" w:eastAsia="黑体" w:cs="Arial Unicode MS"/>
      <w:kern w:val="0"/>
      <w:sz w:val="22"/>
      <w:szCs w:val="22"/>
    </w:rPr>
  </w:style>
  <w:style w:type="paragraph" w:customStyle="1" w:styleId="223">
    <w:name w:val="xl25"/>
    <w:basedOn w:val="1"/>
    <w:qFormat/>
    <w:uiPriority w:val="0"/>
    <w:pPr>
      <w:widowControl/>
      <w:spacing w:before="100" w:beforeAutospacing="1" w:after="100" w:afterAutospacing="1"/>
      <w:jc w:val="center"/>
    </w:pPr>
    <w:rPr>
      <w:rFonts w:ascii="楷体_GB2312" w:hAnsi="宋体" w:eastAsia="楷体_GB2312" w:cs="楷体_GB2312"/>
      <w:kern w:val="0"/>
      <w:sz w:val="24"/>
      <w:szCs w:val="24"/>
    </w:rPr>
  </w:style>
  <w:style w:type="paragraph" w:customStyle="1" w:styleId="22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rPr>
  </w:style>
  <w:style w:type="paragraph" w:customStyle="1" w:styleId="225">
    <w:name w:val="Char1 Char Char Char"/>
    <w:basedOn w:val="1"/>
    <w:qFormat/>
    <w:uiPriority w:val="0"/>
    <w:pPr>
      <w:suppressAutoHyphens/>
    </w:pPr>
    <w:rPr>
      <w:rFonts w:ascii="宋体" w:hAnsi="宋体"/>
      <w:kern w:val="1"/>
      <w:sz w:val="24"/>
      <w:lang w:eastAsia="ar-SA"/>
    </w:rPr>
  </w:style>
  <w:style w:type="paragraph" w:customStyle="1" w:styleId="226">
    <w:name w:val="默认段落字体 Para Char Char Char Char"/>
    <w:basedOn w:val="1"/>
    <w:qFormat/>
    <w:uiPriority w:val="0"/>
    <w:rPr>
      <w:szCs w:val="24"/>
    </w:rPr>
  </w:style>
  <w:style w:type="paragraph" w:customStyle="1" w:styleId="227">
    <w:name w:val="样式 标题 3h3Level 3 HeadH3Heading 3 - oldlevel_3PIM 3BOD 0s..."/>
    <w:basedOn w:val="4"/>
    <w:qFormat/>
    <w:uiPriority w:val="0"/>
    <w:pPr>
      <w:tabs>
        <w:tab w:val="left" w:pos="0"/>
      </w:tabs>
      <w:adjustRightInd w:val="0"/>
      <w:spacing w:before="0" w:after="0" w:line="500" w:lineRule="exact"/>
      <w:textAlignment w:val="baseline"/>
    </w:pPr>
    <w:rPr>
      <w:rFonts w:cs="宋体"/>
      <w:sz w:val="28"/>
      <w:szCs w:val="20"/>
    </w:rPr>
  </w:style>
  <w:style w:type="paragraph" w:customStyle="1" w:styleId="228">
    <w:name w:val="列出段落4"/>
    <w:basedOn w:val="1"/>
    <w:link w:val="277"/>
    <w:qFormat/>
    <w:uiPriority w:val="34"/>
    <w:pPr>
      <w:ind w:firstLine="420" w:firstLineChars="200"/>
    </w:pPr>
    <w:rPr>
      <w:szCs w:val="21"/>
    </w:rPr>
  </w:style>
  <w:style w:type="paragraph" w:customStyle="1" w:styleId="229">
    <w:name w:val="tableheading"/>
    <w:basedOn w:val="1"/>
    <w:qFormat/>
    <w:uiPriority w:val="0"/>
    <w:pPr>
      <w:widowControl/>
      <w:numPr>
        <w:ilvl w:val="0"/>
        <w:numId w:val="4"/>
      </w:numPr>
      <w:spacing w:before="100" w:beforeAutospacing="1" w:after="100" w:afterAutospacing="1" w:line="240" w:lineRule="atLeast"/>
      <w:ind w:left="0" w:firstLine="0"/>
      <w:jc w:val="left"/>
    </w:pPr>
    <w:rPr>
      <w:rFonts w:hint="eastAsia" w:ascii="宋体" w:hAnsi="宋体"/>
      <w:kern w:val="0"/>
      <w:sz w:val="18"/>
    </w:rPr>
  </w:style>
  <w:style w:type="paragraph" w:customStyle="1" w:styleId="230">
    <w:name w:val="一级条标题"/>
    <w:next w:val="127"/>
    <w:qFormat/>
    <w:uiPriority w:val="0"/>
    <w:pPr>
      <w:spacing w:beforeLines="50"/>
      <w:outlineLvl w:val="2"/>
    </w:pPr>
    <w:rPr>
      <w:rFonts w:ascii="黑体" w:hAnsi="Times New Roman" w:eastAsia="黑体" w:cs="Times New Roman"/>
      <w:sz w:val="21"/>
      <w:szCs w:val="21"/>
      <w:lang w:val="en-US" w:eastAsia="zh-CN" w:bidi="ar-SA"/>
    </w:rPr>
  </w:style>
  <w:style w:type="paragraph" w:customStyle="1" w:styleId="231">
    <w:name w:val="Bullet"/>
    <w:basedOn w:val="1"/>
    <w:qFormat/>
    <w:uiPriority w:val="0"/>
    <w:pPr>
      <w:widowControl/>
      <w:adjustRightInd w:val="0"/>
      <w:spacing w:before="60" w:after="60" w:line="500" w:lineRule="exact"/>
      <w:ind w:firstLine="551" w:firstLineChars="196"/>
    </w:pPr>
    <w:rPr>
      <w:rFonts w:ascii="宋体" w:hAnsi="宋体" w:cs="宋体"/>
      <w:b/>
      <w:color w:val="333333"/>
      <w:kern w:val="0"/>
      <w:szCs w:val="28"/>
    </w:rPr>
  </w:style>
  <w:style w:type="paragraph" w:customStyle="1" w:styleId="232">
    <w:name w:val="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233">
    <w:name w:val="WPS Plain"/>
    <w:qFormat/>
    <w:uiPriority w:val="0"/>
    <w:rPr>
      <w:rFonts w:ascii="Times New Roman" w:hAnsi="Times New Roman" w:eastAsia="宋体" w:cs="Times New Roman"/>
      <w:lang w:val="en-US" w:eastAsia="zh-CN" w:bidi="ar-SA"/>
    </w:rPr>
  </w:style>
  <w:style w:type="paragraph" w:customStyle="1" w:styleId="234">
    <w:name w:val="样式 标题 1 + 黑体 小二 居中 段前: 15.6 磅 段后: 15.6 磅 行距: 单倍行距"/>
    <w:basedOn w:val="2"/>
    <w:qFormat/>
    <w:uiPriority w:val="0"/>
    <w:pPr>
      <w:spacing w:before="312" w:after="312" w:line="240" w:lineRule="auto"/>
    </w:pPr>
    <w:rPr>
      <w:rFonts w:ascii="黑体" w:eastAsia="黑体" w:cs="宋体"/>
      <w:szCs w:val="20"/>
    </w:rPr>
  </w:style>
  <w:style w:type="paragraph" w:customStyle="1" w:styleId="235">
    <w:name w:val="body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36">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37">
    <w:name w:val="Char11"/>
    <w:basedOn w:val="1"/>
    <w:qFormat/>
    <w:uiPriority w:val="0"/>
    <w:pPr>
      <w:suppressAutoHyphens/>
    </w:pPr>
    <w:rPr>
      <w:rFonts w:ascii="宋体" w:hAnsi="宋体"/>
      <w:kern w:val="1"/>
      <w:sz w:val="24"/>
      <w:lang w:eastAsia="ar-SA"/>
    </w:rPr>
  </w:style>
  <w:style w:type="paragraph" w:customStyle="1" w:styleId="238">
    <w:name w:val="三级无"/>
    <w:basedOn w:val="190"/>
    <w:qFormat/>
    <w:uiPriority w:val="0"/>
    <w:pPr>
      <w:tabs>
        <w:tab w:val="clear" w:pos="360"/>
      </w:tabs>
      <w:spacing w:before="50" w:after="50"/>
    </w:pPr>
    <w:rPr>
      <w:rFonts w:ascii="宋体" w:eastAsia="宋体"/>
      <w:sz w:val="21"/>
      <w:szCs w:val="21"/>
    </w:rPr>
  </w:style>
  <w:style w:type="paragraph" w:customStyle="1" w:styleId="239">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240">
    <w:name w:val="正文文本 Char Char"/>
    <w:basedOn w:val="1"/>
    <w:qFormat/>
    <w:uiPriority w:val="0"/>
    <w:pPr>
      <w:jc w:val="center"/>
    </w:pPr>
    <w:rPr>
      <w:rFonts w:hint="eastAsia" w:ascii="方正大黑简体" w:hAnsi="宋体" w:eastAsia="方正大黑简体"/>
      <w:kern w:val="44"/>
      <w:position w:val="6"/>
      <w:sz w:val="30"/>
    </w:rPr>
  </w:style>
  <w:style w:type="paragraph" w:customStyle="1" w:styleId="241">
    <w:name w:val="style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42">
    <w:name w:val="四级条标题"/>
    <w:basedOn w:val="190"/>
    <w:next w:val="127"/>
    <w:qFormat/>
    <w:uiPriority w:val="0"/>
    <w:pPr>
      <w:tabs>
        <w:tab w:val="clear" w:pos="360"/>
      </w:tabs>
      <w:spacing w:beforeLines="50" w:afterLines="50"/>
      <w:outlineLvl w:val="5"/>
    </w:pPr>
    <w:rPr>
      <w:rFonts w:ascii="黑体"/>
      <w:sz w:val="21"/>
      <w:szCs w:val="21"/>
    </w:rPr>
  </w:style>
  <w:style w:type="paragraph" w:customStyle="1" w:styleId="243">
    <w:name w:val="五级条标题"/>
    <w:basedOn w:val="242"/>
    <w:next w:val="127"/>
    <w:qFormat/>
    <w:uiPriority w:val="0"/>
    <w:pPr>
      <w:outlineLvl w:val="6"/>
    </w:pPr>
  </w:style>
  <w:style w:type="paragraph" w:customStyle="1" w:styleId="244">
    <w:name w:val="附录表标号"/>
    <w:basedOn w:val="1"/>
    <w:next w:val="127"/>
    <w:qFormat/>
    <w:uiPriority w:val="0"/>
    <w:pPr>
      <w:numPr>
        <w:ilvl w:val="0"/>
        <w:numId w:val="3"/>
      </w:numPr>
      <w:spacing w:line="14" w:lineRule="exact"/>
      <w:ind w:left="811" w:hanging="448"/>
      <w:jc w:val="center"/>
      <w:outlineLvl w:val="0"/>
    </w:pPr>
    <w:rPr>
      <w:color w:val="FFFFFF"/>
      <w:sz w:val="21"/>
      <w:szCs w:val="24"/>
    </w:rPr>
  </w:style>
  <w:style w:type="paragraph" w:customStyle="1" w:styleId="245">
    <w:name w:val="p15"/>
    <w:basedOn w:val="1"/>
    <w:qFormat/>
    <w:uiPriority w:val="0"/>
    <w:pPr>
      <w:widowControl/>
    </w:pPr>
    <w:rPr>
      <w:rFonts w:ascii="Wingdings" w:hAnsi="Wingdings" w:cs="宋体"/>
      <w:kern w:val="0"/>
      <w:szCs w:val="28"/>
    </w:rPr>
  </w:style>
  <w:style w:type="paragraph" w:customStyle="1" w:styleId="246">
    <w:name w:val="List Paragraph1"/>
    <w:basedOn w:val="1"/>
    <w:qFormat/>
    <w:uiPriority w:val="99"/>
    <w:pPr>
      <w:ind w:firstLine="420" w:firstLineChars="200"/>
    </w:pPr>
    <w:rPr>
      <w:sz w:val="21"/>
      <w:szCs w:val="24"/>
    </w:rPr>
  </w:style>
  <w:style w:type="character" w:customStyle="1" w:styleId="247">
    <w:name w:val="font11"/>
    <w:qFormat/>
    <w:uiPriority w:val="0"/>
    <w:rPr>
      <w:rFonts w:hint="eastAsia" w:ascii="宋体" w:hAnsi="宋体" w:eastAsia="宋体" w:cs="宋体"/>
      <w:color w:val="000000"/>
      <w:sz w:val="24"/>
      <w:szCs w:val="24"/>
      <w:u w:val="none"/>
    </w:rPr>
  </w:style>
  <w:style w:type="character" w:customStyle="1" w:styleId="248">
    <w:name w:val="Char Char41"/>
    <w:qFormat/>
    <w:uiPriority w:val="0"/>
    <w:rPr>
      <w:rFonts w:eastAsia="宋体"/>
      <w:b/>
      <w:bCs/>
      <w:kern w:val="44"/>
      <w:sz w:val="44"/>
      <w:szCs w:val="44"/>
      <w:lang w:val="en-US" w:eastAsia="zh-CN" w:bidi="ar-SA"/>
    </w:rPr>
  </w:style>
  <w:style w:type="character" w:customStyle="1" w:styleId="249">
    <w:name w:val="content"/>
    <w:qFormat/>
    <w:uiPriority w:val="0"/>
  </w:style>
  <w:style w:type="character" w:customStyle="1" w:styleId="250">
    <w:name w:val="param-value"/>
    <w:qFormat/>
    <w:uiPriority w:val="0"/>
  </w:style>
  <w:style w:type="character" w:customStyle="1" w:styleId="251">
    <w:name w:val="正文样式 Char"/>
    <w:link w:val="252"/>
    <w:qFormat/>
    <w:locked/>
    <w:uiPriority w:val="0"/>
    <w:rPr>
      <w:sz w:val="24"/>
      <w:szCs w:val="24"/>
    </w:rPr>
  </w:style>
  <w:style w:type="paragraph" w:customStyle="1" w:styleId="252">
    <w:name w:val="正文样式"/>
    <w:basedOn w:val="1"/>
    <w:link w:val="251"/>
    <w:qFormat/>
    <w:uiPriority w:val="0"/>
    <w:pPr>
      <w:spacing w:line="360" w:lineRule="auto"/>
      <w:ind w:firstLine="480" w:firstLineChars="200"/>
    </w:pPr>
    <w:rPr>
      <w:rFonts w:asciiTheme="minorHAnsi" w:hAnsiTheme="minorHAnsi" w:eastAsiaTheme="minorEastAsia" w:cstheme="minorBidi"/>
      <w:sz w:val="24"/>
      <w:szCs w:val="24"/>
    </w:rPr>
  </w:style>
  <w:style w:type="character" w:customStyle="1" w:styleId="253">
    <w:name w:val="font01"/>
    <w:qFormat/>
    <w:uiPriority w:val="0"/>
    <w:rPr>
      <w:rFonts w:hint="eastAsia" w:ascii="宋体" w:hAnsi="宋体" w:eastAsia="宋体" w:cs="宋体"/>
      <w:color w:val="000000"/>
      <w:sz w:val="24"/>
      <w:szCs w:val="24"/>
      <w:u w:val="none"/>
    </w:rPr>
  </w:style>
  <w:style w:type="character" w:customStyle="1" w:styleId="254">
    <w:name w:val="称呼 Char"/>
    <w:basedOn w:val="50"/>
    <w:link w:val="19"/>
    <w:qFormat/>
    <w:uiPriority w:val="0"/>
    <w:rPr>
      <w:rFonts w:ascii="Times New Roman" w:hAnsi="Times New Roman" w:eastAsia="宋体" w:cs="Times New Roman"/>
      <w:sz w:val="24"/>
      <w:szCs w:val="24"/>
    </w:rPr>
  </w:style>
  <w:style w:type="paragraph" w:customStyle="1" w:styleId="255">
    <w:name w:val="cjk"/>
    <w:basedOn w:val="1"/>
    <w:qFormat/>
    <w:uiPriority w:val="0"/>
    <w:pPr>
      <w:widowControl/>
      <w:spacing w:before="100" w:beforeAutospacing="1" w:after="119"/>
    </w:pPr>
    <w:rPr>
      <w:rFonts w:ascii="宋体" w:hAnsi="宋体" w:cs="宋体"/>
      <w:color w:val="000000"/>
      <w:kern w:val="0"/>
      <w:sz w:val="20"/>
    </w:rPr>
  </w:style>
  <w:style w:type="paragraph" w:customStyle="1" w:styleId="256">
    <w:name w:val="正文格式"/>
    <w:basedOn w:val="1"/>
    <w:uiPriority w:val="0"/>
    <w:pPr>
      <w:widowControl/>
      <w:adjustRightInd w:val="0"/>
      <w:snapToGrid w:val="0"/>
      <w:spacing w:line="360" w:lineRule="atLeast"/>
      <w:ind w:firstLine="482"/>
      <w:textAlignment w:val="baseline"/>
    </w:pPr>
    <w:rPr>
      <w:sz w:val="24"/>
      <w:szCs w:val="24"/>
    </w:rPr>
  </w:style>
  <w:style w:type="paragraph" w:customStyle="1" w:styleId="257">
    <w:name w:val="Char21"/>
    <w:basedOn w:val="1"/>
    <w:qFormat/>
    <w:uiPriority w:val="0"/>
    <w:rPr>
      <w:sz w:val="21"/>
      <w:szCs w:val="24"/>
    </w:rPr>
  </w:style>
  <w:style w:type="paragraph" w:customStyle="1" w:styleId="258">
    <w:name w:val="列出段落41"/>
    <w:basedOn w:val="1"/>
    <w:qFormat/>
    <w:uiPriority w:val="34"/>
    <w:pPr>
      <w:ind w:firstLine="420" w:firstLineChars="200"/>
    </w:pPr>
    <w:rPr>
      <w:sz w:val="21"/>
      <w:szCs w:val="24"/>
    </w:rPr>
  </w:style>
  <w:style w:type="paragraph" w:customStyle="1" w:styleId="259">
    <w:name w:val="xl31"/>
    <w:basedOn w:val="1"/>
    <w:qFormat/>
    <w:uiPriority w:val="0"/>
    <w:pPr>
      <w:widowControl/>
      <w:spacing w:before="100" w:beforeAutospacing="1" w:after="100" w:afterAutospacing="1"/>
      <w:jc w:val="center"/>
    </w:pPr>
    <w:rPr>
      <w:rFonts w:ascii="宋体" w:hAnsi="宋体"/>
      <w:b/>
      <w:bCs/>
      <w:kern w:val="0"/>
      <w:szCs w:val="28"/>
    </w:rPr>
  </w:style>
  <w:style w:type="paragraph" w:customStyle="1" w:styleId="260">
    <w:name w:val="并列项-点"/>
    <w:basedOn w:val="1"/>
    <w:qFormat/>
    <w:uiPriority w:val="0"/>
    <w:pPr>
      <w:widowControl/>
      <w:numPr>
        <w:ilvl w:val="0"/>
        <w:numId w:val="5"/>
      </w:numPr>
      <w:tabs>
        <w:tab w:val="left" w:pos="851"/>
      </w:tabs>
      <w:adjustRightInd w:val="0"/>
      <w:snapToGrid w:val="0"/>
      <w:spacing w:line="360" w:lineRule="auto"/>
      <w:textAlignment w:val="baseline"/>
    </w:pPr>
    <w:rPr>
      <w:kern w:val="0"/>
      <w:sz w:val="24"/>
    </w:rPr>
  </w:style>
  <w:style w:type="paragraph" w:customStyle="1" w:styleId="261">
    <w:name w:val="楷体4号"/>
    <w:next w:val="29"/>
    <w:qFormat/>
    <w:uiPriority w:val="0"/>
    <w:pPr>
      <w:adjustRightInd w:val="0"/>
      <w:snapToGrid w:val="0"/>
      <w:spacing w:line="360" w:lineRule="auto"/>
      <w:ind w:firstLine="200" w:firstLineChars="200"/>
    </w:pPr>
    <w:rPr>
      <w:rFonts w:ascii="宋体" w:hAnsi="宋体" w:eastAsia="楷体_GB2312" w:cs="Times New Roman"/>
      <w:kern w:val="2"/>
      <w:sz w:val="28"/>
      <w:szCs w:val="21"/>
      <w:lang w:val="en-US" w:eastAsia="zh-CN" w:bidi="ar-SA"/>
    </w:rPr>
  </w:style>
  <w:style w:type="character" w:customStyle="1" w:styleId="262">
    <w:name w:val="正文缩进 Char"/>
    <w:link w:val="14"/>
    <w:qFormat/>
    <w:locked/>
    <w:uiPriority w:val="0"/>
    <w:rPr>
      <w:rFonts w:ascii="Times New Roman" w:hAnsi="Times New Roman" w:eastAsia="宋体" w:cs="Times New Roman"/>
      <w:sz w:val="28"/>
      <w:szCs w:val="20"/>
    </w:rPr>
  </w:style>
  <w:style w:type="character" w:customStyle="1" w:styleId="263">
    <w:name w:val="正文文本 2 Char"/>
    <w:basedOn w:val="50"/>
    <w:link w:val="41"/>
    <w:qFormat/>
    <w:uiPriority w:val="0"/>
    <w:rPr>
      <w:rFonts w:ascii="Times New Roman" w:hAnsi="Times New Roman" w:eastAsia="宋体" w:cs="Times New Roman"/>
      <w:kern w:val="0"/>
      <w:sz w:val="20"/>
      <w:szCs w:val="24"/>
    </w:rPr>
  </w:style>
  <w:style w:type="paragraph" w:customStyle="1" w:styleId="264">
    <w:name w:val="样式5"/>
    <w:basedOn w:val="5"/>
    <w:qFormat/>
    <w:uiPriority w:val="0"/>
    <w:pPr>
      <w:keepNext w:val="0"/>
      <w:spacing w:before="240" w:line="240" w:lineRule="auto"/>
      <w:ind w:left="118" w:leftChars="49" w:firstLine="560" w:firstLineChars="200"/>
      <w:jc w:val="left"/>
    </w:pPr>
    <w:rPr>
      <w:rFonts w:ascii="宋体" w:hAnsi="宋体" w:eastAsia="宋体"/>
      <w:bCs/>
      <w:szCs w:val="28"/>
      <w:lang w:val="en-US"/>
    </w:rPr>
  </w:style>
  <w:style w:type="paragraph" w:customStyle="1" w:styleId="265">
    <w:name w:val="Picture"/>
    <w:basedOn w:val="1"/>
    <w:next w:val="15"/>
    <w:qFormat/>
    <w:uiPriority w:val="0"/>
    <w:pPr>
      <w:keepNext/>
      <w:widowControl/>
      <w:ind w:left="1080"/>
      <w:jc w:val="left"/>
    </w:pPr>
    <w:rPr>
      <w:rFonts w:ascii="Arial" w:hAnsi="Arial"/>
      <w:bCs/>
      <w:spacing w:val="-5"/>
      <w:kern w:val="0"/>
      <w:sz w:val="20"/>
    </w:rPr>
  </w:style>
  <w:style w:type="paragraph" w:customStyle="1" w:styleId="266">
    <w:name w:val="pa-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67">
    <w:name w:val="正文文本 (2)"/>
    <w:basedOn w:val="1"/>
    <w:qFormat/>
    <w:uiPriority w:val="0"/>
    <w:pPr>
      <w:shd w:val="clear" w:color="auto" w:fill="FFFFFF"/>
      <w:spacing w:line="0" w:lineRule="atLeast"/>
      <w:jc w:val="distribute"/>
    </w:pPr>
    <w:rPr>
      <w:b/>
      <w:bCs/>
      <w:spacing w:val="-10"/>
      <w:sz w:val="21"/>
      <w:szCs w:val="24"/>
    </w:rPr>
  </w:style>
  <w:style w:type="paragraph" w:customStyle="1" w:styleId="268">
    <w:name w:val="正文（黑体）"/>
    <w:basedOn w:val="1"/>
    <w:next w:val="1"/>
    <w:qFormat/>
    <w:uiPriority w:val="0"/>
    <w:pPr>
      <w:spacing w:beforeLines="50" w:afterLines="50" w:line="360" w:lineRule="auto"/>
      <w:ind w:firstLine="480" w:firstLineChars="200"/>
    </w:pPr>
    <w:rPr>
      <w:rFonts w:ascii="黑体" w:eastAsia="黑体"/>
      <w:color w:val="000080"/>
      <w:sz w:val="21"/>
      <w:szCs w:val="24"/>
    </w:rPr>
  </w:style>
  <w:style w:type="paragraph" w:customStyle="1" w:styleId="269">
    <w:name w:val="pa-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70">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71">
    <w:name w:val="样式正文带标题2"/>
    <w:basedOn w:val="3"/>
    <w:qFormat/>
    <w:uiPriority w:val="0"/>
    <w:pPr>
      <w:keepNext w:val="0"/>
      <w:keepLines w:val="0"/>
      <w:tabs>
        <w:tab w:val="left" w:pos="210"/>
      </w:tabs>
      <w:spacing w:before="240" w:afterLines="50" w:line="360" w:lineRule="auto"/>
      <w:ind w:left="510" w:hanging="226" w:firstLineChars="200"/>
    </w:pPr>
    <w:rPr>
      <w:rFonts w:ascii="宋体" w:hAnsi="宋体" w:eastAsia="宋体"/>
      <w:bCs w:val="0"/>
      <w:kern w:val="2"/>
      <w:sz w:val="24"/>
      <w:szCs w:val="30"/>
      <w:lang w:val="en-US"/>
    </w:rPr>
  </w:style>
  <w:style w:type="paragraph" w:customStyle="1" w:styleId="272">
    <w:name w:val="Char2"/>
    <w:basedOn w:val="1"/>
    <w:qFormat/>
    <w:uiPriority w:val="0"/>
    <w:rPr>
      <w:rFonts w:ascii="宋体" w:hAnsi="宋体" w:cs="宋体"/>
      <w:color w:val="000000"/>
      <w:kern w:val="0"/>
      <w:sz w:val="24"/>
      <w:szCs w:val="24"/>
    </w:rPr>
  </w:style>
  <w:style w:type="paragraph" w:customStyle="1" w:styleId="273">
    <w:name w:val="项目2"/>
    <w:qFormat/>
    <w:uiPriority w:val="0"/>
    <w:pPr>
      <w:tabs>
        <w:tab w:val="left" w:pos="425"/>
      </w:tabs>
      <w:spacing w:before="120" w:after="120" w:line="360" w:lineRule="auto"/>
      <w:ind w:left="425" w:hanging="425"/>
    </w:pPr>
    <w:rPr>
      <w:rFonts w:ascii="Times New Roman" w:hAnsi="Times New Roman" w:eastAsia="仿宋_GB2312" w:cs="Times New Roman"/>
      <w:sz w:val="24"/>
      <w:lang w:val="en-US" w:eastAsia="zh-CN" w:bidi="ar-SA"/>
    </w:rPr>
  </w:style>
  <w:style w:type="paragraph" w:customStyle="1" w:styleId="274">
    <w:name w:val="正文缩进1"/>
    <w:basedOn w:val="1"/>
    <w:qFormat/>
    <w:uiPriority w:val="0"/>
    <w:pPr>
      <w:ind w:firstLine="420"/>
    </w:pPr>
    <w:rPr>
      <w:sz w:val="21"/>
    </w:rPr>
  </w:style>
  <w:style w:type="paragraph" w:customStyle="1" w:styleId="275">
    <w:name w:val="GP正文(无首行缩进)"/>
    <w:qFormat/>
    <w:uiPriority w:val="0"/>
    <w:pPr>
      <w:widowControl w:val="0"/>
      <w:spacing w:line="360" w:lineRule="auto"/>
    </w:pPr>
    <w:rPr>
      <w:rFonts w:ascii="Times New Roman" w:hAnsi="Times New Roman" w:eastAsia="宋体" w:cs="Times New Roman"/>
      <w:kern w:val="2"/>
      <w:sz w:val="24"/>
      <w:szCs w:val="21"/>
      <w:lang w:val="en-US" w:eastAsia="zh-CN" w:bidi="ar-SA"/>
    </w:rPr>
  </w:style>
  <w:style w:type="paragraph" w:customStyle="1" w:styleId="276">
    <w:name w:val="图表编号"/>
    <w:basedOn w:val="1"/>
    <w:next w:val="14"/>
    <w:qFormat/>
    <w:uiPriority w:val="0"/>
    <w:pPr>
      <w:tabs>
        <w:tab w:val="left" w:pos="432"/>
      </w:tabs>
      <w:spacing w:line="0" w:lineRule="atLeast"/>
      <w:ind w:left="432" w:hanging="432"/>
      <w:jc w:val="center"/>
    </w:pPr>
    <w:rPr>
      <w:rFonts w:ascii="Arial Narrow" w:hAnsi="Arial Narrow" w:eastAsia="黑体"/>
      <w:color w:val="0000FF"/>
      <w:sz w:val="18"/>
    </w:rPr>
  </w:style>
  <w:style w:type="character" w:customStyle="1" w:styleId="277">
    <w:name w:val="列出段落 Char"/>
    <w:link w:val="228"/>
    <w:qFormat/>
    <w:locked/>
    <w:uiPriority w:val="34"/>
    <w:rPr>
      <w:rFonts w:ascii="Times New Roman" w:hAnsi="Times New Roman" w:eastAsia="宋体" w:cs="Times New Roman"/>
      <w:sz w:val="28"/>
      <w:szCs w:val="21"/>
    </w:rPr>
  </w:style>
  <w:style w:type="paragraph" w:customStyle="1" w:styleId="278">
    <w:name w:val="TOC Base"/>
    <w:basedOn w:val="1"/>
    <w:qFormat/>
    <w:uiPriority w:val="0"/>
    <w:pPr>
      <w:widowControl/>
      <w:tabs>
        <w:tab w:val="right" w:leader="dot" w:pos="6480"/>
      </w:tabs>
      <w:spacing w:after="240" w:line="240" w:lineRule="atLeast"/>
      <w:jc w:val="left"/>
    </w:pPr>
    <w:rPr>
      <w:rFonts w:ascii="Arial" w:hAnsi="Arial"/>
      <w:bCs/>
      <w:spacing w:val="-5"/>
      <w:kern w:val="0"/>
      <w:sz w:val="20"/>
    </w:rPr>
  </w:style>
  <w:style w:type="paragraph" w:customStyle="1" w:styleId="279">
    <w:name w:val="*正文"/>
    <w:basedOn w:val="1"/>
    <w:qFormat/>
    <w:uiPriority w:val="0"/>
    <w:pPr>
      <w:spacing w:line="300" w:lineRule="auto"/>
      <w:ind w:firstLine="480" w:firstLineChars="200"/>
    </w:pPr>
    <w:rPr>
      <w:rFonts w:ascii="宋体" w:hAnsi="宋体" w:cs="仿宋_GB2312"/>
      <w:sz w:val="24"/>
      <w:szCs w:val="24"/>
    </w:rPr>
  </w:style>
  <w:style w:type="paragraph" w:customStyle="1" w:styleId="280">
    <w:name w:val="样式3"/>
    <w:basedOn w:val="4"/>
    <w:qFormat/>
    <w:uiPriority w:val="0"/>
    <w:pPr>
      <w:keepNext w:val="0"/>
      <w:keepLines w:val="0"/>
      <w:tabs>
        <w:tab w:val="left" w:pos="1080"/>
        <w:tab w:val="left" w:pos="1440"/>
      </w:tabs>
      <w:spacing w:before="240" w:after="100" w:afterAutospacing="1" w:line="240" w:lineRule="auto"/>
      <w:ind w:firstLine="560" w:firstLineChars="200"/>
      <w:jc w:val="left"/>
    </w:pPr>
    <w:rPr>
      <w:rFonts w:ascii="宋体" w:hAnsi="宋体"/>
      <w:b w:val="0"/>
      <w:color w:val="000000"/>
      <w:kern w:val="2"/>
      <w:sz w:val="28"/>
      <w:szCs w:val="28"/>
      <w:lang w:val="en-US"/>
    </w:rPr>
  </w:style>
  <w:style w:type="paragraph" w:customStyle="1" w:styleId="281">
    <w:name w:val="日期1"/>
    <w:basedOn w:val="1"/>
    <w:next w:val="1"/>
    <w:qFormat/>
    <w:uiPriority w:val="0"/>
    <w:pPr>
      <w:tabs>
        <w:tab w:val="left" w:pos="425"/>
      </w:tabs>
      <w:autoSpaceDE w:val="0"/>
      <w:autoSpaceDN w:val="0"/>
      <w:adjustRightInd w:val="0"/>
      <w:spacing w:before="60" w:after="60" w:line="312" w:lineRule="atLeast"/>
      <w:ind w:left="425" w:hanging="425"/>
      <w:jc w:val="right"/>
    </w:pPr>
    <w:rPr>
      <w:kern w:val="0"/>
      <w:sz w:val="44"/>
      <w:szCs w:val="24"/>
    </w:rPr>
  </w:style>
  <w:style w:type="paragraph" w:customStyle="1" w:styleId="282">
    <w:name w:val="_Style 50"/>
    <w:basedOn w:val="1"/>
    <w:qFormat/>
    <w:uiPriority w:val="0"/>
    <w:pPr>
      <w:widowControl/>
      <w:spacing w:after="160" w:line="240" w:lineRule="exact"/>
      <w:jc w:val="left"/>
    </w:pPr>
    <w:rPr>
      <w:sz w:val="21"/>
      <w:szCs w:val="24"/>
    </w:rPr>
  </w:style>
  <w:style w:type="paragraph" w:customStyle="1" w:styleId="283">
    <w:name w:val="样式2"/>
    <w:basedOn w:val="3"/>
    <w:qFormat/>
    <w:uiPriority w:val="0"/>
    <w:pPr>
      <w:keepNext w:val="0"/>
      <w:keepLines w:val="0"/>
      <w:tabs>
        <w:tab w:val="left" w:pos="210"/>
      </w:tabs>
      <w:spacing w:before="240" w:after="0" w:line="240" w:lineRule="auto"/>
      <w:ind w:firstLine="600" w:firstLineChars="200"/>
    </w:pPr>
    <w:rPr>
      <w:rFonts w:ascii="宋体" w:hAnsi="宋体" w:eastAsia="宋体"/>
      <w:b w:val="0"/>
      <w:kern w:val="2"/>
      <w:sz w:val="30"/>
      <w:szCs w:val="30"/>
      <w:lang w:val="en-US"/>
    </w:rPr>
  </w:style>
  <w:style w:type="paragraph" w:customStyle="1" w:styleId="284">
    <w:name w:val="样式 标题 3h33rd level + 宋体 小四 左侧:  0 厘米 首行缩进:  0 厘米 段后: 5 磅 ..."/>
    <w:basedOn w:val="4"/>
    <w:next w:val="47"/>
    <w:qFormat/>
    <w:uiPriority w:val="0"/>
    <w:pPr>
      <w:keepNext w:val="0"/>
      <w:keepLines w:val="0"/>
      <w:tabs>
        <w:tab w:val="left" w:pos="1080"/>
      </w:tabs>
      <w:spacing w:before="240" w:after="0" w:line="240" w:lineRule="auto"/>
      <w:ind w:left="1418" w:hanging="567" w:firstLineChars="200"/>
      <w:jc w:val="left"/>
    </w:pPr>
    <w:rPr>
      <w:rFonts w:ascii="宋体" w:hAnsi="宋体" w:cs="宋体"/>
      <w:b w:val="0"/>
      <w:bCs w:val="0"/>
      <w:kern w:val="2"/>
      <w:sz w:val="24"/>
      <w:szCs w:val="28"/>
      <w:lang w:val="en-US"/>
    </w:rPr>
  </w:style>
  <w:style w:type="paragraph" w:customStyle="1" w:styleId="285">
    <w:name w:val="正文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6">
    <w:name w:val="Body Text Keep"/>
    <w:basedOn w:val="21"/>
    <w:qFormat/>
    <w:uiPriority w:val="0"/>
    <w:pPr>
      <w:keepNext/>
      <w:widowControl/>
      <w:ind w:firstLine="420" w:firstLineChars="200"/>
    </w:pPr>
    <w:rPr>
      <w:rFonts w:ascii="宋体" w:hAnsi="宋体" w:cs="Arial"/>
      <w:bCs/>
      <w:kern w:val="28"/>
      <w:sz w:val="20"/>
      <w:szCs w:val="29"/>
    </w:rPr>
  </w:style>
  <w:style w:type="paragraph" w:customStyle="1" w:styleId="287">
    <w:name w:val="Figure 2"/>
    <w:basedOn w:val="1"/>
    <w:qFormat/>
    <w:uiPriority w:val="0"/>
    <w:pPr>
      <w:pBdr>
        <w:top w:val="single" w:color="auto" w:sz="6" w:space="0"/>
      </w:pBdr>
      <w:tabs>
        <w:tab w:val="left" w:pos="418"/>
      </w:tabs>
      <w:snapToGrid w:val="0"/>
      <w:spacing w:before="360" w:after="240" w:line="360" w:lineRule="atLeast"/>
      <w:ind w:left="418" w:hanging="418"/>
      <w:jc w:val="left"/>
    </w:pPr>
    <w:rPr>
      <w:rFonts w:ascii="宋体"/>
      <w:kern w:val="0"/>
      <w:sz w:val="18"/>
    </w:rPr>
  </w:style>
  <w:style w:type="paragraph" w:customStyle="1" w:styleId="288">
    <w:name w:val="_Style 1"/>
    <w:basedOn w:val="1"/>
    <w:qFormat/>
    <w:uiPriority w:val="0"/>
    <w:pPr>
      <w:widowControl/>
      <w:spacing w:after="160" w:line="240" w:lineRule="exact"/>
      <w:jc w:val="left"/>
    </w:pPr>
    <w:rPr>
      <w:sz w:val="21"/>
      <w:szCs w:val="24"/>
    </w:rPr>
  </w:style>
  <w:style w:type="paragraph" w:customStyle="1" w:styleId="28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4"/>
    </w:rPr>
  </w:style>
  <w:style w:type="paragraph" w:customStyle="1" w:styleId="290">
    <w:name w:val="附录主标题"/>
    <w:basedOn w:val="1"/>
    <w:next w:val="14"/>
    <w:qFormat/>
    <w:uiPriority w:val="0"/>
    <w:pPr>
      <w:tabs>
        <w:tab w:val="left" w:pos="648"/>
      </w:tabs>
      <w:spacing w:before="240" w:after="60"/>
      <w:ind w:left="567" w:hanging="279"/>
      <w:outlineLvl w:val="0"/>
    </w:pPr>
    <w:rPr>
      <w:rFonts w:ascii="Arial" w:hAnsi="Arial" w:eastAsia="黑体"/>
      <w:b/>
      <w:sz w:val="32"/>
    </w:rPr>
  </w:style>
  <w:style w:type="paragraph" w:customStyle="1" w:styleId="291">
    <w:name w:val="Level 3 List"/>
    <w:basedOn w:val="1"/>
    <w:qFormat/>
    <w:uiPriority w:val="0"/>
    <w:pPr>
      <w:widowControl/>
      <w:tabs>
        <w:tab w:val="left" w:pos="720"/>
      </w:tabs>
      <w:spacing w:after="60"/>
      <w:ind w:left="1920" w:hanging="120"/>
      <w:jc w:val="left"/>
    </w:pPr>
    <w:rPr>
      <w:kern w:val="0"/>
      <w:sz w:val="24"/>
    </w:rPr>
  </w:style>
  <w:style w:type="paragraph" w:customStyle="1" w:styleId="292">
    <w:name w:val="附录标题3"/>
    <w:basedOn w:val="1"/>
    <w:next w:val="14"/>
    <w:qFormat/>
    <w:uiPriority w:val="0"/>
    <w:pPr>
      <w:tabs>
        <w:tab w:val="left" w:pos="360"/>
        <w:tab w:val="left" w:pos="1080"/>
      </w:tabs>
      <w:outlineLvl w:val="0"/>
    </w:pPr>
    <w:rPr>
      <w:rFonts w:ascii="Arial" w:hAnsi="Arial"/>
      <w:sz w:val="24"/>
    </w:rPr>
  </w:style>
  <w:style w:type="paragraph" w:customStyle="1" w:styleId="293">
    <w:name w:val="Char1"/>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294">
    <w:name w:val="样式 标题 2H2h22nd levelTitre2l22Header 2h:2h:2appT2ALev..."/>
    <w:basedOn w:val="3"/>
    <w:qFormat/>
    <w:uiPriority w:val="0"/>
    <w:pPr>
      <w:spacing w:beforeLines="50" w:afterLines="50" w:line="240" w:lineRule="auto"/>
      <w:ind w:firstLine="196" w:firstLineChars="196"/>
    </w:pPr>
    <w:rPr>
      <w:rFonts w:ascii="宋体" w:hAnsi="宋体" w:eastAsia="宋体" w:cs="宋体"/>
      <w:bCs w:val="0"/>
      <w:kern w:val="2"/>
      <w:sz w:val="30"/>
      <w:szCs w:val="28"/>
      <w:lang w:val="en-US"/>
    </w:rPr>
  </w:style>
  <w:style w:type="paragraph" w:customStyle="1" w:styleId="295">
    <w:name w:val="样式 正文首行缩进 + 宋体 段后: 0 磅"/>
    <w:basedOn w:val="47"/>
    <w:qFormat/>
    <w:uiPriority w:val="0"/>
    <w:pPr>
      <w:spacing w:after="0" w:line="300" w:lineRule="auto"/>
      <w:ind w:firstLine="225" w:firstLineChars="225"/>
    </w:pPr>
    <w:rPr>
      <w:rFonts w:ascii="宋体" w:hAnsi="宋体" w:cs="宋体"/>
      <w:kern w:val="0"/>
      <w:sz w:val="24"/>
      <w:szCs w:val="20"/>
    </w:rPr>
  </w:style>
  <w:style w:type="paragraph" w:customStyle="1" w:styleId="296">
    <w:name w:val="样式 正文缩进 + 首行缩进:  2 字符"/>
    <w:basedOn w:val="14"/>
    <w:qFormat/>
    <w:uiPriority w:val="0"/>
    <w:pPr>
      <w:spacing w:line="360" w:lineRule="auto"/>
      <w:ind w:firstLine="480"/>
    </w:pPr>
    <w:rPr>
      <w:sz w:val="21"/>
    </w:rPr>
  </w:style>
  <w:style w:type="paragraph" w:customStyle="1" w:styleId="297">
    <w:name w:val="CM8"/>
    <w:basedOn w:val="1"/>
    <w:next w:val="1"/>
    <w:qFormat/>
    <w:uiPriority w:val="0"/>
    <w:pPr>
      <w:autoSpaceDE w:val="0"/>
      <w:autoSpaceDN w:val="0"/>
      <w:adjustRightInd w:val="0"/>
      <w:jc w:val="left"/>
    </w:pPr>
    <w:rPr>
      <w:rFonts w:ascii="宋体"/>
      <w:kern w:val="0"/>
      <w:sz w:val="24"/>
      <w:szCs w:val="24"/>
    </w:rPr>
  </w:style>
  <w:style w:type="paragraph" w:customStyle="1" w:styleId="298">
    <w:name w:val="List 1"/>
    <w:basedOn w:val="1"/>
    <w:qFormat/>
    <w:uiPriority w:val="0"/>
    <w:pPr>
      <w:keepNext/>
      <w:widowControl/>
      <w:tabs>
        <w:tab w:val="left" w:pos="1440"/>
      </w:tabs>
      <w:snapToGrid w:val="0"/>
      <w:spacing w:before="240" w:line="360" w:lineRule="atLeast"/>
      <w:ind w:left="432" w:hanging="432"/>
      <w:jc w:val="left"/>
    </w:pPr>
    <w:rPr>
      <w:rFonts w:ascii="宋体"/>
      <w:kern w:val="0"/>
      <w:sz w:val="21"/>
      <w:lang w:eastAsia="en-US"/>
    </w:rPr>
  </w:style>
  <w:style w:type="paragraph" w:customStyle="1" w:styleId="299">
    <w:name w:val="正文文本1"/>
    <w:basedOn w:val="1"/>
    <w:qFormat/>
    <w:uiPriority w:val="0"/>
    <w:pPr>
      <w:shd w:val="clear" w:color="auto" w:fill="FFFFFF"/>
      <w:spacing w:line="422" w:lineRule="exact"/>
      <w:jc w:val="distribute"/>
    </w:pPr>
    <w:rPr>
      <w:sz w:val="21"/>
      <w:szCs w:val="24"/>
    </w:rPr>
  </w:style>
  <w:style w:type="paragraph" w:customStyle="1" w:styleId="300">
    <w:name w:val="pa-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01">
    <w:name w:val="hangju01"/>
    <w:basedOn w:val="1"/>
    <w:qFormat/>
    <w:uiPriority w:val="0"/>
    <w:pPr>
      <w:widowControl/>
      <w:spacing w:before="100" w:beforeAutospacing="1" w:after="100" w:afterAutospacing="1" w:line="255" w:lineRule="atLeast"/>
      <w:jc w:val="left"/>
    </w:pPr>
    <w:rPr>
      <w:rFonts w:ascii="宋体" w:hAnsi="宋体" w:cs="宋体"/>
      <w:kern w:val="0"/>
      <w:sz w:val="18"/>
      <w:szCs w:val="18"/>
    </w:rPr>
  </w:style>
  <w:style w:type="paragraph" w:customStyle="1" w:styleId="302">
    <w:name w:val="样式 标题 1 + 宋体 四号 段后: 5 磅 行距: 单倍行距"/>
    <w:basedOn w:val="2"/>
    <w:qFormat/>
    <w:uiPriority w:val="0"/>
    <w:pPr>
      <w:keepNext w:val="0"/>
      <w:keepLines w:val="0"/>
      <w:spacing w:before="120" w:after="100" w:afterAutospacing="1" w:line="240" w:lineRule="auto"/>
      <w:ind w:left="-480" w:leftChars="-200" w:firstLine="482" w:firstLineChars="200"/>
      <w:jc w:val="both"/>
    </w:pPr>
    <w:rPr>
      <w:rFonts w:ascii="宋体" w:hAnsi="宋体"/>
      <w:b w:val="0"/>
      <w:color w:val="000000"/>
      <w:kern w:val="0"/>
      <w:sz w:val="24"/>
      <w:szCs w:val="20"/>
      <w:lang w:val="en-US"/>
    </w:rPr>
  </w:style>
  <w:style w:type="paragraph" w:customStyle="1" w:styleId="303">
    <w:name w:val="正文居中"/>
    <w:basedOn w:val="1"/>
    <w:qFormat/>
    <w:uiPriority w:val="0"/>
    <w:pPr>
      <w:keepNext/>
      <w:widowControl/>
      <w:suppressAutoHyphens/>
      <w:snapToGrid w:val="0"/>
      <w:jc w:val="center"/>
    </w:pPr>
    <w:rPr>
      <w:rFonts w:ascii="仿宋_GB2312" w:hAnsi="宋体" w:eastAsia="仿宋_GB2312"/>
      <w:bCs/>
      <w:sz w:val="32"/>
    </w:rPr>
  </w:style>
  <w:style w:type="paragraph" w:customStyle="1" w:styleId="304">
    <w:name w:val="附录标题2"/>
    <w:basedOn w:val="1"/>
    <w:next w:val="14"/>
    <w:qFormat/>
    <w:uiPriority w:val="0"/>
    <w:pPr>
      <w:tabs>
        <w:tab w:val="left" w:pos="360"/>
        <w:tab w:val="left" w:pos="900"/>
      </w:tabs>
      <w:outlineLvl w:val="0"/>
    </w:pPr>
    <w:rPr>
      <w:rFonts w:ascii="Arial" w:hAnsi="Arial" w:eastAsia="黑体"/>
      <w:sz w:val="24"/>
    </w:rPr>
  </w:style>
  <w:style w:type="paragraph" w:customStyle="1" w:styleId="305">
    <w:name w:val="xl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21"/>
      <w:szCs w:val="21"/>
    </w:rPr>
  </w:style>
  <w:style w:type="paragraph" w:customStyle="1" w:styleId="306">
    <w:name w:val="样式4"/>
    <w:basedOn w:val="3"/>
    <w:qFormat/>
    <w:uiPriority w:val="0"/>
    <w:pPr>
      <w:keepNext w:val="0"/>
      <w:keepLines w:val="0"/>
      <w:tabs>
        <w:tab w:val="left" w:pos="210"/>
      </w:tabs>
      <w:spacing w:before="240" w:after="0" w:line="240" w:lineRule="auto"/>
    </w:pPr>
    <w:rPr>
      <w:rFonts w:ascii="宋体" w:hAnsi="宋体" w:eastAsia="宋体"/>
      <w:b w:val="0"/>
      <w:bCs w:val="0"/>
      <w:kern w:val="2"/>
      <w:sz w:val="36"/>
      <w:szCs w:val="36"/>
      <w:lang w:val="en-US"/>
    </w:rPr>
  </w:style>
  <w:style w:type="character" w:customStyle="1" w:styleId="307">
    <w:name w:val="erjibiaoti Char"/>
    <w:link w:val="308"/>
    <w:qFormat/>
    <w:locked/>
    <w:uiPriority w:val="0"/>
    <w:rPr>
      <w:rFonts w:ascii="Times New Roman" w:hAnsi="Times New Roman"/>
      <w:b/>
      <w:color w:val="000000"/>
      <w:sz w:val="28"/>
      <w:szCs w:val="28"/>
    </w:rPr>
  </w:style>
  <w:style w:type="paragraph" w:customStyle="1" w:styleId="308">
    <w:name w:val="erjibiaoti"/>
    <w:basedOn w:val="228"/>
    <w:link w:val="307"/>
    <w:qFormat/>
    <w:uiPriority w:val="0"/>
    <w:pPr>
      <w:numPr>
        <w:ilvl w:val="0"/>
        <w:numId w:val="6"/>
      </w:numPr>
      <w:spacing w:line="360" w:lineRule="auto"/>
      <w:ind w:firstLine="0" w:firstLineChars="0"/>
      <w:outlineLvl w:val="1"/>
    </w:pPr>
    <w:rPr>
      <w:rFonts w:eastAsiaTheme="minorEastAsia" w:cstheme="minorBidi"/>
      <w:b/>
      <w:color w:val="000000"/>
      <w:szCs w:val="28"/>
    </w:rPr>
  </w:style>
  <w:style w:type="character" w:customStyle="1" w:styleId="309">
    <w:name w:val="样式1-yjbt Char"/>
    <w:link w:val="310"/>
    <w:qFormat/>
    <w:locked/>
    <w:uiPriority w:val="0"/>
    <w:rPr>
      <w:rFonts w:ascii="Times New Roman" w:hAnsi="Times New Roman"/>
      <w:b/>
      <w:sz w:val="32"/>
      <w:szCs w:val="32"/>
    </w:rPr>
  </w:style>
  <w:style w:type="paragraph" w:customStyle="1" w:styleId="310">
    <w:name w:val="样式1-yjbt"/>
    <w:basedOn w:val="228"/>
    <w:link w:val="309"/>
    <w:qFormat/>
    <w:uiPriority w:val="0"/>
    <w:pPr>
      <w:spacing w:line="360" w:lineRule="auto"/>
      <w:ind w:left="420" w:hanging="420" w:firstLineChars="0"/>
      <w:jc w:val="center"/>
      <w:outlineLvl w:val="0"/>
    </w:pPr>
    <w:rPr>
      <w:rFonts w:eastAsiaTheme="minorEastAsia" w:cstheme="minorBidi"/>
      <w:b/>
      <w:sz w:val="32"/>
      <w:szCs w:val="32"/>
    </w:rPr>
  </w:style>
  <w:style w:type="character" w:customStyle="1" w:styleId="311">
    <w:name w:val="样式2-ejbt Char"/>
    <w:link w:val="312"/>
    <w:qFormat/>
    <w:locked/>
    <w:uiPriority w:val="0"/>
    <w:rPr>
      <w:rFonts w:ascii="Times New Roman" w:hAnsi="Times New Roman"/>
      <w:b/>
      <w:color w:val="000000"/>
      <w:sz w:val="28"/>
      <w:szCs w:val="28"/>
    </w:rPr>
  </w:style>
  <w:style w:type="paragraph" w:customStyle="1" w:styleId="312">
    <w:name w:val="样式2-ejbt"/>
    <w:basedOn w:val="308"/>
    <w:link w:val="311"/>
    <w:qFormat/>
    <w:uiPriority w:val="0"/>
    <w:pPr>
      <w:numPr>
        <w:ilvl w:val="0"/>
        <w:numId w:val="7"/>
      </w:numPr>
      <w:ind w:left="426" w:hanging="426"/>
    </w:pPr>
  </w:style>
  <w:style w:type="character" w:customStyle="1" w:styleId="313">
    <w:name w:val="样式3-sjbt Char"/>
    <w:link w:val="314"/>
    <w:qFormat/>
    <w:locked/>
    <w:uiPriority w:val="0"/>
    <w:rPr>
      <w:rFonts w:ascii="Times New Roman" w:hAnsi="Times New Roman"/>
      <w:sz w:val="24"/>
      <w:szCs w:val="24"/>
    </w:rPr>
  </w:style>
  <w:style w:type="paragraph" w:customStyle="1" w:styleId="314">
    <w:name w:val="样式3-sjbt"/>
    <w:basedOn w:val="228"/>
    <w:link w:val="313"/>
    <w:qFormat/>
    <w:uiPriority w:val="0"/>
    <w:pPr>
      <w:numPr>
        <w:ilvl w:val="1"/>
        <w:numId w:val="8"/>
      </w:numPr>
      <w:spacing w:line="360" w:lineRule="auto"/>
      <w:ind w:left="709" w:hanging="709" w:firstLineChars="0"/>
      <w:outlineLvl w:val="2"/>
    </w:pPr>
    <w:rPr>
      <w:rFonts w:eastAsiaTheme="minorEastAsia" w:cstheme="minorBidi"/>
      <w:sz w:val="24"/>
      <w:szCs w:val="24"/>
    </w:rPr>
  </w:style>
  <w:style w:type="paragraph" w:customStyle="1" w:styleId="315">
    <w:name w:val="正文缩进11"/>
    <w:basedOn w:val="1"/>
    <w:qFormat/>
    <w:uiPriority w:val="0"/>
    <w:pPr>
      <w:ind w:firstLine="420"/>
    </w:pPr>
    <w:rPr>
      <w:sz w:val="21"/>
    </w:rPr>
  </w:style>
  <w:style w:type="paragraph" w:customStyle="1" w:styleId="316">
    <w:name w:val="日期11"/>
    <w:basedOn w:val="1"/>
    <w:next w:val="1"/>
    <w:qFormat/>
    <w:uiPriority w:val="0"/>
    <w:pPr>
      <w:tabs>
        <w:tab w:val="left" w:pos="425"/>
      </w:tabs>
      <w:autoSpaceDE w:val="0"/>
      <w:autoSpaceDN w:val="0"/>
      <w:adjustRightInd w:val="0"/>
      <w:spacing w:before="60" w:after="60" w:line="312" w:lineRule="atLeast"/>
      <w:ind w:left="425" w:hanging="425"/>
      <w:jc w:val="right"/>
    </w:pPr>
    <w:rPr>
      <w:kern w:val="0"/>
      <w:sz w:val="44"/>
      <w:szCs w:val="24"/>
    </w:rPr>
  </w:style>
  <w:style w:type="character" w:customStyle="1" w:styleId="317">
    <w:name w:val="style51"/>
    <w:qFormat/>
    <w:uiPriority w:val="0"/>
    <w:rPr>
      <w:color w:val="000000"/>
      <w:sz w:val="18"/>
    </w:rPr>
  </w:style>
  <w:style w:type="character" w:customStyle="1" w:styleId="318">
    <w:name w:val="Char Char13"/>
    <w:uiPriority w:val="0"/>
    <w:rPr>
      <w:rFonts w:hint="default" w:ascii="Times New Roman" w:hAnsi="Times New Roman" w:eastAsia="宋体" w:cs="Times New Roman"/>
      <w:sz w:val="18"/>
      <w:szCs w:val="18"/>
    </w:rPr>
  </w:style>
  <w:style w:type="character" w:customStyle="1" w:styleId="319">
    <w:name w:val="Char Char9"/>
    <w:qFormat/>
    <w:uiPriority w:val="0"/>
    <w:rPr>
      <w:rFonts w:hint="default" w:ascii="Times New Roman" w:hAnsi="Times New Roman" w:eastAsia="宋体" w:cs="Times New Roman"/>
      <w:color w:val="000000"/>
      <w:szCs w:val="24"/>
    </w:rPr>
  </w:style>
  <w:style w:type="character" w:customStyle="1" w:styleId="320">
    <w:name w:val="Char Char12"/>
    <w:uiPriority w:val="0"/>
    <w:rPr>
      <w:rFonts w:hint="default" w:ascii="Times New Roman" w:hAnsi="Times New Roman" w:eastAsia="宋体" w:cs="Times New Roman"/>
      <w:sz w:val="18"/>
      <w:szCs w:val="18"/>
    </w:rPr>
  </w:style>
  <w:style w:type="character" w:customStyle="1" w:styleId="321">
    <w:name w:val="正文文本 3 Char2"/>
    <w:semiHidden/>
    <w:uiPriority w:val="99"/>
    <w:rPr>
      <w:rFonts w:hint="default" w:ascii="Times New Roman" w:hAnsi="Times New Roman" w:eastAsia="宋体" w:cs="Times New Roman"/>
      <w:sz w:val="16"/>
      <w:szCs w:val="16"/>
    </w:rPr>
  </w:style>
  <w:style w:type="character" w:customStyle="1" w:styleId="322">
    <w:name w:val="ca-02"/>
    <w:uiPriority w:val="0"/>
    <w:rPr>
      <w:szCs w:val="24"/>
    </w:rPr>
  </w:style>
  <w:style w:type="character" w:customStyle="1" w:styleId="323">
    <w:name w:val="num4"/>
    <w:uiPriority w:val="0"/>
    <w:rPr>
      <w:b/>
      <w:color w:val="FF7800"/>
      <w:szCs w:val="24"/>
    </w:rPr>
  </w:style>
  <w:style w:type="character" w:customStyle="1" w:styleId="324">
    <w:name w:val="样式 标题 3h33rd level + 宋体 小四 左侧:  0 厘米 首行缩进:  0 厘米 段后: 5 磅 ... Char Char"/>
    <w:uiPriority w:val="0"/>
    <w:rPr>
      <w:rFonts w:hint="eastAsia" w:ascii="宋体" w:hAnsi="宋体" w:eastAsia="宋体" w:cs="宋体"/>
      <w:b/>
      <w:bCs/>
      <w:kern w:val="2"/>
      <w:sz w:val="24"/>
      <w:szCs w:val="24"/>
      <w:lang w:val="en-US" w:eastAsia="zh-CN" w:bidi="ar-SA"/>
    </w:rPr>
  </w:style>
  <w:style w:type="character" w:customStyle="1" w:styleId="325">
    <w:name w:val="bds_more3"/>
    <w:uiPriority w:val="0"/>
    <w:rPr>
      <w:szCs w:val="24"/>
    </w:rPr>
  </w:style>
  <w:style w:type="character" w:customStyle="1" w:styleId="326">
    <w:name w:val="样式正文带标题2 Char Char"/>
    <w:uiPriority w:val="0"/>
    <w:rPr>
      <w:rFonts w:hint="eastAsia" w:ascii="宋体" w:hAnsi="宋体" w:eastAsia="宋体"/>
      <w:b/>
      <w:bCs/>
      <w:kern w:val="44"/>
      <w:sz w:val="24"/>
      <w:szCs w:val="44"/>
      <w:lang w:val="en-US" w:eastAsia="zh-CN" w:bidi="ar-SA"/>
    </w:rPr>
  </w:style>
  <w:style w:type="character" w:customStyle="1" w:styleId="327">
    <w:name w:val="c31"/>
    <w:uiPriority w:val="0"/>
    <w:rPr>
      <w:color w:val="333333"/>
      <w:szCs w:val="24"/>
    </w:rPr>
  </w:style>
  <w:style w:type="character" w:customStyle="1" w:styleId="328">
    <w:name w:val="Char Char19"/>
    <w:uiPriority w:val="0"/>
    <w:rPr>
      <w:rFonts w:hint="default" w:ascii="Arial" w:hAnsi="Arial" w:eastAsia="黑体" w:cs="Times New Roman"/>
      <w:sz w:val="24"/>
      <w:szCs w:val="24"/>
    </w:rPr>
  </w:style>
  <w:style w:type="character" w:customStyle="1" w:styleId="329">
    <w:name w:val="Char Char14"/>
    <w:uiPriority w:val="0"/>
    <w:rPr>
      <w:sz w:val="18"/>
      <w:szCs w:val="18"/>
    </w:rPr>
  </w:style>
  <w:style w:type="character" w:customStyle="1" w:styleId="330">
    <w:name w:val="bds_more4"/>
    <w:qFormat/>
    <w:uiPriority w:val="0"/>
    <w:rPr>
      <w:szCs w:val="24"/>
    </w:rPr>
  </w:style>
  <w:style w:type="character" w:customStyle="1" w:styleId="331">
    <w:name w:val="bds_more2"/>
    <w:uiPriority w:val="0"/>
    <w:rPr>
      <w:szCs w:val="24"/>
    </w:rPr>
  </w:style>
  <w:style w:type="character" w:customStyle="1" w:styleId="332">
    <w:name w:val="bds_nopic2"/>
    <w:uiPriority w:val="0"/>
    <w:rPr>
      <w:szCs w:val="24"/>
    </w:rPr>
  </w:style>
  <w:style w:type="character" w:customStyle="1" w:styleId="333">
    <w:name w:val="neirong1"/>
    <w:uiPriority w:val="0"/>
    <w:rPr>
      <w:sz w:val="21"/>
      <w:szCs w:val="21"/>
    </w:rPr>
  </w:style>
  <w:style w:type="character" w:customStyle="1" w:styleId="334">
    <w:name w:val="Char Char18"/>
    <w:uiPriority w:val="0"/>
    <w:rPr>
      <w:rFonts w:hint="default" w:ascii="Arial" w:hAnsi="Arial" w:eastAsia="黑体" w:cs="Times New Roman"/>
      <w:szCs w:val="24"/>
    </w:rPr>
  </w:style>
  <w:style w:type="character" w:customStyle="1" w:styleId="335">
    <w:name w:val="Char Char11"/>
    <w:uiPriority w:val="0"/>
    <w:rPr>
      <w:rFonts w:hint="default" w:ascii="Times New Roman" w:hAnsi="Times New Roman" w:eastAsia="宋体" w:cs="Times New Roman"/>
      <w:color w:val="000000"/>
      <w:sz w:val="24"/>
      <w:szCs w:val="24"/>
    </w:rPr>
  </w:style>
  <w:style w:type="character" w:customStyle="1" w:styleId="336">
    <w:name w:val="Char Char20"/>
    <w:qFormat/>
    <w:uiPriority w:val="0"/>
    <w:rPr>
      <w:rFonts w:hint="default" w:ascii="Times New Roman" w:hAnsi="Times New Roman" w:eastAsia="宋体" w:cs="Times New Roman"/>
      <w:b/>
      <w:sz w:val="24"/>
      <w:szCs w:val="24"/>
    </w:rPr>
  </w:style>
  <w:style w:type="character" w:customStyle="1" w:styleId="337">
    <w:name w:val="Char Char17"/>
    <w:qFormat/>
    <w:uiPriority w:val="0"/>
    <w:rPr>
      <w:rFonts w:hint="eastAsia" w:ascii="宋体" w:hAnsi="宋体" w:eastAsia="宋体"/>
      <w:szCs w:val="21"/>
    </w:rPr>
  </w:style>
  <w:style w:type="character" w:customStyle="1" w:styleId="338">
    <w:name w:val="bds_nopic1"/>
    <w:uiPriority w:val="0"/>
    <w:rPr>
      <w:szCs w:val="24"/>
    </w:rPr>
  </w:style>
  <w:style w:type="character" w:customStyle="1" w:styleId="339">
    <w:name w:val="Char Char1"/>
    <w:uiPriority w:val="0"/>
    <w:rPr>
      <w:rFonts w:hint="default" w:ascii="Times New Roman" w:hAnsi="Times New Roman" w:eastAsia="宋体" w:cs="Times New Roman"/>
      <w:sz w:val="24"/>
      <w:szCs w:val="24"/>
    </w:rPr>
  </w:style>
  <w:style w:type="character" w:customStyle="1" w:styleId="340">
    <w:name w:val="num"/>
    <w:uiPriority w:val="0"/>
    <w:rPr>
      <w:b/>
      <w:color w:val="FF7800"/>
      <w:szCs w:val="24"/>
    </w:rPr>
  </w:style>
  <w:style w:type="character" w:customStyle="1" w:styleId="341">
    <w:name w:val="bds_more"/>
    <w:uiPriority w:val="0"/>
    <w:rPr>
      <w:szCs w:val="24"/>
    </w:rPr>
  </w:style>
  <w:style w:type="character" w:customStyle="1" w:styleId="342">
    <w:name w:val="Char Char24"/>
    <w:uiPriority w:val="0"/>
    <w:rPr>
      <w:rFonts w:hint="default" w:ascii="Arial" w:hAnsi="Arial" w:eastAsia="黑体" w:cs="Times New Roman"/>
      <w:b/>
      <w:sz w:val="28"/>
      <w:szCs w:val="24"/>
    </w:rPr>
  </w:style>
  <w:style w:type="character" w:customStyle="1" w:styleId="343">
    <w:name w:val="Char Char27"/>
    <w:qFormat/>
    <w:uiPriority w:val="0"/>
    <w:rPr>
      <w:rFonts w:hint="eastAsia" w:ascii="宋体" w:hAnsi="宋体" w:eastAsia="宋体" w:cs="Times New Roman"/>
      <w:color w:val="000000"/>
      <w:sz w:val="24"/>
      <w:szCs w:val="24"/>
    </w:rPr>
  </w:style>
  <w:style w:type="character" w:customStyle="1" w:styleId="344">
    <w:name w:val="Char Char22"/>
    <w:uiPriority w:val="0"/>
    <w:rPr>
      <w:rFonts w:hint="default" w:ascii="Times New Roman" w:hAnsi="Times New Roman" w:eastAsia="宋体" w:cs="Times New Roman"/>
      <w:b/>
      <w:sz w:val="28"/>
      <w:szCs w:val="24"/>
    </w:rPr>
  </w:style>
  <w:style w:type="character" w:customStyle="1" w:styleId="345">
    <w:name w:val="1 Char"/>
    <w:qFormat/>
    <w:uiPriority w:val="0"/>
    <w:rPr>
      <w:rFonts w:hint="eastAsia" w:ascii="仿宋_GB2312" w:hAnsi="宋体" w:eastAsia="仿宋_GB2312"/>
      <w:kern w:val="2"/>
      <w:sz w:val="24"/>
      <w:szCs w:val="28"/>
      <w:lang w:val="en-US" w:eastAsia="zh-CN" w:bidi="ar-SA"/>
    </w:rPr>
  </w:style>
  <w:style w:type="character" w:customStyle="1" w:styleId="346">
    <w:name w:val="Char Char21"/>
    <w:uiPriority w:val="0"/>
    <w:rPr>
      <w:rFonts w:hint="default" w:ascii="Arial" w:hAnsi="Arial" w:eastAsia="黑体" w:cs="Times New Roman"/>
      <w:b/>
      <w:sz w:val="24"/>
      <w:szCs w:val="24"/>
    </w:rPr>
  </w:style>
  <w:style w:type="character" w:customStyle="1" w:styleId="347">
    <w:name w:val="bds_nopic"/>
    <w:uiPriority w:val="0"/>
    <w:rPr>
      <w:szCs w:val="24"/>
    </w:rPr>
  </w:style>
  <w:style w:type="character" w:customStyle="1" w:styleId="348">
    <w:name w:val="标题 4 Char Char"/>
    <w:uiPriority w:val="0"/>
    <w:rPr>
      <w:rFonts w:hint="eastAsia" w:ascii="宋体" w:hAnsi="宋体" w:eastAsia="宋体" w:cs="Times New Roman"/>
      <w:b/>
      <w:kern w:val="2"/>
      <w:sz w:val="24"/>
      <w:szCs w:val="24"/>
      <w:lang w:val="en-US" w:eastAsia="zh-CN" w:bidi="ar-SA"/>
    </w:rPr>
  </w:style>
  <w:style w:type="character" w:customStyle="1" w:styleId="349">
    <w:name w:val="Char Char8"/>
    <w:uiPriority w:val="0"/>
    <w:rPr>
      <w:rFonts w:hint="eastAsia" w:ascii="宋体" w:hAnsi="宋体" w:eastAsia="宋体"/>
      <w:szCs w:val="21"/>
    </w:rPr>
  </w:style>
  <w:style w:type="character" w:customStyle="1" w:styleId="350">
    <w:name w:val="Char Char25"/>
    <w:uiPriority w:val="0"/>
    <w:rPr>
      <w:rFonts w:hint="default" w:ascii="Times New Roman" w:hAnsi="Times New Roman" w:eastAsia="宋体" w:cs="Times New Roman"/>
      <w:b/>
      <w:kern w:val="0"/>
      <w:szCs w:val="24"/>
    </w:rPr>
  </w:style>
  <w:style w:type="character" w:customStyle="1" w:styleId="351">
    <w:name w:val="Char Char15"/>
    <w:uiPriority w:val="0"/>
    <w:rPr>
      <w:rFonts w:hint="default" w:ascii="Times New Roman" w:hAnsi="Times New Roman" w:eastAsia="宋体" w:cs="Times New Roman"/>
      <w:b/>
      <w:bCs/>
      <w:kern w:val="0"/>
      <w:sz w:val="24"/>
      <w:szCs w:val="24"/>
    </w:rPr>
  </w:style>
  <w:style w:type="character" w:customStyle="1" w:styleId="352">
    <w:name w:val="Char Char16"/>
    <w:qFormat/>
    <w:uiPriority w:val="0"/>
    <w:rPr>
      <w:rFonts w:hint="default" w:ascii="Times New Roman" w:hAnsi="Times New Roman" w:eastAsia="宋体" w:cs="Times New Roman"/>
      <w:szCs w:val="24"/>
    </w:rPr>
  </w:style>
  <w:style w:type="character" w:customStyle="1" w:styleId="353">
    <w:name w:val="Char Char23"/>
    <w:uiPriority w:val="0"/>
    <w:rPr>
      <w:rFonts w:hint="default" w:ascii="Arial" w:hAnsi="Arial" w:eastAsia="黑体" w:cs="Times New Roman"/>
      <w:b/>
      <w:kern w:val="0"/>
      <w:sz w:val="30"/>
      <w:szCs w:val="24"/>
    </w:rPr>
  </w:style>
  <w:style w:type="character" w:customStyle="1" w:styleId="354">
    <w:name w:val="Char Char7"/>
    <w:uiPriority w:val="0"/>
    <w:rPr>
      <w:rFonts w:hint="default" w:ascii="Times New Roman" w:hAnsi="Times New Roman" w:eastAsia="宋体" w:cs="Times New Roman"/>
      <w:sz w:val="24"/>
      <w:szCs w:val="24"/>
    </w:rPr>
  </w:style>
  <w:style w:type="character" w:customStyle="1" w:styleId="355">
    <w:name w:val="c-red1"/>
    <w:uiPriority w:val="0"/>
    <w:rPr>
      <w:color w:val="FF0000"/>
      <w:szCs w:val="24"/>
    </w:rPr>
  </w:style>
  <w:style w:type="character" w:customStyle="1" w:styleId="356">
    <w:name w:val="Char Char26"/>
    <w:qFormat/>
    <w:uiPriority w:val="0"/>
    <w:rPr>
      <w:rFonts w:hint="default" w:ascii="Arial" w:hAnsi="Arial" w:eastAsia="黑体" w:cs="Times New Roman"/>
      <w:b/>
      <w:kern w:val="0"/>
      <w:sz w:val="30"/>
      <w:szCs w:val="24"/>
    </w:rPr>
  </w:style>
  <w:style w:type="character" w:customStyle="1" w:styleId="357">
    <w:name w:val="Char Char2"/>
    <w:uiPriority w:val="0"/>
    <w:rPr>
      <w:rFonts w:hint="default" w:ascii="Times New Roman" w:hAnsi="Times New Roman" w:eastAsia="宋体" w:cs="Times New Roman"/>
      <w:szCs w:val="24"/>
    </w:rPr>
  </w:style>
  <w:style w:type="character" w:customStyle="1" w:styleId="358">
    <w:name w:val="Char Char3"/>
    <w:uiPriority w:val="0"/>
    <w:rPr>
      <w:sz w:val="16"/>
      <w:szCs w:val="16"/>
    </w:rPr>
  </w:style>
  <w:style w:type="character" w:customStyle="1" w:styleId="359">
    <w:name w:val="Char Char6"/>
    <w:uiPriority w:val="0"/>
    <w:rPr>
      <w:rFonts w:hint="default" w:ascii="Times New Roman" w:hAnsi="Times New Roman" w:eastAsia="宋体" w:cs="Times New Roman"/>
      <w:kern w:val="0"/>
      <w:sz w:val="24"/>
      <w:szCs w:val="24"/>
    </w:rPr>
  </w:style>
  <w:style w:type="character" w:customStyle="1" w:styleId="360">
    <w:name w:val="bds_more1"/>
    <w:qFormat/>
    <w:uiPriority w:val="0"/>
    <w:rPr>
      <w:rFonts w:hint="eastAsia" w:ascii="宋体" w:hAnsi="宋体" w:eastAsia="宋体" w:cs="宋体"/>
      <w:szCs w:val="24"/>
    </w:rPr>
  </w:style>
  <w:style w:type="character" w:customStyle="1" w:styleId="361">
    <w:name w:val="legend"/>
    <w:uiPriority w:val="0"/>
    <w:rPr>
      <w:color w:val="73B304"/>
      <w:szCs w:val="24"/>
      <w:shd w:val="clear" w:color="auto" w:fill="FFFFFF"/>
    </w:rPr>
  </w:style>
  <w:style w:type="character" w:customStyle="1" w:styleId="362">
    <w:name w:val="正文文本 3 Char3"/>
    <w:semiHidden/>
    <w:uiPriority w:val="99"/>
    <w:rPr>
      <w:rFonts w:hint="default" w:ascii="Times New Roman" w:hAnsi="Times New Roman" w:cs="Times New Roman"/>
      <w:kern w:val="2"/>
      <w:sz w:val="16"/>
      <w:szCs w:val="16"/>
    </w:rPr>
  </w:style>
  <w:style w:type="character" w:customStyle="1" w:styleId="363">
    <w:name w:val="批注文字 Char1"/>
    <w:locked/>
    <w:uiPriority w:val="99"/>
    <w:rPr>
      <w:rFonts w:ascii="Times New Roman" w:hAnsi="Times New Roman"/>
      <w:kern w:val="2"/>
      <w:sz w:val="21"/>
      <w:szCs w:val="24"/>
    </w:rPr>
  </w:style>
  <w:style w:type="character" w:customStyle="1" w:styleId="364">
    <w:name w:val="批注主题 Char1"/>
    <w:semiHidden/>
    <w:uiPriority w:val="99"/>
    <w:rPr>
      <w:rFonts w:ascii="Times New Roman" w:hAnsi="Times New Roman"/>
      <w:b/>
      <w:bCs/>
      <w:kern w:val="2"/>
      <w:sz w:val="21"/>
      <w:szCs w:val="24"/>
    </w:rPr>
  </w:style>
  <w:style w:type="character" w:customStyle="1" w:styleId="365">
    <w:name w:val="文档结构图 Char1"/>
    <w:semiHidden/>
    <w:uiPriority w:val="99"/>
    <w:rPr>
      <w:rFonts w:hint="eastAsia" w:ascii="宋体" w:hAnsi="Times New Roman" w:eastAsia="宋体"/>
      <w:kern w:val="2"/>
      <w:sz w:val="18"/>
      <w:szCs w:val="18"/>
    </w:rPr>
  </w:style>
  <w:style w:type="character" w:customStyle="1" w:styleId="366">
    <w:name w:val="纯文本 Char2"/>
    <w:semiHidden/>
    <w:uiPriority w:val="99"/>
    <w:rPr>
      <w:rFonts w:hint="eastAsia" w:ascii="宋体" w:hAnsi="Courier New" w:eastAsia="宋体" w:cs="Courier New"/>
      <w:kern w:val="2"/>
      <w:sz w:val="21"/>
      <w:szCs w:val="21"/>
    </w:rPr>
  </w:style>
  <w:style w:type="character" w:customStyle="1" w:styleId="367">
    <w:name w:val="页眉 Char2"/>
    <w:semiHidden/>
    <w:uiPriority w:val="99"/>
    <w:rPr>
      <w:rFonts w:hint="default" w:ascii="Times New Roman" w:hAnsi="Times New Roman" w:cs="Times New Roman"/>
      <w:kern w:val="2"/>
      <w:sz w:val="18"/>
      <w:szCs w:val="18"/>
    </w:rPr>
  </w:style>
  <w:style w:type="character" w:customStyle="1" w:styleId="368">
    <w:name w:val="正文文本 2 Char1"/>
    <w:semiHidden/>
    <w:uiPriority w:val="99"/>
    <w:rPr>
      <w:rFonts w:hint="default" w:ascii="Times New Roman" w:hAnsi="Times New Roman" w:cs="Times New Roman"/>
      <w:kern w:val="2"/>
      <w:sz w:val="21"/>
      <w:szCs w:val="24"/>
    </w:rPr>
  </w:style>
  <w:style w:type="character" w:customStyle="1" w:styleId="369">
    <w:name w:val="题注 Char"/>
    <w:link w:val="15"/>
    <w:semiHidden/>
    <w:locked/>
    <w:uiPriority w:val="0"/>
    <w:rPr>
      <w:rFonts w:ascii="Cambria" w:hAnsi="Cambria" w:eastAsia="黑体" w:cs="Times New Roman"/>
      <w:sz w:val="20"/>
      <w:szCs w:val="20"/>
    </w:rPr>
  </w:style>
  <w:style w:type="paragraph" w:customStyle="1" w:styleId="370">
    <w:name w:val="样式 标题 3 + (中文) 黑体 小四 非加粗 段前: 7.8 磅 段后: 0 磅 行距: 固定值 20 磅"/>
    <w:basedOn w:val="4"/>
    <w:qFormat/>
    <w:uiPriority w:val="0"/>
    <w:pPr>
      <w:spacing w:beforeLines="50" w:after="0" w:line="400" w:lineRule="exact"/>
    </w:pPr>
    <w:rPr>
      <w:rFonts w:eastAsia="黑体" w:cs="宋体"/>
      <w:bCs w:val="0"/>
      <w:kern w:val="2"/>
      <w:sz w:val="24"/>
      <w:szCs w:val="20"/>
      <w:lang w:val="en-US"/>
    </w:rPr>
  </w:style>
  <w:style w:type="paragraph" w:customStyle="1" w:styleId="371">
    <w:name w:val="样式 标题 2 + Times New Roman 四号 非加粗 段前: 5 磅 段后: 0 磅 行距: 固定值 20..."/>
    <w:basedOn w:val="3"/>
    <w:uiPriority w:val="0"/>
    <w:pPr>
      <w:spacing w:before="100" w:after="0" w:line="400" w:lineRule="exact"/>
    </w:pPr>
    <w:rPr>
      <w:rFonts w:ascii="Times New Roman" w:hAnsi="Times New Roman" w:cs="宋体"/>
      <w:b w:val="0"/>
      <w:bCs w:val="0"/>
      <w:kern w:val="2"/>
      <w:sz w:val="28"/>
      <w:szCs w:val="20"/>
      <w:lang w:val="en-U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93</Pages>
  <Words>34087</Words>
  <Characters>35161</Characters>
  <Lines>287</Lines>
  <Paragraphs>80</Paragraphs>
  <TotalTime>0</TotalTime>
  <ScaleCrop>false</ScaleCrop>
  <LinksUpToDate>false</LinksUpToDate>
  <CharactersWithSpaces>35833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2015-08-14T02:05:00Z</dcterms:created>
  <dc:creator>friend_xiaoteng@sina.com</dc:creator>
  <cp:lastModifiedBy>零度time</cp:lastModifiedBy>
  <cp:lastPrinted>2017-07-14T02:43:00Z</cp:lastPrinted>
  <dcterms:modified xsi:type="dcterms:W3CDTF">2023-08-23T09:32:34Z</dcterms:modified>
  <cp:revision>189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4BC6678DF9DD4ADA90345B0FDFC055A0_13</vt:lpwstr>
  </property>
</Properties>
</file>