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鄂尔多斯市杭锦旗公共资源交易中心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招 标 文 件</w:t>
      </w:r>
    </w:p>
    <w:p>
      <w:pPr>
        <w:tabs>
          <w:tab w:val="left" w:pos="315"/>
          <w:tab w:val="left" w:pos="8820"/>
        </w:tabs>
        <w:spacing w:line="360" w:lineRule="auto"/>
        <w:ind w:right="356" w:rightChars="127"/>
        <w:rPr>
          <w:rFonts w:ascii="宋体" w:hAnsi="宋体"/>
          <w:b/>
          <w:kern w:val="0"/>
          <w:szCs w:val="28"/>
          <w:lang w:val="zh-CN"/>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beforeLines="100" w:afterLines="50" w:line="360" w:lineRule="auto"/>
        <w:ind w:right="356" w:rightChars="127"/>
        <w:jc w:val="center"/>
        <w:rPr>
          <w:rFonts w:ascii="宋体" w:hAnsi="宋体"/>
          <w:b/>
          <w:szCs w:val="28"/>
        </w:rPr>
      </w:pPr>
      <w:r>
        <w:rPr>
          <w:rFonts w:hint="eastAsia" w:ascii="宋体" w:hAnsi="宋体"/>
          <w:b/>
          <w:szCs w:val="28"/>
        </w:rPr>
        <w:t>服务类</w:t>
      </w:r>
    </w:p>
    <w:p>
      <w:pPr>
        <w:tabs>
          <w:tab w:val="left" w:pos="315"/>
          <w:tab w:val="left" w:pos="8820"/>
        </w:tabs>
        <w:spacing w:beforeLines="100" w:afterLines="50" w:line="360" w:lineRule="auto"/>
        <w:ind w:right="356" w:rightChars="127"/>
        <w:jc w:val="center"/>
        <w:rPr>
          <w:rFonts w:ascii="宋体" w:hAnsi="宋体"/>
          <w:b/>
          <w:bCs/>
          <w:szCs w:val="28"/>
        </w:rPr>
      </w:pPr>
      <w:r>
        <w:rPr>
          <w:rFonts w:hint="eastAsia" w:ascii="宋体" w:hAnsi="宋体"/>
          <w:b/>
          <w:szCs w:val="28"/>
        </w:rPr>
        <w:t>综合评分法</w:t>
      </w:r>
    </w:p>
    <w:p>
      <w:pPr>
        <w:tabs>
          <w:tab w:val="left" w:pos="315"/>
          <w:tab w:val="left" w:pos="8820"/>
        </w:tabs>
        <w:spacing w:line="360" w:lineRule="auto"/>
        <w:ind w:right="356" w:rightChars="127"/>
        <w:rPr>
          <w:rFonts w:ascii="宋体" w:hAnsi="宋体"/>
          <w:szCs w:val="28"/>
        </w:rPr>
      </w:pPr>
      <w:r>
        <w:rPr>
          <w:rFonts w:hint="eastAsia" w:ascii="宋体" w:hAnsi="宋体"/>
          <w:szCs w:val="28"/>
        </w:rPr>
        <w:t xml:space="preserve">    </w:t>
      </w:r>
    </w:p>
    <w:p>
      <w:pPr>
        <w:pStyle w:val="12"/>
        <w:spacing w:line="360" w:lineRule="auto"/>
        <w:ind w:left="2476" w:leftChars="337" w:hanging="1532" w:hangingChars="545"/>
        <w:rPr>
          <w:rFonts w:ascii="宋体" w:hAnsi="宋体" w:eastAsia="宋体"/>
          <w:szCs w:val="28"/>
        </w:rPr>
      </w:pPr>
      <w:r>
        <w:rPr>
          <w:rFonts w:hint="eastAsia" w:ascii="宋体" w:hAnsi="宋体" w:eastAsia="宋体"/>
          <w:szCs w:val="28"/>
        </w:rPr>
        <w:t>项目名称：杭锦旗应急管理局采购测试评估认证服务项目</w:t>
      </w:r>
    </w:p>
    <w:p>
      <w:pPr>
        <w:pStyle w:val="12"/>
        <w:spacing w:line="360" w:lineRule="auto"/>
        <w:ind w:left="2335" w:leftChars="337" w:hanging="1391" w:hangingChars="495"/>
        <w:rPr>
          <w:rFonts w:ascii="宋体" w:hAnsi="宋体" w:eastAsia="宋体"/>
          <w:szCs w:val="28"/>
        </w:rPr>
      </w:pPr>
      <w:r>
        <w:rPr>
          <w:rFonts w:hint="eastAsia" w:ascii="宋体" w:hAnsi="宋体" w:eastAsia="宋体"/>
          <w:szCs w:val="28"/>
        </w:rPr>
        <w:t>项目编号：CG2019FGK2333（内部业务科受理编号：2019CGHZ0090）</w:t>
      </w:r>
    </w:p>
    <w:p>
      <w:pPr>
        <w:pStyle w:val="12"/>
        <w:spacing w:line="360" w:lineRule="auto"/>
        <w:ind w:left="2335" w:leftChars="337" w:hanging="1391" w:hangingChars="495"/>
        <w:rPr>
          <w:rFonts w:ascii="宋体" w:hAnsi="宋体" w:eastAsia="宋体"/>
          <w:szCs w:val="28"/>
        </w:rPr>
      </w:pPr>
    </w:p>
    <w:p>
      <w:pPr>
        <w:pStyle w:val="12"/>
        <w:spacing w:line="360" w:lineRule="auto"/>
        <w:rPr>
          <w:rFonts w:ascii="宋体" w:hAnsi="宋体" w:eastAsia="宋体"/>
          <w:szCs w:val="28"/>
        </w:rPr>
      </w:pPr>
    </w:p>
    <w:p>
      <w:pPr>
        <w:rPr>
          <w:rFonts w:ascii="宋体" w:hAnsi="宋体"/>
          <w:szCs w:val="28"/>
        </w:rPr>
      </w:pPr>
      <w:r>
        <w:rPr>
          <w:rFonts w:hint="eastAsia" w:ascii="宋体" w:hAnsi="宋体"/>
          <w:szCs w:val="28"/>
        </w:rPr>
        <w:t xml:space="preserve">                   2019年12月25日</w:t>
      </w:r>
    </w:p>
    <w:p>
      <w:pPr>
        <w:rPr>
          <w:rFonts w:ascii="宋体" w:hAnsi="宋体"/>
          <w:szCs w:val="28"/>
        </w:rPr>
      </w:pPr>
    </w:p>
    <w:p>
      <w:pPr>
        <w:pStyle w:val="48"/>
        <w:keepNext w:val="0"/>
        <w:keepLines w:val="0"/>
        <w:spacing w:before="0" w:line="360" w:lineRule="auto"/>
        <w:jc w:val="center"/>
        <w:rPr>
          <w:rFonts w:ascii="宋体" w:hAnsi="宋体"/>
          <w:color w:val="auto"/>
        </w:rPr>
      </w:pPr>
      <w:r>
        <w:rPr>
          <w:rFonts w:hint="eastAsia" w:ascii="宋体" w:hAnsi="宋体"/>
          <w:color w:val="auto"/>
        </w:rPr>
        <w:t>目   录</w:t>
      </w:r>
    </w:p>
    <w:p>
      <w:pPr>
        <w:pStyle w:val="19"/>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"_Toc497408623" </w:instrText>
      </w:r>
      <w:r>
        <w:fldChar w:fldCharType="separate"/>
      </w:r>
      <w:r>
        <w:rPr>
          <w:rStyle w:val="30"/>
          <w:rFonts w:hint="eastAsia" w:ascii="宋体" w:hAnsi="宋体"/>
          <w:color w:val="auto"/>
        </w:rPr>
        <w:t>第一章</w:t>
      </w:r>
      <w:r>
        <w:rPr>
          <w:rStyle w:val="30"/>
          <w:rFonts w:ascii="宋体" w:hAnsi="宋体"/>
          <w:color w:val="auto"/>
        </w:rPr>
        <w:t xml:space="preserve"> </w:t>
      </w:r>
      <w:r>
        <w:rPr>
          <w:rStyle w:val="30"/>
          <w:rFonts w:hint="eastAsia" w:ascii="宋体" w:hAnsi="宋体"/>
          <w:color w:val="auto"/>
        </w:rPr>
        <w:t>招标公告</w:t>
      </w:r>
      <w:r>
        <w:tab/>
      </w:r>
      <w:r>
        <w:fldChar w:fldCharType="begin"/>
      </w:r>
      <w:r>
        <w:instrText xml:space="preserve"> PAGEREF _Toc497408623 \h </w:instrText>
      </w:r>
      <w:r>
        <w:fldChar w:fldCharType="separate"/>
      </w:r>
      <w:r>
        <w:t>2</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"_Toc497408624" </w:instrText>
      </w:r>
      <w:r>
        <w:fldChar w:fldCharType="separate"/>
      </w:r>
      <w:r>
        <w:rPr>
          <w:rStyle w:val="30"/>
          <w:rFonts w:hint="eastAsia" w:ascii="宋体" w:hAnsi="宋体"/>
          <w:color w:val="auto"/>
        </w:rPr>
        <w:t>第二章</w:t>
      </w:r>
      <w:r>
        <w:rPr>
          <w:rStyle w:val="30"/>
          <w:rFonts w:ascii="宋体" w:hAnsi="宋体"/>
          <w:color w:val="auto"/>
        </w:rPr>
        <w:t xml:space="preserve"> </w:t>
      </w:r>
      <w:r>
        <w:rPr>
          <w:rStyle w:val="30"/>
          <w:rFonts w:hint="eastAsia" w:ascii="宋体" w:hAnsi="宋体"/>
          <w:color w:val="auto"/>
        </w:rPr>
        <w:t>投标人须知</w:t>
      </w:r>
      <w:r>
        <w:tab/>
      </w:r>
      <w:r>
        <w:fldChar w:fldCharType="begin"/>
      </w:r>
      <w:r>
        <w:instrText xml:space="preserve"> PAGEREF _Toc497408624 \h </w:instrText>
      </w:r>
      <w:r>
        <w:fldChar w:fldCharType="separate"/>
      </w:r>
      <w:r>
        <w:t>5</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"_Toc497408625" </w:instrText>
      </w:r>
      <w:r>
        <w:fldChar w:fldCharType="separate"/>
      </w:r>
      <w:r>
        <w:rPr>
          <w:rStyle w:val="30"/>
          <w:rFonts w:hint="eastAsia" w:ascii="宋体" w:hAnsi="宋体" w:cs="宋体"/>
          <w:color w:val="auto"/>
        </w:rPr>
        <w:t>第三章</w:t>
      </w:r>
      <w:r>
        <w:rPr>
          <w:rStyle w:val="30"/>
          <w:rFonts w:ascii="宋体" w:hAnsi="宋体" w:cs="宋体"/>
          <w:color w:val="auto"/>
        </w:rPr>
        <w:t xml:space="preserve"> </w:t>
      </w:r>
      <w:r>
        <w:rPr>
          <w:rStyle w:val="30"/>
          <w:rFonts w:hint="eastAsia" w:ascii="宋体" w:hAnsi="宋体" w:cs="宋体"/>
          <w:color w:val="auto"/>
        </w:rPr>
        <w:t>合同与验收</w:t>
      </w:r>
      <w:r>
        <w:tab/>
      </w:r>
      <w:r>
        <w:fldChar w:fldCharType="begin"/>
      </w:r>
      <w:r>
        <w:instrText xml:space="preserve"> PAGEREF _Toc497408625 \h </w:instrText>
      </w:r>
      <w:r>
        <w:fldChar w:fldCharType="separate"/>
      </w:r>
      <w:r>
        <w:t>18</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"_Toc497408626" </w:instrText>
      </w:r>
      <w:r>
        <w:fldChar w:fldCharType="separate"/>
      </w:r>
      <w:r>
        <w:rPr>
          <w:rStyle w:val="30"/>
          <w:rFonts w:hint="eastAsia" w:ascii="宋体" w:hAnsi="宋体"/>
          <w:color w:val="auto"/>
          <w:kern w:val="44"/>
          <w:lang w:val="zh-CN"/>
        </w:rPr>
        <w:t>第四章</w:t>
      </w:r>
      <w:r>
        <w:rPr>
          <w:rStyle w:val="30"/>
          <w:rFonts w:ascii="宋体" w:hAnsi="宋体"/>
          <w:color w:val="auto"/>
          <w:kern w:val="44"/>
          <w:lang w:val="zh-CN"/>
        </w:rPr>
        <w:t xml:space="preserve"> </w:t>
      </w:r>
      <w:r>
        <w:rPr>
          <w:rStyle w:val="30"/>
          <w:rFonts w:hint="eastAsia" w:ascii="宋体" w:hAnsi="宋体"/>
          <w:color w:val="auto"/>
          <w:kern w:val="44"/>
          <w:lang w:val="zh-CN"/>
        </w:rPr>
        <w:t>服务需求</w:t>
      </w:r>
      <w:r>
        <w:tab/>
      </w:r>
      <w:r>
        <w:fldChar w:fldCharType="begin"/>
      </w:r>
      <w:r>
        <w:instrText xml:space="preserve"> PAGEREF _Toc497408626 \h </w:instrText>
      </w:r>
      <w:r>
        <w:fldChar w:fldCharType="separate"/>
      </w:r>
      <w:r>
        <w:t>21</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"_Toc497408627" </w:instrText>
      </w:r>
      <w:r>
        <w:fldChar w:fldCharType="separate"/>
      </w:r>
      <w:r>
        <w:rPr>
          <w:rStyle w:val="30"/>
          <w:rFonts w:hint="eastAsia" w:ascii="宋体" w:hAnsi="宋体"/>
          <w:color w:val="auto"/>
          <w:kern w:val="44"/>
          <w:lang w:val="zh-CN"/>
        </w:rPr>
        <w:t>第五章</w:t>
      </w:r>
      <w:r>
        <w:rPr>
          <w:rStyle w:val="30"/>
          <w:rFonts w:ascii="宋体" w:hAnsi="宋体"/>
          <w:color w:val="auto"/>
          <w:kern w:val="44"/>
          <w:lang w:val="zh-CN"/>
        </w:rPr>
        <w:t xml:space="preserve"> </w:t>
      </w:r>
      <w:r>
        <w:rPr>
          <w:rStyle w:val="30"/>
          <w:rFonts w:hint="eastAsia" w:ascii="宋体" w:hAnsi="宋体"/>
          <w:color w:val="auto"/>
          <w:kern w:val="44"/>
          <w:lang w:val="zh-CN"/>
        </w:rPr>
        <w:t>投标人资格证明及相关文件要求</w:t>
      </w:r>
      <w:r>
        <w:tab/>
      </w:r>
      <w:r>
        <w:fldChar w:fldCharType="begin"/>
      </w:r>
      <w:r>
        <w:instrText xml:space="preserve"> PAGEREF _Toc497408627 \h </w:instrText>
      </w:r>
      <w:r>
        <w:fldChar w:fldCharType="separate"/>
      </w:r>
      <w:r>
        <w:t>24</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"_Toc497408628" </w:instrText>
      </w:r>
      <w:r>
        <w:fldChar w:fldCharType="separate"/>
      </w:r>
      <w:r>
        <w:rPr>
          <w:rStyle w:val="30"/>
          <w:rFonts w:hint="eastAsia" w:ascii="宋体" w:hAnsi="宋体"/>
          <w:color w:val="auto"/>
          <w:kern w:val="44"/>
          <w:lang w:val="zh-CN"/>
        </w:rPr>
        <w:t>第六章</w:t>
      </w:r>
      <w:r>
        <w:rPr>
          <w:rStyle w:val="30"/>
          <w:rFonts w:ascii="宋体" w:hAnsi="宋体"/>
          <w:color w:val="auto"/>
          <w:kern w:val="44"/>
          <w:lang w:val="zh-CN"/>
        </w:rPr>
        <w:t xml:space="preserve"> </w:t>
      </w:r>
      <w:r>
        <w:rPr>
          <w:rStyle w:val="30"/>
          <w:rFonts w:hint="eastAsia" w:ascii="宋体" w:hAnsi="宋体"/>
          <w:color w:val="auto"/>
          <w:kern w:val="44"/>
          <w:lang w:val="zh-CN"/>
        </w:rPr>
        <w:t>评标办法（综合评分法）</w:t>
      </w:r>
      <w:r>
        <w:tab/>
      </w:r>
      <w:r>
        <w:fldChar w:fldCharType="begin"/>
      </w:r>
      <w:r>
        <w:instrText xml:space="preserve"> PAGEREF _Toc497408628 \h </w:instrText>
      </w:r>
      <w:r>
        <w:fldChar w:fldCharType="separate"/>
      </w:r>
      <w:r>
        <w:t>25</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"_Toc497408629" </w:instrText>
      </w:r>
      <w:r>
        <w:fldChar w:fldCharType="separate"/>
      </w:r>
      <w:r>
        <w:rPr>
          <w:rStyle w:val="30"/>
          <w:rFonts w:hint="eastAsia" w:ascii="宋体" w:hAnsi="宋体"/>
          <w:color w:val="auto"/>
        </w:rPr>
        <w:t>第七章</w:t>
      </w:r>
      <w:r>
        <w:rPr>
          <w:rStyle w:val="30"/>
          <w:rFonts w:ascii="宋体" w:hAnsi="宋体"/>
          <w:color w:val="auto"/>
        </w:rPr>
        <w:t xml:space="preserve"> </w:t>
      </w:r>
      <w:r>
        <w:rPr>
          <w:rStyle w:val="30"/>
          <w:rFonts w:hint="eastAsia" w:ascii="宋体" w:hAnsi="宋体"/>
          <w:color w:val="auto"/>
        </w:rPr>
        <w:t>投标文件格式与要求</w:t>
      </w:r>
      <w:r>
        <w:tab/>
      </w:r>
      <w:r>
        <w:fldChar w:fldCharType="begin"/>
      </w:r>
      <w:r>
        <w:instrText xml:space="preserve"> PAGEREF _Toc497408629 \h </w:instrText>
      </w:r>
      <w:r>
        <w:fldChar w:fldCharType="separate"/>
      </w:r>
      <w:r>
        <w:t>31</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"_Toc497408630" </w:instrText>
      </w:r>
      <w:r>
        <w:fldChar w:fldCharType="separate"/>
      </w:r>
      <w:r>
        <w:rPr>
          <w:rStyle w:val="30"/>
          <w:rFonts w:hint="eastAsia" w:ascii="宋体" w:hAnsi="宋体"/>
          <w:color w:val="auto"/>
          <w:lang w:val="zh-CN"/>
        </w:rPr>
        <w:t>温馨提示</w:t>
      </w:r>
      <w:r>
        <w:tab/>
      </w:r>
      <w:r>
        <w:fldChar w:fldCharType="begin"/>
      </w:r>
      <w:r>
        <w:instrText xml:space="preserve"> PAGEREF _Toc497408630 \h </w:instrText>
      </w:r>
      <w:r>
        <w:fldChar w:fldCharType="separate"/>
      </w:r>
      <w:r>
        <w:t>56</w:t>
      </w:r>
      <w:r>
        <w:fldChar w:fldCharType="end"/>
      </w:r>
      <w:r>
        <w:fldChar w:fldCharType="end"/>
      </w:r>
    </w:p>
    <w:p>
      <w:pPr>
        <w:outlineLvl w:val="0"/>
        <w:rPr>
          <w:rFonts w:ascii="宋体" w:hAnsi="宋体"/>
          <w:b/>
          <w:szCs w:val="28"/>
        </w:rPr>
      </w:pPr>
      <w:r>
        <w:rPr>
          <w:rFonts w:ascii="宋体" w:hAnsi="宋体"/>
          <w:b/>
          <w:szCs w:val="28"/>
        </w:rPr>
        <w:fldChar w:fldCharType="end"/>
      </w:r>
      <w:r>
        <w:rPr>
          <w:rFonts w:ascii="宋体" w:hAnsi="宋体"/>
          <w:b/>
          <w:szCs w:val="28"/>
        </w:rPr>
        <w:br w:type="page"/>
      </w:r>
    </w:p>
    <w:p>
      <w:pPr>
        <w:jc w:val="center"/>
        <w:outlineLvl w:val="0"/>
        <w:rPr>
          <w:rFonts w:ascii="宋体" w:hAnsi="宋体"/>
          <w:b/>
          <w:sz w:val="24"/>
          <w:szCs w:val="24"/>
        </w:rPr>
      </w:pPr>
      <w:bookmarkStart w:id="0" w:name="_Toc497408623"/>
      <w:r>
        <w:rPr>
          <w:rFonts w:hint="eastAsia" w:ascii="宋体" w:hAnsi="宋体"/>
          <w:b/>
          <w:sz w:val="24"/>
          <w:szCs w:val="24"/>
        </w:rPr>
        <w:t>第一章 招标公告</w:t>
      </w:r>
      <w:bookmarkEnd w:id="0"/>
    </w:p>
    <w:p>
      <w:pPr>
        <w:spacing w:line="360" w:lineRule="auto"/>
        <w:ind w:firstLine="602" w:firstLineChars="250"/>
        <w:jc w:val="center"/>
        <w:rPr>
          <w:rFonts w:ascii="宋体" w:hAnsi="宋体"/>
          <w:sz w:val="24"/>
          <w:szCs w:val="24"/>
        </w:rPr>
      </w:pPr>
      <w:bookmarkStart w:id="1" w:name="OLE_LINK4"/>
      <w:r>
        <w:rPr>
          <w:rFonts w:hint="eastAsia" w:ascii="宋体" w:hAnsi="宋体"/>
          <w:b/>
          <w:sz w:val="24"/>
          <w:szCs w:val="24"/>
        </w:rPr>
        <w:t>杭锦旗应急管理局采购测试评估认证服务项目公开招标公告</w:t>
      </w:r>
    </w:p>
    <w:p>
      <w:pPr>
        <w:spacing w:line="360" w:lineRule="auto"/>
        <w:ind w:firstLine="600" w:firstLineChars="250"/>
        <w:rPr>
          <w:rFonts w:ascii="宋体" w:hAnsi="宋体"/>
          <w:sz w:val="24"/>
          <w:szCs w:val="24"/>
        </w:rPr>
      </w:pPr>
      <w:bookmarkStart w:id="2" w:name="OLE_LINK3"/>
      <w:r>
        <w:rPr>
          <w:rFonts w:hint="eastAsia" w:ascii="宋体" w:hAnsi="宋体"/>
          <w:sz w:val="24"/>
          <w:szCs w:val="24"/>
        </w:rPr>
        <w:t>鄂尔多斯市杭锦旗公共资源交易中心受杭锦旗应急管理局委托，采用公开招标方式组织采购测试评估认证服务项目。欢迎符合资格条件的投标人前来报名参加。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47"/>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ascii="宋体" w:hAnsi="宋体"/>
          <w:sz w:val="24"/>
          <w:szCs w:val="24"/>
        </w:rPr>
      </w:pPr>
      <w:r>
        <w:rPr>
          <w:rFonts w:hint="eastAsia" w:ascii="宋体" w:hAnsi="宋体"/>
          <w:sz w:val="24"/>
          <w:szCs w:val="24"/>
        </w:rPr>
        <w:t>项目名称：测试评估认证服务项目</w:t>
      </w:r>
    </w:p>
    <w:p>
      <w:pPr>
        <w:spacing w:line="360" w:lineRule="auto"/>
        <w:ind w:firstLine="480" w:firstLineChars="200"/>
        <w:jc w:val="left"/>
        <w:rPr>
          <w:rFonts w:ascii="宋体" w:hAnsi="宋体"/>
          <w:sz w:val="24"/>
          <w:szCs w:val="24"/>
        </w:rPr>
      </w:pPr>
      <w:r>
        <w:rPr>
          <w:rFonts w:hint="eastAsia" w:ascii="宋体" w:hAnsi="宋体"/>
          <w:sz w:val="24"/>
          <w:szCs w:val="24"/>
        </w:rPr>
        <w:t>备案文号：鄂财购备字（电子）［2019］HJ00001号</w:t>
      </w:r>
    </w:p>
    <w:p>
      <w:pPr>
        <w:spacing w:line="360" w:lineRule="auto"/>
        <w:ind w:firstLine="480" w:firstLineChars="200"/>
        <w:jc w:val="left"/>
        <w:rPr>
          <w:rFonts w:ascii="宋体" w:hAnsi="宋体"/>
          <w:sz w:val="24"/>
          <w:szCs w:val="24"/>
        </w:rPr>
      </w:pPr>
      <w:r>
        <w:rPr>
          <w:rFonts w:hint="eastAsia" w:ascii="宋体" w:hAnsi="宋体"/>
          <w:sz w:val="24"/>
          <w:szCs w:val="24"/>
        </w:rPr>
        <w:t>采购文件编号：CG2019FGK2333（内部业务科受理编号：2019CGHZ0090）</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30"/>
        <w:gridCol w:w="1615"/>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测试评估认证服务项目</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1300000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sz w:val="24"/>
          <w:szCs w:val="24"/>
        </w:rPr>
      </w:pPr>
      <w:r>
        <w:rPr>
          <w:rFonts w:hint="eastAsia" w:ascii="宋体" w:hAnsi="宋体"/>
          <w:sz w:val="24"/>
          <w:szCs w:val="24"/>
        </w:rPr>
        <w:t>1.投标人应符合《中华人民共和国政府采购法》第二十二条规定的条件；</w:t>
      </w:r>
    </w:p>
    <w:p>
      <w:pPr>
        <w:spacing w:line="360" w:lineRule="auto"/>
        <w:ind w:firstLine="480" w:firstLineChars="200"/>
        <w:rPr>
          <w:rFonts w:asciiTheme="minorEastAsia" w:hAnsiTheme="minorEastAsia"/>
          <w:sz w:val="24"/>
          <w:szCs w:val="24"/>
        </w:rPr>
      </w:pPr>
      <w:r>
        <w:rPr>
          <w:rFonts w:hint="eastAsia" w:ascii="宋体" w:hAnsi="宋体"/>
          <w:sz w:val="24"/>
          <w:szCs w:val="24"/>
        </w:rPr>
        <w:t>2具</w:t>
      </w:r>
      <w:r>
        <w:rPr>
          <w:rFonts w:hint="eastAsia" w:ascii="宋体" w:hAnsi="宋体" w:cs="宋体"/>
          <w:kern w:val="0"/>
          <w:sz w:val="24"/>
          <w:szCs w:val="24"/>
          <w:lang w:bidi="lo-LA"/>
        </w:rPr>
        <w:t>有安全生产监督管理总局颁发的安全生产标准化一级评审资质或</w:t>
      </w:r>
      <w:r>
        <w:fldChar w:fldCharType="begin"/>
      </w:r>
      <w:r>
        <w:instrText xml:space="preserve"> HYPERLINK "https://baike.so.com/doc/5376042-5612155.html" \t "https://baike.so.com/doc/_blank" </w:instrText>
      </w:r>
      <w:r>
        <w:fldChar w:fldCharType="separate"/>
      </w:r>
      <w:r>
        <w:rPr>
          <w:rFonts w:ascii="宋体" w:hAnsi="宋体" w:cs="宋体"/>
          <w:kern w:val="0"/>
          <w:sz w:val="24"/>
          <w:szCs w:val="24"/>
          <w:lang w:bidi="lo-LA"/>
        </w:rPr>
        <w:t>国家安全生产监督管理总局</w:t>
      </w:r>
      <w:r>
        <w:rPr>
          <w:rFonts w:ascii="宋体" w:hAnsi="宋体" w:cs="宋体"/>
          <w:kern w:val="0"/>
          <w:sz w:val="24"/>
          <w:szCs w:val="24"/>
          <w:lang w:bidi="lo-LA"/>
        </w:rPr>
        <w:fldChar w:fldCharType="end"/>
      </w:r>
      <w:r>
        <w:rPr>
          <w:rFonts w:hint="eastAsia" w:ascii="宋体" w:hAnsi="宋体" w:cs="宋体"/>
          <w:kern w:val="0"/>
          <w:sz w:val="24"/>
          <w:szCs w:val="24"/>
          <w:lang w:bidi="lo-LA"/>
        </w:rPr>
        <w:t>颁发的甲级资质的安全评价机构</w:t>
      </w:r>
      <w:r>
        <w:rPr>
          <w:rFonts w:hint="eastAsia" w:asciiTheme="minorEastAsia" w:hAnsiTheme="minorEastAsia"/>
          <w:sz w:val="24"/>
          <w:szCs w:val="24"/>
        </w:rPr>
        <w:t>。</w:t>
      </w:r>
    </w:p>
    <w:p>
      <w:pPr>
        <w:spacing w:line="360" w:lineRule="auto"/>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符合上述条件的投标人可于2019年12月25日起登录内蒙古自治区政府采购网、内蒙古自治区公共资源交易网、鄂尔多斯市政府采购网或鄂尔多斯市公共资源交易网、杭锦旗公共资源交易网站获取招标文件。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w:t>
      </w:r>
      <w:r>
        <w:rPr>
          <w:rFonts w:ascii="宋体" w:hAnsi="宋体"/>
          <w:sz w:val="24"/>
          <w:szCs w:val="24"/>
        </w:rPr>
        <w:t>http://zfcg.ordos.gov.cn</w:t>
      </w:r>
      <w:r>
        <w:rPr>
          <w:rFonts w:hint="eastAsia" w:ascii="宋体" w:hAnsi="宋体"/>
          <w:sz w:val="24"/>
          <w:szCs w:val="24"/>
        </w:rPr>
        <w:t>）。登陆网站页面，点击“政府采购公告”，查询采购信息，点击信息公告页面中“下载招标文件”可浏览、下载招标文件。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jc w:val="left"/>
        <w:rPr>
          <w:rFonts w:ascii="宋体" w:hAnsi="宋体"/>
          <w:sz w:val="24"/>
          <w:szCs w:val="24"/>
        </w:rPr>
      </w:pPr>
      <w:r>
        <w:rPr>
          <w:rFonts w:hint="eastAsia" w:ascii="宋体" w:hAnsi="宋体"/>
          <w:sz w:val="24"/>
          <w:szCs w:val="24"/>
        </w:rPr>
        <w:t>5.</w:t>
      </w:r>
      <w:r>
        <w:rPr>
          <w:rFonts w:hint="eastAsia" w:asciiTheme="minorEastAsia" w:hAnsiTheme="minorEastAsia" w:eastAsiaTheme="minorEastAsia" w:cstheme="minorEastAsia"/>
          <w:sz w:val="24"/>
          <w:szCs w:val="24"/>
        </w:rPr>
        <w:t xml:space="preserve"> 杭锦旗公共资源交易网（http://www.ordosggzyjy.org.cn/TPFront_hjq/）。登陆网站页面，点击“政府采购”中的“信息公告”栏，查询采购信息，点击信息公告页面左下角“附件”即可浏览、下载招标文件。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递交投标（响应）文件截止时间：2020年1月16日15时00分</w:t>
      </w:r>
    </w:p>
    <w:p>
      <w:pPr>
        <w:spacing w:line="360" w:lineRule="auto"/>
        <w:ind w:firstLine="480" w:firstLineChars="200"/>
        <w:rPr>
          <w:rFonts w:ascii="宋体" w:hAnsi="宋体"/>
          <w:sz w:val="24"/>
          <w:szCs w:val="24"/>
        </w:rPr>
      </w:pPr>
      <w:r>
        <w:rPr>
          <w:rFonts w:hint="eastAsia" w:ascii="宋体" w:hAnsi="宋体"/>
          <w:sz w:val="24"/>
          <w:szCs w:val="24"/>
        </w:rPr>
        <w:t>投标地点：杭锦旗公共资源交易中心六楼开标二室（杭锦旗锡尼镇杭锦大街武装部西荣泰丰地产六楼）</w:t>
      </w:r>
    </w:p>
    <w:p>
      <w:pPr>
        <w:spacing w:line="360" w:lineRule="auto"/>
        <w:ind w:firstLine="480" w:firstLineChars="200"/>
        <w:rPr>
          <w:rFonts w:ascii="宋体" w:hAnsi="宋体"/>
          <w:sz w:val="24"/>
          <w:szCs w:val="24"/>
        </w:rPr>
      </w:pPr>
      <w:r>
        <w:rPr>
          <w:rFonts w:hint="eastAsia" w:ascii="宋体" w:hAnsi="宋体"/>
          <w:sz w:val="24"/>
          <w:szCs w:val="24"/>
        </w:rPr>
        <w:t>开标时间：2020年1月16日15时00分整</w:t>
      </w:r>
    </w:p>
    <w:p>
      <w:pPr>
        <w:spacing w:line="360" w:lineRule="auto"/>
        <w:ind w:firstLine="480" w:firstLineChars="200"/>
        <w:rPr>
          <w:rFonts w:ascii="宋体" w:hAnsi="宋体"/>
          <w:sz w:val="24"/>
          <w:szCs w:val="24"/>
        </w:rPr>
      </w:pPr>
      <w:r>
        <w:rPr>
          <w:rFonts w:hint="eastAsia" w:ascii="宋体" w:hAnsi="宋体"/>
          <w:sz w:val="24"/>
          <w:szCs w:val="24"/>
        </w:rPr>
        <w:t>开标地点：杭锦旗公共资源交易中心六楼开标二室（杭锦旗锡尼镇杭锦大街武装部西荣泰丰地产六楼）</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采购代理机构名称：鄂尔多斯市杭锦旗公共资源交易中心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杭锦旗公共资源交易中心七楼政府采购室（杭锦旗锡尼镇杭锦大街武装部西荣泰丰地产七楼）</w:t>
      </w:r>
    </w:p>
    <w:p>
      <w:pPr>
        <w:spacing w:line="360" w:lineRule="auto"/>
        <w:ind w:firstLine="480" w:firstLineChars="200"/>
        <w:rPr>
          <w:rFonts w:ascii="宋体" w:hAnsi="宋体"/>
          <w:sz w:val="24"/>
          <w:szCs w:val="24"/>
        </w:rPr>
      </w:pPr>
      <w:r>
        <w:rPr>
          <w:rFonts w:hint="eastAsia" w:ascii="宋体" w:hAnsi="宋体"/>
          <w:sz w:val="24"/>
          <w:szCs w:val="24"/>
        </w:rPr>
        <w:t>邮政编码：017400</w:t>
      </w:r>
    </w:p>
    <w:p>
      <w:pPr>
        <w:spacing w:line="360" w:lineRule="auto"/>
        <w:ind w:firstLine="480" w:firstLineChars="200"/>
        <w:rPr>
          <w:rFonts w:ascii="宋体" w:hAnsi="宋体"/>
          <w:sz w:val="24"/>
          <w:szCs w:val="24"/>
        </w:rPr>
      </w:pPr>
      <w:r>
        <w:rPr>
          <w:rFonts w:hint="eastAsia" w:ascii="宋体" w:hAnsi="宋体"/>
          <w:sz w:val="24"/>
          <w:szCs w:val="24"/>
        </w:rPr>
        <w:t xml:space="preserve">联系人：邬尚东 </w:t>
      </w:r>
    </w:p>
    <w:p>
      <w:pPr>
        <w:spacing w:line="360" w:lineRule="auto"/>
        <w:ind w:firstLine="480" w:firstLineChars="200"/>
        <w:rPr>
          <w:rFonts w:ascii="宋体" w:hAnsi="宋体"/>
          <w:color w:val="000000"/>
          <w:sz w:val="24"/>
          <w:szCs w:val="24"/>
        </w:rPr>
      </w:pPr>
      <w:r>
        <w:rPr>
          <w:rFonts w:hint="eastAsia" w:ascii="宋体" w:hAnsi="宋体"/>
          <w:sz w:val="24"/>
          <w:szCs w:val="24"/>
        </w:rPr>
        <w:t>联系电话：0477-6860805</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账户名称：鄂尔多斯市杭锦旗公共资源交易中心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开户行：杭锦大众村镇银行有限责任公司</w:t>
      </w:r>
    </w:p>
    <w:p>
      <w:pPr>
        <w:spacing w:line="360" w:lineRule="auto"/>
        <w:ind w:right="750" w:firstLine="480" w:firstLineChars="200"/>
        <w:rPr>
          <w:rFonts w:ascii="宋体" w:hAnsi="宋体"/>
          <w:color w:val="000000"/>
          <w:sz w:val="24"/>
          <w:szCs w:val="24"/>
        </w:rPr>
      </w:pPr>
      <w:r>
        <w:rPr>
          <w:rFonts w:hint="eastAsia" w:ascii="宋体" w:hAnsi="宋体"/>
          <w:sz w:val="24"/>
          <w:szCs w:val="24"/>
        </w:rPr>
        <w:t>账号：</w:t>
      </w:r>
      <w:r>
        <w:rPr>
          <w:rFonts w:hint="eastAsia" w:ascii="宋体" w:hAnsi="宋体" w:cs="宋体"/>
          <w:color w:val="000000"/>
          <w:sz w:val="24"/>
          <w:szCs w:val="24"/>
        </w:rPr>
        <w:t>详见</w:t>
      </w:r>
      <w:r>
        <w:rPr>
          <w:rFonts w:hint="eastAsia" w:ascii="宋体" w:hAnsi="宋体"/>
          <w:color w:val="000000"/>
          <w:sz w:val="24"/>
          <w:szCs w:val="24"/>
        </w:rPr>
        <w:t>“政府采购投标信息回执函”下方所附“保证金缴纳信息”中载明的账号</w:t>
      </w:r>
    </w:p>
    <w:p>
      <w:pPr>
        <w:spacing w:line="360" w:lineRule="auto"/>
        <w:ind w:firstLine="480" w:firstLineChars="200"/>
        <w:rPr>
          <w:rFonts w:ascii="宋体" w:hAnsi="宋体"/>
          <w:sz w:val="24"/>
          <w:szCs w:val="24"/>
        </w:rPr>
      </w:pPr>
      <w:r>
        <w:rPr>
          <w:rFonts w:hint="eastAsia" w:ascii="宋体" w:hAnsi="宋体"/>
          <w:sz w:val="24"/>
          <w:szCs w:val="24"/>
        </w:rPr>
        <w:t>采购单位名称：杭锦旗应急管理局</w:t>
      </w:r>
    </w:p>
    <w:p>
      <w:pPr>
        <w:spacing w:line="360" w:lineRule="auto"/>
        <w:ind w:firstLine="480" w:firstLineChars="200"/>
        <w:rPr>
          <w:rFonts w:ascii="宋体" w:hAnsi="宋体"/>
          <w:sz w:val="24"/>
          <w:szCs w:val="24"/>
        </w:rPr>
      </w:pPr>
      <w:r>
        <w:rPr>
          <w:rFonts w:hint="eastAsia" w:ascii="宋体" w:hAnsi="宋体"/>
          <w:sz w:val="24"/>
          <w:szCs w:val="24"/>
        </w:rPr>
        <w:t>地址：杭锦旗锡尼镇</w:t>
      </w:r>
    </w:p>
    <w:p>
      <w:pPr>
        <w:spacing w:line="360" w:lineRule="auto"/>
        <w:ind w:firstLine="480" w:firstLineChars="200"/>
        <w:rPr>
          <w:rFonts w:ascii="宋体" w:hAnsi="宋体"/>
          <w:sz w:val="24"/>
          <w:szCs w:val="24"/>
        </w:rPr>
      </w:pPr>
      <w:r>
        <w:rPr>
          <w:rFonts w:hint="eastAsia" w:ascii="宋体" w:hAnsi="宋体"/>
          <w:sz w:val="24"/>
          <w:szCs w:val="24"/>
        </w:rPr>
        <w:t>邮政编码：017400</w:t>
      </w:r>
    </w:p>
    <w:p>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Theme="minorEastAsia" w:hAnsiTheme="minorEastAsia" w:eastAsiaTheme="minorEastAsia" w:cstheme="minorEastAsia"/>
          <w:sz w:val="24"/>
          <w:szCs w:val="24"/>
        </w:rPr>
        <w:t>刘晓红</w:t>
      </w:r>
    </w:p>
    <w:p>
      <w:pPr>
        <w:spacing w:line="360" w:lineRule="auto"/>
        <w:ind w:firstLine="480" w:firstLineChars="200"/>
        <w:rPr>
          <w:rFonts w:ascii="宋体" w:hAnsi="宋体" w:eastAsiaTheme="minorEastAsia"/>
          <w:sz w:val="24"/>
          <w:szCs w:val="24"/>
        </w:rPr>
      </w:pPr>
      <w:r>
        <w:rPr>
          <w:rFonts w:hint="eastAsia" w:asciiTheme="minorEastAsia" w:hAnsiTheme="minorEastAsia" w:eastAsiaTheme="minorEastAsia" w:cstheme="minorEastAsia"/>
          <w:sz w:val="24"/>
          <w:szCs w:val="24"/>
        </w:rPr>
        <w:t>联系电话：15804808586</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鄂尔多斯市杭锦旗公共资源交易中心</w:t>
      </w:r>
    </w:p>
    <w:p>
      <w:pPr>
        <w:ind w:firstLine="4800" w:firstLineChars="2000"/>
        <w:rPr>
          <w:rFonts w:ascii="宋体" w:hAnsi="宋体"/>
          <w:sz w:val="24"/>
          <w:szCs w:val="24"/>
        </w:rPr>
      </w:pPr>
      <w:r>
        <w:rPr>
          <w:rFonts w:hint="eastAsia" w:ascii="宋体" w:hAnsi="宋体"/>
          <w:sz w:val="24"/>
          <w:szCs w:val="24"/>
        </w:rPr>
        <w:t>2019年12月25日</w:t>
      </w:r>
    </w:p>
    <w:bookmarkEnd w:id="1"/>
    <w:bookmarkEnd w:id="2"/>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3" w:name="_Toc497408624"/>
      <w:r>
        <w:rPr>
          <w:rFonts w:hint="eastAsia" w:ascii="宋体" w:hAnsi="宋体"/>
          <w:b/>
          <w:sz w:val="24"/>
          <w:szCs w:val="24"/>
        </w:rPr>
        <w:t>第二章 投标人须知</w:t>
      </w:r>
      <w:bookmarkEnd w:id="3"/>
    </w:p>
    <w:p>
      <w:pPr>
        <w:spacing w:line="360" w:lineRule="auto"/>
        <w:rPr>
          <w:rFonts w:ascii="宋体" w:hAnsi="宋体"/>
          <w:b/>
          <w:sz w:val="24"/>
          <w:szCs w:val="24"/>
        </w:rPr>
      </w:pPr>
      <w:r>
        <w:rPr>
          <w:rFonts w:hint="eastAsia" w:ascii="宋体" w:hAnsi="宋体"/>
          <w:b/>
          <w:sz w:val="24"/>
          <w:szCs w:val="24"/>
        </w:rPr>
        <w:t>一.前附表</w:t>
      </w:r>
    </w:p>
    <w:tbl>
      <w:tblPr>
        <w:tblStyle w:val="24"/>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720" w:firstLineChars="300"/>
              <w:rPr>
                <w:rFonts w:ascii="宋体" w:hAnsi="宋体"/>
                <w:sz w:val="24"/>
                <w:szCs w:val="24"/>
              </w:rPr>
            </w:pPr>
            <w:r>
              <w:rPr>
                <w:rFonts w:hint="eastAsia" w:ascii="宋体" w:hAnsi="宋体"/>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杭锦旗应急管理局</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Theme="minorEastAsia" w:hAnsiTheme="minorEastAsia" w:eastAsiaTheme="minorEastAsia" w:cstheme="minorEastAsia"/>
                <w:sz w:val="24"/>
                <w:szCs w:val="24"/>
              </w:rPr>
              <w:t>刘晓红</w:t>
            </w:r>
            <w:r>
              <w:rPr>
                <w:rFonts w:hint="eastAsia" w:ascii="宋体" w:hAnsi="宋体"/>
                <w:sz w:val="24"/>
                <w:szCs w:val="24"/>
              </w:rPr>
              <w:t xml:space="preserve">        联系电话：</w:t>
            </w:r>
            <w:r>
              <w:rPr>
                <w:rFonts w:hint="eastAsia" w:asciiTheme="minorEastAsia" w:hAnsiTheme="minorEastAsia" w:eastAsiaTheme="minorEastAsia" w:cstheme="minorEastAsia"/>
                <w:sz w:val="24"/>
                <w:szCs w:val="24"/>
              </w:rPr>
              <w:t>15804808586</w:t>
            </w:r>
          </w:p>
          <w:p>
            <w:pPr>
              <w:spacing w:line="360" w:lineRule="auto"/>
              <w:rPr>
                <w:rFonts w:ascii="宋体" w:hAnsi="宋体"/>
                <w:sz w:val="24"/>
                <w:szCs w:val="24"/>
              </w:rPr>
            </w:pPr>
            <w:r>
              <w:rPr>
                <w:rFonts w:hint="eastAsia" w:ascii="宋体" w:hAnsi="宋体"/>
                <w:sz w:val="24"/>
                <w:szCs w:val="24"/>
              </w:rPr>
              <w:t>地址：杭锦旗锡尼镇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鄂尔多斯市杭锦旗公共资源交易中心 </w:t>
            </w:r>
          </w:p>
          <w:p>
            <w:pPr>
              <w:spacing w:line="360" w:lineRule="auto"/>
              <w:ind w:right="-140" w:rightChars="-50"/>
              <w:rPr>
                <w:rFonts w:ascii="宋体" w:hAnsi="宋体"/>
                <w:sz w:val="24"/>
                <w:szCs w:val="24"/>
              </w:rPr>
            </w:pPr>
            <w:r>
              <w:rPr>
                <w:rFonts w:hint="eastAsia" w:ascii="宋体" w:hAnsi="宋体"/>
                <w:sz w:val="24"/>
                <w:szCs w:val="24"/>
              </w:rPr>
              <w:t>联系人：邬尚东       联系电话：0477-6860805</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olor w:val="000000"/>
                <w:sz w:val="24"/>
                <w:szCs w:val="24"/>
              </w:rPr>
              <w:t>杭锦旗公共资源交易中心七楼政府采购部（杭锦旗锡尼镇杭锦大街武装部西荣泰丰地产七楼）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1300000</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评标委员会由采购人代表和评审专家组成，成员人数应当为5人及5人以上单数。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■采购人授权评标委员会按照评审原则直接确定中标人。</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 xml:space="preserve">2020年1月16日14时30分--15时00分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2020年1月16日15时00分整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right="-140" w:rightChars="-50"/>
              <w:rPr>
                <w:rFonts w:ascii="宋体" w:hAnsi="宋体"/>
                <w:sz w:val="24"/>
                <w:szCs w:val="24"/>
              </w:rPr>
            </w:pPr>
            <w:r>
              <w:rPr>
                <w:rFonts w:hint="eastAsia" w:ascii="宋体" w:hAnsi="宋体"/>
                <w:sz w:val="24"/>
                <w:szCs w:val="24"/>
              </w:rPr>
              <w:t>杭锦旗公共资源交易中心六楼开标二室（杭锦旗锡尼镇杭锦大街武装部西荣泰丰地产六楼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sz w:val="24"/>
                <w:szCs w:val="24"/>
              </w:rPr>
            </w:pPr>
            <w:r>
              <w:rPr>
                <w:rFonts w:hint="eastAsia" w:ascii="宋体" w:hAnsi="宋体"/>
                <w:sz w:val="24"/>
                <w:szCs w:val="24"/>
              </w:rPr>
              <w:t>保证金人民币：</w:t>
            </w:r>
            <w:r>
              <w:rPr>
                <w:rFonts w:hint="eastAsia" w:ascii="宋体" w:hAnsi="宋体"/>
                <w:b/>
                <w:sz w:val="24"/>
                <w:szCs w:val="24"/>
                <w:u w:val="single"/>
              </w:rPr>
              <w:t>26000</w:t>
            </w:r>
            <w:r>
              <w:rPr>
                <w:rFonts w:hint="eastAsia" w:ascii="宋体" w:hAnsi="宋体"/>
                <w:sz w:val="24"/>
                <w:szCs w:val="24"/>
              </w:rPr>
              <w:t>元整。</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b/>
                <w:sz w:val="24"/>
                <w:szCs w:val="24"/>
              </w:rPr>
              <w:t>杭锦大众村镇银行有限责任公司</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行号：</w:t>
            </w:r>
            <w:r>
              <w:rPr>
                <w:rFonts w:hint="eastAsia" w:ascii="宋体" w:hAnsi="宋体"/>
                <w:b/>
                <w:sz w:val="24"/>
                <w:szCs w:val="24"/>
              </w:rPr>
              <w:t>320205600537</w:t>
            </w:r>
          </w:p>
          <w:p>
            <w:pPr>
              <w:spacing w:line="360" w:lineRule="auto"/>
              <w:rPr>
                <w:rFonts w:ascii="宋体" w:hAnsi="宋体"/>
                <w:sz w:val="24"/>
                <w:szCs w:val="24"/>
              </w:rPr>
            </w:pPr>
            <w:r>
              <w:rPr>
                <w:rFonts w:hint="eastAsia" w:ascii="宋体" w:hAnsi="宋体"/>
                <w:sz w:val="24"/>
                <w:szCs w:val="24"/>
              </w:rPr>
              <w:t>开户单位：</w:t>
            </w:r>
            <w:r>
              <w:rPr>
                <w:rFonts w:hint="eastAsia" w:ascii="宋体" w:hAnsi="宋体"/>
                <w:b/>
                <w:sz w:val="24"/>
                <w:szCs w:val="24"/>
              </w:rPr>
              <w:t>鄂尔多斯市杭锦旗公共资源交易中心</w:t>
            </w:r>
            <w:r>
              <w:rPr>
                <w:rFonts w:hint="eastAsia" w:ascii="宋体" w:hAnsi="宋体"/>
                <w:sz w:val="24"/>
                <w:szCs w:val="24"/>
              </w:rPr>
              <w:t>。</w:t>
            </w:r>
          </w:p>
          <w:p>
            <w:pPr>
              <w:spacing w:line="360" w:lineRule="auto"/>
              <w:rPr>
                <w:rFonts w:ascii="宋体" w:hAnsi="宋体"/>
                <w:color w:val="000000"/>
                <w:sz w:val="24"/>
                <w:szCs w:val="24"/>
              </w:rPr>
            </w:pPr>
            <w:r>
              <w:rPr>
                <w:rFonts w:hint="eastAsia" w:ascii="宋体" w:hAnsi="宋体"/>
                <w:sz w:val="24"/>
                <w:szCs w:val="24"/>
              </w:rPr>
              <w:t>账号：</w:t>
            </w:r>
            <w:r>
              <w:rPr>
                <w:rFonts w:hint="eastAsia" w:ascii="宋体" w:hAnsi="宋体" w:cs="宋体"/>
                <w:b/>
                <w:bCs/>
                <w:color w:val="000000"/>
                <w:sz w:val="24"/>
                <w:szCs w:val="24"/>
              </w:rPr>
              <w:t>详见</w:t>
            </w:r>
            <w:r>
              <w:rPr>
                <w:rFonts w:hint="eastAsia" w:ascii="宋体" w:hAnsi="宋体"/>
                <w:b/>
                <w:bCs/>
                <w:color w:val="000000"/>
                <w:sz w:val="24"/>
                <w:szCs w:val="24"/>
              </w:rPr>
              <w:t>“政府采购投标信息回执函”下方所附“保证金缴纳信息”中载明的账号。</w:t>
            </w:r>
          </w:p>
          <w:p>
            <w:pPr>
              <w:spacing w:line="360" w:lineRule="auto"/>
              <w:rPr>
                <w:rFonts w:ascii="宋体" w:hAnsi="宋体"/>
                <w:sz w:val="24"/>
                <w:szCs w:val="24"/>
              </w:rPr>
            </w:pPr>
            <w:r>
              <w:rPr>
                <w:rFonts w:hint="eastAsia" w:ascii="宋体" w:hAnsi="宋体"/>
                <w:sz w:val="24"/>
                <w:szCs w:val="24"/>
              </w:rPr>
              <w:t>投标保证金缴纳.退还联系人：项美仙 0477-6860804</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w:t>
      </w:r>
      <w:r>
        <w:rPr>
          <w:rFonts w:hint="eastAsia" w:asciiTheme="minorEastAsia" w:hAnsiTheme="minorEastAsia" w:eastAsiaTheme="minorEastAsia" w:cstheme="minorEastAsia"/>
          <w:sz w:val="24"/>
          <w:szCs w:val="24"/>
        </w:rPr>
        <w:t>杭锦旗公共资源交易网（http://www.ordosggzyjy.org.cn/TPFront_hjq/）</w:t>
      </w:r>
      <w:r>
        <w:rPr>
          <w:rFonts w:hint="eastAsia" w:ascii="宋体" w:hAnsi="宋体" w:cs="宋体"/>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本招标项目采用“虚拟子账号”形式收退投标保证金，每一个投标人在所投的每一项目或标包会对应每一家银行自动生成一个账号，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2.报名时间及保证金缴纳截止时间（网上报名）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2.1报名时间（招标文件提供期限）：,2019年12月25日至2020年1月2日</w:t>
      </w:r>
      <w:r>
        <w:rPr>
          <w:rFonts w:hint="eastAsia" w:ascii="宋体" w:hAnsi="宋体"/>
          <w:sz w:val="24"/>
          <w:szCs w:val="24"/>
        </w:rPr>
        <w:t>17时30分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2.2保证金缴纳截止时间（同提交投标文件截止时间）：</w:t>
      </w:r>
      <w:r>
        <w:rPr>
          <w:rFonts w:hint="eastAsia" w:ascii="宋体" w:hAnsi="宋体"/>
          <w:sz w:val="24"/>
          <w:szCs w:val="24"/>
        </w:rPr>
        <w:t>2020年1月16日15时00分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以书面形式并加盖单位公章（扫描件发送至hjqzfcg@163.com或书面送达）通知鄂尔多斯市杭锦旗公共资源交易中心，并在网上报名页面中撤销报名。放弃投标未予告知的，鄂尔多斯市杭锦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pStyle w:val="15"/>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5"/>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5"/>
        <w:adjustRightInd w:val="0"/>
        <w:snapToGrid w:val="0"/>
        <w:spacing w:line="360" w:lineRule="auto"/>
        <w:rPr>
          <w:rFonts w:hAnsi="宋体"/>
          <w:b/>
          <w:sz w:val="24"/>
          <w:szCs w:val="24"/>
        </w:rPr>
      </w:pPr>
      <w:r>
        <w:rPr>
          <w:rFonts w:hint="eastAsia" w:hAnsi="宋体"/>
          <w:b/>
          <w:sz w:val="24"/>
          <w:szCs w:val="24"/>
        </w:rPr>
        <w:t>3.投标费用</w:t>
      </w:r>
    </w:p>
    <w:p>
      <w:pPr>
        <w:pStyle w:val="15"/>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投标人应承担所有与准备和参加投标有关的费用。不论投标结果如何，交易中心</w:t>
      </w:r>
      <w:r>
        <w:rPr>
          <w:rFonts w:hint="eastAsia" w:hAnsi="宋体" w:cs="Arial"/>
          <w:kern w:val="2"/>
          <w:sz w:val="24"/>
          <w:szCs w:val="24"/>
        </w:rPr>
        <w:t>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依法进行政府采购的国家机关、事业单位、团体组织。本招标文件的采购人特指杭锦旗应急管理局。</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4.2“集中采购机构”是指人民政府依法设立的代理集中采购项目的执行机构。本招标文件的集中采购机构特指鄂尔多斯市杭锦旗公共资源交易中心（以下简称交易中心）。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采购人或交易中心对已发出的招标文件进行必要的澄清或修改的，澄清或者修改的内容可能影响投标文件编制的，采购人或者交易中心应当在投标截止时间15日前，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杭锦旗公共资源交易网”上发布澄清或者变更公告进行通知。澄清或者变更公告的内容为招标文件的组成部分，投标人应自行上网查询，采购人或交易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投标文件应按照招标文件第七章“投标文件格式”完整填写（可以增加附页），作为投标文件的组成部分。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w:t>
      </w:r>
      <w:r>
        <w:rPr>
          <w:rFonts w:hint="eastAsia" w:ascii="宋体" w:hAnsi="宋体"/>
          <w:sz w:val="24"/>
          <w:szCs w:val="24"/>
        </w:rPr>
        <w:t>服务需求</w:t>
      </w:r>
      <w:r>
        <w:rPr>
          <w:rFonts w:ascii="宋体" w:hAnsi="宋体"/>
          <w:sz w:val="24"/>
          <w:szCs w:val="24"/>
        </w:rPr>
        <w:t>”的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w:t>
      </w:r>
      <w:r>
        <w:rPr>
          <w:rFonts w:hint="eastAsia" w:ascii="宋体" w:hAnsi="宋体"/>
          <w:sz w:val="24"/>
          <w:szCs w:val="24"/>
        </w:rPr>
        <w:t>报价明细表</w:t>
      </w:r>
      <w:r>
        <w:rPr>
          <w:rFonts w:ascii="宋体" w:hAnsi="宋体"/>
          <w:sz w:val="24"/>
          <w:szCs w:val="24"/>
        </w:rPr>
        <w:t>”规定的格式报出总价和分项价格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2.2 投标报价的范围：本次投标报价为一次性报价。投标报价含本招标文件要求、合同履约需要及服务过程中所产生的全部费用。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2.3投标报价不得有选择性报价和附有条件的报价，不得缺项、漏项，不得高于预算价或最高限价。</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3.2电子版投标文件编制要求：提供PDF格式和word格式电子文档一份，内容必须一致，在电子文档上标明投标人全称。（电子文档可使用U盘或光盘）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3.4投标文件的装订应采用胶订方式牢固装订成册，不可插页抽页，不可采用活页纸进行装订；投标人同时对多个标包投标的，投标文件应按所投标包分别编制，并分册胶装、分包密封。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3.5投标文件的密封。投标人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在招标文件要求提交投标文件的截止时间之后送达的投标文件，为无效投标文件，采购单位或交易中心拒收。</w:t>
      </w:r>
    </w:p>
    <w:p>
      <w:pPr>
        <w:spacing w:line="360" w:lineRule="auto"/>
        <w:rPr>
          <w:rFonts w:ascii="宋体" w:hAnsi="宋体"/>
          <w:b/>
          <w:sz w:val="24"/>
          <w:szCs w:val="24"/>
        </w:rPr>
      </w:pPr>
      <w:r>
        <w:rPr>
          <w:rFonts w:hint="eastAsia" w:ascii="宋体" w:hAnsi="宋体"/>
          <w:b/>
          <w:sz w:val="24"/>
          <w:szCs w:val="24"/>
        </w:rPr>
        <w:t>8.投标现场演示</w:t>
      </w:r>
    </w:p>
    <w:p>
      <w:pPr>
        <w:spacing w:line="360" w:lineRule="auto"/>
        <w:ind w:firstLine="480" w:firstLineChars="200"/>
        <w:rPr>
          <w:rFonts w:ascii="宋体" w:hAnsi="宋体"/>
          <w:sz w:val="24"/>
          <w:szCs w:val="24"/>
        </w:rPr>
      </w:pPr>
      <w:r>
        <w:rPr>
          <w:rFonts w:hint="eastAsia" w:ascii="宋体" w:hAnsi="宋体"/>
          <w:sz w:val="24"/>
          <w:szCs w:val="24"/>
        </w:rPr>
        <w:t>招标文件规定投标现场演示的，投标人应开标前做好演示准备（包括演示内容、演示环境、演示人员），自行提供演示设备。</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b/>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480" w:firstLineChars="20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交易中心将在内蒙古自治区政府采购网、内蒙古自治区公共资源交易网、鄂尔多斯市政府采购网和鄂尔多斯市公共资源交易网、杭锦旗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政府采购相关范本）（包括主要中标标的的名称、规格型号、数量、单价、服务要求）于评标结束后当天发送在交易中心工作人员邮箱内（</w:t>
      </w:r>
      <w:r>
        <w:fldChar w:fldCharType="begin"/>
      </w:r>
      <w:r>
        <w:instrText xml:space="preserve"> HYPERLINK "mailto:youj_0722@163.com" </w:instrText>
      </w:r>
      <w:r>
        <w:fldChar w:fldCharType="separate"/>
      </w:r>
      <w:r>
        <w:rPr>
          <w:rFonts w:hint="eastAsia"/>
        </w:rPr>
        <w:t>hjqzfcg@163.com</w:t>
      </w:r>
      <w:r>
        <w:rPr>
          <w:rFonts w:hint="eastAsia"/>
        </w:rPr>
        <w:fldChar w:fldCharType="end"/>
      </w:r>
      <w:r>
        <w:rPr>
          <w:rFonts w:hint="eastAsia" w:ascii="宋体" w:hAnsi="宋体"/>
          <w:sz w:val="24"/>
          <w:szCs w:val="24"/>
        </w:rPr>
        <w:t>，联系电话0477-6860805），并在邮件标题注明项目名称及中标单位名称，否则不予发布中标结果公告。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交易中心以书面形式向中标人发出中标通知书，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中标人须持法定代表人授权委托书及本人身份证至鄂尔多斯市杭锦旗公共资源交易中心交易中心领取。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投标人对政府采购活动事项有疑问的，可以向采购人或交易中心提出询问，采购人或交易中心应当在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为了使提出的询问事项在规定时间内得到有效回复，询问采用实名制，询问内容以书面材料的形式亲自递交到交易中心，正式受理后方可生效，否则，为无效询问。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22"/>
        <w:spacing w:before="0" w:beforeAutospacing="0" w:after="0" w:afterAutospacing="0" w:line="360" w:lineRule="auto"/>
        <w:ind w:firstLine="480"/>
        <w:jc w:val="both"/>
        <w:rPr>
          <w:rFonts w:ascii="Arial" w:hAnsi="Arial" w:cs="Arial"/>
        </w:rPr>
      </w:pPr>
      <w:r>
        <w:rPr>
          <w:rFonts w:hint="eastAsia"/>
        </w:rPr>
        <w:t>2.5 投</w:t>
      </w:r>
      <w:r>
        <w:rPr>
          <w:rFonts w:hint="eastAsia" w:ascii="Arial" w:hAnsi="Arial" w:cs="Arial"/>
        </w:rPr>
        <w:t>标人在提出质疑时，请严格按照相关法律法规及质疑函范本要求提出和制作，否则，自行承担相关不利后果。</w:t>
      </w:r>
    </w:p>
    <w:p>
      <w:pPr>
        <w:pStyle w:val="22"/>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质疑人对采购人、交易中心的答复不满意或者采购人、交易中心未在规定的时间内做出书面答复的，可以在答复期满后十五个工作日内向监督部门进行投诉。投诉程序按《政府采购法》及相关规定执行。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4" w:name="_Toc447030613"/>
      <w:bookmarkStart w:id="5" w:name="_Toc266431157"/>
    </w:p>
    <w:p>
      <w:pPr>
        <w:spacing w:line="360" w:lineRule="auto"/>
        <w:ind w:firstLine="480" w:firstLineChars="200"/>
        <w:rPr>
          <w:rFonts w:ascii="宋体" w:hAnsi="宋体"/>
          <w:sz w:val="24"/>
          <w:szCs w:val="24"/>
        </w:rPr>
      </w:pPr>
    </w:p>
    <w:p>
      <w:pPr>
        <w:pStyle w:val="23"/>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3"/>
        <w:spacing w:line="360" w:lineRule="auto"/>
        <w:rPr>
          <w:rFonts w:ascii="宋体" w:hAnsi="宋体" w:eastAsia="宋体" w:cs="宋体"/>
          <w:bCs w:val="0"/>
          <w:sz w:val="24"/>
          <w:szCs w:val="24"/>
        </w:rPr>
      </w:pPr>
      <w:bookmarkStart w:id="6" w:name="_Toc497408625"/>
      <w:r>
        <w:rPr>
          <w:rFonts w:hint="eastAsia" w:ascii="宋体" w:hAnsi="宋体" w:eastAsia="宋体" w:cs="宋体"/>
          <w:bCs w:val="0"/>
          <w:sz w:val="24"/>
          <w:szCs w:val="24"/>
        </w:rPr>
        <w:t xml:space="preserve">第三章 </w:t>
      </w:r>
      <w:bookmarkEnd w:id="4"/>
      <w:bookmarkEnd w:id="5"/>
      <w:r>
        <w:rPr>
          <w:rFonts w:hint="eastAsia" w:ascii="宋体" w:hAnsi="宋体" w:eastAsia="宋体" w:cs="宋体"/>
          <w:bCs w:val="0"/>
          <w:sz w:val="24"/>
          <w:szCs w:val="24"/>
        </w:rPr>
        <w:t>合同与验收</w:t>
      </w:r>
      <w:bookmarkEnd w:id="6"/>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自合同签订之日起2个工作日内，中标人应将政府采购合同送达至旗公共资源交易中心政府采购部（联系电话：0477-6860805）存档，逾期未签订合同或未按时交回合同，将按照相关法律法规做出相应处罚。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政府采购部（联系电话：0477-6860805）存档。逾期未验收或未按时交回验收单，将按照相关法律法规做出相应处罚。</w:t>
      </w:r>
    </w:p>
    <w:p>
      <w:pPr>
        <w:rPr>
          <w:rFonts w:hAnsi="宋体"/>
          <w:sz w:val="24"/>
          <w:szCs w:val="24"/>
        </w:rPr>
      </w:pPr>
    </w:p>
    <w:p>
      <w:pPr>
        <w:jc w:val="center"/>
        <w:rPr>
          <w:rFonts w:ascii="宋体" w:hAnsi="宋体"/>
          <w:b/>
          <w:bCs/>
          <w:kern w:val="44"/>
          <w:sz w:val="24"/>
          <w:szCs w:val="24"/>
          <w:lang w:val="zh-CN"/>
        </w:rPr>
      </w:pPr>
      <w:r>
        <w:rPr>
          <w:rFonts w:ascii="宋体" w:hAnsi="宋体"/>
          <w:b/>
          <w:bCs/>
          <w:kern w:val="44"/>
          <w:sz w:val="24"/>
          <w:szCs w:val="24"/>
          <w:lang w:val="zh-CN"/>
        </w:rPr>
        <w:br w:type="page"/>
      </w:r>
    </w:p>
    <w:p>
      <w:pPr>
        <w:jc w:val="center"/>
        <w:rPr>
          <w:rFonts w:ascii="宋体" w:hAnsi="宋体"/>
          <w:b/>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甲方：名称（采购人名称）：</w:t>
      </w:r>
    </w:p>
    <w:p>
      <w:pPr>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乙方：名称（中标人名称）：</w:t>
      </w:r>
    </w:p>
    <w:p>
      <w:pPr>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1、服务期限：合同签订后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合同文本一式五份，采购单位、投标人、政府采购监管部门、市交易中心、国库支付执行机构各一份，自双方签订之日起生效。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Theme="minorEastAsia" w:hAnsiTheme="minorEastAsia" w:eastAsiaTheme="minorEastAsia"/>
          <w:b/>
          <w:sz w:val="24"/>
          <w:szCs w:val="24"/>
        </w:rPr>
      </w:pPr>
    </w:p>
    <w:p>
      <w:pPr>
        <w:outlineLvl w:val="0"/>
        <w:rPr>
          <w:rFonts w:ascii="宋体" w:hAnsi="宋体"/>
          <w:b/>
          <w:bCs/>
          <w:kern w:val="44"/>
          <w:sz w:val="24"/>
          <w:szCs w:val="24"/>
          <w:lang w:val="zh-CN"/>
        </w:rPr>
      </w:pPr>
      <w:r>
        <w:rPr>
          <w:rFonts w:ascii="宋体" w:hAnsi="宋体"/>
          <w:b/>
          <w:bCs/>
          <w:kern w:val="44"/>
          <w:sz w:val="24"/>
          <w:szCs w:val="24"/>
          <w:lang w:val="zh-CN"/>
        </w:rPr>
        <w:br w:type="page"/>
      </w:r>
    </w:p>
    <w:p>
      <w:pPr>
        <w:jc w:val="center"/>
        <w:outlineLvl w:val="0"/>
        <w:rPr>
          <w:rFonts w:ascii="宋体" w:hAnsi="宋体"/>
          <w:b/>
          <w:bCs/>
          <w:kern w:val="44"/>
          <w:sz w:val="24"/>
          <w:szCs w:val="24"/>
          <w:lang w:val="zh-CN"/>
        </w:rPr>
      </w:pPr>
      <w:bookmarkStart w:id="7" w:name="_Toc493507492"/>
      <w:bookmarkStart w:id="8" w:name="_Toc497408626"/>
      <w:r>
        <w:rPr>
          <w:rFonts w:hint="eastAsia" w:ascii="宋体" w:hAnsi="宋体"/>
          <w:b/>
          <w:bCs/>
          <w:kern w:val="44"/>
          <w:sz w:val="24"/>
          <w:szCs w:val="24"/>
          <w:lang w:val="zh-CN"/>
        </w:rPr>
        <w:t>第四章 服务</w:t>
      </w:r>
      <w:bookmarkEnd w:id="7"/>
      <w:r>
        <w:rPr>
          <w:rFonts w:hint="eastAsia" w:ascii="宋体" w:hAnsi="宋体"/>
          <w:b/>
          <w:bCs/>
          <w:kern w:val="44"/>
          <w:sz w:val="24"/>
          <w:szCs w:val="24"/>
          <w:lang w:val="zh-CN"/>
        </w:rPr>
        <w:t>需求</w:t>
      </w:r>
      <w:bookmarkEnd w:id="8"/>
    </w:p>
    <w:p>
      <w:pPr>
        <w:jc w:val="left"/>
        <w:rPr>
          <w:rFonts w:hAnsi="宋体"/>
          <w:sz w:val="24"/>
          <w:szCs w:val="24"/>
        </w:rPr>
      </w:pPr>
      <w:bookmarkStart w:id="9" w:name="_Toc497408627"/>
      <w:r>
        <w:rPr>
          <w:rFonts w:hint="eastAsia" w:ascii="宋体" w:hAnsi="宋体"/>
          <w:bCs/>
          <w:kern w:val="44"/>
          <w:sz w:val="24"/>
          <w:szCs w:val="24"/>
          <w:lang w:val="zh-CN"/>
        </w:rPr>
        <w:t>一.主要商务要求</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47"/>
              <w:ind w:left="-1322" w:leftChars="-472" w:firstLine="991" w:firstLineChars="413"/>
              <w:jc w:val="center"/>
              <w:rPr>
                <w:rFonts w:ascii="宋体" w:hAnsi="宋体"/>
                <w:kern w:val="0"/>
                <w:sz w:val="24"/>
                <w:szCs w:val="24"/>
              </w:rPr>
            </w:pPr>
            <w:bookmarkStart w:id="10" w:name="_Toc491862079"/>
            <w:r>
              <w:rPr>
                <w:rFonts w:hint="eastAsia" w:ascii="宋体" w:hAnsi="宋体"/>
                <w:kern w:val="0"/>
                <w:sz w:val="24"/>
                <w:szCs w:val="24"/>
              </w:rPr>
              <w:t xml:space="preserve">   主要商务条款</w:t>
            </w:r>
            <w:bookmarkEnd w:id="10"/>
          </w:p>
        </w:tc>
        <w:tc>
          <w:tcPr>
            <w:tcW w:w="6957" w:type="dxa"/>
            <w:vAlign w:val="center"/>
          </w:tcPr>
          <w:p>
            <w:pPr>
              <w:pStyle w:val="47"/>
              <w:ind w:firstLine="0" w:firstLineChars="0"/>
              <w:jc w:val="center"/>
              <w:rPr>
                <w:rFonts w:ascii="宋体" w:hAnsi="宋体"/>
                <w:kern w:val="0"/>
                <w:sz w:val="24"/>
                <w:szCs w:val="24"/>
              </w:rPr>
            </w:pPr>
            <w:bookmarkStart w:id="11" w:name="_Toc491862080"/>
            <w:r>
              <w:rPr>
                <w:rFonts w:hint="eastAsia" w:ascii="宋体" w:hAnsi="宋体"/>
                <w:kern w:val="0"/>
                <w:sz w:val="24"/>
                <w:szCs w:val="24"/>
              </w:rPr>
              <w:t>具体要求</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71" w:type="dxa"/>
            <w:vAlign w:val="center"/>
          </w:tcPr>
          <w:p>
            <w:pPr>
              <w:pStyle w:val="47"/>
              <w:ind w:left="-1322" w:leftChars="-472" w:firstLine="991" w:firstLineChars="413"/>
              <w:jc w:val="center"/>
              <w:rPr>
                <w:rFonts w:ascii="宋体" w:hAnsi="宋体"/>
                <w:kern w:val="0"/>
                <w:sz w:val="24"/>
                <w:szCs w:val="24"/>
              </w:rPr>
            </w:pPr>
            <w:bookmarkStart w:id="12" w:name="_Toc491862082"/>
            <w:r>
              <w:rPr>
                <w:rFonts w:hint="eastAsia" w:ascii="宋体" w:hAnsi="宋体"/>
                <w:kern w:val="0"/>
                <w:sz w:val="24"/>
                <w:szCs w:val="24"/>
              </w:rPr>
              <w:t xml:space="preserve">  采购预算/最高限价</w:t>
            </w:r>
            <w:bookmarkEnd w:id="12"/>
          </w:p>
        </w:tc>
        <w:tc>
          <w:tcPr>
            <w:tcW w:w="6957" w:type="dxa"/>
            <w:vAlign w:val="center"/>
          </w:tcPr>
          <w:p>
            <w:pPr>
              <w:ind w:firstLine="480" w:firstLineChars="200"/>
              <w:rPr>
                <w:rFonts w:ascii="宋体" w:hAnsi="宋体"/>
                <w:kern w:val="0"/>
                <w:sz w:val="24"/>
                <w:szCs w:val="24"/>
              </w:rPr>
            </w:pPr>
            <w:bookmarkStart w:id="13" w:name="_Toc491862083"/>
            <w:r>
              <w:rPr>
                <w:rFonts w:hint="eastAsia" w:ascii="宋体" w:hAnsi="宋体"/>
                <w:kern w:val="0"/>
                <w:sz w:val="24"/>
                <w:szCs w:val="24"/>
              </w:rPr>
              <w:t>1300000元</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spacing w:line="360" w:lineRule="auto"/>
              <w:ind w:left="-1322" w:leftChars="-472" w:firstLine="991" w:firstLineChars="413"/>
              <w:jc w:val="center"/>
              <w:rPr>
                <w:rFonts w:ascii="宋体" w:hAnsi="宋体"/>
                <w:kern w:val="0"/>
                <w:sz w:val="24"/>
                <w:szCs w:val="24"/>
              </w:rPr>
            </w:pPr>
            <w:r>
              <w:rPr>
                <w:rFonts w:hint="eastAsia" w:ascii="宋体" w:hAnsi="宋体"/>
                <w:kern w:val="0"/>
                <w:sz w:val="24"/>
                <w:szCs w:val="24"/>
              </w:rPr>
              <w:t>服务时间</w:t>
            </w:r>
          </w:p>
        </w:tc>
        <w:tc>
          <w:tcPr>
            <w:tcW w:w="6957" w:type="dxa"/>
            <w:vAlign w:val="center"/>
          </w:tcPr>
          <w:p>
            <w:pPr>
              <w:spacing w:line="360" w:lineRule="auto"/>
              <w:rPr>
                <w:rFonts w:ascii="宋体" w:hAnsi="宋体"/>
                <w:kern w:val="0"/>
                <w:sz w:val="24"/>
                <w:szCs w:val="24"/>
              </w:rPr>
            </w:pPr>
            <w:r>
              <w:rPr>
                <w:rFonts w:hint="eastAsia" w:ascii="宋体" w:hAnsi="宋体"/>
                <w:kern w:val="0"/>
                <w:sz w:val="24"/>
                <w:szCs w:val="24"/>
              </w:rPr>
              <w:t>合同生效后至</w:t>
            </w:r>
            <w:r>
              <w:rPr>
                <w:rFonts w:hint="eastAsia" w:ascii="宋体" w:hAnsi="宋体"/>
                <w:kern w:val="0"/>
                <w:sz w:val="24"/>
                <w:szCs w:val="24"/>
                <w:u w:val="single"/>
              </w:rPr>
              <w:t>2020</w:t>
            </w:r>
            <w:r>
              <w:rPr>
                <w:rFonts w:hint="eastAsia" w:ascii="宋体" w:hAnsi="宋体"/>
                <w:kern w:val="0"/>
                <w:sz w:val="24"/>
                <w:szCs w:val="24"/>
              </w:rPr>
              <w:t>年</w:t>
            </w:r>
            <w:r>
              <w:rPr>
                <w:rFonts w:hint="eastAsia" w:ascii="宋体" w:hAnsi="宋体"/>
                <w:kern w:val="0"/>
                <w:sz w:val="24"/>
                <w:szCs w:val="24"/>
                <w:u w:val="single"/>
              </w:rPr>
              <w:t xml:space="preserve"> 3 </w:t>
            </w:r>
            <w:r>
              <w:rPr>
                <w:rFonts w:hint="eastAsia" w:ascii="宋体" w:hAnsi="宋体"/>
                <w:kern w:val="0"/>
                <w:sz w:val="24"/>
                <w:szCs w:val="24"/>
              </w:rPr>
              <w:t>月</w:t>
            </w:r>
            <w:r>
              <w:rPr>
                <w:rFonts w:hint="eastAsia" w:ascii="宋体" w:hAnsi="宋体"/>
                <w:kern w:val="0"/>
                <w:sz w:val="24"/>
                <w:szCs w:val="24"/>
                <w:u w:val="single"/>
              </w:rPr>
              <w:t xml:space="preserve"> 30 </w:t>
            </w:r>
            <w:r>
              <w:rPr>
                <w:rFonts w:hint="eastAsia" w:ascii="宋体" w:hAnsi="宋体"/>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pStyle w:val="47"/>
              <w:ind w:left="-1322" w:leftChars="-472" w:firstLine="991" w:firstLineChars="413"/>
              <w:jc w:val="center"/>
              <w:rPr>
                <w:rFonts w:ascii="宋体" w:hAnsi="宋体"/>
                <w:kern w:val="0"/>
                <w:sz w:val="24"/>
                <w:szCs w:val="24"/>
              </w:rPr>
            </w:pPr>
            <w:bookmarkStart w:id="14" w:name="_Toc491862089"/>
            <w:r>
              <w:rPr>
                <w:rFonts w:hint="eastAsia" w:ascii="宋体" w:hAnsi="宋体"/>
                <w:kern w:val="0"/>
                <w:sz w:val="24"/>
                <w:szCs w:val="24"/>
              </w:rPr>
              <w:t>服务地点</w:t>
            </w:r>
            <w:bookmarkEnd w:id="14"/>
          </w:p>
        </w:tc>
        <w:tc>
          <w:tcPr>
            <w:tcW w:w="6957" w:type="dxa"/>
            <w:vAlign w:val="center"/>
          </w:tcPr>
          <w:p>
            <w:pPr>
              <w:pStyle w:val="47"/>
              <w:ind w:firstLine="0" w:firstLineChars="0"/>
              <w:rPr>
                <w:rFonts w:ascii="宋体" w:hAnsi="宋体"/>
                <w:kern w:val="0"/>
                <w:sz w:val="24"/>
                <w:szCs w:val="24"/>
              </w:rPr>
            </w:pPr>
            <w:bookmarkStart w:id="15" w:name="_Toc491862090"/>
            <w:r>
              <w:rPr>
                <w:rFonts w:hint="eastAsia" w:ascii="宋体" w:hAnsi="宋体"/>
                <w:kern w:val="0"/>
                <w:sz w:val="24"/>
                <w:szCs w:val="24"/>
              </w:rPr>
              <w:t>采购人指定地点。</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71" w:type="dxa"/>
            <w:vAlign w:val="center"/>
          </w:tcPr>
          <w:p>
            <w:pPr>
              <w:pStyle w:val="47"/>
              <w:ind w:left="-1322" w:leftChars="-472" w:firstLine="991" w:firstLineChars="413"/>
              <w:jc w:val="center"/>
              <w:rPr>
                <w:rFonts w:ascii="宋体" w:hAnsi="宋体"/>
                <w:kern w:val="0"/>
                <w:sz w:val="24"/>
                <w:szCs w:val="24"/>
              </w:rPr>
            </w:pPr>
            <w:r>
              <w:rPr>
                <w:rFonts w:hint="eastAsia" w:ascii="宋体" w:hAnsi="宋体"/>
                <w:kern w:val="0"/>
                <w:sz w:val="24"/>
                <w:szCs w:val="24"/>
              </w:rPr>
              <w:t>投标有效期</w:t>
            </w:r>
          </w:p>
        </w:tc>
        <w:tc>
          <w:tcPr>
            <w:tcW w:w="6957" w:type="dxa"/>
            <w:vAlign w:val="center"/>
          </w:tcPr>
          <w:p>
            <w:pPr>
              <w:pStyle w:val="47"/>
              <w:ind w:firstLine="0" w:firstLineChars="0"/>
              <w:rPr>
                <w:rFonts w:ascii="宋体" w:hAnsi="宋体"/>
                <w:kern w:val="0"/>
                <w:sz w:val="24"/>
                <w:szCs w:val="24"/>
              </w:rPr>
            </w:pPr>
            <w:r>
              <w:rPr>
                <w:rFonts w:hint="eastAsia" w:ascii="宋体" w:hAnsi="宋体"/>
                <w:kern w:val="0"/>
                <w:sz w:val="24"/>
                <w:szCs w:val="24"/>
              </w:rPr>
              <w:t>从提交投标文件的截止之日起</w:t>
            </w:r>
            <w:r>
              <w:rPr>
                <w:rFonts w:hint="eastAsia" w:ascii="宋体" w:hAnsi="宋体"/>
                <w:kern w:val="0"/>
                <w:sz w:val="24"/>
                <w:szCs w:val="24"/>
                <w:u w:val="single"/>
              </w:rPr>
              <w:t xml:space="preserve"> 90</w:t>
            </w:r>
            <w:r>
              <w:rPr>
                <w:rFonts w:hint="eastAsia" w:ascii="宋体" w:hAnsi="宋体"/>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71" w:type="dxa"/>
            <w:vAlign w:val="center"/>
          </w:tcPr>
          <w:p>
            <w:pPr>
              <w:pStyle w:val="47"/>
              <w:ind w:left="-1322" w:leftChars="-472" w:firstLine="991" w:firstLineChars="413"/>
              <w:jc w:val="center"/>
              <w:rPr>
                <w:rFonts w:ascii="宋体" w:hAnsi="宋体"/>
                <w:kern w:val="0"/>
                <w:sz w:val="24"/>
                <w:szCs w:val="24"/>
              </w:rPr>
            </w:pPr>
            <w:bookmarkStart w:id="16" w:name="_Toc491862095"/>
            <w:r>
              <w:rPr>
                <w:rFonts w:hint="eastAsia" w:ascii="宋体" w:hAnsi="宋体"/>
                <w:kern w:val="0"/>
                <w:sz w:val="24"/>
                <w:szCs w:val="24"/>
              </w:rPr>
              <w:t>付款方式</w:t>
            </w:r>
            <w:bookmarkEnd w:id="16"/>
          </w:p>
        </w:tc>
        <w:tc>
          <w:tcPr>
            <w:tcW w:w="6957" w:type="dxa"/>
            <w:vAlign w:val="center"/>
          </w:tcPr>
          <w:p>
            <w:pPr>
              <w:pStyle w:val="47"/>
              <w:ind w:firstLine="0" w:firstLineChars="0"/>
              <w:rPr>
                <w:rFonts w:ascii="宋体" w:hAnsi="宋体"/>
                <w:kern w:val="0"/>
                <w:sz w:val="24"/>
                <w:szCs w:val="24"/>
              </w:rPr>
            </w:pPr>
            <w:r>
              <w:rPr>
                <w:rFonts w:hint="eastAsia" w:ascii="宋体" w:hAnsi="宋体"/>
                <w:kern w:val="0"/>
                <w:sz w:val="24"/>
                <w:szCs w:val="24"/>
              </w:rPr>
              <w:t>合同生效后付10%，待安全风险评估诊断报告全部出具后付40%，复查结束经应急管理局确认后付50%。</w:t>
            </w:r>
          </w:p>
        </w:tc>
      </w:tr>
    </w:tbl>
    <w:p>
      <w:pPr>
        <w:spacing w:line="360" w:lineRule="auto"/>
        <w:jc w:val="left"/>
        <w:rPr>
          <w:rFonts w:hAnsi="宋体"/>
          <w:sz w:val="24"/>
          <w:szCs w:val="24"/>
        </w:rPr>
      </w:pPr>
      <w:r>
        <w:rPr>
          <w:rFonts w:hint="eastAsia" w:hAnsi="宋体"/>
          <w:sz w:val="24"/>
          <w:szCs w:val="24"/>
        </w:rPr>
        <w:t>二.服务需求：</w:t>
      </w:r>
    </w:p>
    <w:p>
      <w:pPr>
        <w:spacing w:line="360" w:lineRule="auto"/>
        <w:ind w:left="-944" w:leftChars="-337" w:firstLine="708" w:firstLineChars="295"/>
        <w:jc w:val="left"/>
        <w:rPr>
          <w:rFonts w:ascii="宋体" w:hAnsi="宋体"/>
          <w:sz w:val="24"/>
          <w:szCs w:val="24"/>
        </w:rPr>
      </w:pPr>
      <w:r>
        <w:rPr>
          <w:rFonts w:hint="eastAsia" w:ascii="宋体" w:hAnsi="宋体"/>
          <w:sz w:val="24"/>
          <w:szCs w:val="24"/>
        </w:rPr>
        <w:t>1.项目概况：</w:t>
      </w:r>
    </w:p>
    <w:p>
      <w:pPr>
        <w:spacing w:line="360" w:lineRule="auto"/>
        <w:ind w:firstLine="480" w:firstLineChars="200"/>
        <w:jc w:val="left"/>
        <w:rPr>
          <w:rFonts w:ascii="宋体" w:hAnsi="宋体"/>
          <w:sz w:val="24"/>
          <w:szCs w:val="24"/>
        </w:rPr>
      </w:pPr>
      <w:r>
        <w:rPr>
          <w:rFonts w:hint="eastAsia" w:ascii="宋体" w:hAnsi="宋体"/>
          <w:sz w:val="24"/>
          <w:szCs w:val="24"/>
        </w:rPr>
        <w:t>项目基本情况（用途）说明；项目服务地点；项目背景等。</w:t>
      </w:r>
    </w:p>
    <w:p>
      <w:pPr>
        <w:spacing w:line="360" w:lineRule="auto"/>
        <w:ind w:firstLine="480" w:firstLineChars="200"/>
        <w:jc w:val="left"/>
        <w:rPr>
          <w:rFonts w:ascii="宋体" w:hAnsi="宋体"/>
          <w:sz w:val="24"/>
          <w:szCs w:val="24"/>
        </w:rPr>
      </w:pPr>
      <w:r>
        <w:rPr>
          <w:rFonts w:hint="eastAsia" w:ascii="宋体" w:hAnsi="宋体"/>
          <w:sz w:val="24"/>
          <w:szCs w:val="24"/>
        </w:rPr>
        <w:t>对鄂尔多斯市杭锦旗境内的内蒙古伊泰化工有限责任公司、鄂尔多斯市亿鼎生态农业开发有限公司、鄂尔多斯市新杭能源有限公司、鄂尔多斯市昊华国泰化工有限公司、内蒙古兴圣天然气有限责任公司、液化空气（鄂尔多斯）有限公司空气产品（杭锦旗）有限公司、内蒙古安德力化工有限公司、内蒙古伊泰宁能精细化工有限公司、内蒙古亚诺科技有限公司、内蒙古万瑞天然气有限责任公司、杭锦旗亨东天然气有限公司、鄂尔多斯市杭锦旗新圣天然气有限责任公司、内蒙古万瑞天然气有限责任公司13家危险化学品生产企业开展安全风险评、隐患排查及安全生产指导</w:t>
      </w:r>
      <w:r>
        <w:rPr>
          <w:rFonts w:hint="eastAsia" w:ascii="宋体" w:hAnsi="宋体"/>
          <w:kern w:val="0"/>
          <w:sz w:val="24"/>
          <w:szCs w:val="24"/>
        </w:rPr>
        <w:t>技术</w:t>
      </w:r>
      <w:r>
        <w:rPr>
          <w:rFonts w:hint="eastAsia" w:ascii="宋体" w:hAnsi="宋体"/>
          <w:sz w:val="24"/>
          <w:szCs w:val="24"/>
        </w:rPr>
        <w:t>估技术服务。</w:t>
      </w:r>
    </w:p>
    <w:p>
      <w:pPr>
        <w:spacing w:line="360" w:lineRule="auto"/>
        <w:ind w:right="57"/>
        <w:rPr>
          <w:rFonts w:ascii="宋体" w:hAnsi="宋体" w:cs="宋体"/>
          <w:sz w:val="24"/>
          <w:szCs w:val="24"/>
        </w:rPr>
      </w:pPr>
      <w:r>
        <w:rPr>
          <w:rFonts w:hint="eastAsia" w:ascii="宋体" w:hAnsi="宋体" w:cs="宋体"/>
          <w:sz w:val="24"/>
          <w:szCs w:val="24"/>
        </w:rPr>
        <w:t>2.服务需求一览表：</w:t>
      </w:r>
    </w:p>
    <w:tbl>
      <w:tblPr>
        <w:tblStyle w:val="24"/>
        <w:tblW w:w="9628" w:type="dxa"/>
        <w:tblInd w:w="0" w:type="dxa"/>
        <w:tblLayout w:type="fixed"/>
        <w:tblCellMar>
          <w:top w:w="0" w:type="dxa"/>
          <w:left w:w="108" w:type="dxa"/>
          <w:bottom w:w="0" w:type="dxa"/>
          <w:right w:w="108" w:type="dxa"/>
        </w:tblCellMar>
      </w:tblPr>
      <w:tblGrid>
        <w:gridCol w:w="816"/>
        <w:gridCol w:w="1232"/>
        <w:gridCol w:w="3352"/>
        <w:gridCol w:w="2245"/>
        <w:gridCol w:w="961"/>
        <w:gridCol w:w="1022"/>
      </w:tblGrid>
      <w:tr>
        <w:tblPrEx>
          <w:tblCellMar>
            <w:top w:w="0" w:type="dxa"/>
            <w:left w:w="108" w:type="dxa"/>
            <w:bottom w:w="0" w:type="dxa"/>
            <w:right w:w="108" w:type="dxa"/>
          </w:tblCellMar>
        </w:tblPrEx>
        <w:trPr>
          <w:trHeight w:val="75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服务性质</w:t>
            </w:r>
          </w:p>
        </w:tc>
        <w:tc>
          <w:tcPr>
            <w:tcW w:w="123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335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服务项目</w:t>
            </w:r>
          </w:p>
        </w:tc>
        <w:tc>
          <w:tcPr>
            <w:tcW w:w="22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服务要求及标准</w:t>
            </w:r>
          </w:p>
        </w:tc>
        <w:tc>
          <w:tcPr>
            <w:tcW w:w="9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w:t>
            </w:r>
            <w:r>
              <w:rPr>
                <w:rFonts w:ascii="宋体" w:hAnsi="宋体" w:cs="宋体"/>
                <w:kern w:val="0"/>
                <w:sz w:val="24"/>
                <w:szCs w:val="24"/>
              </w:rPr>
              <w:t xml:space="preserve"> </w:t>
            </w:r>
            <w:r>
              <w:rPr>
                <w:rFonts w:hint="eastAsia" w:ascii="宋体" w:hAnsi="宋体" w:cs="宋体"/>
                <w:kern w:val="0"/>
                <w:sz w:val="24"/>
                <w:szCs w:val="24"/>
              </w:rPr>
              <w:t>量</w:t>
            </w: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CellMar>
            <w:top w:w="0" w:type="dxa"/>
            <w:left w:w="108" w:type="dxa"/>
            <w:bottom w:w="0" w:type="dxa"/>
            <w:right w:w="108" w:type="dxa"/>
          </w:tblCellMar>
        </w:tblPrEx>
        <w:trPr>
          <w:trHeight w:val="429" w:hRule="atLeast"/>
        </w:trPr>
        <w:tc>
          <w:tcPr>
            <w:tcW w:w="81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w:t>
            </w:r>
          </w:p>
        </w:tc>
        <w:tc>
          <w:tcPr>
            <w:tcW w:w="1232" w:type="dxa"/>
            <w:tcBorders>
              <w:top w:val="nil"/>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cs="宋体"/>
                <w:kern w:val="0"/>
                <w:sz w:val="24"/>
                <w:szCs w:val="24"/>
              </w:rPr>
              <w:t>1</w:t>
            </w:r>
          </w:p>
        </w:tc>
        <w:tc>
          <w:tcPr>
            <w:tcW w:w="33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危险化学品生产企业开展安全风险评估</w:t>
            </w:r>
            <w:r>
              <w:rPr>
                <w:rFonts w:hint="eastAsia" w:ascii="宋体" w:hAnsi="宋体"/>
                <w:sz w:val="24"/>
                <w:szCs w:val="24"/>
              </w:rPr>
              <w:t>、隐患排查及安全生产指导</w:t>
            </w:r>
            <w:r>
              <w:rPr>
                <w:rFonts w:hint="eastAsia" w:ascii="宋体" w:hAnsi="宋体"/>
                <w:kern w:val="0"/>
                <w:sz w:val="24"/>
                <w:szCs w:val="24"/>
              </w:rPr>
              <w:t>技术服务</w:t>
            </w:r>
          </w:p>
        </w:tc>
        <w:tc>
          <w:tcPr>
            <w:tcW w:w="2245" w:type="dxa"/>
            <w:tcBorders>
              <w:top w:val="nil"/>
              <w:left w:val="single" w:color="auto" w:sz="4" w:space="0"/>
              <w:bottom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sz w:val="24"/>
                <w:szCs w:val="24"/>
              </w:rPr>
              <w:t>详见附表</w:t>
            </w:r>
            <w:r>
              <w:rPr>
                <w:rFonts w:ascii="宋体" w:hAnsi="宋体" w:cs="宋体"/>
                <w:sz w:val="24"/>
                <w:szCs w:val="24"/>
              </w:rPr>
              <w:t>1</w:t>
            </w:r>
          </w:p>
        </w:tc>
        <w:tc>
          <w:tcPr>
            <w:tcW w:w="961" w:type="dxa"/>
            <w:tcBorders>
              <w:top w:val="nil"/>
              <w:left w:val="single" w:color="auto" w:sz="4" w:space="0"/>
              <w:bottom w:val="single" w:color="auto" w:sz="4" w:space="0"/>
            </w:tcBorders>
            <w:vAlign w:val="center"/>
          </w:tcPr>
          <w:p>
            <w:pPr>
              <w:widowControl/>
              <w:spacing w:line="360" w:lineRule="auto"/>
              <w:jc w:val="center"/>
              <w:rPr>
                <w:rFonts w:ascii="宋体" w:hAnsi="宋体" w:cs="宋体"/>
                <w:kern w:val="0"/>
                <w:sz w:val="24"/>
                <w:szCs w:val="24"/>
              </w:rPr>
            </w:pPr>
          </w:p>
        </w:tc>
        <w:tc>
          <w:tcPr>
            <w:tcW w:w="102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r>
      <w:tr>
        <w:tblPrEx>
          <w:tblCellMar>
            <w:top w:w="0" w:type="dxa"/>
            <w:left w:w="108" w:type="dxa"/>
            <w:bottom w:w="0" w:type="dxa"/>
            <w:right w:w="108" w:type="dxa"/>
          </w:tblCellMar>
        </w:tblPrEx>
        <w:trPr>
          <w:trHeight w:val="379"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123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33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2245"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2" w:firstLineChars="201"/>
              <w:jc w:val="center"/>
              <w:rPr>
                <w:rFonts w:ascii="宋体" w:hAnsi="宋体"/>
                <w:kern w:val="0"/>
                <w:sz w:val="24"/>
                <w:szCs w:val="24"/>
              </w:rPr>
            </w:pPr>
          </w:p>
        </w:tc>
      </w:tr>
      <w:tr>
        <w:tblPrEx>
          <w:tblCellMar>
            <w:top w:w="0" w:type="dxa"/>
            <w:left w:w="108" w:type="dxa"/>
            <w:bottom w:w="0" w:type="dxa"/>
            <w:right w:w="108" w:type="dxa"/>
          </w:tblCellMar>
        </w:tblPrEx>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w:t>
            </w:r>
            <w:r>
              <w:rPr>
                <w:rFonts w:hint="eastAsia" w:ascii="宋体" w:hAnsi="宋体"/>
                <w:kern w:val="0"/>
                <w:sz w:val="24"/>
                <w:szCs w:val="24"/>
              </w:rPr>
              <w:t>服务性质</w:t>
            </w:r>
            <w:r>
              <w:rPr>
                <w:rFonts w:hint="eastAsia" w:ascii="宋体" w:hAnsi="宋体" w:cs="宋体"/>
                <w:kern w:val="0"/>
                <w:sz w:val="24"/>
                <w:szCs w:val="24"/>
              </w:rPr>
              <w:t>”标“</w:t>
            </w:r>
            <w:r>
              <w:rPr>
                <w:rFonts w:hint="eastAsia" w:ascii="宋体" w:hAnsi="宋体"/>
                <w:kern w:val="0"/>
                <w:sz w:val="24"/>
                <w:szCs w:val="24"/>
              </w:rPr>
              <w:t>△</w:t>
            </w:r>
            <w:r>
              <w:rPr>
                <w:rFonts w:hint="eastAsia" w:ascii="宋体" w:hAnsi="宋体" w:cs="宋体"/>
                <w:kern w:val="0"/>
                <w:sz w:val="24"/>
                <w:szCs w:val="24"/>
              </w:rPr>
              <w:t>”表示此设备为本次服务的核心内容。</w:t>
            </w:r>
          </w:p>
        </w:tc>
      </w:tr>
    </w:tbl>
    <w:p>
      <w:pPr>
        <w:spacing w:line="360" w:lineRule="auto"/>
        <w:ind w:right="-1400" w:rightChars="-500"/>
        <w:rPr>
          <w:rFonts w:ascii="宋体" w:hAnsi="宋体" w:cs="宋体"/>
          <w:sz w:val="24"/>
          <w:szCs w:val="24"/>
          <w:u w:val="single"/>
        </w:rPr>
      </w:pPr>
      <w:r>
        <w:rPr>
          <w:rFonts w:hint="eastAsia" w:ascii="宋体" w:hAnsi="宋体" w:cs="宋体"/>
          <w:sz w:val="24"/>
          <w:szCs w:val="24"/>
        </w:rPr>
        <w:t>附表1</w:t>
      </w:r>
      <w:r>
        <w:rPr>
          <w:rFonts w:hint="eastAsia" w:ascii="宋体" w:hAnsi="宋体" w:cs="宋体"/>
          <w:kern w:val="0"/>
          <w:sz w:val="24"/>
          <w:szCs w:val="24"/>
        </w:rPr>
        <w:t>服务要求及标准</w:t>
      </w:r>
      <w:r>
        <w:rPr>
          <w:rFonts w:hint="eastAsia" w:ascii="宋体" w:hAnsi="宋体" w:cs="宋体"/>
          <w:sz w:val="24"/>
          <w:szCs w:val="24"/>
        </w:rPr>
        <w:t>。</w:t>
      </w:r>
      <w:r>
        <w:rPr>
          <w:rFonts w:hint="eastAsia" w:ascii="宋体" w:hAnsi="宋体" w:cs="宋体"/>
          <w:kern w:val="0"/>
          <w:sz w:val="24"/>
          <w:szCs w:val="24"/>
        </w:rPr>
        <w:t>服务项目：</w:t>
      </w:r>
      <w:r>
        <w:rPr>
          <w:rFonts w:hint="eastAsia" w:ascii="宋体" w:hAnsi="宋体" w:cs="宋体"/>
          <w:kern w:val="0"/>
          <w:sz w:val="24"/>
          <w:szCs w:val="24"/>
          <w:u w:val="single"/>
        </w:rPr>
        <w:t>危险化学品生产企业开展安全风险评</w:t>
      </w:r>
      <w:r>
        <w:rPr>
          <w:rFonts w:hint="eastAsia" w:ascii="宋体" w:hAnsi="宋体"/>
          <w:sz w:val="24"/>
          <w:szCs w:val="24"/>
          <w:u w:val="single"/>
        </w:rPr>
        <w:t>、隐患排查及安全生产指导</w:t>
      </w:r>
      <w:r>
        <w:rPr>
          <w:rFonts w:hint="eastAsia" w:ascii="宋体" w:hAnsi="宋体"/>
          <w:kern w:val="0"/>
          <w:sz w:val="24"/>
          <w:szCs w:val="24"/>
          <w:u w:val="single"/>
        </w:rPr>
        <w:t>技术</w:t>
      </w:r>
      <w:r>
        <w:rPr>
          <w:rFonts w:hint="eastAsia" w:ascii="宋体" w:hAnsi="宋体" w:cs="宋体"/>
          <w:kern w:val="0"/>
          <w:sz w:val="24"/>
          <w:szCs w:val="24"/>
          <w:u w:val="single"/>
        </w:rPr>
        <w:t>估技术服务</w:t>
      </w:r>
      <w:r>
        <w:rPr>
          <w:rFonts w:hint="eastAsia" w:ascii="宋体" w:hAnsi="宋体" w:cs="宋体"/>
          <w:kern w:val="0"/>
          <w:sz w:val="32"/>
          <w:szCs w:val="24"/>
          <w:u w:val="single"/>
        </w:rPr>
        <w:t xml:space="preserve"> 。</w:t>
      </w:r>
    </w:p>
    <w:tbl>
      <w:tblPr>
        <w:tblStyle w:val="24"/>
        <w:tblW w:w="9606" w:type="dxa"/>
        <w:tblInd w:w="0" w:type="dxa"/>
        <w:tblLayout w:type="fixed"/>
        <w:tblCellMar>
          <w:top w:w="0" w:type="dxa"/>
          <w:left w:w="108" w:type="dxa"/>
          <w:bottom w:w="0" w:type="dxa"/>
          <w:right w:w="108" w:type="dxa"/>
        </w:tblCellMar>
      </w:tblPr>
      <w:tblGrid>
        <w:gridCol w:w="1088"/>
        <w:gridCol w:w="1016"/>
        <w:gridCol w:w="7502"/>
      </w:tblGrid>
      <w:tr>
        <w:tblPrEx>
          <w:tblCellMar>
            <w:top w:w="0" w:type="dxa"/>
            <w:left w:w="108" w:type="dxa"/>
            <w:bottom w:w="0" w:type="dxa"/>
            <w:right w:w="108" w:type="dxa"/>
          </w:tblCellMar>
        </w:tblPrEx>
        <w:trPr>
          <w:trHeight w:val="587" w:hRule="atLeast"/>
        </w:trPr>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要求性质</w:t>
            </w:r>
          </w:p>
        </w:tc>
        <w:tc>
          <w:tcPr>
            <w:tcW w:w="10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r>
      <w:tr>
        <w:tblPrEx>
          <w:tblCellMar>
            <w:top w:w="0" w:type="dxa"/>
            <w:left w:w="108" w:type="dxa"/>
            <w:bottom w:w="0" w:type="dxa"/>
            <w:right w:w="108" w:type="dxa"/>
          </w:tblCellMar>
        </w:tblPrEx>
        <w:trPr>
          <w:trHeight w:val="399" w:hRule="atLeast"/>
        </w:trPr>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10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有安全生产监督管理总局颁发的安全生产标准化一级评审资质或</w:t>
            </w:r>
            <w:r>
              <w:fldChar w:fldCharType="begin"/>
            </w:r>
            <w:r>
              <w:instrText xml:space="preserve"> HYPERLINK "https://baike.so.com/doc/5376042-5612155.html" \t "https://baike.so.com/doc/_blank" </w:instrText>
            </w:r>
            <w:r>
              <w:fldChar w:fldCharType="separate"/>
            </w:r>
            <w:r>
              <w:rPr>
                <w:rFonts w:ascii="宋体" w:hAnsi="宋体" w:cs="宋体"/>
                <w:kern w:val="0"/>
                <w:sz w:val="24"/>
                <w:szCs w:val="24"/>
                <w:lang w:bidi="lo-LA"/>
              </w:rPr>
              <w:t>国家安全生产监督管理总局</w:t>
            </w:r>
            <w:r>
              <w:rPr>
                <w:rFonts w:ascii="宋体" w:hAnsi="宋体" w:cs="宋体"/>
                <w:kern w:val="0"/>
                <w:sz w:val="24"/>
                <w:szCs w:val="24"/>
                <w:lang w:bidi="lo-LA"/>
              </w:rPr>
              <w:fldChar w:fldCharType="end"/>
            </w:r>
            <w:r>
              <w:rPr>
                <w:rFonts w:hint="eastAsia" w:ascii="宋体" w:hAnsi="宋体" w:cs="宋体"/>
                <w:kern w:val="0"/>
                <w:sz w:val="24"/>
                <w:szCs w:val="24"/>
                <w:lang w:bidi="lo-LA"/>
              </w:rPr>
              <w:t>颁发的甲级资质的安全评价机构。</w:t>
            </w:r>
          </w:p>
        </w:tc>
      </w:tr>
      <w:tr>
        <w:tblPrEx>
          <w:tblCellMar>
            <w:top w:w="0" w:type="dxa"/>
            <w:left w:w="108" w:type="dxa"/>
            <w:bottom w:w="0" w:type="dxa"/>
            <w:right w:w="108" w:type="dxa"/>
          </w:tblCellMar>
        </w:tblPrEx>
        <w:trPr>
          <w:trHeight w:val="349" w:hRule="atLeast"/>
        </w:trPr>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10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szCs w:val="21"/>
              </w:rPr>
              <w:t>投标方具有独立签订合同权利和履行合同能力，必须具有中华人民共和国境内合法注册具有独立法人资格，具备有效的营业执照、税务登记证、组织机构代码证，并提供以上证书的盖章复印件。如“三证合一”，请提供新证书的盖章复印件。</w:t>
            </w:r>
          </w:p>
        </w:tc>
      </w:tr>
      <w:tr>
        <w:tblPrEx>
          <w:tblCellMar>
            <w:top w:w="0" w:type="dxa"/>
            <w:left w:w="108" w:type="dxa"/>
            <w:bottom w:w="0" w:type="dxa"/>
            <w:right w:w="108" w:type="dxa"/>
          </w:tblCellMar>
        </w:tblPrEx>
        <w:trPr>
          <w:trHeight w:val="349" w:hRule="atLeast"/>
        </w:trPr>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101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cstheme="minorEastAsia"/>
                <w:szCs w:val="28"/>
              </w:rPr>
            </w:pPr>
            <w:r>
              <w:rPr>
                <w:rFonts w:hint="eastAsia" w:asciiTheme="minorEastAsia" w:hAnsiTheme="minorEastAsia" w:cstheme="minorEastAsia"/>
                <w:szCs w:val="28"/>
              </w:rPr>
              <w:t>投标单位的专家要熟悉国家及内蒙古自治区安全生产法律、法规、政策和技术标准、规范，具备化工工艺、化工机械、仪表自动化、安全</w:t>
            </w:r>
            <w:r>
              <w:rPr>
                <w:rFonts w:asciiTheme="minorEastAsia" w:hAnsiTheme="minorEastAsia" w:cstheme="minorEastAsia"/>
                <w:szCs w:val="28"/>
              </w:rPr>
              <w:t>工程、电</w:t>
            </w:r>
            <w:r>
              <w:rPr>
                <w:rFonts w:hint="eastAsia" w:asciiTheme="minorEastAsia" w:hAnsiTheme="minorEastAsia" w:cstheme="minorEastAsia"/>
                <w:szCs w:val="28"/>
              </w:rPr>
              <w:t>气及压力容器等专业，并且实践经验丰富，身体健康，能参与安全生产现场检查工作</w:t>
            </w:r>
          </w:p>
        </w:tc>
      </w:tr>
      <w:tr>
        <w:tblPrEx>
          <w:tblCellMar>
            <w:top w:w="0" w:type="dxa"/>
            <w:left w:w="108" w:type="dxa"/>
            <w:bottom w:w="0" w:type="dxa"/>
            <w:right w:w="108" w:type="dxa"/>
          </w:tblCellMar>
        </w:tblPrEx>
        <w:trPr>
          <w:trHeight w:val="349" w:hRule="atLeast"/>
        </w:trPr>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101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cstheme="minorEastAsia"/>
                <w:szCs w:val="28"/>
              </w:rPr>
            </w:pPr>
            <w:r>
              <w:rPr>
                <w:rFonts w:hint="eastAsia" w:asciiTheme="minorEastAsia" w:hAnsiTheme="minorEastAsia" w:cstheme="minorEastAsia"/>
                <w:szCs w:val="28"/>
              </w:rPr>
              <w:t>4</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cstheme="minorEastAsia"/>
                <w:szCs w:val="28"/>
              </w:rPr>
            </w:pPr>
            <w:r>
              <w:rPr>
                <w:rFonts w:hint="eastAsia" w:asciiTheme="minorEastAsia" w:hAnsiTheme="minorEastAsia" w:cstheme="minorEastAsia"/>
                <w:szCs w:val="28"/>
              </w:rPr>
              <w:t>投标单位派出的专家组人数每组（批次）不少于4名（同时具备工艺、设备、仪表和电气、安全等4个专业）。</w:t>
            </w:r>
          </w:p>
        </w:tc>
      </w:tr>
      <w:tr>
        <w:tblPrEx>
          <w:tblCellMar>
            <w:top w:w="0" w:type="dxa"/>
            <w:left w:w="108" w:type="dxa"/>
            <w:bottom w:w="0" w:type="dxa"/>
            <w:right w:w="108" w:type="dxa"/>
          </w:tblCellMar>
        </w:tblPrEx>
        <w:trPr>
          <w:trHeight w:val="349" w:hRule="atLeast"/>
        </w:trPr>
        <w:tc>
          <w:tcPr>
            <w:tcW w:w="960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cstheme="minorEastAsia"/>
                <w:szCs w:val="28"/>
              </w:rPr>
            </w:pPr>
            <w:r>
              <w:rPr>
                <w:rFonts w:hint="eastAsia" w:asciiTheme="minorEastAsia" w:hAnsiTheme="minorEastAsia" w:cstheme="minorEastAsia"/>
                <w:szCs w:val="28"/>
              </w:rPr>
              <w:t>注：“参数性质”标“*”表示此要求为主要服务指标。</w:t>
            </w:r>
          </w:p>
        </w:tc>
      </w:tr>
    </w:tbl>
    <w:p>
      <w:pPr>
        <w:spacing w:line="300" w:lineRule="exact"/>
        <w:ind w:firstLine="562" w:firstLineChars="200"/>
        <w:rPr>
          <w:rFonts w:asciiTheme="minorEastAsia" w:hAnsiTheme="minorEastAsia" w:cstheme="minorEastAsia"/>
          <w:b/>
          <w:szCs w:val="28"/>
        </w:rPr>
      </w:pPr>
      <w:r>
        <w:rPr>
          <w:rFonts w:hint="eastAsia" w:asciiTheme="minorEastAsia" w:hAnsiTheme="minorEastAsia" w:cstheme="minorEastAsia"/>
          <w:b/>
          <w:szCs w:val="28"/>
        </w:rPr>
        <w:t>服务需求附件1：安全检查内容</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1安全生产有关法律法规、规章、规范、标准、规程贯彻执行情况，安全生产责任制、各项规章制度的建立和落实、执行情况；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2作业规程、操作规程及安全技术规程的编制、执行及修订情况；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3化工企业生产工艺装置、设备设施、现场作业安全管理、自动化管理、配套设施等安全管理情况；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4设施、设备、装置使用状况及日常保养维护、检修、检测、检验情况；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5生产及仓储系统的安全管理和事故预防情况；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6从业人员全员接受安全生产教育培训、掌握安全生产技能和操作熟练程度情况，特种作业人员培训考核和持证情况；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8应急救援预案制定、演练，应急救援物</w:t>
      </w:r>
      <w:r>
        <w:rPr>
          <w:rFonts w:hint="eastAsia" w:asciiTheme="minorEastAsia" w:hAnsiTheme="minorEastAsia" w:cstheme="minorEastAsia"/>
          <w:szCs w:val="28"/>
          <w:lang w:val="en-US" w:eastAsia="zh-CN"/>
        </w:rPr>
        <w:t>资</w:t>
      </w:r>
      <w:bookmarkStart w:id="36" w:name="_GoBack"/>
      <w:bookmarkEnd w:id="36"/>
      <w:r>
        <w:rPr>
          <w:rFonts w:hint="eastAsia" w:asciiTheme="minorEastAsia" w:hAnsiTheme="minorEastAsia" w:cstheme="minorEastAsia"/>
          <w:szCs w:val="28"/>
        </w:rPr>
        <w:t>配备及维护情况；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9安全投入、企业安全文化、仪器仪表、劳动防护用品配备、发放和佩戴使用情况；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10涉及重大危险源企业的辨识、评估、登记建档、备案、监控等执行情况；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11八大作业票证按照GB30871规范的执行情况；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12变更管理制度的执行情况；</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13.其他制度建设资料和现场需要检查的内容。</w:t>
      </w:r>
    </w:p>
    <w:p>
      <w:pPr>
        <w:spacing w:line="300" w:lineRule="exact"/>
        <w:ind w:firstLine="562" w:firstLineChars="200"/>
        <w:rPr>
          <w:rFonts w:asciiTheme="minorEastAsia" w:hAnsiTheme="minorEastAsia" w:cstheme="minorEastAsia"/>
          <w:b/>
          <w:szCs w:val="28"/>
        </w:rPr>
      </w:pPr>
      <w:r>
        <w:rPr>
          <w:rFonts w:hint="eastAsia" w:asciiTheme="minorEastAsia" w:hAnsiTheme="minorEastAsia" w:cstheme="minorEastAsia"/>
          <w:b/>
          <w:szCs w:val="28"/>
        </w:rPr>
        <w:t>服务需求附件:2.安全风险隐患排查专家会诊工作要求</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1在安全隐患排查会诊之前，按照国家相关规定结合每家化工企业实际情况制定详细的隐患排查专家会诊方案，并报招标单位审核。</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2专家组进驻企业后通过采取调阅资料、查看现场、询问、对企业安全人员进行技术培训和指导等多种形式，对企业进行全面的安全检查和隐患排查，并为企业提出隐患排查会诊意见及相应的整改措施，尤其针对会诊中查出的重大隐患或者一时难以整改的隐患要提出切实可行、规范合理的整改方案。</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3专家组进驻每个企业进行隐患排查会诊时间应当依据不同企业规模和复杂危险程度合理确定。</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4专家组在检查结束，对被</w:t>
      </w:r>
      <w:r>
        <w:rPr>
          <w:rFonts w:asciiTheme="minorEastAsia" w:hAnsiTheme="minorEastAsia" w:cstheme="minorEastAsia"/>
          <w:szCs w:val="28"/>
        </w:rPr>
        <w:t>查</w:t>
      </w:r>
      <w:r>
        <w:rPr>
          <w:rFonts w:hint="eastAsia" w:asciiTheme="minorEastAsia" w:hAnsiTheme="minorEastAsia" w:cstheme="minorEastAsia"/>
          <w:szCs w:val="28"/>
        </w:rPr>
        <w:t>企业最终隐患排查会诊结果出具书面报告，明确隐患等级程度，是否符合安全生产条件，并签字确认，对检查结果负责，同时报招标人进行审核。</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5每季度检查</w:t>
      </w:r>
      <w:r>
        <w:rPr>
          <w:rFonts w:asciiTheme="minorEastAsia" w:hAnsiTheme="minorEastAsia" w:cstheme="minorEastAsia"/>
          <w:szCs w:val="28"/>
        </w:rPr>
        <w:t>完成，</w:t>
      </w:r>
      <w:r>
        <w:rPr>
          <w:rFonts w:hint="eastAsia" w:asciiTheme="minorEastAsia" w:hAnsiTheme="minorEastAsia" w:cstheme="minorEastAsia"/>
          <w:szCs w:val="28"/>
        </w:rPr>
        <w:t>10天</w:t>
      </w:r>
      <w:r>
        <w:rPr>
          <w:rFonts w:asciiTheme="minorEastAsia" w:hAnsiTheme="minorEastAsia" w:cstheme="minorEastAsia"/>
          <w:szCs w:val="28"/>
        </w:rPr>
        <w:t>以内</w:t>
      </w:r>
      <w:r>
        <w:rPr>
          <w:rFonts w:hint="eastAsia" w:asciiTheme="minorEastAsia" w:hAnsiTheme="minorEastAsia" w:cstheme="minorEastAsia"/>
          <w:szCs w:val="28"/>
        </w:rPr>
        <w:t>结合每个被查企业隐患排查会诊及检查情况对每家企业做整体的安全隐患排查及治理情况分析报告。</w:t>
      </w:r>
    </w:p>
    <w:p>
      <w:pPr>
        <w:spacing w:line="300" w:lineRule="exact"/>
        <w:ind w:firstLine="560" w:firstLineChars="200"/>
        <w:rPr>
          <w:rFonts w:asciiTheme="minorEastAsia" w:hAnsiTheme="minorEastAsia" w:cstheme="minorEastAsia"/>
          <w:szCs w:val="28"/>
        </w:rPr>
      </w:pPr>
      <w:r>
        <w:rPr>
          <w:rFonts w:hint="eastAsia" w:asciiTheme="minorEastAsia" w:hAnsiTheme="minorEastAsia" w:cstheme="minorEastAsia"/>
          <w:szCs w:val="28"/>
        </w:rPr>
        <w:t>6对出具报告中所发现安全隐患的整改落实情况进行逐一复查。</w:t>
      </w:r>
    </w:p>
    <w:p>
      <w:pPr>
        <w:ind w:firstLine="405"/>
      </w:pPr>
      <w:r>
        <w:rPr>
          <w:rFonts w:hint="eastAsia"/>
        </w:rPr>
        <w:t>7对检查企业进行安全生产培训教育.</w:t>
      </w:r>
    </w:p>
    <w:p>
      <w:pPr>
        <w:ind w:firstLine="405"/>
        <w:rPr>
          <w:rFonts w:asciiTheme="minorEastAsia" w:hAnsiTheme="minorEastAsia" w:cstheme="minorEastAsia"/>
          <w:szCs w:val="28"/>
        </w:rPr>
      </w:pPr>
      <w:r>
        <w:rPr>
          <w:rFonts w:hint="eastAsia"/>
        </w:rPr>
        <w:t>8</w:t>
      </w:r>
      <w:r>
        <w:rPr>
          <w:rFonts w:hint="eastAsia" w:asciiTheme="minorEastAsia" w:hAnsiTheme="minorEastAsia" w:cstheme="minorEastAsia"/>
          <w:szCs w:val="28"/>
        </w:rPr>
        <w:t>危险化学品生产企业开展安全风险评估、隐患排查及安全生产指导技术服务计划安排</w:t>
      </w:r>
    </w:p>
    <w:tbl>
      <w:tblPr>
        <w:tblStyle w:val="24"/>
        <w:tblpPr w:leftFromText="180" w:rightFromText="180" w:vertAnchor="text" w:horzAnchor="margin" w:tblpY="-179"/>
        <w:tblW w:w="9087" w:type="dxa"/>
        <w:tblInd w:w="0" w:type="dxa"/>
        <w:tblLayout w:type="autofit"/>
        <w:tblCellMar>
          <w:top w:w="0" w:type="dxa"/>
          <w:left w:w="108" w:type="dxa"/>
          <w:bottom w:w="0" w:type="dxa"/>
          <w:right w:w="108" w:type="dxa"/>
        </w:tblCellMar>
      </w:tblPr>
      <w:tblGrid>
        <w:gridCol w:w="1120"/>
        <w:gridCol w:w="2156"/>
        <w:gridCol w:w="2409"/>
        <w:gridCol w:w="851"/>
        <w:gridCol w:w="1276"/>
        <w:gridCol w:w="1275"/>
      </w:tblGrid>
      <w:tr>
        <w:tblPrEx>
          <w:tblCellMar>
            <w:top w:w="0" w:type="dxa"/>
            <w:left w:w="108" w:type="dxa"/>
            <w:bottom w:w="0" w:type="dxa"/>
            <w:right w:w="108" w:type="dxa"/>
          </w:tblCellMar>
        </w:tblPrEx>
        <w:trPr>
          <w:trHeight w:val="405" w:hRule="atLeast"/>
        </w:trPr>
        <w:tc>
          <w:tcPr>
            <w:tcW w:w="9087" w:type="dxa"/>
            <w:gridSpan w:val="6"/>
            <w:tcBorders>
              <w:top w:val="nil"/>
              <w:left w:val="nil"/>
              <w:bottom w:val="single" w:color="auto" w:sz="4" w:space="0"/>
              <w:right w:val="nil"/>
            </w:tcBorders>
            <w:shd w:val="clear" w:color="auto" w:fill="auto"/>
            <w:noWrap/>
            <w:vAlign w:val="center"/>
          </w:tcPr>
          <w:p>
            <w:pPr>
              <w:widowControl/>
              <w:rPr>
                <w:rFonts w:ascii="宋体" w:hAnsi="宋体" w:cs="宋体"/>
                <w:b/>
                <w:bCs/>
                <w:color w:val="000000"/>
                <w:kern w:val="0"/>
                <w:sz w:val="32"/>
                <w:szCs w:val="32"/>
              </w:rPr>
            </w:pPr>
          </w:p>
        </w:tc>
      </w:tr>
      <w:tr>
        <w:tblPrEx>
          <w:tblCellMar>
            <w:top w:w="0" w:type="dxa"/>
            <w:left w:w="108" w:type="dxa"/>
            <w:bottom w:w="0" w:type="dxa"/>
            <w:right w:w="108" w:type="dxa"/>
          </w:tblCellMar>
        </w:tblPrEx>
        <w:trPr>
          <w:trHeight w:val="834" w:hRule="atLeast"/>
        </w:trPr>
        <w:tc>
          <w:tcPr>
            <w:tcW w:w="11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轮次</w:t>
            </w: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检查企业名称</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地址</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企业人数</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企业检查天数</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CellMar>
            <w:top w:w="0" w:type="dxa"/>
            <w:left w:w="108" w:type="dxa"/>
            <w:bottom w:w="0" w:type="dxa"/>
            <w:right w:w="108" w:type="dxa"/>
          </w:tblCellMar>
        </w:tblPrEx>
        <w:trPr>
          <w:trHeight w:val="312" w:hRule="atLeast"/>
        </w:trPr>
        <w:tc>
          <w:tcPr>
            <w:tcW w:w="112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第一轮/1个组</w:t>
            </w:r>
          </w:p>
          <w:p>
            <w:pPr>
              <w:widowControl/>
              <w:jc w:val="center"/>
              <w:rPr>
                <w:rFonts w:ascii="宋体" w:hAnsi="宋体" w:cs="宋体"/>
                <w:color w:val="000000"/>
                <w:kern w:val="0"/>
                <w:sz w:val="22"/>
              </w:rPr>
            </w:pPr>
            <w:r>
              <w:rPr>
                <w:rFonts w:hint="eastAsia" w:ascii="宋体" w:hAnsi="宋体" w:cs="宋体"/>
                <w:color w:val="000000"/>
                <w:kern w:val="0"/>
                <w:sz w:val="22"/>
              </w:rPr>
              <w:t>合计5天</w:t>
            </w:r>
          </w:p>
        </w:tc>
        <w:tc>
          <w:tcPr>
            <w:tcW w:w="2156"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内蒙古伊泰化工有限责任公司</w:t>
            </w:r>
          </w:p>
        </w:tc>
        <w:tc>
          <w:tcPr>
            <w:tcW w:w="2409"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鄂尔多斯杭锦旗独贵塔拉工业园区南项目区</w:t>
            </w:r>
          </w:p>
        </w:tc>
        <w:tc>
          <w:tcPr>
            <w:tcW w:w="851"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1227</w:t>
            </w:r>
          </w:p>
        </w:tc>
        <w:tc>
          <w:tcPr>
            <w:tcW w:w="1276"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75"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tcBorders>
              <w:top w:val="single" w:color="auto" w:sz="4" w:space="0"/>
              <w:left w:val="single" w:color="auto" w:sz="4" w:space="0"/>
              <w:bottom w:val="nil"/>
              <w:right w:val="single" w:color="auto" w:sz="4" w:space="0"/>
            </w:tcBorders>
            <w:vAlign w:val="center"/>
          </w:tcPr>
          <w:p>
            <w:pPr>
              <w:jc w:val="left"/>
              <w:rPr>
                <w:rFonts w:ascii="宋体" w:hAnsi="宋体" w:cs="宋体"/>
                <w:color w:val="000000"/>
                <w:kern w:val="0"/>
                <w:sz w:val="22"/>
              </w:rPr>
            </w:pPr>
          </w:p>
        </w:tc>
        <w:tc>
          <w:tcPr>
            <w:tcW w:w="2156" w:type="dxa"/>
            <w:tcBorders>
              <w:top w:val="single" w:color="auto" w:sz="4" w:space="0"/>
              <w:left w:val="single" w:color="auto" w:sz="4" w:space="0"/>
              <w:bottom w:val="nil"/>
              <w:right w:val="single" w:color="auto" w:sz="4" w:space="0"/>
            </w:tcBorders>
            <w:vAlign w:val="center"/>
          </w:tcPr>
          <w:p>
            <w:pPr>
              <w:jc w:val="left"/>
              <w:rPr>
                <w:rFonts w:ascii="宋体" w:hAnsi="宋体" w:cs="宋体"/>
                <w:color w:val="000000"/>
                <w:kern w:val="0"/>
                <w:sz w:val="22"/>
              </w:rPr>
            </w:pPr>
          </w:p>
        </w:tc>
        <w:tc>
          <w:tcPr>
            <w:tcW w:w="2409" w:type="dxa"/>
            <w:tcBorders>
              <w:top w:val="single" w:color="auto" w:sz="4" w:space="0"/>
              <w:left w:val="single" w:color="auto" w:sz="4" w:space="0"/>
              <w:right w:val="single" w:color="auto" w:sz="4" w:space="0"/>
            </w:tcBorders>
            <w:vAlign w:val="center"/>
          </w:tcPr>
          <w:p>
            <w:pPr>
              <w:jc w:val="left"/>
              <w:rPr>
                <w:rFonts w:ascii="宋体" w:hAnsi="宋体" w:cs="宋体"/>
                <w:color w:val="000000"/>
                <w:kern w:val="0"/>
                <w:sz w:val="22"/>
              </w:rPr>
            </w:pPr>
          </w:p>
        </w:tc>
        <w:tc>
          <w:tcPr>
            <w:tcW w:w="851" w:type="dxa"/>
            <w:tcBorders>
              <w:top w:val="single" w:color="auto" w:sz="4" w:space="0"/>
              <w:left w:val="single" w:color="auto" w:sz="4" w:space="0"/>
              <w:bottom w:val="nil"/>
              <w:right w:val="single" w:color="auto" w:sz="4" w:space="0"/>
            </w:tcBorders>
            <w:vAlign w:val="center"/>
          </w:tcPr>
          <w:p>
            <w:pPr>
              <w:jc w:val="left"/>
              <w:rPr>
                <w:rFonts w:ascii="宋体" w:hAnsi="宋体" w:cs="宋体"/>
                <w:color w:val="000000"/>
                <w:kern w:val="0"/>
                <w:sz w:val="22"/>
              </w:rPr>
            </w:pPr>
          </w:p>
        </w:tc>
        <w:tc>
          <w:tcPr>
            <w:tcW w:w="1276" w:type="dxa"/>
            <w:tcBorders>
              <w:top w:val="single" w:color="auto" w:sz="4" w:space="0"/>
              <w:left w:val="single" w:color="auto" w:sz="4" w:space="0"/>
              <w:right w:val="single" w:color="auto" w:sz="4" w:space="0"/>
            </w:tcBorders>
            <w:vAlign w:val="center"/>
          </w:tcPr>
          <w:p>
            <w:pPr>
              <w:jc w:val="left"/>
              <w:rPr>
                <w:rFonts w:ascii="宋体" w:hAnsi="宋体" w:cs="宋体"/>
                <w:color w:val="000000"/>
                <w:kern w:val="0"/>
                <w:sz w:val="22"/>
              </w:rPr>
            </w:pPr>
          </w:p>
        </w:tc>
        <w:tc>
          <w:tcPr>
            <w:tcW w:w="12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141" w:hRule="atLeast"/>
        </w:trPr>
        <w:tc>
          <w:tcPr>
            <w:tcW w:w="11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第二轮/1个组</w:t>
            </w:r>
          </w:p>
          <w:p>
            <w:pPr>
              <w:widowControl/>
              <w:jc w:val="center"/>
              <w:rPr>
                <w:rFonts w:ascii="宋体" w:hAnsi="宋体" w:cs="宋体"/>
                <w:color w:val="000000"/>
                <w:kern w:val="0"/>
                <w:sz w:val="22"/>
              </w:rPr>
            </w:pPr>
            <w:r>
              <w:rPr>
                <w:rFonts w:hint="eastAsia" w:ascii="宋体" w:hAnsi="宋体" w:cs="宋体"/>
                <w:color w:val="000000"/>
                <w:kern w:val="0"/>
                <w:sz w:val="22"/>
              </w:rPr>
              <w:t>合计12天</w:t>
            </w:r>
          </w:p>
        </w:tc>
        <w:tc>
          <w:tcPr>
            <w:tcW w:w="215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i/>
                <w:color w:val="000000"/>
                <w:kern w:val="0"/>
                <w:sz w:val="22"/>
                <w:u w:val="single"/>
              </w:rPr>
            </w:pPr>
            <w:r>
              <w:rPr>
                <w:rFonts w:hint="eastAsia" w:ascii="宋体" w:hAnsi="宋体" w:cs="宋体"/>
                <w:color w:val="000000"/>
                <w:kern w:val="0"/>
                <w:sz w:val="22"/>
              </w:rPr>
              <w:t>鄂尔多斯市新杭能源有限公司</w:t>
            </w:r>
          </w:p>
        </w:tc>
        <w:tc>
          <w:tcPr>
            <w:tcW w:w="2409" w:type="dxa"/>
            <w:tcBorders>
              <w:top w:val="nil"/>
              <w:left w:val="nil"/>
              <w:bottom w:val="single" w:color="auto" w:sz="4" w:space="0"/>
              <w:right w:val="single" w:color="auto" w:sz="4" w:space="0"/>
            </w:tcBorders>
            <w:shd w:val="clear" w:color="000000" w:fill="FFFFFF"/>
            <w:vAlign w:val="center"/>
          </w:tcPr>
          <w:p>
            <w:pPr>
              <w:rPr>
                <w:kern w:val="0"/>
              </w:rPr>
            </w:pPr>
            <w:r>
              <w:rPr>
                <w:rFonts w:hint="eastAsia"/>
                <w:kern w:val="0"/>
              </w:rPr>
              <w:t>独贵塔拉工业园区北项目区</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330</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专家组：安全，工艺，设备，电仪，合计4人</w:t>
            </w: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鄂尔多斯市亿鼎生态农业开发有限公司</w:t>
            </w:r>
          </w:p>
        </w:tc>
        <w:tc>
          <w:tcPr>
            <w:tcW w:w="240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鄂尔多斯市杭锦旗独贵塔拉工业园区亿利路西侧</w:t>
            </w:r>
          </w:p>
        </w:tc>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476</w:t>
            </w: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内蒙古兴圣天然气有限责任公司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鄂尔多斯市杭锦旗</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81</w:t>
            </w:r>
          </w:p>
        </w:tc>
        <w:tc>
          <w:tcPr>
            <w:tcW w:w="1276" w:type="dxa"/>
            <w:tcBorders>
              <w:top w:val="nil"/>
              <w:left w:val="nil"/>
              <w:bottom w:val="nil"/>
              <w:right w:val="nil"/>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807"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液化空气（鄂尔多斯）有限公司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鄂尔多斯市杭锦旗独贵塔拉工业园区</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第三轮</w:t>
            </w:r>
          </w:p>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（1个组）</w:t>
            </w:r>
          </w:p>
          <w:p>
            <w:pPr>
              <w:widowControl/>
              <w:jc w:val="center"/>
              <w:rPr>
                <w:rFonts w:ascii="宋体" w:hAnsi="宋体" w:cs="宋体"/>
                <w:color w:val="000000"/>
                <w:kern w:val="0"/>
                <w:sz w:val="22"/>
              </w:rPr>
            </w:pPr>
            <w:r>
              <w:rPr>
                <w:rFonts w:hint="eastAsia" w:ascii="宋体" w:hAnsi="宋体" w:cs="宋体"/>
                <w:color w:val="000000"/>
                <w:kern w:val="0"/>
                <w:sz w:val="22"/>
              </w:rPr>
              <w:t>合计8天</w:t>
            </w:r>
          </w:p>
        </w:tc>
        <w:tc>
          <w:tcPr>
            <w:tcW w:w="215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空气产品（杭锦旗）有限公司</w:t>
            </w:r>
          </w:p>
        </w:tc>
        <w:tc>
          <w:tcPr>
            <w:tcW w:w="240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独贵塔拉南项目区伊泰工业园区</w:t>
            </w:r>
          </w:p>
        </w:tc>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29</w:t>
            </w: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专家组：安全，工艺，设备，电仪，合计4人</w:t>
            </w: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内蒙古安德力化工有限公司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独贵塔拉工业园区南项目区</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58</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81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内蒙古伊泰宁能精细化工有限公司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独贵塔拉工业园区</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43"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内蒙古亚诺科技有限公司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锡尼镇工业园区</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78</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trPr>
        <w:tc>
          <w:tcPr>
            <w:tcW w:w="11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第四轮</w:t>
            </w:r>
          </w:p>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（1个组）</w:t>
            </w:r>
          </w:p>
          <w:p>
            <w:pPr>
              <w:widowControl/>
              <w:jc w:val="center"/>
              <w:rPr>
                <w:rFonts w:ascii="宋体" w:hAnsi="宋体" w:cs="宋体"/>
                <w:color w:val="000000"/>
                <w:kern w:val="0"/>
                <w:sz w:val="22"/>
              </w:rPr>
            </w:pPr>
            <w:r>
              <w:rPr>
                <w:rFonts w:hint="eastAsia" w:ascii="宋体" w:hAnsi="宋体" w:cs="宋体"/>
                <w:color w:val="000000"/>
                <w:kern w:val="0"/>
                <w:sz w:val="22"/>
              </w:rPr>
              <w:t>合计12天</w:t>
            </w: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内蒙古万瑞天然气有限责任公司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杭锦旗锡尼镇新能源产业示范区</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68</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专家组：安全，工艺，设备，电仪，合计4人</w:t>
            </w:r>
          </w:p>
        </w:tc>
      </w:tr>
      <w:tr>
        <w:tblPrEx>
          <w:tblCellMar>
            <w:top w:w="0" w:type="dxa"/>
            <w:left w:w="108" w:type="dxa"/>
            <w:bottom w:w="0" w:type="dxa"/>
            <w:right w:w="108" w:type="dxa"/>
          </w:tblCellMar>
        </w:tblPrEx>
        <w:trPr>
          <w:trHeight w:val="54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杭锦旗亨东天然气有限公司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杭锦旗锡尼镇工业园区</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81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鄂尔多斯市昊华国泰化工有限公司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内蒙古自治区鄂尔多斯市杭锦旗独贵塔拉镇</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563</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鄂尔多斯市杭锦旗新圣天然气有限责任公司</w:t>
            </w:r>
          </w:p>
        </w:tc>
        <w:tc>
          <w:tcPr>
            <w:tcW w:w="240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鄂尔多斯新能源产业示范园区</w:t>
            </w:r>
          </w:p>
        </w:tc>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12"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05"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1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内蒙古万瑞天然气有限责任公司</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鄂尔多斯新能源产业示范区新兴产业园区</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bl>
    <w:p>
      <w:pPr>
        <w:ind w:firstLine="405"/>
      </w:pPr>
    </w:p>
    <w:p/>
    <w:p>
      <w:pPr>
        <w:jc w:val="center"/>
        <w:outlineLvl w:val="0"/>
        <w:rPr>
          <w:rFonts w:ascii="宋体" w:hAnsi="宋体"/>
          <w:b/>
          <w:bCs/>
          <w:kern w:val="44"/>
          <w:sz w:val="24"/>
          <w:szCs w:val="24"/>
          <w:lang w:val="zh-CN"/>
        </w:rPr>
      </w:pPr>
      <w:r>
        <w:rPr>
          <w:rFonts w:hint="eastAsia" w:ascii="宋体" w:hAnsi="宋体"/>
          <w:b/>
          <w:bCs/>
          <w:kern w:val="44"/>
          <w:sz w:val="24"/>
          <w:szCs w:val="24"/>
          <w:lang w:val="zh-CN"/>
        </w:rPr>
        <w:t>第五章 投标人资格证明及相关文件要求</w:t>
      </w:r>
      <w:bookmarkEnd w:id="9"/>
    </w:p>
    <w:p>
      <w:pPr>
        <w:spacing w:line="360" w:lineRule="auto"/>
        <w:jc w:val="center"/>
        <w:rPr>
          <w:rFonts w:ascii="宋体" w:hAnsi="宋体"/>
          <w:b/>
          <w:bCs/>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hAnsi="宋体"/>
          <w:sz w:val="24"/>
          <w:szCs w:val="24"/>
        </w:rPr>
      </w:pPr>
      <w:r>
        <w:rPr>
          <w:rFonts w:hAnsi="宋体"/>
          <w:sz w:val="24"/>
          <w:szCs w:val="24"/>
        </w:rPr>
        <w:t>2</w:t>
      </w:r>
      <w:r>
        <w:rPr>
          <w:rFonts w:hint="eastAsia" w:hAnsi="宋体"/>
          <w:sz w:val="24"/>
          <w:szCs w:val="24"/>
        </w:rPr>
        <w:t>．</w:t>
      </w:r>
      <w:r>
        <w:rPr>
          <w:rFonts w:hint="eastAsia" w:ascii="宋体" w:hAnsi="宋体" w:cs="宋体"/>
          <w:sz w:val="24"/>
          <w:szCs w:val="24"/>
        </w:rPr>
        <w:t>财务状况报告，应附经会计师事务所出具的财务审计报告或其基本开户银行出具的资信证明；</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．投标人依法缴纳税收证明材料；</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．投标人为企业员工缴纳社保资金的证明材料；</w:t>
      </w:r>
      <w:r>
        <w:rPr>
          <w:rFonts w:ascii="宋体" w:hAnsi="宋体"/>
          <w:sz w:val="24"/>
          <w:szCs w:val="24"/>
        </w:rPr>
        <w:t xml:space="preserve"> </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．投标人参加政府采购前三年内在经营活动中没有重大违法记录书面声明函；</w:t>
      </w:r>
      <w:r>
        <w:rPr>
          <w:rFonts w:ascii="宋体" w:hAnsi="宋体"/>
          <w:sz w:val="24"/>
          <w:szCs w:val="24"/>
        </w:rPr>
        <w:t xml:space="preserve"> </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fldChar w:fldCharType="begin"/>
      </w:r>
      <w:r>
        <w:instrText xml:space="preserve"> HYPERLINK "http://www.creditchina.gov.cn"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)和“中国政府采购网”（www.ccgp.gov.cn）查询投标人的信用记录截图。</w:t>
      </w:r>
    </w:p>
    <w:p>
      <w:pPr>
        <w:spacing w:line="360" w:lineRule="auto"/>
        <w:ind w:firstLine="480" w:firstLineChars="200"/>
        <w:rPr>
          <w:rFonts w:asciiTheme="minorEastAsia" w:hAnsiTheme="minorEastAsia"/>
          <w:sz w:val="24"/>
          <w:szCs w:val="24"/>
        </w:rPr>
      </w:pPr>
      <w:r>
        <w:rPr>
          <w:rFonts w:hint="eastAsia" w:ascii="宋体" w:hAnsi="宋体"/>
          <w:sz w:val="24"/>
          <w:szCs w:val="24"/>
        </w:rPr>
        <w:t>7.</w:t>
      </w:r>
      <w:r>
        <w:rPr>
          <w:rFonts w:hint="eastAsia" w:ascii="宋体" w:hAnsi="宋体" w:cs="宋体"/>
          <w:sz w:val="24"/>
          <w:szCs w:val="24"/>
        </w:rPr>
        <w:t xml:space="preserve"> </w:t>
      </w:r>
      <w:r>
        <w:rPr>
          <w:rFonts w:hint="eastAsia" w:ascii="宋体" w:hAnsi="宋体"/>
          <w:sz w:val="24"/>
          <w:szCs w:val="24"/>
        </w:rPr>
        <w:t>招标文件对投标人的其他资格要求：</w:t>
      </w:r>
      <w:r>
        <w:rPr>
          <w:rFonts w:hint="eastAsia" w:asciiTheme="minorEastAsia" w:hAnsiTheme="minorEastAsia"/>
          <w:sz w:val="24"/>
          <w:szCs w:val="24"/>
        </w:rPr>
        <w:t>有国家安全生产监督管理部门颁发的甲级安全评级机构资质。</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以上文件除要求提供“原件”以外，均应在投标文件中提供复印件并加盖投标人公章，未提供或提供的文件过期、失效的，均为无效投标。（具体要求详见本招标文件初审表）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sz w:val="24"/>
          <w:szCs w:val="24"/>
        </w:rPr>
      </w:pPr>
      <w:r>
        <w:rPr>
          <w:rFonts w:hint="eastAsia" w:ascii="宋体" w:hAnsi="宋体"/>
          <w:sz w:val="24"/>
          <w:szCs w:val="24"/>
        </w:rPr>
        <w:t xml:space="preserve">1. </w:t>
      </w:r>
      <w:r>
        <w:rPr>
          <w:rFonts w:ascii="宋体" w:hAnsi="宋体"/>
          <w:sz w:val="24"/>
          <w:szCs w:val="24"/>
        </w:rPr>
        <w:t>能够真实反映投标人业绩的有效证明材料，如</w:t>
      </w:r>
      <w:r>
        <w:rPr>
          <w:rFonts w:hint="eastAsia" w:ascii="宋体" w:hAnsi="宋体"/>
          <w:sz w:val="24"/>
          <w:szCs w:val="24"/>
        </w:rPr>
        <w:t>协议、服务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kern w:val="0"/>
          <w:sz w:val="24"/>
          <w:szCs w:val="24"/>
        </w:rPr>
        <w:t>. 投标人的质量管理体系认证证书、环境认证证书等；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3.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17" w:name="_Toc497408628"/>
      <w:r>
        <w:rPr>
          <w:rFonts w:hint="eastAsia" w:ascii="宋体" w:hAnsi="宋体"/>
          <w:b/>
          <w:bCs/>
          <w:kern w:val="44"/>
          <w:sz w:val="24"/>
          <w:szCs w:val="24"/>
          <w:lang w:val="zh-CN"/>
        </w:rPr>
        <w:t>第六章 评标办法（综合评分法）</w:t>
      </w:r>
      <w:bookmarkEnd w:id="17"/>
    </w:p>
    <w:p>
      <w:pPr>
        <w:spacing w:line="360" w:lineRule="auto"/>
        <w:jc w:val="center"/>
        <w:rPr>
          <w:rFonts w:ascii="宋体" w:hAnsi="宋体"/>
          <w:b/>
          <w:bCs/>
          <w:kern w:val="44"/>
          <w:sz w:val="24"/>
          <w:szCs w:val="24"/>
          <w:lang w:val="zh-CN"/>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初审。初审分为资格性检查和符合性检查。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评审结果为“通过”或“未通过”，未通过资格性检查、符合性检查的投标单位按无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w:t>
      </w:r>
      <w:r>
        <w:rPr>
          <w:rFonts w:hint="eastAsia" w:ascii="宋体" w:hAnsi="宋体"/>
          <w:sz w:val="24"/>
          <w:szCs w:val="24"/>
        </w:rPr>
        <w:t>不发达地区和少数民族地区</w:t>
      </w:r>
      <w:r>
        <w:rPr>
          <w:rFonts w:ascii="宋体" w:hAnsi="宋体" w:cs="Arial"/>
          <w:sz w:val="24"/>
          <w:szCs w:val="24"/>
        </w:rPr>
        <w:t>企业</w:t>
      </w:r>
      <w:r>
        <w:rPr>
          <w:rFonts w:hint="eastAsia" w:ascii="宋体" w:hAnsi="宋体"/>
          <w:sz w:val="24"/>
          <w:szCs w:val="24"/>
        </w:rPr>
        <w:t>优先，同等条件下按服务方案的优劣顺序排列。</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5"/>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8" w:name="OLE_LINK9"/>
      <w:bookmarkStart w:id="19" w:name="OLE_LINK1"/>
      <w:r>
        <w:rPr>
          <w:rFonts w:hint="eastAsia" w:ascii="宋体" w:hAnsi="宋体"/>
          <w:sz w:val="24"/>
          <w:szCs w:val="24"/>
        </w:rPr>
        <w:t>本项所称货物不包括使用大型企业注册商标的货物。</w:t>
      </w:r>
      <w:bookmarkEnd w:id="18"/>
      <w:bookmarkEnd w:id="19"/>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0" w:name="OLE_LINK14"/>
      <w:bookmarkStart w:id="21" w:name="OLE_LINK13"/>
      <w:r>
        <w:rPr>
          <w:rFonts w:hint="eastAsia" w:ascii="宋体" w:hAnsi="宋体"/>
          <w:sz w:val="24"/>
          <w:szCs w:val="24"/>
        </w:rPr>
        <w:t>《残疾人福利性单位声明函》</w:t>
      </w:r>
      <w:bookmarkEnd w:id="20"/>
      <w:bookmarkEnd w:id="21"/>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ind w:firstLine="600" w:firstLineChars="250"/>
        <w:rPr>
          <w:rFonts w:ascii="宋体" w:hAnsi="宋体" w:cs="宋体"/>
          <w:b/>
          <w:kern w:val="0"/>
          <w:sz w:val="24"/>
          <w:szCs w:val="24"/>
        </w:rPr>
      </w:pPr>
      <w:r>
        <w:rPr>
          <w:rFonts w:ascii="宋体" w:hAnsi="宋体"/>
          <w:sz w:val="24"/>
          <w:szCs w:val="24"/>
        </w:rPr>
        <w:br w:type="page"/>
      </w:r>
      <w:r>
        <w:rPr>
          <w:rFonts w:hint="eastAsia" w:ascii="宋体" w:hAnsi="宋体" w:cs="宋体"/>
          <w:b/>
          <w:kern w:val="0"/>
          <w:sz w:val="24"/>
          <w:szCs w:val="24"/>
        </w:rPr>
        <w:t>表一初审表：</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1.投标人是法人的审查会计师事务所出具的近一年度财务审计报告或基本开户银行近一年内出具的资信证明。</w:t>
            </w:r>
          </w:p>
          <w:p>
            <w:pPr>
              <w:jc w:val="left"/>
              <w:rPr>
                <w:rFonts w:ascii="宋体" w:hAnsi="宋体"/>
                <w:sz w:val="24"/>
                <w:szCs w:val="24"/>
              </w:rPr>
            </w:pPr>
            <w:r>
              <w:rPr>
                <w:rFonts w:hint="eastAsia" w:ascii="宋体" w:hAnsi="宋体"/>
                <w:sz w:val="24"/>
                <w:szCs w:val="24"/>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1.提供递交投标文件截止之日前六个月内（至少一个月）的良好缴纳税收的相关凭据。（以税务机关提供的纳税凭据或银行入账单为准）</w:t>
            </w:r>
          </w:p>
          <w:p>
            <w:pPr>
              <w:jc w:val="left"/>
              <w:rPr>
                <w:rFonts w:ascii="宋体" w:hAnsi="宋体" w:cs="宋体"/>
                <w:sz w:val="24"/>
                <w:szCs w:val="24"/>
              </w:rPr>
            </w:pPr>
            <w:r>
              <w:rPr>
                <w:rFonts w:hint="eastAsia" w:ascii="宋体" w:hAnsi="宋体" w:cs="宋体"/>
                <w:sz w:val="24"/>
                <w:szCs w:val="24"/>
              </w:rPr>
              <w:t>2.提供递交投标文件截止之日前六个月内（至少一个月）缴纳社会保险的凭证。（以社保机构出具的专用收据或社会保险缴纳清单为准）</w:t>
            </w:r>
          </w:p>
          <w:p>
            <w:pPr>
              <w:jc w:val="left"/>
              <w:rPr>
                <w:rFonts w:ascii="宋体" w:hAnsi="宋体"/>
                <w:sz w:val="24"/>
                <w:szCs w:val="24"/>
              </w:rPr>
            </w:pPr>
            <w:r>
              <w:rPr>
                <w:rFonts w:hint="eastAsia" w:ascii="宋体" w:hAnsi="宋体" w:cs="宋体"/>
                <w:sz w:val="24"/>
                <w:szCs w:val="24"/>
              </w:rPr>
              <w:t>注：依法免税或不需要缴纳社会保障资金的投标人，应提供相应文件证明其依法免税或不需要缴纳社会保障资金。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1.审查“参加本采购活动前3年内”投标人书面声明函；</w:t>
            </w:r>
          </w:p>
          <w:p>
            <w:pPr>
              <w:jc w:val="left"/>
              <w:rPr>
                <w:rFonts w:ascii="宋体" w:hAnsi="宋体"/>
                <w:sz w:val="24"/>
                <w:szCs w:val="24"/>
              </w:rPr>
            </w:pPr>
            <w:r>
              <w:rPr>
                <w:rFonts w:hint="eastAsia" w:ascii="宋体" w:hAnsi="宋体"/>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cs="宋体"/>
                <w:kern w:val="0"/>
                <w:sz w:val="24"/>
                <w:szCs w:val="24"/>
                <w:lang w:bidi="lo-LA"/>
              </w:rPr>
              <w:t>有安全生产监督管理总局颁发的安全生产标准化一级评审资质或</w:t>
            </w:r>
            <w:r>
              <w:fldChar w:fldCharType="begin"/>
            </w:r>
            <w:r>
              <w:instrText xml:space="preserve"> HYPERLINK "https://baike.so.com/doc/5376042-5612155.html" \t "https://baike.so.com/doc/_blank" </w:instrText>
            </w:r>
            <w:r>
              <w:fldChar w:fldCharType="separate"/>
            </w:r>
            <w:r>
              <w:rPr>
                <w:rFonts w:ascii="宋体" w:hAnsi="宋体" w:cs="宋体"/>
                <w:kern w:val="0"/>
                <w:sz w:val="24"/>
                <w:szCs w:val="24"/>
                <w:lang w:bidi="lo-LA"/>
              </w:rPr>
              <w:t>国家安全生产监督管理总局</w:t>
            </w:r>
            <w:r>
              <w:rPr>
                <w:rFonts w:ascii="宋体" w:hAnsi="宋体" w:cs="宋体"/>
                <w:kern w:val="0"/>
                <w:sz w:val="24"/>
                <w:szCs w:val="24"/>
                <w:lang w:bidi="lo-LA"/>
              </w:rPr>
              <w:fldChar w:fldCharType="end"/>
            </w:r>
            <w:r>
              <w:rPr>
                <w:rFonts w:hint="eastAsia" w:ascii="宋体" w:hAnsi="宋体" w:cs="宋体"/>
                <w:kern w:val="0"/>
                <w:sz w:val="24"/>
                <w:szCs w:val="24"/>
                <w:lang w:bidi="lo-LA"/>
              </w:rPr>
              <w:t>颁发的甲级资质的安全评价机构。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服务需求内容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服务内容明确（逐一对应）并实质性满足招标文件要求。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cs="宋体"/>
          <w:b/>
          <w:kern w:val="0"/>
          <w:sz w:val="24"/>
          <w:szCs w:val="24"/>
        </w:rPr>
      </w:pPr>
      <w:r>
        <w:rPr>
          <w:rFonts w:hint="eastAsia" w:ascii="宋体" w:hAnsi="宋体" w:cs="宋体"/>
          <w:b/>
          <w:kern w:val="0"/>
          <w:sz w:val="24"/>
          <w:szCs w:val="24"/>
        </w:rPr>
        <w:t>表二详细评审表：</w:t>
      </w:r>
    </w:p>
    <w:tbl>
      <w:tblPr>
        <w:tblStyle w:val="24"/>
        <w:tblW w:w="44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581"/>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82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szCs w:val="24"/>
              </w:rPr>
            </w:pPr>
            <w:r>
              <w:rPr>
                <w:rFonts w:hint="eastAsia" w:ascii="宋体" w:hAnsi="宋体"/>
                <w:sz w:val="24"/>
                <w:szCs w:val="24"/>
              </w:rPr>
              <w:t>评审因素</w:t>
            </w:r>
          </w:p>
        </w:tc>
        <w:tc>
          <w:tcPr>
            <w:tcW w:w="3176"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szCs w:val="24"/>
              </w:rPr>
            </w:pPr>
            <w:r>
              <w:rPr>
                <w:rFonts w:hint="eastAsia" w:ascii="宋体" w:hAnsi="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2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szCs w:val="24"/>
              </w:rPr>
            </w:pPr>
            <w:r>
              <w:rPr>
                <w:rFonts w:hint="eastAsia" w:ascii="宋体" w:hAnsi="宋体"/>
                <w:sz w:val="24"/>
                <w:szCs w:val="24"/>
              </w:rPr>
              <w:t>分值构成</w:t>
            </w:r>
          </w:p>
        </w:tc>
        <w:tc>
          <w:tcPr>
            <w:tcW w:w="3176"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szCs w:val="24"/>
              </w:rPr>
            </w:pPr>
            <w:r>
              <w:rPr>
                <w:rFonts w:hint="eastAsia" w:ascii="宋体" w:hAnsi="宋体"/>
                <w:sz w:val="24"/>
                <w:szCs w:val="24"/>
              </w:rPr>
              <w:t xml:space="preserve">1、报价得分 30分 </w:t>
            </w:r>
          </w:p>
          <w:p>
            <w:pPr>
              <w:spacing w:line="320" w:lineRule="exact"/>
              <w:rPr>
                <w:rFonts w:ascii="宋体" w:hAnsi="宋体"/>
                <w:sz w:val="24"/>
                <w:szCs w:val="24"/>
              </w:rPr>
            </w:pPr>
            <w:r>
              <w:rPr>
                <w:rFonts w:hint="eastAsia" w:ascii="宋体" w:hAnsi="宋体"/>
                <w:sz w:val="24"/>
                <w:szCs w:val="24"/>
              </w:rPr>
              <w:t>2、商务部分 20分</w:t>
            </w:r>
          </w:p>
          <w:p>
            <w:pPr>
              <w:spacing w:line="320" w:lineRule="exact"/>
              <w:rPr>
                <w:rFonts w:ascii="宋体" w:hAnsi="宋体"/>
                <w:sz w:val="24"/>
                <w:szCs w:val="24"/>
              </w:rPr>
            </w:pPr>
            <w:r>
              <w:rPr>
                <w:rFonts w:hint="eastAsia" w:ascii="宋体" w:hAnsi="宋体"/>
                <w:sz w:val="24"/>
                <w:szCs w:val="24"/>
              </w:rPr>
              <w:t>3、技术部分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0"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szCs w:val="24"/>
              </w:rPr>
            </w:pPr>
            <w:r>
              <w:rPr>
                <w:rFonts w:hint="eastAsia" w:ascii="宋体" w:hAnsi="宋体"/>
                <w:sz w:val="24"/>
                <w:szCs w:val="24"/>
              </w:rPr>
              <w:t>投标报价</w:t>
            </w:r>
          </w:p>
        </w:tc>
        <w:tc>
          <w:tcPr>
            <w:tcW w:w="1514"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szCs w:val="24"/>
              </w:rPr>
            </w:pPr>
            <w:r>
              <w:rPr>
                <w:rFonts w:hint="eastAsia" w:ascii="宋体" w:hAnsi="宋体"/>
                <w:sz w:val="24"/>
                <w:szCs w:val="24"/>
              </w:rPr>
              <w:t>评标基准价确定方法</w:t>
            </w:r>
          </w:p>
        </w:tc>
        <w:tc>
          <w:tcPr>
            <w:tcW w:w="3176"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 w:val="24"/>
                <w:szCs w:val="24"/>
              </w:rPr>
            </w:pPr>
            <w:r>
              <w:rPr>
                <w:rFonts w:hint="eastAsia" w:ascii="宋体" w:hAnsi="宋体"/>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4"/>
                <w:szCs w:val="24"/>
              </w:rPr>
            </w:pPr>
          </w:p>
        </w:tc>
        <w:tc>
          <w:tcPr>
            <w:tcW w:w="1514" w:type="pc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sz w:val="24"/>
                <w:szCs w:val="24"/>
              </w:rPr>
            </w:pPr>
            <w:r>
              <w:rPr>
                <w:rFonts w:hint="eastAsia" w:ascii="宋体" w:hAnsi="宋体"/>
                <w:sz w:val="24"/>
                <w:szCs w:val="24"/>
              </w:rPr>
              <w:t>投标报价得分（30分）</w:t>
            </w:r>
          </w:p>
        </w:tc>
        <w:tc>
          <w:tcPr>
            <w:tcW w:w="3176" w:type="pc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sz w:val="24"/>
                <w:szCs w:val="24"/>
              </w:rPr>
            </w:pPr>
            <w:r>
              <w:rPr>
                <w:rFonts w:hint="eastAsia" w:ascii="宋体" w:hAnsi="宋体"/>
                <w:sz w:val="24"/>
                <w:szCs w:val="24"/>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0" w:type="pct"/>
            <w:vMerge w:val="restart"/>
            <w:tcBorders>
              <w:top w:val="single" w:color="auto" w:sz="4" w:space="0"/>
              <w:left w:val="single" w:color="auto" w:sz="4" w:space="0"/>
              <w:right w:val="single" w:color="auto" w:sz="4" w:space="0"/>
            </w:tcBorders>
            <w:vAlign w:val="center"/>
          </w:tcPr>
          <w:p>
            <w:pPr>
              <w:snapToGrid w:val="0"/>
              <w:spacing w:line="320" w:lineRule="exact"/>
              <w:rPr>
                <w:rFonts w:ascii="宋体" w:hAnsi="宋体"/>
                <w:sz w:val="24"/>
                <w:szCs w:val="24"/>
              </w:rPr>
            </w:pPr>
            <w:r>
              <w:rPr>
                <w:rFonts w:hint="eastAsia" w:ascii="宋体" w:hAnsi="宋体"/>
                <w:sz w:val="24"/>
                <w:szCs w:val="24"/>
              </w:rPr>
              <w:t>商</w:t>
            </w:r>
          </w:p>
          <w:p>
            <w:pPr>
              <w:snapToGrid w:val="0"/>
              <w:spacing w:line="320" w:lineRule="exact"/>
              <w:rPr>
                <w:rFonts w:ascii="宋体" w:hAnsi="宋体"/>
                <w:sz w:val="24"/>
                <w:szCs w:val="24"/>
              </w:rPr>
            </w:pPr>
            <w:r>
              <w:rPr>
                <w:rFonts w:hint="eastAsia" w:ascii="宋体" w:hAnsi="宋体"/>
                <w:sz w:val="24"/>
                <w:szCs w:val="24"/>
              </w:rPr>
              <w:t>务部分</w:t>
            </w:r>
          </w:p>
        </w:tc>
        <w:tc>
          <w:tcPr>
            <w:tcW w:w="151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信誉（5分）</w:t>
            </w:r>
          </w:p>
        </w:tc>
        <w:tc>
          <w:tcPr>
            <w:tcW w:w="317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拥有应急管理部国家级专家1名以上3分，每拥有1个国家部委科技成果奖励加2分，总分不超过5分。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0" w:type="auto"/>
            <w:vMerge w:val="continue"/>
            <w:tcBorders>
              <w:left w:val="single" w:color="auto" w:sz="4" w:space="0"/>
              <w:right w:val="single" w:color="auto" w:sz="4" w:space="0"/>
            </w:tcBorders>
            <w:vAlign w:val="center"/>
          </w:tcPr>
          <w:p>
            <w:pPr>
              <w:widowControl/>
              <w:rPr>
                <w:rFonts w:ascii="宋体" w:hAnsi="宋体"/>
                <w:sz w:val="24"/>
                <w:szCs w:val="24"/>
              </w:rPr>
            </w:pPr>
          </w:p>
        </w:tc>
        <w:tc>
          <w:tcPr>
            <w:tcW w:w="1514" w:type="pct"/>
            <w:tcBorders>
              <w:top w:val="single" w:color="auto" w:sz="4" w:space="0"/>
              <w:left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业绩（12分）</w:t>
            </w:r>
          </w:p>
        </w:tc>
        <w:tc>
          <w:tcPr>
            <w:tcW w:w="3176" w:type="pct"/>
            <w:tcBorders>
              <w:top w:val="single" w:color="auto" w:sz="4" w:space="0"/>
              <w:left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投标人近3年（2017至今）的类似业绩（销售或服务合同），每提供一份有效材料得1分，最高得12分。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类似业绩指：危险化学品、煤化工安全评估类，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widowControl/>
              <w:rPr>
                <w:rFonts w:ascii="宋体" w:hAnsi="宋体"/>
                <w:sz w:val="24"/>
                <w:szCs w:val="24"/>
              </w:rPr>
            </w:pPr>
          </w:p>
        </w:tc>
        <w:tc>
          <w:tcPr>
            <w:tcW w:w="151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认证（3分）</w:t>
            </w:r>
          </w:p>
        </w:tc>
        <w:tc>
          <w:tcPr>
            <w:tcW w:w="317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投标人具有且提供（在有效期内）</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1.质量管理体系认证证书得1分、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2.职业健康安全管理体系认证证书得1分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3.高新技术企业证书得1分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10" w:type="pct"/>
            <w:vMerge w:val="restart"/>
            <w:tcBorders>
              <w:left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技术部分</w:t>
            </w:r>
          </w:p>
        </w:tc>
        <w:tc>
          <w:tcPr>
            <w:tcW w:w="1514" w:type="pc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服务需求响应情况（16分）</w:t>
            </w:r>
          </w:p>
        </w:tc>
        <w:tc>
          <w:tcPr>
            <w:tcW w:w="3176" w:type="pct"/>
            <w:tcBorders>
              <w:top w:val="single" w:color="auto" w:sz="4" w:space="0"/>
              <w:left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服务需求实质性满足招标文件要求的，得基础分14分，每有一项“*”内容实质性由于招标文件要求的，加1分。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10" w:type="pct"/>
            <w:vMerge w:val="continue"/>
            <w:tcBorders>
              <w:left w:val="single" w:color="auto" w:sz="4" w:space="0"/>
              <w:right w:val="single" w:color="auto" w:sz="4" w:space="0"/>
            </w:tcBorders>
            <w:vAlign w:val="center"/>
          </w:tcPr>
          <w:p>
            <w:pPr>
              <w:rPr>
                <w:rFonts w:ascii="宋体" w:hAnsi="宋体"/>
                <w:sz w:val="24"/>
                <w:szCs w:val="24"/>
              </w:rPr>
            </w:pPr>
          </w:p>
        </w:tc>
        <w:tc>
          <w:tcPr>
            <w:tcW w:w="1514" w:type="pc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整体方案（8分）</w:t>
            </w:r>
          </w:p>
        </w:tc>
        <w:tc>
          <w:tcPr>
            <w:tcW w:w="3176" w:type="pct"/>
            <w:tcBorders>
              <w:top w:val="single" w:color="auto" w:sz="4" w:space="0"/>
              <w:left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1、整体方案完整、合理、可行、针对性强，得6-8分；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2、整体方案完整、合理、可行、针对性一般，得2-5分。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310" w:type="pct"/>
            <w:vMerge w:val="continue"/>
            <w:tcBorders>
              <w:left w:val="single" w:color="auto" w:sz="4" w:space="0"/>
              <w:right w:val="single" w:color="auto" w:sz="4" w:space="0"/>
            </w:tcBorders>
            <w:vAlign w:val="center"/>
          </w:tcPr>
          <w:p>
            <w:pPr>
              <w:rPr>
                <w:rFonts w:ascii="宋体" w:hAnsi="宋体"/>
                <w:sz w:val="24"/>
                <w:szCs w:val="24"/>
              </w:rPr>
            </w:pPr>
          </w:p>
        </w:tc>
        <w:tc>
          <w:tcPr>
            <w:tcW w:w="1514" w:type="pc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拟安排的项目负责人情况（8分）</w:t>
            </w:r>
          </w:p>
        </w:tc>
        <w:tc>
          <w:tcPr>
            <w:tcW w:w="3176" w:type="pct"/>
            <w:tcBorders>
              <w:top w:val="single" w:color="auto" w:sz="4" w:space="0"/>
              <w:left w:val="single" w:color="auto" w:sz="4" w:space="0"/>
              <w:right w:val="single" w:color="auto" w:sz="4" w:space="0"/>
            </w:tcBorders>
            <w:vAlign w:val="center"/>
          </w:tcPr>
          <w:p>
            <w:pPr>
              <w:rPr>
                <w:rFonts w:asciiTheme="minorEastAsia" w:hAnsiTheme="minorEastAsia" w:eastAsiaTheme="minorEastAsia"/>
                <w:sz w:val="24"/>
                <w:szCs w:val="24"/>
              </w:rPr>
            </w:pPr>
            <w:r>
              <w:rPr>
                <w:rFonts w:hint="eastAsia" w:cs="宋体" w:asciiTheme="minorEastAsia" w:hAnsiTheme="minorEastAsia" w:eastAsiaTheme="minorEastAsia"/>
                <w:sz w:val="24"/>
                <w:szCs w:val="24"/>
              </w:rPr>
              <w:t>项目总负责人1名，具有安全专业高级及以上职称</w:t>
            </w:r>
            <w:r>
              <w:rPr>
                <w:rFonts w:hint="eastAsia" w:asciiTheme="minorEastAsia" w:hAnsiTheme="minorEastAsia" w:eastAsiaTheme="minorEastAsia"/>
                <w:sz w:val="24"/>
                <w:szCs w:val="24"/>
              </w:rPr>
              <w:t>得基础分5分</w:t>
            </w:r>
            <w:r>
              <w:rPr>
                <w:rFonts w:hint="eastAsia" w:cs="宋体" w:asciiTheme="minorEastAsia" w:hAnsiTheme="minorEastAsia" w:eastAsiaTheme="minorEastAsia"/>
                <w:sz w:val="24"/>
                <w:szCs w:val="24"/>
              </w:rPr>
              <w:t>，且具有安全标准化评审资格得3分。总分不得超出8分。</w:t>
            </w:r>
            <w:r>
              <w:rPr>
                <w:rFonts w:hint="eastAsia" w:asciiTheme="minorEastAsia" w:hAnsiTheme="minorEastAsia" w:eastAsiaTheme="minor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310" w:type="pct"/>
            <w:vMerge w:val="continue"/>
            <w:tcBorders>
              <w:left w:val="single" w:color="auto" w:sz="4" w:space="0"/>
              <w:right w:val="single" w:color="auto" w:sz="4" w:space="0"/>
            </w:tcBorders>
            <w:vAlign w:val="center"/>
          </w:tcPr>
          <w:p>
            <w:pPr>
              <w:rPr>
                <w:rFonts w:ascii="宋体" w:hAnsi="宋体"/>
                <w:sz w:val="24"/>
                <w:szCs w:val="24"/>
              </w:rPr>
            </w:pPr>
          </w:p>
        </w:tc>
        <w:tc>
          <w:tcPr>
            <w:tcW w:w="1514" w:type="pc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拟安排的项目团队成员（项目负责人除外）情况（10分）</w:t>
            </w:r>
          </w:p>
        </w:tc>
        <w:tc>
          <w:tcPr>
            <w:tcW w:w="3176" w:type="pct"/>
            <w:tcBorders>
              <w:top w:val="single" w:color="auto" w:sz="4" w:space="0"/>
              <w:left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项目团队人数5人以上、且具备专业高级及以上职称，得基础分5分；每增加1人且具有与招标要求相同资质的，加1分，满分10分。不满足不得分。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10" w:type="pct"/>
            <w:vMerge w:val="continue"/>
            <w:tcBorders>
              <w:left w:val="single" w:color="auto" w:sz="4" w:space="0"/>
              <w:right w:val="single" w:color="auto" w:sz="4" w:space="0"/>
            </w:tcBorders>
            <w:vAlign w:val="center"/>
          </w:tcPr>
          <w:p>
            <w:pPr>
              <w:widowControl/>
              <w:rPr>
                <w:rFonts w:ascii="宋体" w:hAnsi="宋体"/>
                <w:sz w:val="24"/>
                <w:szCs w:val="24"/>
              </w:rPr>
            </w:pPr>
          </w:p>
        </w:tc>
        <w:tc>
          <w:tcPr>
            <w:tcW w:w="151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项目重点、难点分析及解决方案（3分）</w:t>
            </w:r>
          </w:p>
        </w:tc>
        <w:tc>
          <w:tcPr>
            <w:tcW w:w="317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分析重点、难点问题全面、具体，且提供解决方案合理可行和有针对性的，得1-3分；否则不得分。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0" w:type="pct"/>
            <w:vMerge w:val="continue"/>
            <w:tcBorders>
              <w:left w:val="single" w:color="auto" w:sz="4" w:space="0"/>
              <w:right w:val="single" w:color="auto" w:sz="4" w:space="0"/>
            </w:tcBorders>
            <w:vAlign w:val="center"/>
          </w:tcPr>
          <w:p>
            <w:pPr>
              <w:widowControl/>
              <w:rPr>
                <w:rFonts w:ascii="宋体" w:hAnsi="宋体"/>
                <w:sz w:val="24"/>
                <w:szCs w:val="24"/>
              </w:rPr>
            </w:pPr>
          </w:p>
        </w:tc>
        <w:tc>
          <w:tcPr>
            <w:tcW w:w="151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应急事件处理方案（2分）</w:t>
            </w:r>
          </w:p>
        </w:tc>
        <w:tc>
          <w:tcPr>
            <w:tcW w:w="317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应急处理方案合理可行、有针对性的，得1-2分；否则不得分。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0" w:type="pct"/>
            <w:vMerge w:val="continue"/>
            <w:tcBorders>
              <w:left w:val="single" w:color="auto" w:sz="4" w:space="0"/>
              <w:right w:val="single" w:color="auto" w:sz="4" w:space="0"/>
            </w:tcBorders>
            <w:vAlign w:val="center"/>
          </w:tcPr>
          <w:p>
            <w:pPr>
              <w:widowControl/>
              <w:rPr>
                <w:rFonts w:ascii="宋体" w:hAnsi="宋体"/>
                <w:sz w:val="24"/>
                <w:szCs w:val="24"/>
              </w:rPr>
            </w:pPr>
          </w:p>
        </w:tc>
        <w:tc>
          <w:tcPr>
            <w:tcW w:w="151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项目完成（服务期满）后的服务承诺（3分）</w:t>
            </w:r>
          </w:p>
        </w:tc>
        <w:tc>
          <w:tcPr>
            <w:tcW w:w="317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提供服务期满后的服务承诺书（格式自拟），评标委员会进行横向比对，承诺（如根据维保时间、是否免费升级、人员培训等）科学、可行的，得1-3分；否则不得分。</w:t>
            </w:r>
          </w:p>
        </w:tc>
      </w:tr>
    </w:tbl>
    <w:p>
      <w:pPr>
        <w:spacing w:line="360" w:lineRule="auto"/>
        <w:rPr>
          <w:rFonts w:ascii="宋体" w:hAnsi="宋体"/>
          <w:sz w:val="24"/>
          <w:szCs w:val="24"/>
        </w:rPr>
      </w:pPr>
      <w:r>
        <w:rPr>
          <w:rFonts w:ascii="宋体" w:hAnsi="宋体"/>
          <w:sz w:val="24"/>
          <w:szCs w:val="24"/>
        </w:rPr>
        <w:br w:type="page"/>
      </w:r>
      <w:r>
        <w:rPr>
          <w:rFonts w:ascii="宋体" w:hAnsi="宋体"/>
          <w:sz w:val="24"/>
          <w:szCs w:val="24"/>
        </w:rPr>
        <w:t xml:space="preserve"> </w:t>
      </w:r>
    </w:p>
    <w:p>
      <w:pPr>
        <w:pStyle w:val="2"/>
        <w:keepNext w:val="0"/>
        <w:keepLines w:val="0"/>
        <w:spacing w:line="360" w:lineRule="auto"/>
        <w:rPr>
          <w:rFonts w:ascii="宋体" w:hAnsi="宋体"/>
          <w:sz w:val="24"/>
          <w:szCs w:val="24"/>
        </w:rPr>
      </w:pPr>
      <w:bookmarkStart w:id="22" w:name="_Toc497408629"/>
      <w:r>
        <w:rPr>
          <w:rFonts w:hint="eastAsia" w:ascii="宋体" w:hAnsi="宋体"/>
          <w:sz w:val="24"/>
          <w:szCs w:val="24"/>
        </w:rPr>
        <w:t>第七章 投标文件格式与要求</w:t>
      </w:r>
      <w:bookmarkEnd w:id="22"/>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投标人提供投标文件应当按照以下格式及要求进行编制，且应不少于以下内容。</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测试评估认证服务项目</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八．本项目服务人员简表……………………………………………………    （ ）</w:t>
      </w:r>
    </w:p>
    <w:p>
      <w:pPr>
        <w:spacing w:line="360" w:lineRule="auto"/>
        <w:rPr>
          <w:rFonts w:ascii="宋体" w:hAnsi="宋体"/>
          <w:sz w:val="24"/>
          <w:szCs w:val="24"/>
        </w:rPr>
      </w:pPr>
      <w:r>
        <w:rPr>
          <w:rFonts w:hint="eastAsia" w:ascii="宋体" w:hAnsi="宋体"/>
          <w:sz w:val="24"/>
          <w:szCs w:val="24"/>
        </w:rPr>
        <w:t>九.分项报价明细表</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十.服务需求响应表………………………………………………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十一.项目服务方案………………………………………………</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 xml:space="preserve">十六.依法缴纳税收的凭据 </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w:t>
      </w:r>
      <w:r>
        <w:rPr>
          <w:rFonts w:ascii="宋体" w:hAnsi="宋体"/>
          <w:sz w:val="24"/>
          <w:szCs w:val="24"/>
        </w:rPr>
        <w:t>…………</w:t>
      </w:r>
      <w:r>
        <w:rPr>
          <w:rFonts w:hint="eastAsia" w:ascii="宋体" w:hAnsi="宋体"/>
          <w:sz w:val="24"/>
          <w:szCs w:val="24"/>
        </w:rPr>
        <w:t xml:space="preserve">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十九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二十.政府采购政策情况表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二十一.中小企业声明函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二十二.残疾人福利性单位声明函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二十三.各类证明材料…………………………………………………</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bookmarkStart w:id="23" w:name="_Toc482026547"/>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格式三：</w:t>
      </w:r>
      <w:bookmarkEnd w:id="23"/>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鄂尔多斯市杭锦旗公共资源交易中心：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）招标文件要求，经我方</w:t>
      </w:r>
      <w:r>
        <w:rPr>
          <w:rFonts w:hint="eastAsia" w:ascii="宋体" w:hAnsi="宋体"/>
          <w:sz w:val="24"/>
          <w:szCs w:val="24"/>
          <w:u w:val="single"/>
        </w:rPr>
        <w:t>（投标人名称）</w:t>
      </w:r>
      <w:r>
        <w:rPr>
          <w:rFonts w:hint="eastAsia" w:ascii="宋体" w:hAnsi="宋体"/>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投标人法人授权代表签字：（加盖公章）              年 月  日</w:t>
      </w:r>
      <w:r>
        <w:rPr>
          <w:rFonts w:ascii="宋体" w:hAnsi="宋体"/>
          <w:b/>
          <w:bCs/>
          <w:kern w:val="0"/>
          <w:sz w:val="24"/>
          <w:szCs w:val="24"/>
          <w:lang w:val="zh-CN"/>
        </w:rPr>
        <w:br w:type="page"/>
      </w:r>
    </w:p>
    <w:p>
      <w:pPr>
        <w:adjustRightInd w:val="0"/>
        <w:snapToGrid w:val="0"/>
        <w:spacing w:line="360" w:lineRule="auto"/>
        <w:jc w:val="left"/>
        <w:rPr>
          <w:rFonts w:ascii="宋体" w:hAnsi="宋体"/>
          <w:sz w:val="24"/>
          <w:szCs w:val="24"/>
        </w:rPr>
      </w:pPr>
      <w:r>
        <w:rPr>
          <w:rFonts w:hint="eastAsia" w:hAnsi="宋体"/>
          <w:b/>
          <w:bCs/>
          <w:sz w:val="24"/>
          <w:szCs w:val="24"/>
        </w:rPr>
        <w:t>格式四：</w:t>
      </w:r>
      <w:r>
        <w:rPr>
          <w:rFonts w:hint="eastAsia" w:ascii="宋体" w:hAnsi="宋体"/>
          <w:sz w:val="24"/>
          <w:szCs w:val="24"/>
        </w:rPr>
        <w:t xml:space="preserve">                   </w:t>
      </w:r>
    </w:p>
    <w:p>
      <w:pPr>
        <w:adjustRightInd w:val="0"/>
        <w:snapToGrid w:val="0"/>
        <w:spacing w:line="360" w:lineRule="auto"/>
        <w:jc w:val="center"/>
        <w:rPr>
          <w:rFonts w:ascii="宋体" w:hAnsi="宋体"/>
          <w:b/>
          <w:sz w:val="24"/>
          <w:szCs w:val="24"/>
        </w:rPr>
      </w:pPr>
      <w:r>
        <w:rPr>
          <w:rFonts w:hint="eastAsia" w:ascii="宋体" w:hAnsi="宋体"/>
          <w:sz w:val="24"/>
          <w:szCs w:val="24"/>
        </w:rPr>
        <w:t>开标一览表</w:t>
      </w:r>
    </w:p>
    <w:p>
      <w:pPr>
        <w:pStyle w:val="15"/>
        <w:spacing w:line="360" w:lineRule="auto"/>
        <w:ind w:left="57" w:right="57" w:firstLine="57"/>
        <w:rPr>
          <w:rFonts w:hAnsi="宋体"/>
          <w:bCs/>
          <w:sz w:val="24"/>
          <w:szCs w:val="24"/>
        </w:rPr>
      </w:pPr>
    </w:p>
    <w:p>
      <w:pPr>
        <w:pStyle w:val="15"/>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3849" w:type="dxa"/>
            <w:vAlign w:val="center"/>
          </w:tcPr>
          <w:p>
            <w:pPr>
              <w:spacing w:line="360" w:lineRule="auto"/>
              <w:jc w:val="center"/>
              <w:rPr>
                <w:rFonts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3849" w:type="dxa"/>
            <w:vMerge w:val="restart"/>
            <w:vAlign w:val="center"/>
          </w:tcPr>
          <w:p>
            <w:pPr>
              <w:spacing w:line="360" w:lineRule="auto"/>
              <w:ind w:left="57" w:right="57" w:firstLine="57"/>
              <w:jc w:val="center"/>
              <w:rPr>
                <w:rFonts w:ascii="宋体" w:hAnsi="宋体"/>
                <w:sz w:val="24"/>
                <w:szCs w:val="24"/>
              </w:rPr>
            </w:pPr>
            <w:r>
              <w:rPr>
                <w:rFonts w:hint="eastAsia" w:ascii="宋体" w:hAnsi="宋体"/>
                <w:sz w:val="24"/>
                <w:szCs w:val="24"/>
              </w:rPr>
              <w:t>合同生效后至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3849" w:type="dxa"/>
            <w:vMerge w:val="continue"/>
            <w:vAlign w:val="center"/>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b/>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pStyle w:val="3"/>
        <w:keepNext w:val="0"/>
        <w:keepLines w:val="0"/>
        <w:spacing w:line="360" w:lineRule="auto"/>
        <w:rPr>
          <w:rFonts w:ascii="宋体" w:hAnsi="宋体" w:eastAsia="宋体"/>
          <w:sz w:val="24"/>
          <w:szCs w:val="24"/>
        </w:rPr>
      </w:pPr>
      <w:bookmarkStart w:id="24" w:name="_Toc482026549"/>
      <w:r>
        <w:rPr>
          <w:rFonts w:ascii="宋体" w:hAnsi="宋体" w:eastAsia="宋体"/>
          <w:sz w:val="24"/>
          <w:szCs w:val="24"/>
        </w:rPr>
        <w:br w:type="page"/>
      </w:r>
    </w:p>
    <w:bookmarkEnd w:id="24"/>
    <w:p>
      <w:pPr>
        <w:spacing w:line="360" w:lineRule="auto"/>
        <w:rPr>
          <w:rFonts w:asciiTheme="minorEastAsia" w:hAnsiTheme="minorEastAsia" w:eastAsiaTheme="minorEastAsia"/>
          <w:b/>
          <w:sz w:val="24"/>
          <w:szCs w:val="24"/>
        </w:rPr>
      </w:pPr>
      <w:bookmarkStart w:id="25"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spacing w:line="360" w:lineRule="auto"/>
        <w:jc w:val="left"/>
        <w:rPr>
          <w:rFonts w:asciiTheme="minorEastAsia" w:hAnsiTheme="minorEastAsia" w:eastAsiaTheme="minorEastAsia"/>
          <w:b/>
          <w:sz w:val="24"/>
          <w:szCs w:val="24"/>
        </w:rPr>
      </w:pPr>
      <w:bookmarkStart w:id="26" w:name="_Toc496001220"/>
      <w:r>
        <w:rPr>
          <w:rFonts w:hint="eastAsia" w:asciiTheme="minorEastAsia" w:hAnsiTheme="minorEastAsia" w:eastAsiaTheme="minorEastAsia"/>
          <w:b/>
          <w:sz w:val="24"/>
          <w:szCs w:val="24"/>
        </w:rPr>
        <w:t>格式七：</w:t>
      </w:r>
      <w:bookmarkEnd w:id="26"/>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5"/>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测试评估认证服务项目招标项目投标。现就联合体投标事宜订立如下协议。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本项目服务人员简表</w:t>
      </w:r>
    </w:p>
    <w:tbl>
      <w:tblPr>
        <w:tblStyle w:val="2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ind w:firstLine="120" w:firstLineChars="50"/>
        <w:rPr>
          <w:rFonts w:ascii="宋体" w:hAnsi="宋体"/>
          <w:sz w:val="24"/>
          <w:szCs w:val="24"/>
          <w:lang w:val="zh-CN"/>
        </w:rPr>
      </w:pPr>
      <w:r>
        <w:rPr>
          <w:rFonts w:hint="eastAsia" w:ascii="宋体" w:hAnsi="宋体"/>
          <w:sz w:val="24"/>
          <w:szCs w:val="24"/>
          <w:lang w:val="zh-CN"/>
        </w:rPr>
        <w:t>注：投标人在本表后附人员证书等复印件。</w:t>
      </w:r>
    </w:p>
    <w:p>
      <w:pPr>
        <w:rPr>
          <w:lang w:val="zh-CN"/>
        </w:rPr>
      </w:pPr>
    </w:p>
    <w:p>
      <w:pPr>
        <w:widowControl/>
        <w:jc w:val="left"/>
        <w:rPr>
          <w:lang w:val="zh-CN"/>
        </w:rPr>
      </w:pPr>
      <w:r>
        <w:rPr>
          <w:lang w:val="zh-CN"/>
        </w:rPr>
        <w:br w:type="page"/>
      </w:r>
    </w:p>
    <w:p>
      <w:pPr>
        <w:adjustRightInd w:val="0"/>
        <w:snapToGrid w:val="0"/>
        <w:spacing w:line="360" w:lineRule="auto"/>
        <w:jc w:val="left"/>
        <w:rPr>
          <w:rFonts w:hAnsi="宋体"/>
          <w:b/>
          <w:bCs/>
          <w:sz w:val="24"/>
          <w:szCs w:val="24"/>
        </w:rPr>
      </w:pPr>
      <w:r>
        <w:rPr>
          <w:rFonts w:hint="eastAsia" w:hAnsi="宋体"/>
          <w:b/>
          <w:bCs/>
          <w:sz w:val="24"/>
          <w:szCs w:val="24"/>
        </w:rPr>
        <w:t>格式十一：</w:t>
      </w:r>
      <w:bookmarkEnd w:id="25"/>
      <w:r>
        <w:rPr>
          <w:rFonts w:hint="eastAsia" w:hAnsi="宋体"/>
          <w:b/>
          <w:bCs/>
          <w:sz w:val="24"/>
          <w:szCs w:val="24"/>
        </w:rPr>
        <w:t xml:space="preserve"> </w:t>
      </w:r>
    </w:p>
    <w:p>
      <w:pPr>
        <w:adjustRightInd w:val="0"/>
        <w:snapToGrid w:val="0"/>
        <w:spacing w:line="360" w:lineRule="auto"/>
        <w:ind w:firstLine="3960" w:firstLineChars="1650"/>
        <w:jc w:val="left"/>
        <w:rPr>
          <w:rFonts w:ascii="宋体" w:hAnsi="宋体" w:cs="Courier New"/>
          <w:kern w:val="0"/>
          <w:sz w:val="24"/>
          <w:szCs w:val="24"/>
        </w:rPr>
      </w:pPr>
      <w:r>
        <w:rPr>
          <w:rFonts w:hint="eastAsia" w:ascii="宋体" w:hAnsi="宋体" w:cs="Courier New"/>
          <w:kern w:val="0"/>
          <w:sz w:val="24"/>
          <w:szCs w:val="24"/>
        </w:rPr>
        <w:t>分项报价明细表</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bl>
    <w:p>
      <w:pPr>
        <w:adjustRightInd w:val="0"/>
        <w:snapToGrid w:val="0"/>
        <w:spacing w:line="360" w:lineRule="auto"/>
        <w:ind w:firstLine="3960" w:firstLineChars="1650"/>
        <w:jc w:val="left"/>
        <w:rPr>
          <w:rFonts w:ascii="宋体" w:hAnsi="宋体" w:cs="Courier New"/>
          <w:kern w:val="0"/>
          <w:sz w:val="24"/>
          <w:szCs w:val="24"/>
        </w:rPr>
      </w:pPr>
    </w:p>
    <w:p>
      <w:pPr>
        <w:numPr>
          <w:ilvl w:val="0"/>
          <w:numId w:val="2"/>
        </w:numPr>
        <w:suppressAutoHyphens/>
        <w:spacing w:line="360" w:lineRule="auto"/>
        <w:rPr>
          <w:rFonts w:ascii="宋体" w:hAnsi="宋体"/>
          <w:sz w:val="21"/>
          <w:szCs w:val="21"/>
          <w:lang w:val="en-GB"/>
        </w:rPr>
      </w:pPr>
      <w:r>
        <w:rPr>
          <w:rFonts w:hint="eastAsia" w:ascii="宋体" w:hAnsi="宋体"/>
          <w:sz w:val="21"/>
          <w:szCs w:val="21"/>
        </w:rPr>
        <w:t>注：</w:t>
      </w:r>
    </w:p>
    <w:p>
      <w:pPr>
        <w:numPr>
          <w:ilvl w:val="0"/>
          <w:numId w:val="2"/>
        </w:num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numPr>
          <w:ilvl w:val="0"/>
          <w:numId w:val="2"/>
        </w:num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2"/>
        </w:numPr>
        <w:suppressAutoHyphens/>
        <w:spacing w:line="360" w:lineRule="auto"/>
        <w:rPr>
          <w:rFonts w:ascii="宋体" w:hAnsi="宋体"/>
          <w:sz w:val="21"/>
          <w:szCs w:val="21"/>
          <w:lang w:val="en-GB"/>
        </w:rPr>
      </w:pPr>
      <w:r>
        <w:rPr>
          <w:rFonts w:hint="eastAsia"/>
          <w:snapToGrid w:val="0"/>
          <w:sz w:val="21"/>
        </w:rPr>
        <w:t>（3）根据合同或本表未列明的其它可能产生的费用应由投标人支付、负责；</w:t>
      </w:r>
    </w:p>
    <w:p>
      <w:pPr>
        <w:numPr>
          <w:ilvl w:val="0"/>
          <w:numId w:val="2"/>
        </w:numPr>
        <w:suppressAutoHyphens/>
        <w:spacing w:line="360" w:lineRule="auto"/>
        <w:rPr>
          <w:snapToGrid w:val="0"/>
          <w:sz w:val="21"/>
        </w:rPr>
      </w:pPr>
      <w:r>
        <w:rPr>
          <w:rFonts w:hint="eastAsia"/>
          <w:snapToGrid w:val="0"/>
          <w:sz w:val="21"/>
        </w:rPr>
        <w:t>（4）此表将随中标公告一并公示，请投标人认真填写；</w:t>
      </w:r>
    </w:p>
    <w:p>
      <w:pPr>
        <w:suppressAutoHyphens/>
        <w:snapToGrid w:val="0"/>
        <w:spacing w:line="360" w:lineRule="auto"/>
        <w:rPr>
          <w:rFonts w:ascii="宋体" w:hAnsi="宋体" w:cs="宋体"/>
          <w:sz w:val="21"/>
          <w:szCs w:val="21"/>
        </w:rPr>
      </w:pPr>
    </w:p>
    <w:p>
      <w:pPr>
        <w:numPr>
          <w:ilvl w:val="0"/>
          <w:numId w:val="2"/>
        </w:numPr>
        <w:suppressAutoHyphens/>
        <w:snapToGrid w:val="0"/>
        <w:spacing w:line="360" w:lineRule="auto"/>
        <w:rPr>
          <w:rFonts w:ascii="宋体" w:hAnsi="宋体" w:cs="宋体"/>
          <w:sz w:val="21"/>
          <w:szCs w:val="21"/>
        </w:rPr>
      </w:pPr>
      <w:r>
        <w:rPr>
          <w:rFonts w:hint="eastAsia" w:ascii="宋体" w:hAnsi="宋体" w:cs="宋体"/>
          <w:sz w:val="21"/>
          <w:szCs w:val="21"/>
        </w:rPr>
        <w:t xml:space="preserve">                                      投标人名称（盖章）：</w:t>
      </w:r>
      <w:r>
        <w:rPr>
          <w:rFonts w:hint="eastAsia" w:ascii="宋体" w:hAnsi="宋体" w:cs="宋体"/>
          <w:sz w:val="21"/>
          <w:szCs w:val="21"/>
          <w:u w:val="single"/>
        </w:rPr>
        <w:t xml:space="preserve">                        </w:t>
      </w:r>
    </w:p>
    <w:p>
      <w:pPr>
        <w:numPr>
          <w:ilvl w:val="0"/>
          <w:numId w:val="2"/>
        </w:numPr>
        <w:suppressAutoHyphens/>
        <w:spacing w:line="360" w:lineRule="auto"/>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sz w:val="24"/>
          <w:szCs w:val="24"/>
        </w:rPr>
      </w:pPr>
    </w:p>
    <w:p>
      <w:pPr>
        <w:rPr>
          <w:b/>
          <w:sz w:val="24"/>
          <w:szCs w:val="24"/>
          <w:lang w:val="zh-CN"/>
        </w:rPr>
      </w:pPr>
      <w:r>
        <w:rPr>
          <w:b/>
          <w:sz w:val="24"/>
          <w:szCs w:val="24"/>
          <w:lang w:val="zh-CN"/>
        </w:rPr>
        <w:br w:type="page"/>
      </w:r>
    </w:p>
    <w:p>
      <w:pPr>
        <w:rPr>
          <w:b/>
          <w:sz w:val="24"/>
          <w:szCs w:val="24"/>
          <w:lang w:val="zh-CN"/>
        </w:rPr>
      </w:pPr>
      <w:r>
        <w:rPr>
          <w:rFonts w:hint="eastAsia"/>
          <w:b/>
          <w:sz w:val="24"/>
          <w:szCs w:val="24"/>
          <w:lang w:val="zh-CN"/>
        </w:rPr>
        <w:t>格式十二：</w:t>
      </w:r>
    </w:p>
    <w:p>
      <w:pPr>
        <w:rPr>
          <w:sz w:val="24"/>
          <w:szCs w:val="24"/>
          <w:lang w:val="zh-CN"/>
        </w:rPr>
      </w:pPr>
    </w:p>
    <w:p>
      <w:pPr>
        <w:spacing w:line="360" w:lineRule="auto"/>
        <w:jc w:val="center"/>
        <w:rPr>
          <w:rFonts w:ascii="宋体" w:hAnsi="宋体"/>
          <w:sz w:val="24"/>
          <w:szCs w:val="24"/>
        </w:rPr>
      </w:pPr>
      <w:r>
        <w:rPr>
          <w:rFonts w:hint="eastAsia" w:ascii="宋体" w:hAnsi="宋体"/>
          <w:sz w:val="24"/>
          <w:szCs w:val="24"/>
        </w:rPr>
        <w:t>服务需求响应表</w:t>
      </w:r>
    </w:p>
    <w:p>
      <w:pPr>
        <w:spacing w:line="360" w:lineRule="auto"/>
        <w:rPr>
          <w:rFonts w:ascii="宋体" w:hAnsi="宋体"/>
          <w:b/>
          <w:sz w:val="24"/>
          <w:szCs w:val="24"/>
        </w:rPr>
      </w:pPr>
      <w:r>
        <w:rPr>
          <w:rFonts w:hint="eastAsia" w:ascii="宋体" w:hAnsi="宋体" w:cs="宋体"/>
          <w:kern w:val="0"/>
          <w:sz w:val="24"/>
          <w:szCs w:val="24"/>
        </w:rPr>
        <w:t>1.服务项目名称：</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5" w:type="dxa"/>
            <w:vAlign w:val="center"/>
          </w:tcPr>
          <w:p>
            <w:pPr>
              <w:spacing w:line="360" w:lineRule="auto"/>
              <w:jc w:val="center"/>
              <w:rPr>
                <w:rFonts w:ascii="宋体" w:hAnsi="宋体"/>
                <w:sz w:val="24"/>
                <w:szCs w:val="24"/>
              </w:rPr>
            </w:pPr>
            <w:r>
              <w:rPr>
                <w:rFonts w:hint="eastAsia" w:ascii="宋体" w:hAnsi="宋体"/>
                <w:sz w:val="24"/>
                <w:szCs w:val="24"/>
              </w:rPr>
              <w:t>招标文件要求服务要求及标准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29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 服务项目名称：：</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3" w:type="dxa"/>
            <w:vAlign w:val="center"/>
          </w:tcPr>
          <w:p>
            <w:pPr>
              <w:spacing w:line="360" w:lineRule="auto"/>
              <w:jc w:val="center"/>
              <w:rPr>
                <w:rFonts w:ascii="宋体" w:hAnsi="宋体"/>
                <w:sz w:val="24"/>
                <w:szCs w:val="24"/>
              </w:rPr>
            </w:pPr>
            <w:r>
              <w:rPr>
                <w:rFonts w:hint="eastAsia" w:ascii="宋体" w:hAnsi="宋体"/>
                <w:sz w:val="24"/>
                <w:szCs w:val="24"/>
              </w:rPr>
              <w:t>招标文件要求服务要求及标准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294"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ind w:right="57"/>
        <w:rPr>
          <w:rFonts w:ascii="宋体" w:hAnsi="宋体"/>
          <w:b/>
          <w:bCs/>
          <w:sz w:val="24"/>
          <w:szCs w:val="24"/>
        </w:rPr>
      </w:pPr>
    </w:p>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投标人应按照本招标文件第四章“服务需求一览表”中的要求，将</w:t>
      </w:r>
      <w:r>
        <w:rPr>
          <w:rFonts w:hint="eastAsia" w:ascii="宋体" w:hAnsi="宋体"/>
          <w:sz w:val="24"/>
          <w:szCs w:val="24"/>
        </w:rPr>
        <w:t>服务要求及标准</w:t>
      </w:r>
      <w:r>
        <w:rPr>
          <w:rFonts w:hint="eastAsia" w:ascii="宋体" w:hAnsi="宋体" w:cs="宋体"/>
          <w:sz w:val="24"/>
          <w:szCs w:val="24"/>
        </w:rPr>
        <w:t>逐一列出，以证明投标人对招标文件要求的服务内容做出实质性响应。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p>
    <w:p>
      <w:pPr>
        <w:spacing w:line="360" w:lineRule="auto"/>
        <w:rPr>
          <w:rFonts w:ascii="宋体" w:hAnsi="宋体"/>
          <w:b/>
          <w:sz w:val="24"/>
          <w:szCs w:val="24"/>
        </w:rPr>
      </w:pPr>
      <w:r>
        <w:rPr>
          <w:rFonts w:ascii="宋体" w:hAnsi="宋体"/>
          <w:b/>
          <w:sz w:val="24"/>
          <w:szCs w:val="24"/>
        </w:rPr>
        <w:br w:type="page"/>
      </w:r>
    </w:p>
    <w:p>
      <w:pPr>
        <w:spacing w:line="480" w:lineRule="exact"/>
        <w:rPr>
          <w:b/>
          <w:sz w:val="24"/>
        </w:rPr>
      </w:pPr>
      <w:r>
        <w:rPr>
          <w:rFonts w:hint="eastAsia"/>
          <w:b/>
          <w:sz w:val="24"/>
        </w:rPr>
        <w:t>格式十三：</w:t>
      </w:r>
    </w:p>
    <w:p>
      <w:pPr>
        <w:spacing w:line="480" w:lineRule="exact"/>
        <w:ind w:firstLine="3479" w:firstLineChars="1650"/>
        <w:rPr>
          <w:rFonts w:ascii="宋体" w:hAnsi="Courier New"/>
          <w:b/>
          <w:snapToGrid w:val="0"/>
          <w:kern w:val="0"/>
          <w:sz w:val="21"/>
          <w:szCs w:val="21"/>
        </w:rPr>
      </w:pPr>
      <w:r>
        <w:rPr>
          <w:rFonts w:hint="eastAsia" w:ascii="宋体" w:hAnsi="Courier New"/>
          <w:b/>
          <w:snapToGrid w:val="0"/>
          <w:kern w:val="0"/>
          <w:sz w:val="21"/>
          <w:szCs w:val="21"/>
        </w:rPr>
        <w:t>项目服务方案（</w:t>
      </w:r>
      <w:r>
        <w:rPr>
          <w:rFonts w:hint="eastAsia" w:ascii="宋体" w:hAnsi="宋体"/>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（由投标人自行编制）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注：本部分内容应包含但不限于本招标文件服务要求的相关的内容。</w:t>
      </w:r>
    </w:p>
    <w:p>
      <w: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24"/>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sz w:val="24"/>
          <w:szCs w:val="24"/>
        </w:rPr>
      </w:pP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b/>
          <w:sz w:val="24"/>
          <w:szCs w:val="24"/>
        </w:rPr>
      </w:pPr>
      <w:r>
        <w:rPr>
          <w:rFonts w:hint="eastAsia" w:ascii="宋体" w:hAnsi="宋体"/>
          <w:sz w:val="24"/>
          <w:szCs w:val="24"/>
        </w:rPr>
        <w:t>投标人业绩情况表</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格式十六：              </w:t>
      </w:r>
    </w:p>
    <w:p>
      <w:pPr>
        <w:spacing w:line="360" w:lineRule="auto"/>
        <w:jc w:val="center"/>
        <w:rPr>
          <w:rFonts w:ascii="宋体" w:hAnsi="宋体"/>
          <w:b/>
          <w:sz w:val="24"/>
          <w:szCs w:val="24"/>
        </w:rPr>
      </w:pPr>
      <w:r>
        <w:rPr>
          <w:rFonts w:hint="eastAsia" w:ascii="宋体" w:hAnsi="宋体"/>
          <w:sz w:val="24"/>
          <w:szCs w:val="24"/>
          <w:lang w:val="zh-CN"/>
        </w:rPr>
        <w:t>投标人基本情况表</w:t>
      </w:r>
    </w:p>
    <w:tbl>
      <w:tblPr>
        <w:tblStyle w:val="24"/>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及招标公告中投标人资质要求的其他资质证明等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按照本招标文件第六章资格性审查的要求，提供投标人的财务审计报告或资信证明。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ind w:firstLine="360" w:firstLineChars="150"/>
        <w:rPr>
          <w:rFonts w:ascii="宋体" w:hAnsi="宋体"/>
          <w:sz w:val="24"/>
          <w:szCs w:val="24"/>
        </w:rPr>
      </w:pPr>
      <w:bookmarkStart w:id="27" w:name="_Toc438655702"/>
      <w:bookmarkStart w:id="28" w:name="_Toc482026556"/>
      <w:bookmarkStart w:id="29" w:name="_Toc438714732"/>
      <w:r>
        <w:rPr>
          <w:rFonts w:hint="eastAsia" w:ascii="宋体" w:hAnsi="宋体"/>
          <w:sz w:val="24"/>
          <w:szCs w:val="24"/>
        </w:rPr>
        <w:t>1.提供投标人财务审计报告的，须提供会计师事务所出具的经审计的财务报告。</w:t>
      </w:r>
    </w:p>
    <w:p>
      <w:pPr>
        <w:ind w:firstLine="360" w:firstLineChars="150"/>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27"/>
      <w:bookmarkEnd w:id="28"/>
      <w:bookmarkEnd w:id="29"/>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cs="宋体"/>
          <w:sz w:val="24"/>
          <w:szCs w:val="24"/>
        </w:rPr>
      </w:pPr>
      <w:bookmarkStart w:id="30" w:name="_Toc482026557"/>
      <w:bookmarkStart w:id="31" w:name="_Toc438655703"/>
      <w:bookmarkStart w:id="32" w:name="_Toc438714733"/>
      <w:r>
        <w:rPr>
          <w:rFonts w:hint="eastAsia" w:ascii="宋体" w:hAnsi="宋体"/>
          <w:sz w:val="24"/>
          <w:szCs w:val="24"/>
        </w:rPr>
        <w:t>提供递交投标文件截止之日前六个月内（至少一个月）的良好缴纳税收的相关凭据。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30"/>
      <w:bookmarkEnd w:id="31"/>
      <w:bookmarkEnd w:id="32"/>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spacing w:line="360" w:lineRule="auto"/>
        <w:ind w:firstLine="480" w:firstLineChars="200"/>
        <w:rPr>
          <w:rFonts w:ascii="宋体" w:hAnsi="宋体"/>
          <w:sz w:val="24"/>
          <w:szCs w:val="24"/>
        </w:rPr>
      </w:pPr>
      <w:r>
        <w:rPr>
          <w:rFonts w:hint="eastAsia" w:ascii="宋体" w:hAnsi="宋体"/>
          <w:sz w:val="24"/>
          <w:szCs w:val="24"/>
        </w:rPr>
        <w:t>提供递交投标文件截止之日前六个月内（至少一个月）缴纳社会保险的凭证。（以社保机构出具的专用收据或社会保险缴纳清单为准）</w:t>
      </w:r>
    </w:p>
    <w:p>
      <w:pPr>
        <w:ind w:firstLine="480" w:firstLineChars="200"/>
        <w:rPr>
          <w:sz w:val="24"/>
          <w:szCs w:val="24"/>
        </w:rPr>
      </w:pPr>
      <w:r>
        <w:rPr>
          <w:sz w:val="24"/>
          <w:szCs w:val="24"/>
        </w:rPr>
        <w:br w:type="page"/>
      </w:r>
    </w:p>
    <w:p>
      <w:pPr>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鄂尔多斯市杭锦旗公共资源交易中心：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0"/>
          <w:rFonts w:hint="eastAsia" w:ascii="宋体" w:hAnsi="宋体" w:cs="宋体"/>
          <w:color w:val="auto"/>
          <w:kern w:val="0"/>
          <w:sz w:val="24"/>
          <w:szCs w:val="24"/>
        </w:rPr>
        <w:t>www.creditchina.gov.cn</w:t>
      </w:r>
      <w:r>
        <w:rPr>
          <w:rStyle w:val="30"/>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30"/>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格式二十一：无内容</w:t>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格式二十二：</w:t>
      </w: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2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6"/>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6"/>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rFonts w:ascii="宋体" w:hAnsi="宋体" w:cs="宋体"/>
          <w:kern w:val="0"/>
          <w:sz w:val="24"/>
        </w:rPr>
      </w:pPr>
      <w:r>
        <w:rPr>
          <w:rFonts w:hint="eastAsia"/>
          <w:sz w:val="24"/>
        </w:rPr>
        <w:t>填报要求：</w:t>
      </w:r>
      <w:r>
        <w:rPr>
          <w:rFonts w:hint="eastAsia" w:ascii="宋体" w:hAnsi="宋体" w:cs="宋体"/>
          <w:kern w:val="0"/>
          <w:sz w:val="24"/>
        </w:rPr>
        <w:t>如属所列情形的，请在括号内打“√”</w:t>
      </w:r>
    </w:p>
    <w:p>
      <w:pPr>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N w:val="0"/>
        <w:spacing w:line="360" w:lineRule="auto"/>
        <w:rPr>
          <w:b/>
          <w:bCs/>
          <w:sz w:val="24"/>
        </w:rPr>
      </w:pPr>
      <w:r>
        <w:rPr>
          <w:rFonts w:hint="eastAsia"/>
          <w:b/>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3" w:name="OLE_LINK2"/>
      <w:bookmarkStart w:id="34" w:name="OLE_LINK5"/>
      <w:r>
        <w:rPr>
          <w:rFonts w:hint="eastAsia" w:ascii="宋体" w:hAnsi="宋体" w:cs="宋体"/>
          <w:kern w:val="0"/>
          <w:sz w:val="24"/>
          <w:szCs w:val="24"/>
        </w:rPr>
        <w:t>______（请填写：中型、小型、微型）企业</w:t>
      </w:r>
      <w:bookmarkEnd w:id="33"/>
      <w:bookmarkEnd w:id="34"/>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hint="eastAsia" w:ascii="宋体" w:hAnsi="宋体"/>
          <w:b/>
          <w:bCs/>
          <w:kern w:val="0"/>
          <w:sz w:val="24"/>
          <w:szCs w:val="24"/>
          <w:lang w:val="zh-CN"/>
        </w:rPr>
      </w:pPr>
      <w:r>
        <w:rPr>
          <w:rFonts w:hint="eastAsia" w:ascii="宋体" w:hAnsi="宋体"/>
          <w:b/>
          <w:bCs/>
          <w:kern w:val="0"/>
          <w:sz w:val="24"/>
          <w:szCs w:val="24"/>
          <w:lang w:val="zh-CN"/>
        </w:rPr>
        <w:t>格式二十五：</w:t>
      </w:r>
    </w:p>
    <w:p>
      <w:pPr>
        <w:autoSpaceDE w:val="0"/>
        <w:autoSpaceDN w:val="0"/>
        <w:spacing w:line="360" w:lineRule="auto"/>
        <w:ind w:left="3132" w:hanging="3132" w:hangingChars="1300"/>
        <w:rPr>
          <w:rFonts w:ascii="宋体" w:hAnsi="宋体"/>
          <w:b/>
          <w:sz w:val="24"/>
          <w:szCs w:val="24"/>
          <w:lang w:val="zh-CN"/>
        </w:rPr>
      </w:pP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3"/>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35" w:name="_Toc497408630"/>
      <w:r>
        <w:rPr>
          <w:rFonts w:hint="eastAsia" w:ascii="宋体" w:hAnsi="宋体"/>
          <w:b/>
          <w:sz w:val="24"/>
          <w:szCs w:val="24"/>
          <w:lang w:val="zh-CN"/>
        </w:rPr>
        <w:t>温馨提示</w:t>
      </w:r>
      <w:bookmarkEnd w:id="35"/>
    </w:p>
    <w:p>
      <w:pPr>
        <w:spacing w:line="360" w:lineRule="auto"/>
        <w:rPr>
          <w:rFonts w:ascii="宋体" w:hAnsi="宋体"/>
          <w:b/>
          <w:sz w:val="24"/>
          <w:szCs w:val="24"/>
          <w:lang w:val="zh-CN"/>
        </w:rPr>
      </w:pPr>
      <w:r>
        <w:rPr>
          <w:rFonts w:hint="eastAsia" w:ascii="宋体" w:hAnsi="宋体"/>
          <w:b/>
          <w:sz w:val="24"/>
          <w:szCs w:val="24"/>
          <w:lang w:val="zh-CN"/>
        </w:rPr>
        <w:t>各位投标人:</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docPartObj>
        <w:docPartGallery w:val="autotext"/>
      </w:docPartObj>
    </w:sdtPr>
    <w:sdtContent>
      <w:p>
        <w:pPr>
          <w:pStyle w:val="17"/>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1">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WM5NWE0NGM1ODkzNTcwZTRhODI5OTc0MzNiM2UifQ=="/>
  </w:docVars>
  <w:rsids>
    <w:rsidRoot w:val="005C1201"/>
    <w:rsid w:val="000019B5"/>
    <w:rsid w:val="00001E33"/>
    <w:rsid w:val="000027D0"/>
    <w:rsid w:val="000037F2"/>
    <w:rsid w:val="00004A68"/>
    <w:rsid w:val="00005FCE"/>
    <w:rsid w:val="000064F9"/>
    <w:rsid w:val="000070C0"/>
    <w:rsid w:val="00011E09"/>
    <w:rsid w:val="000120FC"/>
    <w:rsid w:val="000124B7"/>
    <w:rsid w:val="00013279"/>
    <w:rsid w:val="00015A02"/>
    <w:rsid w:val="00015B44"/>
    <w:rsid w:val="00016625"/>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29F8"/>
    <w:rsid w:val="00043181"/>
    <w:rsid w:val="00044995"/>
    <w:rsid w:val="00044B0F"/>
    <w:rsid w:val="00050B48"/>
    <w:rsid w:val="000521B0"/>
    <w:rsid w:val="000545A4"/>
    <w:rsid w:val="0005504F"/>
    <w:rsid w:val="000551DC"/>
    <w:rsid w:val="000554EC"/>
    <w:rsid w:val="000558A5"/>
    <w:rsid w:val="00060357"/>
    <w:rsid w:val="00060549"/>
    <w:rsid w:val="00062218"/>
    <w:rsid w:val="000629DD"/>
    <w:rsid w:val="00063168"/>
    <w:rsid w:val="0006359A"/>
    <w:rsid w:val="0006584F"/>
    <w:rsid w:val="00067542"/>
    <w:rsid w:val="0006757D"/>
    <w:rsid w:val="00071A78"/>
    <w:rsid w:val="000726DE"/>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3075"/>
    <w:rsid w:val="000B4F02"/>
    <w:rsid w:val="000B4FD6"/>
    <w:rsid w:val="000B5551"/>
    <w:rsid w:val="000B57D8"/>
    <w:rsid w:val="000B7161"/>
    <w:rsid w:val="000C1341"/>
    <w:rsid w:val="000C19EE"/>
    <w:rsid w:val="000C3A16"/>
    <w:rsid w:val="000C3E86"/>
    <w:rsid w:val="000C582D"/>
    <w:rsid w:val="000C5C82"/>
    <w:rsid w:val="000C612E"/>
    <w:rsid w:val="000C6D84"/>
    <w:rsid w:val="000D02AA"/>
    <w:rsid w:val="000D0A17"/>
    <w:rsid w:val="000D17C6"/>
    <w:rsid w:val="000D2F97"/>
    <w:rsid w:val="000D515C"/>
    <w:rsid w:val="000D5C01"/>
    <w:rsid w:val="000D7A79"/>
    <w:rsid w:val="000E148A"/>
    <w:rsid w:val="000E15BD"/>
    <w:rsid w:val="000E550B"/>
    <w:rsid w:val="000E6319"/>
    <w:rsid w:val="000F082D"/>
    <w:rsid w:val="000F2820"/>
    <w:rsid w:val="000F333E"/>
    <w:rsid w:val="000F422E"/>
    <w:rsid w:val="000F64BB"/>
    <w:rsid w:val="000F6D0F"/>
    <w:rsid w:val="00100F2B"/>
    <w:rsid w:val="001016F2"/>
    <w:rsid w:val="00102A61"/>
    <w:rsid w:val="00103E0C"/>
    <w:rsid w:val="00104530"/>
    <w:rsid w:val="001066A5"/>
    <w:rsid w:val="0010792E"/>
    <w:rsid w:val="001117FE"/>
    <w:rsid w:val="00111FA5"/>
    <w:rsid w:val="00113804"/>
    <w:rsid w:val="0011515C"/>
    <w:rsid w:val="00115C17"/>
    <w:rsid w:val="00117038"/>
    <w:rsid w:val="00117F1A"/>
    <w:rsid w:val="00120A63"/>
    <w:rsid w:val="001246B6"/>
    <w:rsid w:val="001247E2"/>
    <w:rsid w:val="00124F0B"/>
    <w:rsid w:val="00126F44"/>
    <w:rsid w:val="00127E2F"/>
    <w:rsid w:val="00130354"/>
    <w:rsid w:val="00131C8E"/>
    <w:rsid w:val="00132AC3"/>
    <w:rsid w:val="00132C99"/>
    <w:rsid w:val="00134349"/>
    <w:rsid w:val="00136DFA"/>
    <w:rsid w:val="00141011"/>
    <w:rsid w:val="00141C9F"/>
    <w:rsid w:val="00142373"/>
    <w:rsid w:val="00143ACD"/>
    <w:rsid w:val="00143F77"/>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2F4A"/>
    <w:rsid w:val="00165EB9"/>
    <w:rsid w:val="00166437"/>
    <w:rsid w:val="001669A9"/>
    <w:rsid w:val="0016725C"/>
    <w:rsid w:val="00170333"/>
    <w:rsid w:val="00171AA8"/>
    <w:rsid w:val="001721FE"/>
    <w:rsid w:val="001740A1"/>
    <w:rsid w:val="00176355"/>
    <w:rsid w:val="00177528"/>
    <w:rsid w:val="00180D8E"/>
    <w:rsid w:val="0018304A"/>
    <w:rsid w:val="00183D05"/>
    <w:rsid w:val="00183F40"/>
    <w:rsid w:val="00186AFA"/>
    <w:rsid w:val="00190BA3"/>
    <w:rsid w:val="00194A15"/>
    <w:rsid w:val="001A0A5F"/>
    <w:rsid w:val="001A0B92"/>
    <w:rsid w:val="001A22C1"/>
    <w:rsid w:val="001A3186"/>
    <w:rsid w:val="001A3257"/>
    <w:rsid w:val="001A45B1"/>
    <w:rsid w:val="001A4ADD"/>
    <w:rsid w:val="001A5910"/>
    <w:rsid w:val="001A5E94"/>
    <w:rsid w:val="001A6850"/>
    <w:rsid w:val="001A69EF"/>
    <w:rsid w:val="001B2547"/>
    <w:rsid w:val="001B631D"/>
    <w:rsid w:val="001C4C6E"/>
    <w:rsid w:val="001C66C5"/>
    <w:rsid w:val="001C7085"/>
    <w:rsid w:val="001C780A"/>
    <w:rsid w:val="001C7988"/>
    <w:rsid w:val="001D1224"/>
    <w:rsid w:val="001D128E"/>
    <w:rsid w:val="001D44B5"/>
    <w:rsid w:val="001D470F"/>
    <w:rsid w:val="001D4D0F"/>
    <w:rsid w:val="001D7C35"/>
    <w:rsid w:val="001E0168"/>
    <w:rsid w:val="001E146C"/>
    <w:rsid w:val="001E15CD"/>
    <w:rsid w:val="001E2F8C"/>
    <w:rsid w:val="001E3E6E"/>
    <w:rsid w:val="001E6B2B"/>
    <w:rsid w:val="001F0A48"/>
    <w:rsid w:val="001F29E7"/>
    <w:rsid w:val="001F3324"/>
    <w:rsid w:val="001F38E6"/>
    <w:rsid w:val="001F3A9C"/>
    <w:rsid w:val="001F3CF4"/>
    <w:rsid w:val="001F46E4"/>
    <w:rsid w:val="001F50D5"/>
    <w:rsid w:val="00200313"/>
    <w:rsid w:val="00200C69"/>
    <w:rsid w:val="002024F8"/>
    <w:rsid w:val="0020342D"/>
    <w:rsid w:val="00203A97"/>
    <w:rsid w:val="00203C57"/>
    <w:rsid w:val="00204D35"/>
    <w:rsid w:val="00205A07"/>
    <w:rsid w:val="0021286A"/>
    <w:rsid w:val="002128E1"/>
    <w:rsid w:val="002138E0"/>
    <w:rsid w:val="002141C4"/>
    <w:rsid w:val="0021704B"/>
    <w:rsid w:val="00217885"/>
    <w:rsid w:val="00217F36"/>
    <w:rsid w:val="00220C2D"/>
    <w:rsid w:val="002216D2"/>
    <w:rsid w:val="002221F5"/>
    <w:rsid w:val="002244B3"/>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47C1"/>
    <w:rsid w:val="00257636"/>
    <w:rsid w:val="00257B91"/>
    <w:rsid w:val="002618B9"/>
    <w:rsid w:val="00262286"/>
    <w:rsid w:val="00263650"/>
    <w:rsid w:val="00266301"/>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1F3"/>
    <w:rsid w:val="002917CB"/>
    <w:rsid w:val="00291B09"/>
    <w:rsid w:val="0029262E"/>
    <w:rsid w:val="00292903"/>
    <w:rsid w:val="00293351"/>
    <w:rsid w:val="00294355"/>
    <w:rsid w:val="0029471A"/>
    <w:rsid w:val="00294C80"/>
    <w:rsid w:val="002954F1"/>
    <w:rsid w:val="0029579F"/>
    <w:rsid w:val="00297645"/>
    <w:rsid w:val="002A033D"/>
    <w:rsid w:val="002A1E57"/>
    <w:rsid w:val="002A3538"/>
    <w:rsid w:val="002A3B12"/>
    <w:rsid w:val="002A3C54"/>
    <w:rsid w:val="002A40A7"/>
    <w:rsid w:val="002A5FA3"/>
    <w:rsid w:val="002B07D2"/>
    <w:rsid w:val="002B086D"/>
    <w:rsid w:val="002B3587"/>
    <w:rsid w:val="002B46C2"/>
    <w:rsid w:val="002B5D5C"/>
    <w:rsid w:val="002B6555"/>
    <w:rsid w:val="002B6ACB"/>
    <w:rsid w:val="002C0647"/>
    <w:rsid w:val="002C065F"/>
    <w:rsid w:val="002C0752"/>
    <w:rsid w:val="002C1118"/>
    <w:rsid w:val="002C179F"/>
    <w:rsid w:val="002C1AB6"/>
    <w:rsid w:val="002C2541"/>
    <w:rsid w:val="002C582E"/>
    <w:rsid w:val="002C5CB7"/>
    <w:rsid w:val="002C5EBE"/>
    <w:rsid w:val="002C7284"/>
    <w:rsid w:val="002C72B3"/>
    <w:rsid w:val="002D21D8"/>
    <w:rsid w:val="002D274A"/>
    <w:rsid w:val="002D2ABF"/>
    <w:rsid w:val="002D3025"/>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03C"/>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346F"/>
    <w:rsid w:val="003252DF"/>
    <w:rsid w:val="00325F56"/>
    <w:rsid w:val="00330FBC"/>
    <w:rsid w:val="00331EF4"/>
    <w:rsid w:val="0033413C"/>
    <w:rsid w:val="0034009B"/>
    <w:rsid w:val="00340152"/>
    <w:rsid w:val="00343DE1"/>
    <w:rsid w:val="00344463"/>
    <w:rsid w:val="00344E0C"/>
    <w:rsid w:val="003453A3"/>
    <w:rsid w:val="003456D5"/>
    <w:rsid w:val="00346770"/>
    <w:rsid w:val="00346797"/>
    <w:rsid w:val="0034721B"/>
    <w:rsid w:val="00350415"/>
    <w:rsid w:val="00351A42"/>
    <w:rsid w:val="00352FD4"/>
    <w:rsid w:val="00354113"/>
    <w:rsid w:val="00354D79"/>
    <w:rsid w:val="00355D59"/>
    <w:rsid w:val="003562A9"/>
    <w:rsid w:val="0035724C"/>
    <w:rsid w:val="00357BB1"/>
    <w:rsid w:val="00357FA8"/>
    <w:rsid w:val="003601BC"/>
    <w:rsid w:val="003605DA"/>
    <w:rsid w:val="00360873"/>
    <w:rsid w:val="003611ED"/>
    <w:rsid w:val="00361AFB"/>
    <w:rsid w:val="00361E13"/>
    <w:rsid w:val="003620B6"/>
    <w:rsid w:val="00363749"/>
    <w:rsid w:val="00363A25"/>
    <w:rsid w:val="00363FBE"/>
    <w:rsid w:val="0036589D"/>
    <w:rsid w:val="00366FF7"/>
    <w:rsid w:val="00367583"/>
    <w:rsid w:val="00372CDD"/>
    <w:rsid w:val="00373BBE"/>
    <w:rsid w:val="00374800"/>
    <w:rsid w:val="003753C5"/>
    <w:rsid w:val="0037604A"/>
    <w:rsid w:val="0037796F"/>
    <w:rsid w:val="00384609"/>
    <w:rsid w:val="003850C1"/>
    <w:rsid w:val="00385BEA"/>
    <w:rsid w:val="00386C41"/>
    <w:rsid w:val="00386F2E"/>
    <w:rsid w:val="003874AF"/>
    <w:rsid w:val="00387C9F"/>
    <w:rsid w:val="00391691"/>
    <w:rsid w:val="00394488"/>
    <w:rsid w:val="00394EAE"/>
    <w:rsid w:val="0039586D"/>
    <w:rsid w:val="00396A34"/>
    <w:rsid w:val="003973DC"/>
    <w:rsid w:val="0039754F"/>
    <w:rsid w:val="003978E6"/>
    <w:rsid w:val="003A0038"/>
    <w:rsid w:val="003A059F"/>
    <w:rsid w:val="003A231E"/>
    <w:rsid w:val="003A585F"/>
    <w:rsid w:val="003A6029"/>
    <w:rsid w:val="003A60CE"/>
    <w:rsid w:val="003A68ED"/>
    <w:rsid w:val="003A7970"/>
    <w:rsid w:val="003A7FDC"/>
    <w:rsid w:val="003B036D"/>
    <w:rsid w:val="003B0D75"/>
    <w:rsid w:val="003B135F"/>
    <w:rsid w:val="003B5C3F"/>
    <w:rsid w:val="003B6E6D"/>
    <w:rsid w:val="003C4C9F"/>
    <w:rsid w:val="003C57A9"/>
    <w:rsid w:val="003C62D0"/>
    <w:rsid w:val="003C6BAD"/>
    <w:rsid w:val="003C719D"/>
    <w:rsid w:val="003D175D"/>
    <w:rsid w:val="003D1807"/>
    <w:rsid w:val="003D198A"/>
    <w:rsid w:val="003D1FCF"/>
    <w:rsid w:val="003D305F"/>
    <w:rsid w:val="003D3113"/>
    <w:rsid w:val="003D3190"/>
    <w:rsid w:val="003D36F8"/>
    <w:rsid w:val="003D5B83"/>
    <w:rsid w:val="003D7194"/>
    <w:rsid w:val="003D73A0"/>
    <w:rsid w:val="003E303A"/>
    <w:rsid w:val="003E309A"/>
    <w:rsid w:val="003E3399"/>
    <w:rsid w:val="003E3C2E"/>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35DF"/>
    <w:rsid w:val="0041368A"/>
    <w:rsid w:val="00414241"/>
    <w:rsid w:val="00414662"/>
    <w:rsid w:val="00414951"/>
    <w:rsid w:val="00414F72"/>
    <w:rsid w:val="00415305"/>
    <w:rsid w:val="00416BA2"/>
    <w:rsid w:val="00417D84"/>
    <w:rsid w:val="00420B58"/>
    <w:rsid w:val="00421E2E"/>
    <w:rsid w:val="004223BB"/>
    <w:rsid w:val="004230C7"/>
    <w:rsid w:val="00425C9D"/>
    <w:rsid w:val="00425DB7"/>
    <w:rsid w:val="004261E5"/>
    <w:rsid w:val="00426A2D"/>
    <w:rsid w:val="00430C49"/>
    <w:rsid w:val="00431F27"/>
    <w:rsid w:val="00432AB7"/>
    <w:rsid w:val="00432F40"/>
    <w:rsid w:val="00433011"/>
    <w:rsid w:val="00434065"/>
    <w:rsid w:val="004340DD"/>
    <w:rsid w:val="004352F5"/>
    <w:rsid w:val="00435D31"/>
    <w:rsid w:val="00435D5B"/>
    <w:rsid w:val="004374BE"/>
    <w:rsid w:val="00440E33"/>
    <w:rsid w:val="00441C6D"/>
    <w:rsid w:val="00441CA8"/>
    <w:rsid w:val="00442FB1"/>
    <w:rsid w:val="004431F8"/>
    <w:rsid w:val="00443247"/>
    <w:rsid w:val="0044364D"/>
    <w:rsid w:val="00445BD5"/>
    <w:rsid w:val="0044637C"/>
    <w:rsid w:val="00446442"/>
    <w:rsid w:val="00447670"/>
    <w:rsid w:val="00447B3B"/>
    <w:rsid w:val="00452F0B"/>
    <w:rsid w:val="00454B9D"/>
    <w:rsid w:val="00454BA2"/>
    <w:rsid w:val="00456764"/>
    <w:rsid w:val="004575B1"/>
    <w:rsid w:val="00461B30"/>
    <w:rsid w:val="00461F1F"/>
    <w:rsid w:val="0046293D"/>
    <w:rsid w:val="0046308F"/>
    <w:rsid w:val="00463A69"/>
    <w:rsid w:val="00473067"/>
    <w:rsid w:val="004755C8"/>
    <w:rsid w:val="004771B0"/>
    <w:rsid w:val="004775E5"/>
    <w:rsid w:val="00477F94"/>
    <w:rsid w:val="00481182"/>
    <w:rsid w:val="0048197A"/>
    <w:rsid w:val="00481B1C"/>
    <w:rsid w:val="004825C2"/>
    <w:rsid w:val="004827A6"/>
    <w:rsid w:val="00482AEC"/>
    <w:rsid w:val="00482DE0"/>
    <w:rsid w:val="004836EB"/>
    <w:rsid w:val="00483816"/>
    <w:rsid w:val="004854AF"/>
    <w:rsid w:val="004857AE"/>
    <w:rsid w:val="00486BCF"/>
    <w:rsid w:val="0049094E"/>
    <w:rsid w:val="00491598"/>
    <w:rsid w:val="00493B4C"/>
    <w:rsid w:val="00493C31"/>
    <w:rsid w:val="0049481A"/>
    <w:rsid w:val="004A17D2"/>
    <w:rsid w:val="004A2179"/>
    <w:rsid w:val="004A32E9"/>
    <w:rsid w:val="004A6F4D"/>
    <w:rsid w:val="004A7401"/>
    <w:rsid w:val="004B1CE0"/>
    <w:rsid w:val="004B22B2"/>
    <w:rsid w:val="004B365F"/>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0B02"/>
    <w:rsid w:val="004D1A36"/>
    <w:rsid w:val="004D2924"/>
    <w:rsid w:val="004D2C93"/>
    <w:rsid w:val="004D3DB3"/>
    <w:rsid w:val="004D57AF"/>
    <w:rsid w:val="004D5A44"/>
    <w:rsid w:val="004D6BA9"/>
    <w:rsid w:val="004E0D0E"/>
    <w:rsid w:val="004E19E1"/>
    <w:rsid w:val="004E37D1"/>
    <w:rsid w:val="004E3BE0"/>
    <w:rsid w:val="004F1447"/>
    <w:rsid w:val="004F2560"/>
    <w:rsid w:val="004F73E9"/>
    <w:rsid w:val="00500436"/>
    <w:rsid w:val="00500D74"/>
    <w:rsid w:val="0050117C"/>
    <w:rsid w:val="005049B8"/>
    <w:rsid w:val="005055B0"/>
    <w:rsid w:val="005064F0"/>
    <w:rsid w:val="005109E3"/>
    <w:rsid w:val="00510CE7"/>
    <w:rsid w:val="00511267"/>
    <w:rsid w:val="00511FC6"/>
    <w:rsid w:val="00514516"/>
    <w:rsid w:val="00517A47"/>
    <w:rsid w:val="00517F41"/>
    <w:rsid w:val="005202B9"/>
    <w:rsid w:val="0052071C"/>
    <w:rsid w:val="00520A53"/>
    <w:rsid w:val="005214EC"/>
    <w:rsid w:val="0052378F"/>
    <w:rsid w:val="00523827"/>
    <w:rsid w:val="00523AF4"/>
    <w:rsid w:val="00525B1D"/>
    <w:rsid w:val="0052688C"/>
    <w:rsid w:val="005269E2"/>
    <w:rsid w:val="005275B1"/>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52AF4"/>
    <w:rsid w:val="00552C27"/>
    <w:rsid w:val="00554FCE"/>
    <w:rsid w:val="00555D85"/>
    <w:rsid w:val="0055680D"/>
    <w:rsid w:val="00556CAB"/>
    <w:rsid w:val="00557212"/>
    <w:rsid w:val="005611C9"/>
    <w:rsid w:val="005655C3"/>
    <w:rsid w:val="0056676F"/>
    <w:rsid w:val="00566FEB"/>
    <w:rsid w:val="00567130"/>
    <w:rsid w:val="00570A65"/>
    <w:rsid w:val="00571223"/>
    <w:rsid w:val="00572B98"/>
    <w:rsid w:val="00575115"/>
    <w:rsid w:val="0057590C"/>
    <w:rsid w:val="00575C09"/>
    <w:rsid w:val="005771EF"/>
    <w:rsid w:val="0057784F"/>
    <w:rsid w:val="00577D22"/>
    <w:rsid w:val="00581016"/>
    <w:rsid w:val="00583825"/>
    <w:rsid w:val="00584614"/>
    <w:rsid w:val="00584B37"/>
    <w:rsid w:val="00585EC9"/>
    <w:rsid w:val="00586746"/>
    <w:rsid w:val="00586DFE"/>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15B2"/>
    <w:rsid w:val="005C24D1"/>
    <w:rsid w:val="005C2A09"/>
    <w:rsid w:val="005C46EF"/>
    <w:rsid w:val="005C70A7"/>
    <w:rsid w:val="005C7788"/>
    <w:rsid w:val="005C7795"/>
    <w:rsid w:val="005D1575"/>
    <w:rsid w:val="005D18E5"/>
    <w:rsid w:val="005D20F2"/>
    <w:rsid w:val="005D32FF"/>
    <w:rsid w:val="005D3ABE"/>
    <w:rsid w:val="005D450D"/>
    <w:rsid w:val="005D49D6"/>
    <w:rsid w:val="005D7B0E"/>
    <w:rsid w:val="005E0C34"/>
    <w:rsid w:val="005E1B00"/>
    <w:rsid w:val="005E1E22"/>
    <w:rsid w:val="005E28DB"/>
    <w:rsid w:val="005E31CC"/>
    <w:rsid w:val="005E36AE"/>
    <w:rsid w:val="005E3EC1"/>
    <w:rsid w:val="005E4F1E"/>
    <w:rsid w:val="005E6A35"/>
    <w:rsid w:val="005E7B84"/>
    <w:rsid w:val="005F01D8"/>
    <w:rsid w:val="005F04AE"/>
    <w:rsid w:val="005F1AFD"/>
    <w:rsid w:val="005F221E"/>
    <w:rsid w:val="005F26AF"/>
    <w:rsid w:val="005F461F"/>
    <w:rsid w:val="005F4751"/>
    <w:rsid w:val="005F4924"/>
    <w:rsid w:val="005F5051"/>
    <w:rsid w:val="005F5965"/>
    <w:rsid w:val="005F62DF"/>
    <w:rsid w:val="005F639F"/>
    <w:rsid w:val="005F642A"/>
    <w:rsid w:val="005F6C1D"/>
    <w:rsid w:val="005F6C97"/>
    <w:rsid w:val="005F72B5"/>
    <w:rsid w:val="00603174"/>
    <w:rsid w:val="006033B9"/>
    <w:rsid w:val="00603405"/>
    <w:rsid w:val="006151AB"/>
    <w:rsid w:val="0061529A"/>
    <w:rsid w:val="00615A8D"/>
    <w:rsid w:val="00616936"/>
    <w:rsid w:val="00616A52"/>
    <w:rsid w:val="00620490"/>
    <w:rsid w:val="00620B2E"/>
    <w:rsid w:val="00622087"/>
    <w:rsid w:val="00622B32"/>
    <w:rsid w:val="00624825"/>
    <w:rsid w:val="00624BAD"/>
    <w:rsid w:val="00625939"/>
    <w:rsid w:val="00630AF9"/>
    <w:rsid w:val="00633E76"/>
    <w:rsid w:val="00635B60"/>
    <w:rsid w:val="006370B3"/>
    <w:rsid w:val="00637903"/>
    <w:rsid w:val="00637E93"/>
    <w:rsid w:val="00637F2E"/>
    <w:rsid w:val="00641217"/>
    <w:rsid w:val="00645BC8"/>
    <w:rsid w:val="0064663D"/>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DD3"/>
    <w:rsid w:val="00663E54"/>
    <w:rsid w:val="0066477C"/>
    <w:rsid w:val="00666783"/>
    <w:rsid w:val="00666A3E"/>
    <w:rsid w:val="006674D8"/>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53D"/>
    <w:rsid w:val="00687D18"/>
    <w:rsid w:val="0069019B"/>
    <w:rsid w:val="00693E39"/>
    <w:rsid w:val="00694C2F"/>
    <w:rsid w:val="00695081"/>
    <w:rsid w:val="006974C8"/>
    <w:rsid w:val="00697B24"/>
    <w:rsid w:val="00697EA9"/>
    <w:rsid w:val="006A06EE"/>
    <w:rsid w:val="006A25CE"/>
    <w:rsid w:val="006A2CE2"/>
    <w:rsid w:val="006A3281"/>
    <w:rsid w:val="006A4BA2"/>
    <w:rsid w:val="006A78BD"/>
    <w:rsid w:val="006A7FBB"/>
    <w:rsid w:val="006B0E96"/>
    <w:rsid w:val="006B1ADB"/>
    <w:rsid w:val="006B1C83"/>
    <w:rsid w:val="006B3C71"/>
    <w:rsid w:val="006B4351"/>
    <w:rsid w:val="006C0C8A"/>
    <w:rsid w:val="006C227A"/>
    <w:rsid w:val="006C2902"/>
    <w:rsid w:val="006C344B"/>
    <w:rsid w:val="006C3D88"/>
    <w:rsid w:val="006C4292"/>
    <w:rsid w:val="006D30BE"/>
    <w:rsid w:val="006D567A"/>
    <w:rsid w:val="006D58D2"/>
    <w:rsid w:val="006D5943"/>
    <w:rsid w:val="006D7490"/>
    <w:rsid w:val="006E010B"/>
    <w:rsid w:val="006E16A8"/>
    <w:rsid w:val="006E382F"/>
    <w:rsid w:val="006E6765"/>
    <w:rsid w:val="006E6953"/>
    <w:rsid w:val="006E77F4"/>
    <w:rsid w:val="006F1AAC"/>
    <w:rsid w:val="006F2097"/>
    <w:rsid w:val="006F344D"/>
    <w:rsid w:val="006F5052"/>
    <w:rsid w:val="006F5776"/>
    <w:rsid w:val="006F63B1"/>
    <w:rsid w:val="006F7539"/>
    <w:rsid w:val="00700CD9"/>
    <w:rsid w:val="00701BA9"/>
    <w:rsid w:val="00701EF4"/>
    <w:rsid w:val="00701FF5"/>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1FD7"/>
    <w:rsid w:val="00722FBA"/>
    <w:rsid w:val="0072313F"/>
    <w:rsid w:val="00724F07"/>
    <w:rsid w:val="0072792D"/>
    <w:rsid w:val="00727F36"/>
    <w:rsid w:val="0073012D"/>
    <w:rsid w:val="00732742"/>
    <w:rsid w:val="00732B47"/>
    <w:rsid w:val="0073370C"/>
    <w:rsid w:val="00733A3B"/>
    <w:rsid w:val="007426F3"/>
    <w:rsid w:val="00742762"/>
    <w:rsid w:val="00744479"/>
    <w:rsid w:val="007444F9"/>
    <w:rsid w:val="00744FCC"/>
    <w:rsid w:val="007467A9"/>
    <w:rsid w:val="0075190A"/>
    <w:rsid w:val="00752753"/>
    <w:rsid w:val="00752854"/>
    <w:rsid w:val="00753180"/>
    <w:rsid w:val="00754E54"/>
    <w:rsid w:val="00755E9B"/>
    <w:rsid w:val="007577DB"/>
    <w:rsid w:val="00757E08"/>
    <w:rsid w:val="00760FBE"/>
    <w:rsid w:val="00761B4D"/>
    <w:rsid w:val="007667D9"/>
    <w:rsid w:val="00766ADF"/>
    <w:rsid w:val="00772676"/>
    <w:rsid w:val="007726C3"/>
    <w:rsid w:val="00773CE2"/>
    <w:rsid w:val="00773D9F"/>
    <w:rsid w:val="00774571"/>
    <w:rsid w:val="00780E8E"/>
    <w:rsid w:val="007812FA"/>
    <w:rsid w:val="0078207C"/>
    <w:rsid w:val="00782676"/>
    <w:rsid w:val="007830D7"/>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55F0"/>
    <w:rsid w:val="00796649"/>
    <w:rsid w:val="007969EF"/>
    <w:rsid w:val="00796F3F"/>
    <w:rsid w:val="007A0737"/>
    <w:rsid w:val="007A1182"/>
    <w:rsid w:val="007A341B"/>
    <w:rsid w:val="007A5951"/>
    <w:rsid w:val="007A6419"/>
    <w:rsid w:val="007A7335"/>
    <w:rsid w:val="007A7863"/>
    <w:rsid w:val="007B06C6"/>
    <w:rsid w:val="007B1464"/>
    <w:rsid w:val="007B16B5"/>
    <w:rsid w:val="007B4372"/>
    <w:rsid w:val="007B4C91"/>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CC7"/>
    <w:rsid w:val="007D4FF0"/>
    <w:rsid w:val="007D6050"/>
    <w:rsid w:val="007E1654"/>
    <w:rsid w:val="007E1922"/>
    <w:rsid w:val="007E4109"/>
    <w:rsid w:val="007E6083"/>
    <w:rsid w:val="007E6348"/>
    <w:rsid w:val="007E7BC7"/>
    <w:rsid w:val="007E7DA2"/>
    <w:rsid w:val="007E7F1E"/>
    <w:rsid w:val="007F26FA"/>
    <w:rsid w:val="007F425A"/>
    <w:rsid w:val="007F551D"/>
    <w:rsid w:val="007F5F08"/>
    <w:rsid w:val="007F5FD5"/>
    <w:rsid w:val="007F6127"/>
    <w:rsid w:val="007F6812"/>
    <w:rsid w:val="007F6974"/>
    <w:rsid w:val="007F6F6A"/>
    <w:rsid w:val="007F7A75"/>
    <w:rsid w:val="00803208"/>
    <w:rsid w:val="00807358"/>
    <w:rsid w:val="00810769"/>
    <w:rsid w:val="00813037"/>
    <w:rsid w:val="0081336F"/>
    <w:rsid w:val="0081411E"/>
    <w:rsid w:val="008151FE"/>
    <w:rsid w:val="008160B8"/>
    <w:rsid w:val="008209C0"/>
    <w:rsid w:val="00821299"/>
    <w:rsid w:val="00822170"/>
    <w:rsid w:val="0082268F"/>
    <w:rsid w:val="00822807"/>
    <w:rsid w:val="008237E0"/>
    <w:rsid w:val="00823D48"/>
    <w:rsid w:val="008244AF"/>
    <w:rsid w:val="00825E02"/>
    <w:rsid w:val="00825F3D"/>
    <w:rsid w:val="008261CD"/>
    <w:rsid w:val="00826AF9"/>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6755"/>
    <w:rsid w:val="00846837"/>
    <w:rsid w:val="00847B72"/>
    <w:rsid w:val="00852B2F"/>
    <w:rsid w:val="00853159"/>
    <w:rsid w:val="00855499"/>
    <w:rsid w:val="0085576F"/>
    <w:rsid w:val="008557AA"/>
    <w:rsid w:val="00855F4C"/>
    <w:rsid w:val="00856A51"/>
    <w:rsid w:val="00857D31"/>
    <w:rsid w:val="00860870"/>
    <w:rsid w:val="0086264D"/>
    <w:rsid w:val="00862DFA"/>
    <w:rsid w:val="00863D3F"/>
    <w:rsid w:val="008640A9"/>
    <w:rsid w:val="00864A68"/>
    <w:rsid w:val="0086561A"/>
    <w:rsid w:val="00866E93"/>
    <w:rsid w:val="00867A66"/>
    <w:rsid w:val="00867D40"/>
    <w:rsid w:val="00870E20"/>
    <w:rsid w:val="00871360"/>
    <w:rsid w:val="008714CE"/>
    <w:rsid w:val="00872F54"/>
    <w:rsid w:val="00874F1E"/>
    <w:rsid w:val="00874F94"/>
    <w:rsid w:val="008759F2"/>
    <w:rsid w:val="00876D6E"/>
    <w:rsid w:val="0088080F"/>
    <w:rsid w:val="00881A8F"/>
    <w:rsid w:val="00881C7A"/>
    <w:rsid w:val="00881CC4"/>
    <w:rsid w:val="008820EB"/>
    <w:rsid w:val="0088395D"/>
    <w:rsid w:val="0088652E"/>
    <w:rsid w:val="00887695"/>
    <w:rsid w:val="00887B1A"/>
    <w:rsid w:val="00890105"/>
    <w:rsid w:val="008920CE"/>
    <w:rsid w:val="00895CE7"/>
    <w:rsid w:val="008A090F"/>
    <w:rsid w:val="008A3DD5"/>
    <w:rsid w:val="008A3F3D"/>
    <w:rsid w:val="008B2560"/>
    <w:rsid w:val="008B4F77"/>
    <w:rsid w:val="008B58CB"/>
    <w:rsid w:val="008B6131"/>
    <w:rsid w:val="008B773A"/>
    <w:rsid w:val="008B7839"/>
    <w:rsid w:val="008B7C2B"/>
    <w:rsid w:val="008C0BB8"/>
    <w:rsid w:val="008C141C"/>
    <w:rsid w:val="008C2460"/>
    <w:rsid w:val="008C26AA"/>
    <w:rsid w:val="008C2799"/>
    <w:rsid w:val="008C2C58"/>
    <w:rsid w:val="008C33B7"/>
    <w:rsid w:val="008C4E19"/>
    <w:rsid w:val="008C61E1"/>
    <w:rsid w:val="008C7CCE"/>
    <w:rsid w:val="008D03BD"/>
    <w:rsid w:val="008D1CB0"/>
    <w:rsid w:val="008D2B65"/>
    <w:rsid w:val="008D3244"/>
    <w:rsid w:val="008D4B46"/>
    <w:rsid w:val="008D51C7"/>
    <w:rsid w:val="008D63A6"/>
    <w:rsid w:val="008D6598"/>
    <w:rsid w:val="008D6D39"/>
    <w:rsid w:val="008D6E21"/>
    <w:rsid w:val="008D7F22"/>
    <w:rsid w:val="008E1103"/>
    <w:rsid w:val="008E1839"/>
    <w:rsid w:val="008E2E11"/>
    <w:rsid w:val="008E3AA7"/>
    <w:rsid w:val="008E3D32"/>
    <w:rsid w:val="008E4FA5"/>
    <w:rsid w:val="008E574A"/>
    <w:rsid w:val="008E5FD0"/>
    <w:rsid w:val="008E64B5"/>
    <w:rsid w:val="008F1E56"/>
    <w:rsid w:val="008F23DD"/>
    <w:rsid w:val="008F2E32"/>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54C"/>
    <w:rsid w:val="009175DE"/>
    <w:rsid w:val="00920046"/>
    <w:rsid w:val="00920A46"/>
    <w:rsid w:val="00922C45"/>
    <w:rsid w:val="00923416"/>
    <w:rsid w:val="00923F9C"/>
    <w:rsid w:val="00924D6A"/>
    <w:rsid w:val="00925DCD"/>
    <w:rsid w:val="00925EC5"/>
    <w:rsid w:val="00927B96"/>
    <w:rsid w:val="009303B7"/>
    <w:rsid w:val="0093237F"/>
    <w:rsid w:val="00934288"/>
    <w:rsid w:val="00936C9E"/>
    <w:rsid w:val="0093717B"/>
    <w:rsid w:val="00942805"/>
    <w:rsid w:val="00943FF4"/>
    <w:rsid w:val="00945EC2"/>
    <w:rsid w:val="009464E6"/>
    <w:rsid w:val="00947E3D"/>
    <w:rsid w:val="0095029C"/>
    <w:rsid w:val="00950A42"/>
    <w:rsid w:val="009510CA"/>
    <w:rsid w:val="00951B41"/>
    <w:rsid w:val="00953BAA"/>
    <w:rsid w:val="00954B1F"/>
    <w:rsid w:val="00954CD1"/>
    <w:rsid w:val="00956DAB"/>
    <w:rsid w:val="00957FDA"/>
    <w:rsid w:val="00964157"/>
    <w:rsid w:val="009654D6"/>
    <w:rsid w:val="009662F9"/>
    <w:rsid w:val="0097254D"/>
    <w:rsid w:val="00972E53"/>
    <w:rsid w:val="00974D6B"/>
    <w:rsid w:val="00975CFC"/>
    <w:rsid w:val="00977590"/>
    <w:rsid w:val="00977707"/>
    <w:rsid w:val="00977DF3"/>
    <w:rsid w:val="0098116C"/>
    <w:rsid w:val="009836C4"/>
    <w:rsid w:val="009854E2"/>
    <w:rsid w:val="00986A6C"/>
    <w:rsid w:val="00987331"/>
    <w:rsid w:val="009909F6"/>
    <w:rsid w:val="00990A4E"/>
    <w:rsid w:val="00991782"/>
    <w:rsid w:val="00991D87"/>
    <w:rsid w:val="009920D9"/>
    <w:rsid w:val="009939F1"/>
    <w:rsid w:val="00994A54"/>
    <w:rsid w:val="009964D9"/>
    <w:rsid w:val="00996755"/>
    <w:rsid w:val="00997359"/>
    <w:rsid w:val="009A0BCB"/>
    <w:rsid w:val="009A53E3"/>
    <w:rsid w:val="009B5D5A"/>
    <w:rsid w:val="009C2E57"/>
    <w:rsid w:val="009C401C"/>
    <w:rsid w:val="009C4254"/>
    <w:rsid w:val="009C50D5"/>
    <w:rsid w:val="009D1A5A"/>
    <w:rsid w:val="009D2091"/>
    <w:rsid w:val="009D37AC"/>
    <w:rsid w:val="009D3AF6"/>
    <w:rsid w:val="009D3EA9"/>
    <w:rsid w:val="009D4DAB"/>
    <w:rsid w:val="009D54CB"/>
    <w:rsid w:val="009D799E"/>
    <w:rsid w:val="009E0628"/>
    <w:rsid w:val="009E1506"/>
    <w:rsid w:val="009E17E6"/>
    <w:rsid w:val="009E2521"/>
    <w:rsid w:val="009E29BB"/>
    <w:rsid w:val="009E391F"/>
    <w:rsid w:val="009E4F61"/>
    <w:rsid w:val="009E55D8"/>
    <w:rsid w:val="009E63D1"/>
    <w:rsid w:val="009E6BCD"/>
    <w:rsid w:val="009F074C"/>
    <w:rsid w:val="009F204C"/>
    <w:rsid w:val="009F301D"/>
    <w:rsid w:val="009F31F8"/>
    <w:rsid w:val="009F354C"/>
    <w:rsid w:val="009F3DB8"/>
    <w:rsid w:val="009F4F17"/>
    <w:rsid w:val="009F5564"/>
    <w:rsid w:val="009F746B"/>
    <w:rsid w:val="009F7C18"/>
    <w:rsid w:val="00A00403"/>
    <w:rsid w:val="00A01EE1"/>
    <w:rsid w:val="00A031CD"/>
    <w:rsid w:val="00A03B8F"/>
    <w:rsid w:val="00A04AB7"/>
    <w:rsid w:val="00A04C3A"/>
    <w:rsid w:val="00A04F9A"/>
    <w:rsid w:val="00A05DF3"/>
    <w:rsid w:val="00A10757"/>
    <w:rsid w:val="00A10B3D"/>
    <w:rsid w:val="00A13C8B"/>
    <w:rsid w:val="00A150F0"/>
    <w:rsid w:val="00A153E9"/>
    <w:rsid w:val="00A177BC"/>
    <w:rsid w:val="00A17933"/>
    <w:rsid w:val="00A2176D"/>
    <w:rsid w:val="00A21819"/>
    <w:rsid w:val="00A22C5E"/>
    <w:rsid w:val="00A277B8"/>
    <w:rsid w:val="00A27998"/>
    <w:rsid w:val="00A312E4"/>
    <w:rsid w:val="00A32952"/>
    <w:rsid w:val="00A342F7"/>
    <w:rsid w:val="00A34CA2"/>
    <w:rsid w:val="00A3579C"/>
    <w:rsid w:val="00A35E73"/>
    <w:rsid w:val="00A3653F"/>
    <w:rsid w:val="00A36622"/>
    <w:rsid w:val="00A36877"/>
    <w:rsid w:val="00A37132"/>
    <w:rsid w:val="00A376DE"/>
    <w:rsid w:val="00A40D9C"/>
    <w:rsid w:val="00A41B11"/>
    <w:rsid w:val="00A43596"/>
    <w:rsid w:val="00A4479C"/>
    <w:rsid w:val="00A44AFE"/>
    <w:rsid w:val="00A463C5"/>
    <w:rsid w:val="00A46519"/>
    <w:rsid w:val="00A467CB"/>
    <w:rsid w:val="00A46D2F"/>
    <w:rsid w:val="00A472B6"/>
    <w:rsid w:val="00A50FDE"/>
    <w:rsid w:val="00A524BA"/>
    <w:rsid w:val="00A5339C"/>
    <w:rsid w:val="00A5438D"/>
    <w:rsid w:val="00A54921"/>
    <w:rsid w:val="00A553D4"/>
    <w:rsid w:val="00A5679A"/>
    <w:rsid w:val="00A569E6"/>
    <w:rsid w:val="00A57307"/>
    <w:rsid w:val="00A57517"/>
    <w:rsid w:val="00A579B0"/>
    <w:rsid w:val="00A57FBF"/>
    <w:rsid w:val="00A6030F"/>
    <w:rsid w:val="00A6233D"/>
    <w:rsid w:val="00A639B9"/>
    <w:rsid w:val="00A67AED"/>
    <w:rsid w:val="00A70302"/>
    <w:rsid w:val="00A70F46"/>
    <w:rsid w:val="00A7112C"/>
    <w:rsid w:val="00A71C5A"/>
    <w:rsid w:val="00A744A6"/>
    <w:rsid w:val="00A75A4D"/>
    <w:rsid w:val="00A770AD"/>
    <w:rsid w:val="00A83EF1"/>
    <w:rsid w:val="00A847DE"/>
    <w:rsid w:val="00A84B75"/>
    <w:rsid w:val="00A8522A"/>
    <w:rsid w:val="00A85806"/>
    <w:rsid w:val="00A90680"/>
    <w:rsid w:val="00A90976"/>
    <w:rsid w:val="00A90D02"/>
    <w:rsid w:val="00A938B6"/>
    <w:rsid w:val="00A93EE5"/>
    <w:rsid w:val="00A9531E"/>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D4D"/>
    <w:rsid w:val="00AD0FE5"/>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E0E"/>
    <w:rsid w:val="00AF23DE"/>
    <w:rsid w:val="00AF2CA1"/>
    <w:rsid w:val="00AF3A3E"/>
    <w:rsid w:val="00AF45AC"/>
    <w:rsid w:val="00AF594A"/>
    <w:rsid w:val="00AF6DA1"/>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47B"/>
    <w:rsid w:val="00B17806"/>
    <w:rsid w:val="00B204A1"/>
    <w:rsid w:val="00B21F10"/>
    <w:rsid w:val="00B22517"/>
    <w:rsid w:val="00B2713A"/>
    <w:rsid w:val="00B27C5F"/>
    <w:rsid w:val="00B31F5D"/>
    <w:rsid w:val="00B32CDD"/>
    <w:rsid w:val="00B33034"/>
    <w:rsid w:val="00B33BD3"/>
    <w:rsid w:val="00B33C74"/>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9E2"/>
    <w:rsid w:val="00B64C82"/>
    <w:rsid w:val="00B65A95"/>
    <w:rsid w:val="00B66062"/>
    <w:rsid w:val="00B66D42"/>
    <w:rsid w:val="00B66E41"/>
    <w:rsid w:val="00B712A6"/>
    <w:rsid w:val="00B721FD"/>
    <w:rsid w:val="00B72804"/>
    <w:rsid w:val="00B7294E"/>
    <w:rsid w:val="00B72BAF"/>
    <w:rsid w:val="00B72C12"/>
    <w:rsid w:val="00B73AB7"/>
    <w:rsid w:val="00B74AEE"/>
    <w:rsid w:val="00B75348"/>
    <w:rsid w:val="00B762DB"/>
    <w:rsid w:val="00B76FD5"/>
    <w:rsid w:val="00B777AD"/>
    <w:rsid w:val="00B81725"/>
    <w:rsid w:val="00B82DAE"/>
    <w:rsid w:val="00B83520"/>
    <w:rsid w:val="00B8568D"/>
    <w:rsid w:val="00B8697F"/>
    <w:rsid w:val="00B86BC8"/>
    <w:rsid w:val="00B941A6"/>
    <w:rsid w:val="00B95A1E"/>
    <w:rsid w:val="00B97AC6"/>
    <w:rsid w:val="00BA4166"/>
    <w:rsid w:val="00BA55A8"/>
    <w:rsid w:val="00BA6AF0"/>
    <w:rsid w:val="00BA74C6"/>
    <w:rsid w:val="00BB1479"/>
    <w:rsid w:val="00BB1844"/>
    <w:rsid w:val="00BB1D5E"/>
    <w:rsid w:val="00BB2DA6"/>
    <w:rsid w:val="00BB3992"/>
    <w:rsid w:val="00BB3DB9"/>
    <w:rsid w:val="00BB407C"/>
    <w:rsid w:val="00BB4686"/>
    <w:rsid w:val="00BB4B11"/>
    <w:rsid w:val="00BB7E3F"/>
    <w:rsid w:val="00BC02BE"/>
    <w:rsid w:val="00BC0488"/>
    <w:rsid w:val="00BC1EC4"/>
    <w:rsid w:val="00BC256F"/>
    <w:rsid w:val="00BC3506"/>
    <w:rsid w:val="00BC356E"/>
    <w:rsid w:val="00BC362E"/>
    <w:rsid w:val="00BC671A"/>
    <w:rsid w:val="00BC70CA"/>
    <w:rsid w:val="00BC7718"/>
    <w:rsid w:val="00BC7CB0"/>
    <w:rsid w:val="00BD404C"/>
    <w:rsid w:val="00BD4981"/>
    <w:rsid w:val="00BD5066"/>
    <w:rsid w:val="00BD7D7A"/>
    <w:rsid w:val="00BE0D1F"/>
    <w:rsid w:val="00BE2287"/>
    <w:rsid w:val="00BE2A8C"/>
    <w:rsid w:val="00BE328A"/>
    <w:rsid w:val="00BE371B"/>
    <w:rsid w:val="00BE3FD8"/>
    <w:rsid w:val="00BE4104"/>
    <w:rsid w:val="00BE64FC"/>
    <w:rsid w:val="00BE7999"/>
    <w:rsid w:val="00BF16B5"/>
    <w:rsid w:val="00BF2325"/>
    <w:rsid w:val="00BF2822"/>
    <w:rsid w:val="00BF31CC"/>
    <w:rsid w:val="00BF379A"/>
    <w:rsid w:val="00BF4E93"/>
    <w:rsid w:val="00BF5677"/>
    <w:rsid w:val="00BF6A75"/>
    <w:rsid w:val="00BF7B2E"/>
    <w:rsid w:val="00C025F2"/>
    <w:rsid w:val="00C06133"/>
    <w:rsid w:val="00C06595"/>
    <w:rsid w:val="00C10324"/>
    <w:rsid w:val="00C1035C"/>
    <w:rsid w:val="00C105D7"/>
    <w:rsid w:val="00C107EE"/>
    <w:rsid w:val="00C10D3B"/>
    <w:rsid w:val="00C11493"/>
    <w:rsid w:val="00C1357B"/>
    <w:rsid w:val="00C14B78"/>
    <w:rsid w:val="00C162BB"/>
    <w:rsid w:val="00C20838"/>
    <w:rsid w:val="00C20A10"/>
    <w:rsid w:val="00C2217B"/>
    <w:rsid w:val="00C223CD"/>
    <w:rsid w:val="00C22DF6"/>
    <w:rsid w:val="00C23E02"/>
    <w:rsid w:val="00C24386"/>
    <w:rsid w:val="00C25776"/>
    <w:rsid w:val="00C25D15"/>
    <w:rsid w:val="00C26318"/>
    <w:rsid w:val="00C27AE9"/>
    <w:rsid w:val="00C27E3E"/>
    <w:rsid w:val="00C30542"/>
    <w:rsid w:val="00C30E72"/>
    <w:rsid w:val="00C325DA"/>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64D7"/>
    <w:rsid w:val="00C57BDD"/>
    <w:rsid w:val="00C60605"/>
    <w:rsid w:val="00C60D33"/>
    <w:rsid w:val="00C61528"/>
    <w:rsid w:val="00C61E6E"/>
    <w:rsid w:val="00C64F93"/>
    <w:rsid w:val="00C66124"/>
    <w:rsid w:val="00C667AE"/>
    <w:rsid w:val="00C70C7A"/>
    <w:rsid w:val="00C73054"/>
    <w:rsid w:val="00C733D3"/>
    <w:rsid w:val="00C7527E"/>
    <w:rsid w:val="00C7685A"/>
    <w:rsid w:val="00C76C70"/>
    <w:rsid w:val="00C80D9D"/>
    <w:rsid w:val="00C8171B"/>
    <w:rsid w:val="00C854C5"/>
    <w:rsid w:val="00C90015"/>
    <w:rsid w:val="00C90333"/>
    <w:rsid w:val="00C90685"/>
    <w:rsid w:val="00C90A41"/>
    <w:rsid w:val="00C93B88"/>
    <w:rsid w:val="00C94EE5"/>
    <w:rsid w:val="00C95166"/>
    <w:rsid w:val="00C95827"/>
    <w:rsid w:val="00CA08FD"/>
    <w:rsid w:val="00CA11E5"/>
    <w:rsid w:val="00CA172D"/>
    <w:rsid w:val="00CA2E53"/>
    <w:rsid w:val="00CA335D"/>
    <w:rsid w:val="00CA57E6"/>
    <w:rsid w:val="00CA58E1"/>
    <w:rsid w:val="00CA5ADB"/>
    <w:rsid w:val="00CA68E7"/>
    <w:rsid w:val="00CB44BE"/>
    <w:rsid w:val="00CB46FA"/>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05FE"/>
    <w:rsid w:val="00CE19FA"/>
    <w:rsid w:val="00CE1B16"/>
    <w:rsid w:val="00CE1E0A"/>
    <w:rsid w:val="00CE24FB"/>
    <w:rsid w:val="00CE4163"/>
    <w:rsid w:val="00CE75AC"/>
    <w:rsid w:val="00CF0668"/>
    <w:rsid w:val="00CF1ABC"/>
    <w:rsid w:val="00CF21D8"/>
    <w:rsid w:val="00CF32FA"/>
    <w:rsid w:val="00CF3AA6"/>
    <w:rsid w:val="00CF3B7F"/>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5D9C"/>
    <w:rsid w:val="00D25E82"/>
    <w:rsid w:val="00D264BE"/>
    <w:rsid w:val="00D2726D"/>
    <w:rsid w:val="00D274DC"/>
    <w:rsid w:val="00D30BF3"/>
    <w:rsid w:val="00D31203"/>
    <w:rsid w:val="00D31B6C"/>
    <w:rsid w:val="00D33F5B"/>
    <w:rsid w:val="00D35C0D"/>
    <w:rsid w:val="00D35D00"/>
    <w:rsid w:val="00D36231"/>
    <w:rsid w:val="00D3768D"/>
    <w:rsid w:val="00D37A5C"/>
    <w:rsid w:val="00D4093A"/>
    <w:rsid w:val="00D4167C"/>
    <w:rsid w:val="00D426BF"/>
    <w:rsid w:val="00D4281E"/>
    <w:rsid w:val="00D42BC6"/>
    <w:rsid w:val="00D42E15"/>
    <w:rsid w:val="00D4525A"/>
    <w:rsid w:val="00D506E9"/>
    <w:rsid w:val="00D519D1"/>
    <w:rsid w:val="00D52E6C"/>
    <w:rsid w:val="00D53047"/>
    <w:rsid w:val="00D53FA8"/>
    <w:rsid w:val="00D558F5"/>
    <w:rsid w:val="00D5774E"/>
    <w:rsid w:val="00D60913"/>
    <w:rsid w:val="00D62D47"/>
    <w:rsid w:val="00D63181"/>
    <w:rsid w:val="00D64FD0"/>
    <w:rsid w:val="00D66013"/>
    <w:rsid w:val="00D67284"/>
    <w:rsid w:val="00D67679"/>
    <w:rsid w:val="00D67C8B"/>
    <w:rsid w:val="00D70AA6"/>
    <w:rsid w:val="00D7189B"/>
    <w:rsid w:val="00D72E41"/>
    <w:rsid w:val="00D739E3"/>
    <w:rsid w:val="00D740A7"/>
    <w:rsid w:val="00D7468E"/>
    <w:rsid w:val="00D74E38"/>
    <w:rsid w:val="00D7522F"/>
    <w:rsid w:val="00D758EC"/>
    <w:rsid w:val="00D773D8"/>
    <w:rsid w:val="00D77699"/>
    <w:rsid w:val="00D7772A"/>
    <w:rsid w:val="00D77A17"/>
    <w:rsid w:val="00D77B3F"/>
    <w:rsid w:val="00D80224"/>
    <w:rsid w:val="00D80277"/>
    <w:rsid w:val="00D821D2"/>
    <w:rsid w:val="00D82A8B"/>
    <w:rsid w:val="00D83AF5"/>
    <w:rsid w:val="00D84F53"/>
    <w:rsid w:val="00D85920"/>
    <w:rsid w:val="00D85D82"/>
    <w:rsid w:val="00D85FAA"/>
    <w:rsid w:val="00D865BB"/>
    <w:rsid w:val="00D86DEB"/>
    <w:rsid w:val="00D877C3"/>
    <w:rsid w:val="00D9048A"/>
    <w:rsid w:val="00D92142"/>
    <w:rsid w:val="00D95D5D"/>
    <w:rsid w:val="00DA08E6"/>
    <w:rsid w:val="00DA1FCB"/>
    <w:rsid w:val="00DA397E"/>
    <w:rsid w:val="00DA4E92"/>
    <w:rsid w:val="00DA602B"/>
    <w:rsid w:val="00DA6C48"/>
    <w:rsid w:val="00DB1BF7"/>
    <w:rsid w:val="00DB1EE0"/>
    <w:rsid w:val="00DB4B0A"/>
    <w:rsid w:val="00DB5509"/>
    <w:rsid w:val="00DB5848"/>
    <w:rsid w:val="00DC1103"/>
    <w:rsid w:val="00DC139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3F5"/>
    <w:rsid w:val="00DE2DEA"/>
    <w:rsid w:val="00DE4AD2"/>
    <w:rsid w:val="00DE5B7E"/>
    <w:rsid w:val="00DE61A4"/>
    <w:rsid w:val="00DE6E2C"/>
    <w:rsid w:val="00DE74E0"/>
    <w:rsid w:val="00DE75C5"/>
    <w:rsid w:val="00DF002B"/>
    <w:rsid w:val="00DF068D"/>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AEE"/>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34628"/>
    <w:rsid w:val="00E40203"/>
    <w:rsid w:val="00E40D44"/>
    <w:rsid w:val="00E40D51"/>
    <w:rsid w:val="00E40DE5"/>
    <w:rsid w:val="00E4194C"/>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5C7"/>
    <w:rsid w:val="00E7366F"/>
    <w:rsid w:val="00E74A9C"/>
    <w:rsid w:val="00E74B88"/>
    <w:rsid w:val="00E74CD6"/>
    <w:rsid w:val="00E751D0"/>
    <w:rsid w:val="00E81147"/>
    <w:rsid w:val="00E8218C"/>
    <w:rsid w:val="00E8244F"/>
    <w:rsid w:val="00E8295B"/>
    <w:rsid w:val="00E83A0B"/>
    <w:rsid w:val="00E83B6C"/>
    <w:rsid w:val="00E83C20"/>
    <w:rsid w:val="00E87BF0"/>
    <w:rsid w:val="00E91FB2"/>
    <w:rsid w:val="00E9217E"/>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36C9"/>
    <w:rsid w:val="00EB6A35"/>
    <w:rsid w:val="00EB6FF5"/>
    <w:rsid w:val="00EC27B7"/>
    <w:rsid w:val="00EC30C5"/>
    <w:rsid w:val="00EC47C9"/>
    <w:rsid w:val="00EC61C4"/>
    <w:rsid w:val="00EC6368"/>
    <w:rsid w:val="00EC6461"/>
    <w:rsid w:val="00EC6A69"/>
    <w:rsid w:val="00ED0367"/>
    <w:rsid w:val="00ED1E24"/>
    <w:rsid w:val="00ED261B"/>
    <w:rsid w:val="00ED2A12"/>
    <w:rsid w:val="00ED3ACC"/>
    <w:rsid w:val="00ED4CDC"/>
    <w:rsid w:val="00ED67BD"/>
    <w:rsid w:val="00EE10D5"/>
    <w:rsid w:val="00EE1CC5"/>
    <w:rsid w:val="00EE2154"/>
    <w:rsid w:val="00EE22EE"/>
    <w:rsid w:val="00EE2FF5"/>
    <w:rsid w:val="00EE337A"/>
    <w:rsid w:val="00EE6B97"/>
    <w:rsid w:val="00EE7EB4"/>
    <w:rsid w:val="00EF149F"/>
    <w:rsid w:val="00EF1C5E"/>
    <w:rsid w:val="00EF1D9D"/>
    <w:rsid w:val="00EF38D9"/>
    <w:rsid w:val="00EF439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3E38"/>
    <w:rsid w:val="00F14EC6"/>
    <w:rsid w:val="00F14EF2"/>
    <w:rsid w:val="00F163C9"/>
    <w:rsid w:val="00F1665D"/>
    <w:rsid w:val="00F17582"/>
    <w:rsid w:val="00F20CD4"/>
    <w:rsid w:val="00F236A0"/>
    <w:rsid w:val="00F244B7"/>
    <w:rsid w:val="00F25465"/>
    <w:rsid w:val="00F26503"/>
    <w:rsid w:val="00F26B75"/>
    <w:rsid w:val="00F26F7A"/>
    <w:rsid w:val="00F277E6"/>
    <w:rsid w:val="00F278D2"/>
    <w:rsid w:val="00F27A22"/>
    <w:rsid w:val="00F31131"/>
    <w:rsid w:val="00F313D5"/>
    <w:rsid w:val="00F31E1E"/>
    <w:rsid w:val="00F348AE"/>
    <w:rsid w:val="00F3543A"/>
    <w:rsid w:val="00F35761"/>
    <w:rsid w:val="00F35C6B"/>
    <w:rsid w:val="00F416FF"/>
    <w:rsid w:val="00F43B30"/>
    <w:rsid w:val="00F442CE"/>
    <w:rsid w:val="00F44352"/>
    <w:rsid w:val="00F44AF7"/>
    <w:rsid w:val="00F44E60"/>
    <w:rsid w:val="00F45E71"/>
    <w:rsid w:val="00F46A1D"/>
    <w:rsid w:val="00F46DA2"/>
    <w:rsid w:val="00F511C1"/>
    <w:rsid w:val="00F52A19"/>
    <w:rsid w:val="00F52D81"/>
    <w:rsid w:val="00F54D93"/>
    <w:rsid w:val="00F56BC9"/>
    <w:rsid w:val="00F56C79"/>
    <w:rsid w:val="00F57598"/>
    <w:rsid w:val="00F57C43"/>
    <w:rsid w:val="00F61401"/>
    <w:rsid w:val="00F618D9"/>
    <w:rsid w:val="00F6248E"/>
    <w:rsid w:val="00F6271C"/>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B2E"/>
    <w:rsid w:val="00F73DD0"/>
    <w:rsid w:val="00F74504"/>
    <w:rsid w:val="00F74D55"/>
    <w:rsid w:val="00F765FE"/>
    <w:rsid w:val="00F76F26"/>
    <w:rsid w:val="00F77442"/>
    <w:rsid w:val="00F77737"/>
    <w:rsid w:val="00F82BC4"/>
    <w:rsid w:val="00F8489B"/>
    <w:rsid w:val="00F855F4"/>
    <w:rsid w:val="00F85BC6"/>
    <w:rsid w:val="00F8666A"/>
    <w:rsid w:val="00F86E63"/>
    <w:rsid w:val="00F90A2B"/>
    <w:rsid w:val="00F91B8E"/>
    <w:rsid w:val="00F93CC9"/>
    <w:rsid w:val="00F964B8"/>
    <w:rsid w:val="00FA0B1C"/>
    <w:rsid w:val="00FA2730"/>
    <w:rsid w:val="00FA477A"/>
    <w:rsid w:val="00FA4E3B"/>
    <w:rsid w:val="00FA5C97"/>
    <w:rsid w:val="00FA6128"/>
    <w:rsid w:val="00FA691C"/>
    <w:rsid w:val="00FA7683"/>
    <w:rsid w:val="00FB380D"/>
    <w:rsid w:val="00FB3C75"/>
    <w:rsid w:val="00FB4A30"/>
    <w:rsid w:val="00FC08BE"/>
    <w:rsid w:val="00FC1FB8"/>
    <w:rsid w:val="00FC375D"/>
    <w:rsid w:val="00FC4D49"/>
    <w:rsid w:val="00FC5551"/>
    <w:rsid w:val="00FC5D48"/>
    <w:rsid w:val="00FC751A"/>
    <w:rsid w:val="00FD04FF"/>
    <w:rsid w:val="00FD0A07"/>
    <w:rsid w:val="00FD0F69"/>
    <w:rsid w:val="00FD1490"/>
    <w:rsid w:val="00FD1B78"/>
    <w:rsid w:val="00FD1EF0"/>
    <w:rsid w:val="00FD6052"/>
    <w:rsid w:val="00FD71B1"/>
    <w:rsid w:val="00FE04C4"/>
    <w:rsid w:val="00FE0938"/>
    <w:rsid w:val="00FE1A27"/>
    <w:rsid w:val="00FE22B0"/>
    <w:rsid w:val="00FE296D"/>
    <w:rsid w:val="00FE2B9B"/>
    <w:rsid w:val="00FE4101"/>
    <w:rsid w:val="00FE6E59"/>
    <w:rsid w:val="00FE6E67"/>
    <w:rsid w:val="00FF0E4F"/>
    <w:rsid w:val="00FF1D02"/>
    <w:rsid w:val="00FF2A96"/>
    <w:rsid w:val="00FF306B"/>
    <w:rsid w:val="00FF32AF"/>
    <w:rsid w:val="00FF4262"/>
    <w:rsid w:val="00FF4B21"/>
    <w:rsid w:val="00FF64D3"/>
    <w:rsid w:val="00FF6919"/>
    <w:rsid w:val="00FF71FD"/>
    <w:rsid w:val="00FF7833"/>
    <w:rsid w:val="036C31EA"/>
    <w:rsid w:val="07326F20"/>
    <w:rsid w:val="11FB0225"/>
    <w:rsid w:val="17967D55"/>
    <w:rsid w:val="1C352D71"/>
    <w:rsid w:val="1DFD6A7D"/>
    <w:rsid w:val="27294060"/>
    <w:rsid w:val="3000231B"/>
    <w:rsid w:val="33FF2A00"/>
    <w:rsid w:val="37C35DC3"/>
    <w:rsid w:val="3E912C1F"/>
    <w:rsid w:val="41CD544E"/>
    <w:rsid w:val="433565D0"/>
    <w:rsid w:val="4945130B"/>
    <w:rsid w:val="5C170DC5"/>
    <w:rsid w:val="60181481"/>
    <w:rsid w:val="60DF6032"/>
    <w:rsid w:val="645E4F34"/>
    <w:rsid w:val="65E802DF"/>
    <w:rsid w:val="6FD711F4"/>
    <w:rsid w:val="792923EA"/>
    <w:rsid w:val="7AD6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3"/>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34"/>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35"/>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36"/>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37"/>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38"/>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39"/>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40"/>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41"/>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3"/>
    <w:basedOn w:val="1"/>
    <w:link w:val="49"/>
    <w:qFormat/>
    <w:uiPriority w:val="0"/>
    <w:rPr>
      <w:rFonts w:ascii="黑体" w:hAnsi="Arial" w:eastAsia="黑体"/>
      <w:b/>
      <w:kern w:val="0"/>
    </w:rPr>
  </w:style>
  <w:style w:type="paragraph" w:styleId="13">
    <w:name w:val="Body Text Indent"/>
    <w:basedOn w:val="1"/>
    <w:link w:val="52"/>
    <w:semiHidden/>
    <w:unhideWhenUsed/>
    <w:qFormat/>
    <w:uiPriority w:val="99"/>
    <w:pPr>
      <w:spacing w:after="120"/>
      <w:ind w:left="420" w:leftChars="200"/>
    </w:pPr>
  </w:style>
  <w:style w:type="paragraph" w:styleId="14">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4"/>
    <w:qFormat/>
    <w:uiPriority w:val="0"/>
    <w:rPr>
      <w:rFonts w:ascii="宋体" w:hAnsi="Courier New" w:cs="Courier New"/>
      <w:kern w:val="0"/>
      <w:sz w:val="20"/>
      <w:szCs w:val="21"/>
    </w:rPr>
  </w:style>
  <w:style w:type="paragraph" w:styleId="16">
    <w:name w:val="Balloon Text"/>
    <w:basedOn w:val="1"/>
    <w:link w:val="51"/>
    <w:semiHidden/>
    <w:unhideWhenUsed/>
    <w:qFormat/>
    <w:uiPriority w:val="99"/>
    <w:rPr>
      <w:sz w:val="18"/>
      <w:szCs w:val="18"/>
    </w:rPr>
  </w:style>
  <w:style w:type="paragraph" w:styleId="17">
    <w:name w:val="footer"/>
    <w:basedOn w:val="1"/>
    <w:link w:val="54"/>
    <w:unhideWhenUsed/>
    <w:qFormat/>
    <w:uiPriority w:val="99"/>
    <w:pPr>
      <w:tabs>
        <w:tab w:val="center" w:pos="4153"/>
        <w:tab w:val="right" w:pos="8306"/>
      </w:tabs>
      <w:snapToGrid w:val="0"/>
      <w:jc w:val="left"/>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rPr>
  </w:style>
  <w:style w:type="paragraph" w:styleId="20">
    <w:name w:val="Subtitle"/>
    <w:basedOn w:val="1"/>
    <w:next w:val="1"/>
    <w:link w:val="43"/>
    <w:qFormat/>
    <w:uiPriority w:val="0"/>
    <w:pPr>
      <w:spacing w:before="240" w:after="60" w:line="312" w:lineRule="auto"/>
      <w:jc w:val="center"/>
      <w:outlineLvl w:val="1"/>
    </w:pPr>
    <w:rPr>
      <w:rFonts w:ascii="Cambria" w:hAnsi="Cambria" w:eastAsia="方正楷体简体"/>
      <w:bCs/>
      <w:kern w:val="28"/>
      <w:sz w:val="20"/>
      <w:szCs w:val="32"/>
    </w:rPr>
  </w:style>
  <w:style w:type="paragraph" w:styleId="21">
    <w:name w:val="toc 2"/>
    <w:basedOn w:val="1"/>
    <w:next w:val="1"/>
    <w:qFormat/>
    <w:uiPriority w:val="39"/>
    <w:pPr>
      <w:ind w:left="420" w:leftChars="200"/>
    </w:pPr>
    <w:rPr>
      <w:sz w:val="24"/>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42"/>
    <w:qFormat/>
    <w:uiPriority w:val="99"/>
    <w:pPr>
      <w:spacing w:before="240" w:after="60"/>
      <w:jc w:val="center"/>
      <w:outlineLvl w:val="0"/>
    </w:pPr>
    <w:rPr>
      <w:rFonts w:ascii="Cambria" w:hAnsi="Cambria" w:eastAsia="方正小标宋简体"/>
      <w:b/>
      <w:bCs/>
      <w:kern w:val="0"/>
      <w:sz w:val="44"/>
      <w:szCs w:val="32"/>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rPr>
  </w:style>
  <w:style w:type="character" w:styleId="28">
    <w:name w:val="FollowedHyperlink"/>
    <w:basedOn w:val="26"/>
    <w:semiHidden/>
    <w:unhideWhenUsed/>
    <w:qFormat/>
    <w:uiPriority w:val="99"/>
    <w:rPr>
      <w:u w:val="none"/>
    </w:rPr>
  </w:style>
  <w:style w:type="character" w:styleId="29">
    <w:name w:val="Emphasis"/>
    <w:qFormat/>
    <w:uiPriority w:val="0"/>
    <w:rPr>
      <w:rFonts w:hint="default" w:ascii="Times New Roman" w:hAnsi="Times New Roman" w:cs="Times New Roman"/>
    </w:rPr>
  </w:style>
  <w:style w:type="character" w:styleId="30">
    <w:name w:val="Hyperlink"/>
    <w:qFormat/>
    <w:uiPriority w:val="99"/>
    <w:rPr>
      <w:color w:val="0000FF"/>
      <w:u w:val="single"/>
    </w:rPr>
  </w:style>
  <w:style w:type="character" w:styleId="31">
    <w:name w:val="annotation reference"/>
    <w:basedOn w:val="26"/>
    <w:semiHidden/>
    <w:unhideWhenUsed/>
    <w:qFormat/>
    <w:uiPriority w:val="99"/>
    <w:rPr>
      <w:sz w:val="21"/>
      <w:szCs w:val="21"/>
    </w:rPr>
  </w:style>
  <w:style w:type="paragraph" w:customStyle="1" w:styleId="32">
    <w:name w:val="列出段落1"/>
    <w:basedOn w:val="1"/>
    <w:qFormat/>
    <w:uiPriority w:val="34"/>
    <w:pPr>
      <w:ind w:firstLine="420" w:firstLineChars="200"/>
    </w:pPr>
    <w:rPr>
      <w:rFonts w:ascii="Calibri" w:hAnsi="Calibri"/>
      <w:szCs w:val="22"/>
    </w:rPr>
  </w:style>
  <w:style w:type="character" w:customStyle="1" w:styleId="33">
    <w:name w:val="标题 1 Char"/>
    <w:link w:val="2"/>
    <w:qFormat/>
    <w:uiPriority w:val="0"/>
    <w:rPr>
      <w:rFonts w:ascii="Times New Roman" w:hAnsi="Times New Roman"/>
      <w:b/>
      <w:bCs/>
      <w:kern w:val="44"/>
      <w:sz w:val="36"/>
      <w:szCs w:val="44"/>
      <w:lang w:val="zh-CN" w:eastAsia="zh-CN"/>
    </w:rPr>
  </w:style>
  <w:style w:type="character" w:customStyle="1" w:styleId="34">
    <w:name w:val="标题 2 Char"/>
    <w:link w:val="3"/>
    <w:qFormat/>
    <w:uiPriority w:val="0"/>
    <w:rPr>
      <w:rFonts w:ascii="Arial" w:hAnsi="Arial" w:eastAsia="黑体"/>
      <w:b/>
      <w:bCs/>
      <w:sz w:val="32"/>
      <w:szCs w:val="32"/>
      <w:lang w:val="zh-CN" w:eastAsia="zh-CN"/>
    </w:rPr>
  </w:style>
  <w:style w:type="character" w:customStyle="1" w:styleId="35">
    <w:name w:val="标题 3 Char"/>
    <w:link w:val="4"/>
    <w:qFormat/>
    <w:uiPriority w:val="0"/>
    <w:rPr>
      <w:rFonts w:ascii="Times New Roman" w:hAnsi="Times New Roman"/>
      <w:b/>
      <w:bCs/>
      <w:sz w:val="32"/>
      <w:szCs w:val="32"/>
    </w:rPr>
  </w:style>
  <w:style w:type="character" w:customStyle="1" w:styleId="36">
    <w:name w:val="标题 4 Char"/>
    <w:link w:val="5"/>
    <w:qFormat/>
    <w:uiPriority w:val="0"/>
    <w:rPr>
      <w:rFonts w:ascii="仿宋_GB2312" w:hAnsi="Times New Roman" w:eastAsia="仿宋_GB2312"/>
      <w:sz w:val="28"/>
      <w:szCs w:val="24"/>
    </w:rPr>
  </w:style>
  <w:style w:type="character" w:customStyle="1" w:styleId="37">
    <w:name w:val="标题 5 Char"/>
    <w:link w:val="6"/>
    <w:uiPriority w:val="0"/>
    <w:rPr>
      <w:rFonts w:ascii="宋体" w:hAnsi="宋体"/>
      <w:b/>
      <w:kern w:val="21"/>
      <w:sz w:val="28"/>
      <w:lang w:eastAsia="ar-SA"/>
    </w:rPr>
  </w:style>
  <w:style w:type="character" w:customStyle="1" w:styleId="38">
    <w:name w:val="标题 6 Char"/>
    <w:link w:val="7"/>
    <w:qFormat/>
    <w:uiPriority w:val="0"/>
    <w:rPr>
      <w:rFonts w:ascii="Arial" w:hAnsi="Arial" w:eastAsia="黑体"/>
      <w:b/>
      <w:kern w:val="21"/>
      <w:sz w:val="24"/>
      <w:lang w:eastAsia="ar-SA"/>
    </w:rPr>
  </w:style>
  <w:style w:type="character" w:customStyle="1" w:styleId="39">
    <w:name w:val="标题 7 Char"/>
    <w:link w:val="8"/>
    <w:qFormat/>
    <w:uiPriority w:val="0"/>
    <w:rPr>
      <w:rFonts w:ascii="宋体" w:hAnsi="宋体"/>
      <w:b/>
      <w:kern w:val="21"/>
      <w:sz w:val="24"/>
      <w:lang w:eastAsia="ar-SA"/>
    </w:rPr>
  </w:style>
  <w:style w:type="character" w:customStyle="1" w:styleId="40">
    <w:name w:val="标题 8 Char"/>
    <w:link w:val="9"/>
    <w:qFormat/>
    <w:uiPriority w:val="0"/>
    <w:rPr>
      <w:rFonts w:ascii="Arial" w:hAnsi="Arial" w:eastAsia="黑体"/>
      <w:kern w:val="21"/>
      <w:sz w:val="24"/>
      <w:lang w:eastAsia="ar-SA"/>
    </w:rPr>
  </w:style>
  <w:style w:type="character" w:customStyle="1" w:styleId="41">
    <w:name w:val="标题 9 Char"/>
    <w:link w:val="10"/>
    <w:qFormat/>
    <w:uiPriority w:val="0"/>
    <w:rPr>
      <w:rFonts w:ascii="Arial" w:hAnsi="Arial" w:eastAsia="黑体"/>
      <w:kern w:val="21"/>
      <w:sz w:val="21"/>
      <w:lang w:eastAsia="ar-SA"/>
    </w:rPr>
  </w:style>
  <w:style w:type="character" w:customStyle="1" w:styleId="42">
    <w:name w:val="标题 Char"/>
    <w:link w:val="23"/>
    <w:qFormat/>
    <w:uiPriority w:val="99"/>
    <w:rPr>
      <w:rFonts w:ascii="Cambria" w:hAnsi="Cambria" w:eastAsia="方正小标宋简体"/>
      <w:b/>
      <w:bCs/>
      <w:sz w:val="44"/>
      <w:szCs w:val="32"/>
    </w:rPr>
  </w:style>
  <w:style w:type="character" w:customStyle="1" w:styleId="43">
    <w:name w:val="副标题 Char"/>
    <w:link w:val="20"/>
    <w:qFormat/>
    <w:uiPriority w:val="0"/>
    <w:rPr>
      <w:rFonts w:ascii="Cambria" w:hAnsi="Cambria" w:eastAsia="方正楷体简体"/>
      <w:bCs/>
      <w:kern w:val="28"/>
      <w:szCs w:val="32"/>
    </w:rPr>
  </w:style>
  <w:style w:type="character" w:customStyle="1" w:styleId="44">
    <w:name w:val="纯文本 Char"/>
    <w:link w:val="15"/>
    <w:qFormat/>
    <w:uiPriority w:val="0"/>
    <w:rPr>
      <w:rFonts w:ascii="宋体" w:hAnsi="Courier New" w:cs="Courier New"/>
      <w:szCs w:val="21"/>
    </w:rPr>
  </w:style>
  <w:style w:type="paragraph" w:styleId="45">
    <w:name w:val="No Spacing"/>
    <w:link w:val="46"/>
    <w:qFormat/>
    <w:uiPriority w:val="0"/>
    <w:rPr>
      <w:rFonts w:ascii="Calibri" w:hAnsi="Calibri" w:eastAsia="宋体" w:cs="Times New Roman"/>
      <w:sz w:val="22"/>
      <w:lang w:val="en-US" w:eastAsia="zh-CN" w:bidi="ar-SA"/>
    </w:rPr>
  </w:style>
  <w:style w:type="character" w:customStyle="1" w:styleId="46">
    <w:name w:val="无间隔 Char"/>
    <w:link w:val="45"/>
    <w:qFormat/>
    <w:uiPriority w:val="0"/>
    <w:rPr>
      <w:sz w:val="22"/>
    </w:rPr>
  </w:style>
  <w:style w:type="paragraph" w:styleId="47">
    <w:name w:val="List Paragraph"/>
    <w:basedOn w:val="1"/>
    <w:qFormat/>
    <w:uiPriority w:val="34"/>
    <w:pPr>
      <w:ind w:firstLine="420" w:firstLineChars="200"/>
    </w:pPr>
    <w:rPr>
      <w:szCs w:val="21"/>
    </w:rPr>
  </w:style>
  <w:style w:type="paragraph" w:customStyle="1" w:styleId="4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9">
    <w:name w:val="正文文本 3 Char"/>
    <w:link w:val="12"/>
    <w:qFormat/>
    <w:uiPriority w:val="0"/>
    <w:rPr>
      <w:rFonts w:ascii="黑体" w:hAnsi="Arial" w:eastAsia="黑体"/>
      <w:b/>
      <w:sz w:val="28"/>
    </w:rPr>
  </w:style>
  <w:style w:type="character" w:customStyle="1" w:styleId="50">
    <w:name w:val="正文文本 3 Char1"/>
    <w:basedOn w:val="26"/>
    <w:semiHidden/>
    <w:qFormat/>
    <w:uiPriority w:val="99"/>
    <w:rPr>
      <w:rFonts w:ascii="Times New Roman" w:hAnsi="Times New Roman"/>
      <w:kern w:val="2"/>
      <w:sz w:val="16"/>
      <w:szCs w:val="16"/>
    </w:rPr>
  </w:style>
  <w:style w:type="character" w:customStyle="1" w:styleId="51">
    <w:name w:val="批注框文本 Char"/>
    <w:basedOn w:val="26"/>
    <w:link w:val="16"/>
    <w:semiHidden/>
    <w:qFormat/>
    <w:uiPriority w:val="99"/>
    <w:rPr>
      <w:rFonts w:ascii="Times New Roman" w:hAnsi="Times New Roman"/>
      <w:kern w:val="2"/>
      <w:sz w:val="18"/>
      <w:szCs w:val="18"/>
    </w:rPr>
  </w:style>
  <w:style w:type="character" w:customStyle="1" w:styleId="52">
    <w:name w:val="正文文本缩进 Char"/>
    <w:basedOn w:val="26"/>
    <w:link w:val="13"/>
    <w:semiHidden/>
    <w:qFormat/>
    <w:uiPriority w:val="99"/>
    <w:rPr>
      <w:rFonts w:ascii="Times New Roman" w:hAnsi="Times New Roman"/>
      <w:kern w:val="2"/>
      <w:sz w:val="28"/>
    </w:rPr>
  </w:style>
  <w:style w:type="character" w:customStyle="1" w:styleId="53">
    <w:name w:val="页眉 Char"/>
    <w:basedOn w:val="26"/>
    <w:link w:val="18"/>
    <w:qFormat/>
    <w:uiPriority w:val="99"/>
    <w:rPr>
      <w:rFonts w:ascii="Times New Roman" w:hAnsi="Times New Roman"/>
      <w:kern w:val="2"/>
      <w:sz w:val="18"/>
      <w:szCs w:val="18"/>
    </w:rPr>
  </w:style>
  <w:style w:type="character" w:customStyle="1" w:styleId="54">
    <w:name w:val="页脚 Char"/>
    <w:basedOn w:val="26"/>
    <w:link w:val="17"/>
    <w:qFormat/>
    <w:uiPriority w:val="99"/>
    <w:rPr>
      <w:rFonts w:ascii="Times New Roman" w:hAnsi="Times New Roman"/>
      <w:kern w:val="2"/>
      <w:sz w:val="18"/>
      <w:szCs w:val="18"/>
    </w:rPr>
  </w:style>
  <w:style w:type="paragraph" w:customStyle="1" w:styleId="55">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6">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472C-4F9A-456F-8E0D-8876E9FAA09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57</Pages>
  <Words>4488</Words>
  <Characters>25585</Characters>
  <Lines>213</Lines>
  <Paragraphs>60</Paragraphs>
  <TotalTime>874</TotalTime>
  <ScaleCrop>false</ScaleCrop>
  <LinksUpToDate>false</LinksUpToDate>
  <CharactersWithSpaces>30013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2018-03-21T03:17:00Z</dcterms:created>
  <dc:creator>Administrator</dc:creator>
  <cp:lastModifiedBy>敖日格乐</cp:lastModifiedBy>
  <cp:lastPrinted>2019-05-30T01:37:00Z</cp:lastPrinted>
  <dcterms:modified xsi:type="dcterms:W3CDTF">2023-10-20T02:21:37Z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B670078325E7470E841A498AF992F1FC_13</vt:lpwstr>
  </property>
</Properties>
</file>