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第一包分项报价</w:t>
      </w:r>
    </w:p>
    <w:tbl>
      <w:tblPr>
        <w:tblStyle w:val="6"/>
        <w:tblpPr w:leftFromText="180" w:rightFromText="180" w:vertAnchor="text" w:horzAnchor="page" w:tblpXSpec="center" w:tblpY="180"/>
        <w:tblOverlap w:val="never"/>
        <w:tblW w:w="58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87"/>
        <w:gridCol w:w="64"/>
        <w:gridCol w:w="1336"/>
        <w:gridCol w:w="1272"/>
        <w:gridCol w:w="1387"/>
        <w:gridCol w:w="974"/>
        <w:gridCol w:w="1480"/>
        <w:gridCol w:w="1429"/>
        <w:gridCol w:w="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品牌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型号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数量及单位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总价（元）</w:t>
            </w:r>
          </w:p>
        </w:tc>
        <w:tc>
          <w:tcPr>
            <w:tcW w:w="26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8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8" w:leftChars="-42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4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全自动酶免分析仪</w:t>
            </w:r>
          </w:p>
        </w:tc>
        <w:tc>
          <w:tcPr>
            <w:tcW w:w="70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全自动酶免疫分析仪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深圳爱康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URANUS AE 95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650000.00</w:t>
            </w:r>
          </w:p>
        </w:tc>
        <w:tc>
          <w:tcPr>
            <w:tcW w:w="720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654000.00</w:t>
            </w:r>
          </w:p>
        </w:tc>
        <w:tc>
          <w:tcPr>
            <w:tcW w:w="265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</w:pPr>
          </w:p>
        </w:tc>
        <w:tc>
          <w:tcPr>
            <w:tcW w:w="70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UPS电源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珠海山特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C3KV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3000.00</w:t>
            </w:r>
          </w:p>
        </w:tc>
        <w:tc>
          <w:tcPr>
            <w:tcW w:w="72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打印机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1000.00</w:t>
            </w:r>
          </w:p>
        </w:tc>
        <w:tc>
          <w:tcPr>
            <w:tcW w:w="72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8" w:leftChars="-42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15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生物安全离心机96孔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中科中佳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KDC-1044L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48000.00</w:t>
            </w: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48000.00</w:t>
            </w: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8" w:leftChars="-42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15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生物安全离心机28孔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中科中佳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SC-3614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30000.00</w:t>
            </w: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30000.00</w:t>
            </w: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8" w:leftChars="-42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115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高速离心机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中科中佳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HC-2518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10000.00</w:t>
            </w: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10000.00</w:t>
            </w: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8" w:leftChars="-42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5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全自动血沉仪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(进口）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Alifax S.r.l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Roller 20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118000.00</w:t>
            </w: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118000.00</w:t>
            </w: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8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8" w:leftChars="-42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79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全自动化学发光免疫分析系统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全自动化学发光免疫分析系统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珀金埃尔默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Super Flex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155000.00</w:t>
            </w:r>
          </w:p>
        </w:tc>
        <w:tc>
          <w:tcPr>
            <w:tcW w:w="720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158000.00</w:t>
            </w: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</w:pPr>
          </w:p>
        </w:tc>
        <w:tc>
          <w:tcPr>
            <w:tcW w:w="479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</w:pP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UPS电源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珠海山特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C3KV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3000.00</w:t>
            </w:r>
          </w:p>
        </w:tc>
        <w:tc>
          <w:tcPr>
            <w:tcW w:w="72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8" w:leftChars="-42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5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低温冰箱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青岛海尔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DW-86W100J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40000.00</w:t>
            </w: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40000.00</w:t>
            </w: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8" w:leftChars="-42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5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产后盆底康复综合治疗仪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深圳科瑞康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AM1000B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240000.00</w:t>
            </w: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240000.00</w:t>
            </w: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8" w:leftChars="-42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胎心监护仪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深圳理邦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F3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30000.00</w:t>
            </w: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60000.00</w:t>
            </w: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8" w:leftChars="-42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5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便捷式胎心多普勒仪</w:t>
            </w: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深圳理邦</w:t>
            </w:r>
          </w:p>
        </w:tc>
        <w:tc>
          <w:tcPr>
            <w:tcW w:w="69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SD3PLUS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2台</w:t>
            </w:r>
          </w:p>
        </w:tc>
        <w:tc>
          <w:tcPr>
            <w:tcW w:w="74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3500.00</w:t>
            </w: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7000.00</w:t>
            </w:r>
          </w:p>
        </w:tc>
        <w:tc>
          <w:tcPr>
            <w:tcW w:w="26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014" w:type="pct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72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1365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000.00</w:t>
            </w:r>
          </w:p>
        </w:tc>
        <w:tc>
          <w:tcPr>
            <w:tcW w:w="26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说明：</w:t>
      </w:r>
    </w:p>
    <w:p>
      <w:pPr>
        <w:adjustRightInd w:val="0"/>
        <w:snapToGrid w:val="0"/>
        <w:spacing w:line="480" w:lineRule="auto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480" w:lineRule="auto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480" w:lineRule="auto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480" w:lineRule="auto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3500" w:firstLineChars="1250"/>
        <w:jc w:val="left"/>
        <w:rPr>
          <w:rFonts w:hAnsi="宋体"/>
          <w:bCs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第二包分项报价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51"/>
        <w:gridCol w:w="920"/>
        <w:gridCol w:w="1176"/>
        <w:gridCol w:w="1460"/>
        <w:gridCol w:w="1141"/>
        <w:gridCol w:w="1141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序号</w:t>
            </w: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品牌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型号</w:t>
            </w:r>
          </w:p>
        </w:tc>
        <w:tc>
          <w:tcPr>
            <w:tcW w:w="879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数量及单位</w:t>
            </w:r>
          </w:p>
        </w:tc>
        <w:tc>
          <w:tcPr>
            <w:tcW w:w="6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69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655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电子胃镜</w:t>
            </w:r>
          </w:p>
        </w:tc>
        <w:tc>
          <w:tcPr>
            <w:tcW w:w="562" w:type="pct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奥林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巴斯</w:t>
            </w:r>
          </w:p>
        </w:tc>
        <w:tc>
          <w:tcPr>
            <w:tcW w:w="562" w:type="pct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G</w:t>
            </w:r>
            <w:r>
              <w:rPr>
                <w:rFonts w:ascii="宋体" w:hAnsi="宋体" w:cs="Courier New"/>
                <w:kern w:val="0"/>
                <w:sz w:val="24"/>
                <w:szCs w:val="24"/>
              </w:rPr>
              <w:t>IF-H170</w:t>
            </w:r>
          </w:p>
        </w:tc>
        <w:tc>
          <w:tcPr>
            <w:tcW w:w="879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1台</w:t>
            </w:r>
          </w:p>
        </w:tc>
        <w:tc>
          <w:tcPr>
            <w:tcW w:w="6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kern w:val="0"/>
                <w:sz w:val="24"/>
                <w:szCs w:val="24"/>
              </w:rPr>
              <w:t>406000</w:t>
            </w:r>
          </w:p>
        </w:tc>
        <w:tc>
          <w:tcPr>
            <w:tcW w:w="69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kern w:val="0"/>
                <w:sz w:val="24"/>
                <w:szCs w:val="24"/>
              </w:rPr>
              <w:t>406000</w:t>
            </w:r>
          </w:p>
        </w:tc>
        <w:tc>
          <w:tcPr>
            <w:tcW w:w="655" w:type="pct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电子大肠内窥镜</w:t>
            </w:r>
          </w:p>
        </w:tc>
        <w:tc>
          <w:tcPr>
            <w:tcW w:w="562" w:type="pct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奥林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巴斯</w:t>
            </w:r>
          </w:p>
        </w:tc>
        <w:tc>
          <w:tcPr>
            <w:tcW w:w="562" w:type="pct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C</w:t>
            </w:r>
            <w:r>
              <w:rPr>
                <w:rFonts w:ascii="宋体" w:hAnsi="宋体" w:cs="Courier New"/>
                <w:kern w:val="0"/>
                <w:sz w:val="24"/>
                <w:szCs w:val="24"/>
              </w:rPr>
              <w:t>F-H170I</w:t>
            </w:r>
          </w:p>
        </w:tc>
        <w:tc>
          <w:tcPr>
            <w:tcW w:w="879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1台</w:t>
            </w:r>
          </w:p>
        </w:tc>
        <w:tc>
          <w:tcPr>
            <w:tcW w:w="6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kern w:val="0"/>
                <w:sz w:val="24"/>
                <w:szCs w:val="24"/>
              </w:rPr>
              <w:t>473000</w:t>
            </w:r>
          </w:p>
        </w:tc>
        <w:tc>
          <w:tcPr>
            <w:tcW w:w="69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kern w:val="0"/>
                <w:sz w:val="24"/>
                <w:szCs w:val="24"/>
              </w:rPr>
              <w:t>473000</w:t>
            </w:r>
          </w:p>
        </w:tc>
        <w:tc>
          <w:tcPr>
            <w:tcW w:w="655" w:type="pct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3</w:t>
            </w: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55" w:type="pct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55" w:type="pct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…</w:t>
            </w: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55" w:type="pct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3" w:type="pct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  <w:szCs w:val="24"/>
              </w:rPr>
              <w:t>合计</w:t>
            </w:r>
          </w:p>
        </w:tc>
        <w:tc>
          <w:tcPr>
            <w:tcW w:w="69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/>
                <w:kern w:val="0"/>
                <w:sz w:val="24"/>
                <w:szCs w:val="24"/>
              </w:rPr>
              <w:t>879000</w:t>
            </w:r>
          </w:p>
        </w:tc>
        <w:tc>
          <w:tcPr>
            <w:tcW w:w="655" w:type="pct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80" w:lineRule="auto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FBC"/>
    <w:rsid w:val="00110B38"/>
    <w:rsid w:val="00206DAC"/>
    <w:rsid w:val="0027356C"/>
    <w:rsid w:val="002C49CC"/>
    <w:rsid w:val="00402FAD"/>
    <w:rsid w:val="004561B6"/>
    <w:rsid w:val="00671C0E"/>
    <w:rsid w:val="00947294"/>
    <w:rsid w:val="009946AD"/>
    <w:rsid w:val="00B103A8"/>
    <w:rsid w:val="00D04519"/>
    <w:rsid w:val="00EA26BD"/>
    <w:rsid w:val="00EA795F"/>
    <w:rsid w:val="00F12FBC"/>
    <w:rsid w:val="589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2018-03-20T03:19:00Z</dcterms:created>
  <dc:creator>NTKO</dc:creator>
  <cp:lastModifiedBy>马俊玲</cp:lastModifiedBy>
  <dcterms:modified xsi:type="dcterms:W3CDTF">2020-04-22T06:37:14Z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