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1、基站覆盖范围及站点名称</w:t>
      </w:r>
    </w:p>
    <w:tbl>
      <w:tblPr>
        <w:tblStyle w:val="3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276"/>
        <w:gridCol w:w="7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旗县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站点名称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G242甘其毛都至钦州一级公路（嘎鲁图镇镇至乌兰镇段）555公里（采气四区作业二区）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G242甘其毛都至钦州一级公路（嘎鲁图镇镇至乌兰镇段）544公里（庆克勒敖包）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S215线乌拉特中旗至靖边一级公路（乌审召镇至嘎鲁图镇镇段）（嘎鲁图镇收费站）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巴音希利嘎查四社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呼和芒哈嘎查二队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嘎鲁图至前旗公路（呼和芒哈嘎查三队）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达罕庙旅游区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陶尔庙嘎查（奶食品加工厂）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胜利村二社及飞行基地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布寨嘎查巴音淖尔社（布寨敖包）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呼吉尔特六社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巴音陶勒盖嘎查村锡尼乌素牧业社和巴特交界处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毛布拉格村七社和八社交界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宝日呼岱嘎查六社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水清湾村一社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4" w:type="dxa"/>
            <w:noWrap w:val="0"/>
            <w:vAlign w:val="bottom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巴嘎淖尔村一社和五社交界处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红旗村一社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木都柴达木一社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梅林庙嘎查商布拉格社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浩勒报吉村二社和四社交界处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小石砭村九社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无定河村六社（蘑菇台）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布日都嘎查阿贵西里社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斯布扣布日业其社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河南村三社（榆树仡佬）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巴音希利嘎查三社（茫哈图社）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巴音高勒嘎查陶日木社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黄特勒盖嘎查阿茹柴登社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葫芦素村六社（旧小学）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乌审旗</w:t>
            </w:r>
          </w:p>
        </w:tc>
        <w:tc>
          <w:tcPr>
            <w:tcW w:w="7299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大石砭村一社</w:t>
            </w:r>
          </w:p>
        </w:tc>
      </w:tr>
    </w:tbl>
    <w:p>
      <w:pPr>
        <w:spacing w:line="440" w:lineRule="exact"/>
      </w:pPr>
      <w:r>
        <w:rPr>
          <w:rFonts w:hint="eastAsia" w:ascii="宋体" w:hAnsi="宋体"/>
          <w:b/>
          <w:kern w:val="0"/>
          <w:sz w:val="24"/>
          <w:szCs w:val="24"/>
        </w:rPr>
        <w:t>2、电信基站建设标准（宏站）</w:t>
      </w:r>
    </w:p>
    <w:tbl>
      <w:tblPr>
        <w:tblStyle w:val="3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536"/>
        <w:gridCol w:w="1490"/>
        <w:gridCol w:w="3458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tblHeader/>
          <w:jc w:val="center"/>
        </w:trPr>
        <w:tc>
          <w:tcPr>
            <w:tcW w:w="9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类别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系统带宽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指标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定义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目标值（FDD）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信号强度</w:t>
            </w:r>
          </w:p>
        </w:tc>
        <w:tc>
          <w:tcPr>
            <w:tcW w:w="15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RS-RSRP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RSRP＞-100dBm-</w:t>
            </w:r>
            <w:r>
              <w:rPr>
                <w:rFonts w:ascii="宋体" w:hAnsi="宋体"/>
                <w:sz w:val="24"/>
                <w:szCs w:val="24"/>
              </w:rPr>
              <w:t>110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dBm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2KM范围内大于-</w:t>
            </w:r>
            <w:r>
              <w:rPr>
                <w:rFonts w:ascii="宋体" w:hAnsi="宋体"/>
                <w:sz w:val="24"/>
                <w:szCs w:val="24"/>
              </w:rPr>
              <w:t>110</w:t>
            </w:r>
            <w:r>
              <w:rPr>
                <w:rFonts w:hint="eastAsia" w:ascii="宋体" w:hAnsi="宋体"/>
                <w:sz w:val="24"/>
                <w:szCs w:val="24"/>
              </w:rPr>
              <w:t>dBm比例大于9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信号质量（双通道）</w:t>
            </w: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RS-SINR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SINR＞6dB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dB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2KM范围内大于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dBm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dB比例大于9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信号质量（单通道）</w:t>
            </w: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RS-SINR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SINR＞5dB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2KM范围内大于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dBm比例大于9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接入指标</w:t>
            </w: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CSFB建立成功率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成功率=呼叫成功次数/呼叫尝试次数*100%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CSFB建立成时延（LTE回落2G）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语音端到端建立时延总和/CSFB主叫接通次数总和-CSFB端到端建立时延；（主叫ESR-Connect）-（被叫Connect-Alerting）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10.5S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移动性指标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切换情况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DT测试中所有区域切换正常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全部成功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速率指标（双通道）</w:t>
            </w:r>
          </w:p>
        </w:tc>
        <w:tc>
          <w:tcPr>
            <w:tcW w:w="15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20M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单用户下行平均速率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RLC层下行平均速率（Mbps）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单用户上行平均速率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RLC层上行平均速率（Mbps）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单用户下行峰值速率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RLC层下行平均速率（Mbps）：连续一分钟内的平均下载速率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单用户上行峰值速率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RLC层上行平均速率（Mbps）：连续一分钟内的平均下载速率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15M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单用户下行平均速率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RLC层下行平均速率（Mbps）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单用户上行平均速率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RLC层上行平均速率（Mbps）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单用户下行峰值速率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RLC层下行平均速率（Mbps）：连续一分钟内的平均下载速率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单用户上行峰值速率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RLC层上行平均速率（Mbps）：连续一分钟内的平均下载速率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10M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单用户下行平均速率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RLC层下行平均速率（Mbps）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单用户上行平均速率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RLC层上行平均速率（Mbps）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单用户下行峰值速率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RLC层下行平均速率（Mbps）：连续一分钟内的平均下载速率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单用户上行峰值速率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RLC层上行平均速率（Mbps）：连续一分钟内的平均下载速率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速率指标（单通道）</w:t>
            </w:r>
          </w:p>
        </w:tc>
        <w:tc>
          <w:tcPr>
            <w:tcW w:w="15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20M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单用户下行平均速率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RLC层下行平均速率（Mbps）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单用户上行平均速率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RLC层上行平均速率（Mbps）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单用户下行峰值速率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RLC层下行平均速率（Mbps）：连续一分钟内的平均下载速率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单用户上行峰值速率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RLC层上行平均速率（Mbps）：连续一分钟内的平均下载速率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15M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单用户下行平均速率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RLC层下行平均速率（Mbps）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单用户上行平均速率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RLC层上行平均速率（Mbps）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单用户下行峰值速率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RLC层下行平均速率（Mbps）：连续一分钟内的平均下载速率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单用户上行峰值速率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RLC层上行平均速率（Mbps）：连续一分钟内的平均下载速率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10M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单用户下行平均速率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RLC层下行平均速率（Mbps）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单用户上行平均速率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RLC层上行平均速率（Mbps）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单用户下行峰值速率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RLC层下行平均速率（Mbps）：连续一分钟内的平均下载速率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单用户上行峰值速率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RLC层上行平均速率（Mbps）：连续一分钟内的平均下载速率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载波聚合速率指标（双通道）</w:t>
            </w:r>
          </w:p>
        </w:tc>
        <w:tc>
          <w:tcPr>
            <w:tcW w:w="15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20M+10M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单用户下行平均速率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RLC层下行平均速率（Mbps）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单用户下行峰值速率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RLC层下行平均速率（Mbps）：连续一分钟内的平均下载速率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20M+20M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单用户下行平均速率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RLC层下行平均速率（Mbps）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单用户下行峰值速率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RLC层下行平均速率（Mbps）：连续一分钟内的平均下载速率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20M+20M+10M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单用户下行平均速率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RLC层下行平均速率（Mbps）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单用户下行峰值速率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RLC层下行平均速率（Mbps）：连续一分钟内的平均下载速率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20M+10M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单用户上行平均速率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RLC层上行平均速率（Mbps）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单用户上行峰值速率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RLC层上行平均速率（Mbps）：连续一分钟内的平均下载速率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20M+20M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单用户上行平均速率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RLC层上行平均速率（Mbps）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单用户上行峰值速率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RLC层上行平均速率（Mbps）：连续一分钟内的平均下载速率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20M+20M+10M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单用户上行平均速率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RLC层上行平均速率（Mbps）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单用户上行峰值速率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RLC层上行平均速率（Mbps）：连续一分钟内的平均下载速率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ind w:left="-73" w:leftChars="-26" w:right="-126" w:rightChars="-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110</w:t>
            </w:r>
          </w:p>
        </w:tc>
      </w:tr>
    </w:tbl>
    <w:p>
      <w:pPr>
        <w:pStyle w:val="2"/>
        <w:ind w:left="0" w:leftChars="0"/>
        <w:rPr>
          <w:b/>
        </w:rPr>
      </w:pPr>
      <w:r>
        <w:rPr>
          <w:rFonts w:hint="eastAsia"/>
          <w:b/>
        </w:rPr>
        <w:t>3、主要设备技术参数（宏站）：</w:t>
      </w:r>
    </w:p>
    <w:p/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435"/>
        <w:gridCol w:w="4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46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拉线塔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拉线塔杆身风压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不大于0.55kpa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抗震设防烈度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小于9度地区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拉线平面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互交120度的3个对称方向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载荷6付定向天线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每付面积不大于0.6平方米，每付RRU面积不大于0.2平方米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防雷线装置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设4X40扁钢一根，上端连地脚板，下端接地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拉线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采用钢绞线，拉线平面互交120度，在3个对称方向布置，每个方向两层拉线且与水平面夹角小于65度。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拉线金具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构件连接法兰处连接螺栓采用6.8级，配双螺母，其它连接螺栓为4.8级，螺栓拧紧后露出两扣。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构件长度偏差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当总长L≤5m时为土2mm，当L＞5m时为士3mm。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实际轴线偏离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位置不得大于所测高度的1/750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构件总体弯曲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不大于长度的1/1000，且不大于5mm，局部弯曲度不大于被测长度的1/750，且不大于3mm。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法兰盘的贴合率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不小于60%，在满足贴合率要求的前提下如果法兰之间的空隙超过0.8mm时必须加热镀锌钢板，2个法兰盘之间的垫钢板不超过两块，垫入后边缘应与法兰盘焊接并刷沥青油2道。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检查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应对塔进行，第一次经受六级风以上应对：所有的节点进行检查，发现问题应及时处理，以后可每隔半年检查一次，三至五年检查一次。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尺寸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420 mm ×300 mm ×60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分布式电源系统OPM30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重量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≤8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安装模式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挂墙、抱杆、角钢塔安装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额定功率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3000 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并机数量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出线方式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下进线，下出线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防护水平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IP65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工作稳定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MS Mincho" w:eastAsia="MS Mincho" w:cs="MS Mincho"/>
                <w:kern w:val="0"/>
                <w:sz w:val="24"/>
                <w:szCs w:val="24"/>
              </w:rPr>
              <w:t>−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40℃to +55℃（ 无太阳辐射）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散热模式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自然散热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运行环境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Class C*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储存/运输温度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MS Mincho" w:eastAsia="MS Mincho" w:cs="MS Mincho"/>
                <w:kern w:val="0"/>
                <w:sz w:val="24"/>
                <w:szCs w:val="24"/>
              </w:rPr>
              <w:t>−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40℃to +70℃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运行环境湿度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5% to 95% （ 无凝露）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海拔高度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0m ～4000m （ 2000m ～4000m海拔每升高200m，最高工作温度降低1℃）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输入制式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220 Vac单项</w:t>
            </w: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110 Vac双火线</w:t>
            </w: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HVDC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输入电压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AC: 85 -300 Vac</w:t>
            </w: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HVDC: 85 -400 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输入频率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45 Hz-65 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交流输入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1×220 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交流防雷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差模：30 KA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共模：30 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输出功率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2000 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输出电压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-48 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直流输出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3×30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直流防雷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差模：10 KA</w:t>
            </w: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共模：20 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模块效率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≥96%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尺寸（宽*高*深）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446mm*88mm*310mm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BBU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重量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≤12kg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防护等级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IP20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-20℃～+55℃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工作电压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-48V DC（-36V DC～-60V DC）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工作环境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室内应用或安装在室外型机柜内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电源板 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UPEUd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风扇板 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FANd/FANe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输入空开 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单路空开推荐30A，最低不小于20A空开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双电源板下BBU框散热能力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单电源板下散热能力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接口速率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2.5G/4.9G/9.8G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基带板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FDD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6*20M 4T4R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NB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9*200K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FDD&amp;NB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6*20M 4T4R+3*200K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设备尺寸（mm）（W*H*D）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400x300x100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F</w:t>
            </w:r>
            <w:r>
              <w:rPr>
                <w:rFonts w:ascii="宋体" w:hAnsi="宋体"/>
                <w:sz w:val="24"/>
                <w:szCs w:val="24"/>
              </w:rPr>
              <w:t>DD900M RRU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设备容量（L）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设备满配重量（kg）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工作频段（等）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支持模式（GSM+NB+FDD）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GSM+NB+FDD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输入输出通道数（2T2R、2T4R、4T4R等）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2T4R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每通道射频口输出功率（W）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2×80W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不同频段最大支持载波数量（现阶段）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G6F1N1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是否支持Ir标准接口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CPRI接口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Ir接口速率×数量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2x9.8G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支持的功放带宽、频段范围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UL：885-910M/DL：930-955M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支持的滤波器带宽、频段范围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UL：885-910M/DL：930-955M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温度环境（长期/短期）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长期: -40°C～＋55°C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短期: -40°C～＋70°C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湿度环境（长期/短期）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长期: 2%～100%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设备的防雷等级（在无外置单元的情况下）（标准/最大）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防护等级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IP65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防护方式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外壳密封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采用的供电方式（在无外置单元的情况下）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-48VDC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允许的电压波动范围（在无外置单元的情况下）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-48VDC（-36V~-57V）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功耗（最大/平均）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660W/560W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整机效率/PA效率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32%/47%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功率放大器有效放大范围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DL：930-955M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接收灵敏度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GSM:-113dBm</w:t>
            </w: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LTE:-106dBm</w:t>
            </w: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NB:-133dBm/15kHz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接收机噪声系数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级联要求（级联级数/单级距离/总距离）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4级</w:t>
            </w: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10km/40km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是否支持电调天线/如何支持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支持</w:t>
            </w: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/AISG V2.0接口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工作频率（MHz）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825-960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825-960</w:t>
            </w:r>
            <w:r>
              <w:rPr>
                <w:rFonts w:hint="eastAsia" w:ascii="宋体" w:hAnsi="宋体"/>
                <w:sz w:val="24"/>
                <w:szCs w:val="24"/>
              </w:rPr>
              <w:t>/65°17dBi双极化定向天线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天线增益（dBi）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大于16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极化方式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±45°交叉极化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水平面波瓣宽度（°）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65±6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垂直面波瓣宽度（°）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9.5±1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前后比（dB）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≥25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第一上旁瓣抑制（dB）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≥15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交叉极化比（dB）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轴向:≥15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驻波比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±60°内:≥8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隔离度（dB）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≥28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三阶交调（dBm）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≤-107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电下倾角（°）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预置3°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阻抗（Ω）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功率容量（W）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天线尺寸（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mm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小于2000×300×150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重量（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Kg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小于15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机械倾角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（°）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接头类型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7/16阴头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环境温度（</w:t>
            </w:r>
            <w:r>
              <w:rPr>
                <w:rFonts w:ascii="宋体" w:hAnsi="宋体" w:cs="Arial"/>
                <w:sz w:val="24"/>
                <w:szCs w:val="24"/>
              </w:rPr>
              <w:t>°C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-55～+75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抗风能力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工作风速110km/h，极限风速200km/h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雷电保护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直流接地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松套管直径（mm）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GYTA53-48B1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套管最大芯数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铝带厚度（mm）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1.5+0.05*2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钢带厚度（mm）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.15+0.05*2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允许拉伸力（短期/长期）N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000/1000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允许压扁力（短期/长期）N</w:t>
            </w:r>
            <w:r>
              <w:rPr>
                <w:rFonts w:ascii="宋体" w:hAnsi="宋体"/>
                <w:sz w:val="24"/>
                <w:szCs w:val="24"/>
              </w:rPr>
              <w:t>/100</w:t>
            </w:r>
            <w:r>
              <w:rPr>
                <w:rFonts w:hint="eastAsia" w:ascii="宋体" w:hAnsi="宋体"/>
                <w:sz w:val="24"/>
                <w:szCs w:val="24"/>
              </w:rPr>
              <w:t>mm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000</w:t>
            </w:r>
            <w:r>
              <w:rPr>
                <w:rFonts w:hint="eastAsia" w:ascii="宋体" w:hAnsi="宋体"/>
                <w:sz w:val="24"/>
                <w:szCs w:val="24"/>
              </w:rPr>
              <w:t>/</w:t>
            </w:r>
            <w:r>
              <w:rPr>
                <w:rFonts w:ascii="宋体" w:hAnsi="宋体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松套管直径（mm）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GYTS-48B1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套管最大芯数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钢带厚度（mm）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0.15+0.05*2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允许拉伸力（短期/长期）N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1500/600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允许压扁力（短期/长期）N/100mm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1000/300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直径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Φ40*140mm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冷缩管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extAlignment w:val="baseline"/>
        <w:rPr>
          <w:sz w:val="20"/>
        </w:rPr>
      </w:pPr>
    </w:p>
    <w:p>
      <w:pPr>
        <w:spacing w:line="440" w:lineRule="exac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注：</w:t>
      </w:r>
    </w:p>
    <w:p>
      <w:pPr>
        <w:spacing w:line="440" w:lineRule="exac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（1）本项目为通信基站建设及通信服务为准，对同一或不同的网络供应商或设备品牌等问题不做强制性要求。</w:t>
      </w:r>
    </w:p>
    <w:p>
      <w:r>
        <w:rPr>
          <w:rFonts w:hint="eastAsia" w:ascii="宋体" w:hAnsi="宋体"/>
          <w:kern w:val="0"/>
          <w:sz w:val="24"/>
          <w:szCs w:val="24"/>
        </w:rPr>
        <w:t>（2）以上如有涉及到某品牌或服务的，仅供参考，投标人可投不低于参考品牌的其它品牌产品或服务。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C617A"/>
    <w:rsid w:val="2D6C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unhideWhenUsed/>
    <w:qFormat/>
    <w:uiPriority w:val="99"/>
    <w:pPr>
      <w:ind w:left="1400" w:leftChars="14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2021-09-06T10:36:00Z</dcterms:created>
  <dc:creator>一个人的朝圣</dc:creator>
  <cp:lastModifiedBy>一个人的朝圣</cp:lastModifiedBy>
  <dcterms:modified xsi:type="dcterms:W3CDTF">2021-09-06T10:37:44Z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DC5796908578427D826203414BF1AF75</vt:lpwstr>
  </property>
</Properties>
</file>