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2"/>
        <w:tblW w:w="4998" w:type="pct"/>
        <w:tblInd w:w="0" w:type="dxa"/>
        <w:shd w:val="clear" w:color="auto" w:fill="auto"/>
        <w:tblLayout w:type="autofit"/>
        <w:tblCellMar>
          <w:top w:w="0" w:type="dxa"/>
          <w:left w:w="0" w:type="dxa"/>
          <w:bottom w:w="0" w:type="dxa"/>
          <w:right w:w="0" w:type="dxa"/>
        </w:tblCellMar>
      </w:tblPr>
      <w:tblGrid>
        <w:gridCol w:w="1045"/>
        <w:gridCol w:w="1045"/>
        <w:gridCol w:w="1670"/>
        <w:gridCol w:w="2482"/>
        <w:gridCol w:w="1045"/>
        <w:gridCol w:w="1046"/>
      </w:tblGrid>
      <w:tr>
        <w:tblPrEx>
          <w:shd w:val="clear" w:color="auto" w:fill="auto"/>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服务性质</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服务项目</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服务要求及标准</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 量</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报警可视云平台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技术参数详见附表1</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云平台服务器</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技术参数详见附表2</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接警终端</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技术参数详见附表3</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音箱</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技术参数详见附表4</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麦克风</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技术参数详见附表5</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报警主机</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技术参数详见附表6</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控制键盘</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技术参数详见附表7</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一体化灯号</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技术参数详见附表8</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紧急按钮</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技术参数详见附表9</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54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可视前端一体化设备</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技术参数详见附表10</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54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网络监控一体化设备</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技术参数详见附表11</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硬盘</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技术参数详见附表12</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液晶显示器</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技术参数详见附表13</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机柜</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技术参数详见附表14</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室内/外设备箱</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技术参数详见附表15</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无线传输系统</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技术参数详见附表16</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摄像机1</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技术参数详见附表17</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摄像机2</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技术参数详见附表18</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摄像机3</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技术参数详见附表19</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接入交换机1</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技术参数详见附表20</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接入交换机2</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技术参数详见附表21</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接入交换机3</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技术参数详见附表22</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接入交换机4</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技术参数详见附表23</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光纤收发设备</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技术参数详见附表24</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汇聚交换机</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技术参数详见附表25</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配套光模块</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技术参数详见附表26</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电源线</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技术参数详见附表27</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8040</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光纤</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技术参数详见附表28</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6170</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网线</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技术参数详见附表29</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55290</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终端盒</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技术参数详见附表30</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稳压电源</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技术参数详见附表31</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立杆</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技术参数详见附表32</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54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土质、硬化面开挖与恢复</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技术参数详见附表33</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辅材</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技术参数详见附表34</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核心机房线路整合</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技术参数详见附表35</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w:t>
            </w:r>
          </w:p>
        </w:tc>
      </w:tr>
      <w:tr>
        <w:tblPrEx>
          <w:tblCellMar>
            <w:top w:w="0" w:type="dxa"/>
            <w:left w:w="0" w:type="dxa"/>
            <w:bottom w:w="0" w:type="dxa"/>
            <w:right w:w="0"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36</w:t>
            </w:r>
          </w:p>
        </w:tc>
        <w:tc>
          <w:tcPr>
            <w:tcW w:w="100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安装调试费</w:t>
            </w:r>
          </w:p>
        </w:tc>
        <w:tc>
          <w:tcPr>
            <w:tcW w:w="1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技术参数详见附表36</w:t>
            </w:r>
          </w:p>
        </w:tc>
        <w:tc>
          <w:tcPr>
            <w:tcW w:w="6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r>
    </w:tbl>
    <w:p/>
    <w:tbl>
      <w:tblPr>
        <w:tblW w:w="5000" w:type="pct"/>
        <w:tblInd w:w="0" w:type="dxa"/>
        <w:shd w:val="clear"/>
        <w:tblLayout w:type="fixed"/>
        <w:tblCellMar>
          <w:top w:w="0" w:type="dxa"/>
          <w:left w:w="0" w:type="dxa"/>
          <w:bottom w:w="0" w:type="dxa"/>
          <w:right w:w="0" w:type="dxa"/>
        </w:tblCellMar>
      </w:tblPr>
      <w:tblGrid>
        <w:gridCol w:w="557"/>
        <w:gridCol w:w="345"/>
        <w:gridCol w:w="7434"/>
      </w:tblGrid>
      <w:tr>
        <w:tblPrEx>
          <w:shd w:val="clear"/>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附表1：服务要求及标准。服务项目：报警可视云平台</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要求客户端支持视频窗口、电子地图分屏显示。</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系统软件需要采用分布式架构，进行负载分担，保证整个系统的稳定性、可靠性。</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支持双网接警功能：可以配合有线电话接警机接收前端主机信息，同时可以接收网络报警信息。</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报警提示功能：接收到前端发出的报警信息，自动显示对话框并发出声光报警提示。根据不同的事件代码提示声音可以不同，及显示颜色，平台需提供了直观、方便、快捷、友好的人机交互界面，既能显示当前报警信息资料，又能显示一段时间内的历史信息，提高处警效率。</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报警视频复核：平台收到用户的报警信息后，要求显示报警的同时，自动弹出报警发生所在区域的现场图像，及报警发生前的预录像内容，使值班人员可以全面、多点位同步查看，进行报警核实，帮助中心值班人员正确迅速地判断是否需要出警。</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要求可以对任意一路图像进行预览，并可对该路图像进行抓图、手动录像等操作。并可远程方便、快捷的对前端监控点进行云台控制、镜头参数调节。客户端要具备1、4、9、16画面分割显示模式，即使在预览图像的时候，各种模式之间也可以进行自由切换。通过监控客户端可对前端监控点按类进行分组，自动轮巡预览显示，并支持语音对讲。并可按辖区、管理范围等进行图像分组，满足重要单位、重点部门监控的需要。</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权限设置功能：可设置系统操作人员的权限管理，对值班人员身份进行区分。可以对每项功能进行设置权限，操作员密码为真正加密，在数据库中也不能够查出来。</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8</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防区图功能：可绘制用户防区图，可以根据防盗设施的安装情况，把报警防区位置在平面图上直观的体现出来，自由设置不同的报警热点图标，自由设置是否跟随报警信息弹出用户地图，便于及时处理处警预案功能：为每个用户提供多种可选的预案，一旦发生警情，值班员可参考处警预案快速处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9</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数据备份功能：可对报警数据一键式备份，方便快捷，保证数据安全，数据备份和恢复功能完善。</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处警管理：可对处警信息单据填写、查询、统计处警单主要由处警员来填写对报警分析、处警意见、用户意见、处理结果进行记录，当有多个单据时可以通过该项功能进行单据修改、查询、排序、打印、设置等功能。可以按照用户和报警分析进行统计，生成报表。</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维修管理：可对用户的维修记录填写、查询、统计、归类、分析。维修单由操作员填写故障原因、处理状态；处理状态可以分为未处理、处理中、处理完，维修人员根据处理状态进行维修，填写维修结果。当有多个单据时可以通过该项功能进行单据修改、查询、排序、打印、设置等功能。</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查询管理：需采用先进的模糊逻辑组合查询技术，可对历史记录按需求进行关键字段组合查询统计，管理数据的查询需要简易查询、快捷查询、高级查询三种模式；简易查询条件明了实现多条件组合；快捷查询根据最常用的查询条件快速查询出结果；高级查询可以多个条件自定义与或组合查询准确结果。</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数据统计输出：可在查询结果下按照用户行业、所属中心、派出所、分局、主机型号统计数量报表，根据报警分析统计误报情况。</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计划任务：可在计划时间内如果没有撤布防信息系统会自动提示超时信息。</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打印管理：可以分为列表打印、单据打印、选择打印，并且可以自定义打印，包括字体、页面设置、打印纸尺寸、打印方向、字段显示。并且导出其他文本格式，便于其它方面工作编辑需要。</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录音功能：可配合专业录音卡接警实现对值班人员通话的自动录音，并可以通过软件进行电话自动拨号，录音可与报警事件进行关联，方便查询。</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17</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短信告知功能：配合使用运营商短信网关定制短信功能，可以自动关联用户手机通过短信通知用户报警信息，使用通讯录的模式给安装维护人员一些工作信息。采用自动或手动的模式进行转发短信，可按所需内容发送短信。</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18</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警情转发：需支持可以自定义转发事件、代码、防区、转发分中心。</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19</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图像上墙：管理平台可根据监控大屏幕的数目及画面分割方式，来选择对应数目的前端视频图像进行上墙大屏显示；管理平台也可配置电视墙轮巡计划，可将一天划分为多够时间段，每个时间段都可有一个轮巡计划，即一组视频图像在规定区域按照指定的时间间隔进行轮巡显示。</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录像回放\下载：要求软件可根据不同的存储方式采用了不同的录像回放模式，如：前端设备回放、NVR设备回放和本地回放模块。录像要支持手动检索，并可关联事件，回放时可进行速度调节、开始、暂停、停止、抓图、打开/关闭声音、回放音量调节等操作。</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用户管理功能：要求用户列表右键云平台巡检单、相关巡检单选项；要求用户分组，支持多级分组，支持显示顺序调整；要求防区关联继电器进行联动；要求图片复核、录像复核入口，在相关事件窗口右键；要求用户相关事件窗口中事件显示顺序。</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报警监控：要求TTS语音播报功能，可在客户端系统配置进行启动，配置播报类型和朗读字段。</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分中心转发：要求分中心报告是否上报到中心，可进行配置，默认启动。</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图片复核：要求本地抓图功能，配置图片复核，触发防区报警时可通知视频控件每秒抓4张图。</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实时处警：要求用户模式和列表模式切换；要求更新工单状态，从数据库获取最新的处警单信息；要求列表右键云平台巡检单，可进行巡检单派单、查看等操作。</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查询统计：要求部分查询列表右键菜单的图片复核、录像复核、云平台巡检单入口；要求查询云平台巡检单记录，在单据巡检单中可进行不同类型的查询、支持处理和查询相关工单；要求用户管理自定义字段修改记录查询日志。</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27</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服务配置：要求服务配置保存后，视频接入服务、流媒体服务、录像管理服务自动重启。</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28</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APP对接：要求派云平台巡检单，并可以在查询统计查询巡检单的派单状态；要求向APP同步设备资料时，同步添加安装人员、安装单位、设备位置；要求APP转发联系人批量添加或删除时快速搜索支持汉字用户名或编号；要求APP转发支持报警定时转发，可在服务端进行配置。</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29</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要求平台支持报警主机用户数量不少于2000个并可通过升级扩容至100000个。</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30</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报警接收和视频复核功能要求在一套平台软件上实现，为了方便管理所有数据需存储在同一个服务器上，报警和视频管理功能界面风格统一，无缝实现报警视频复核功能。</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要求平台支持的本地客户端不少于50个。</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要求平台架构可支持二级总中心、分中心架构。</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要求平台需能支持电子地图如百度、高德地图等（以上表述中所提到的具体厂家或者产品名称，不代表采购倾向性，只作为数据接入对接对象要求)。。</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要求平台支持报警信息可以通过微信进行推送。</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支持添加用户平面图  jpg、png、bmp图片格式 。</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软件可对前端报警设备进行远程布撤防操作。</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37</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平台预留接口可通过定制开发实现接警信息转发公安部门“三警合一”平台。</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38</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可通过手机APP直接查看前端报警设备状态，对报警系统进行回控（布/撤防）操作。</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39</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可通过手机APP实时对前端设备的状态进行检查，避免报警发生时因为设备故障导致警情，视频无法上传。</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40</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能够实现对网点报警系统按时布撤防进行监管；对网点内控检查执行情况进行监管；对工程商和服务商的服务进行监督评价。</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平台可向指定人员手机APP推送布撤防、报警等消息，网点工作人员可及时掌握报警系统布撤防状态，网点上级管理人员可监督网点布撤防执行情况及报警系统的运行状态。</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电子巡查功能：网点工作人员应能通过供应商提供的手机APP能够满足电子巡查功能，即对所需检查的设备及部位拍照，照片上自动生成经纬度及时间信息，提交上传至系统后台；网点上级领导可通过App实时查看各网点检查执行情况，并在指定时间周期生成报表。</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视频接入预览功能：系统应能支持视频设备接入，可根据实际工作需要将指定的视频图像接入平台，相关人员可通过手机APP方便的查看视频图像或录像。</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服务商监督检查功能：供应商应向网点相关领导开放相关系统权限，实现网点领导通过手机APP实时掌握外包服务商设备故障处置、设备定期巡检的数量、进度及完成情况，并通过对服务商工单数据的分析，评价服务商的整体服务水平，掌握实际安全数据。</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通知或风险事件的发布功能：供应商可通过系统依文字、图片的形式向网点工作人员及相关员工手机APP发布通知或风险事件。</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提供中国软件评测中心出具的评测报告复印件加盖投标单位鲜章。</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47</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提供国家版权局颁发的计算机软件著作权登记证书复印件加盖投标单位鲜章。</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48</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要求提供中国保安协会颁发的软件荣誉证书复印件加盖投标单位鲜章。</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49</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本平台内报警监控画面需向公安系统社会资源视频共享平台（华为轻量云平台）通过网络推送视频流(以上表述中所提到的具体厂家或者产品名称，不代表采购倾向性，只作为数据接入对接对象要求)。</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附表2：服务要求及标准。服务项目：云平台服务器</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标准机架式服务器</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CPU：≥1颗Xeon® Silver 4210（10核，2.2GHz）</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内存：≥16G*2 DDR4，≥16根内存插槽，最大支持扩展至≥2TB内存</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硬盘：≥4块600G 10K 2.5寸 SAS硬盘</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阵列卡：SAS_HBA卡, 支持RAID 0/1/10</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PCIE扩展：≥6个PCIE扩展插槽</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网口：≥2个千兆电口</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8</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其他接口：≥1个RJ45管理接口，≥4个USB 3.0接口，≥1个VGA接口</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9</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电源：标配550W（1+1）高效铂金CRPS冗余电源</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附表3：服务要求及标准。服务项目：接警终端</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CPU：≥intel I5-9500（6核，3.0GHz）</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内存：≥8GB DDR4 2666MHz</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硬盘：≥256G SSD+1TB HDD</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显卡：独立显卡，≥2GB显存</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兼容操作系统：Windows10</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显示器：27英寸LCD</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含键鼠套装</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附表4：服务要求及标准。服务项目：音箱</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理论功率：≥20w</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声道：2.0</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信噪比：85db</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阻抗：4Ω</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线长：≥1.5m-2m</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频率响应：20Hz-20kHz</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附表5：服务要求及标准。服务项目：麦克风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频率响应：20Hz-20kHz</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阻抗：≦2.2KΩ</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灵敏度：-35dB±3dB（0dB=1V/Pa at 1kHz）</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插头直径：3.5mm</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线长：≥2m</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附表6：服务要求及标准。服务项目：报警主机</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支持不小于4路高清IPC接入，支持≥1080P/720P/WD1/4CIF/DCIF/2CIF/CIF/QCI编码分辨率,视频参数可配置，支持云台控制</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支持≥1路VGA输出,≥1路HDMI输出</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≥8个板载有线防区，4路继电器输出（可扩展至16路）</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支持报警联动视频复核、图片复核</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支持视频移动侦测、视频遮挡、视频丢失，支持最大30s延时预览，延时时间可配置</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支持短信报警及远程布撤防支持通过网络、电话线、4G（三网通）方式上传报警数据</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支持手机APP（报警推送、视频预览、视频回放、远程布撤防、消警等功能）</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8</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支持≥250条CID报告缓存，支持≥2000条报警事件记录、≥500条操作事件记录，≥500条用户管理操作记录，支持远程搜索查询事件日志</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9</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支持8个独立控制的子系统和1个公共子系统</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支持≥2组独立的以太网接警中心，≥2组独立的电话接警中心，≥2组独立的4G接警中心</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支持≥6个独立中心组，每组可灵活配置报警数据上传策略、冗余备份策略</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支持定时布撤防（日常计划、优先计划）</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支持触发器时控输出</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支持主机防拆报警，支持探测器防拆报警</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支持外接≥16个LED/LCD键盘</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支持≥32个遥控器，最大遥控距离≥100M</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17</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支持≥1路RS485全双工接口，此接口可以配置为半双工</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18</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≥2个SATA接口，单盘最大支持≥6TB，支持本地录像存储</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19</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支持外置蓄电池，蓄电池电压实时监测，主辅电源可自动切换</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支持警号输出、键盘电源、辅助电源防反接和过流保护</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支持最大辅电输出700mA（DC12V）</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支持远程升级,远程导入导出配置参数</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支持硬件复位</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要求提供CCC认证</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配置备用电源：标准电压：12V；额定容量：≥7.0Ah。</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配置1张4G流量卡</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附表7：服务要求及标准。服务项目：控制键盘</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LED8防区报警键盘，用于连接到报警主机；支持对报警主机进行操作和编程，通过指示灯和报警音提示报警；支持防拆功能；支持键盘布撤防、旁路、紧急按键。</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附表8：服务要求及标准。服务项目：一体化灯号</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工作电压：12VDC；压电警号，防火ABS阻燃外壳；声压(VDC)：110±3。</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附表9：服务要求及标准。服务项目：紧急按钮</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防火ABS阻燃外壳，钥匙复位，触点模式：常开/常闭；</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附表10：服务要求及标准。服务项目：可视前端一体化设备</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具有≥200万像素 CMOS传感器。</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内置GPU芯片。（公安部检验报告证明）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红外与白光补光灯。（公安部检验报告证明）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白光报警功能，当报警产生时，可触发联动白光闪烁。（公安部检验报告证明）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照度彩色：≥0.0005 lx ，最大亮度鉴别等级（灰度等级）不小于11级。（公安部检验报告证明）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补光距离不小于15米。（公安部检验报告证明）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持双码流技术，主码流最高≥1920x1080@25fps，子码流704x576@25fps。</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8</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920x1080 @ 30fps下，清晰度不小于1100TVL。</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9</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264、H.265视频编码格式，且具有High Profile编码能力。（公安部检验报告证明）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区域入侵检测、越界检测、进入区域、离开区域等功能。（公安部检验报告证明）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DC12V/POE供电。（公安部检验报告证明）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止场景相同图像质量下，设备在H.265编码方式时，开启智能编码功能和不开启智能编码相比，码率节约80%。（公安部检验报告证明）</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附表11：服务要求及标准。服务项目：网络监控一体化设备</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缩略图浏览，在回放时间进度条上移动鼠标，可自动显示相应时间点前后≥9张缩略图（以公安部检测报告为准）</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支持图表形式展示已添加的IP通道，支持自动抓拍一张图片作为IP通道封面（以公安部检测报告为准）</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常规录像文件秒级检索：支持秒级检索查看硬盘中录像文件（以公安部检测报告为准）</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重要录像片段秒级检索：支持秒级检索录像文件中的人员、车辆、人体等活动目标，并以弹窗形式来展示活动目标关联的录像片段（以公安部检测报告为准）</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图片文件秒级检索：支持秒级提取硬盘中人脸、车辆、人体等图片文件，用户可快速浏览全部通道中的图片文件（以公安部检测报告为准）</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可根据机箱内温度调节机箱风扇转速，支持3级风扇转速（以公安部检测报告为准）</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主板：可同时解码≥40路H.265编码、30fps、1920×1080格式的视频图像（以公安部检测报告为准）</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8</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可同时通过主控板卡≥2个HDMI接口分别将接入的分辨率为4096x2160的视频图像显示输出在≥2个分辨率为4096x2160的液晶显示器上（以公安部检测报告为准）</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9</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支持视频质量诊断功能检查，可对IP通道进行图像虚焦、亮度异常、图像偏色、雪花干扰、条纹干扰等类型视频质量诊断并给出诊断结果（以公安部检测报告为准）</w:t>
            </w:r>
          </w:p>
        </w:tc>
      </w:tr>
      <w:tr>
        <w:tblPrEx>
          <w:tblCellMar>
            <w:top w:w="0" w:type="dxa"/>
            <w:left w:w="0" w:type="dxa"/>
            <w:bottom w:w="0" w:type="dxa"/>
            <w:right w:w="0" w:type="dxa"/>
          </w:tblCellMar>
        </w:tblPrEx>
        <w:trPr>
          <w:trHeight w:val="765"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可在视频图像上叠加≥10行文字，每行可最多输入≥22个汉字，包括通道名称、时间日期等信息；可设置透明闪烁、透明不闪烁、不透明不闪烁、不透明闪烁4种OSD属性（以公安部检测报告为准）</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11</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可设置图案密码，用户通过绘制图案来解锁并登录（以公安部检测报告为准）</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12</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采用模块化结构，支持双电源、双风扇，可插拔式安装主板、风扇、电源模块、面板，并且风扇、电源模块、面板可热插拔（以公安部检测报告为准）</w:t>
            </w:r>
          </w:p>
        </w:tc>
      </w:tr>
      <w:tr>
        <w:tblPrEx>
          <w:tblCellMar>
            <w:top w:w="0" w:type="dxa"/>
            <w:left w:w="0" w:type="dxa"/>
            <w:bottom w:w="0" w:type="dxa"/>
            <w:right w:w="0" w:type="dxa"/>
          </w:tblCellMar>
        </w:tblPrEx>
        <w:trPr>
          <w:trHeight w:val="765"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13</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样机支持主辅屏，可设置HDMI1、HDMI2、VGA接口3屏异源输出视频图像，可分别控制预览、回放、配置等操作，并且每个接口可设置≥64/36/32/25/16/9/8/6/4/1分屏，最大支持≥192个分屏预览，可自定义画面分屏（以公安部检测报告为准）</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14</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支持1/8、1/4、1/2、1、2、4、8、16、32、64、128、256等倍速回放录像，支持录像回放的剪辑和回放截图功能（以公安部检测报告为准）</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15</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支持设备密码复杂度等级显示；设备密码不允许明文显示和拷贝操作（以公安部检测报告为准）</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16</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支持激活和重置，出厂设备需要激活；管理员密码重置需要安全码验证，支持通过安全问题恢复密码（以公安部检测报告为准）</w:t>
            </w:r>
          </w:p>
        </w:tc>
      </w:tr>
      <w:tr>
        <w:tblPrEx>
          <w:tblCellMar>
            <w:top w:w="0" w:type="dxa"/>
            <w:left w:w="0" w:type="dxa"/>
            <w:bottom w:w="0" w:type="dxa"/>
            <w:right w:w="0" w:type="dxa"/>
          </w:tblCellMar>
        </w:tblPrEx>
        <w:trPr>
          <w:trHeight w:val="102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17</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主板：具有≥2个HDMI接口、≥1个VGA接口，≥4个RJ45网络接口、≥1个eSATA接口、≥1个RS232接口、≥1路音频输入接口、≥1路音频输出接口、≥2个miniSAS扩展接口、≥16路报警输入接口、≥8路报警输出接口、≥1个键盘485接口、≥1个RS485接口、≥2个USB3.0接口。前面板：≥1个USB2.0接口，≥24个硬盘接口，可接入≥24块SATA接口硬盘。</w:t>
            </w:r>
          </w:p>
        </w:tc>
      </w:tr>
      <w:tr>
        <w:tblPrEx>
          <w:tblCellMar>
            <w:top w:w="0" w:type="dxa"/>
            <w:left w:w="0" w:type="dxa"/>
            <w:bottom w:w="0" w:type="dxa"/>
            <w:right w:w="0" w:type="dxa"/>
          </w:tblCellMar>
        </w:tblPrEx>
        <w:trPr>
          <w:trHeight w:val="765"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18</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支持对重要的数据能够进行备份，可按移动侦测、外部输入报警、智能侦测等事件类型进行数据备份，将录像文件或者图片保存至eSATA盘、DVD刻录机、FAT32和NTFS格式的移动硬盘、U盘等存储设备</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19</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支持≥10T硬盘接入，支持硬盘热插拔，可配置≥8个NAS网盘进行录像或者配置≥8个IPSAN磁盘阵列进行录像码流直存</w:t>
            </w:r>
          </w:p>
        </w:tc>
      </w:tr>
      <w:tr>
        <w:tblPrEx>
          <w:tblCellMar>
            <w:top w:w="0" w:type="dxa"/>
            <w:left w:w="0" w:type="dxa"/>
            <w:bottom w:w="0" w:type="dxa"/>
            <w:right w:w="0" w:type="dxa"/>
          </w:tblCellMar>
        </w:tblPrEx>
        <w:trPr>
          <w:trHeight w:val="765"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可接入≥128路分辨率为1920*1080的视频图像，总码率最大为≥1024Mbps;可存储≥128路分辨率为1920*1080的视频图像，总码率最大为≥1024Mbps；可转发≥128路分辨率为1920*1080的视频图像，总码率最大为≥1024Mbps</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21</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可同时正放或倒放≥16路H.265编码、2560*1440格式的视频图像；或≥10路H.264编码、4096*2160格式的视频图像</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22</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可接入H.265、H.264、MPEG4、smart265、smart264视频编码格式的IPC</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23</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支持录像续传接收功能，接入具有断网续传功能的网络摄像机，当设备与摄像机之间网络中断并恢复后，可自动接收摄像机内存储的视频图像</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24</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可设置主码流、子码流进行录像</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25</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可对任一录像文件添加自定义标签，单个文件最大支持≥1024个标签，设备可添加的标签个数不少于≥8192</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26</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支持≥4个网口，可将≥4个网口设置不同网段的IP地址</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附表12：服务要求及标准。服务项目：硬盘</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8T,7200RPM,3.5寸,SATA</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附表13：服务要求及标准。服务项目：液晶显示器</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765"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支持HDR显示；支持格式（高清）：≥2160p；屏幕尺寸：≥65英寸；响应时间≤9.5ms；背光方式：直下式；扫描方式：逐行扫描；屏幕分辨率：超高清4K；背光源LED：刷屏率：60HZ；</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USB2.0接口：≥2；HDMI2.0接口：≥3</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扬声器数量：≥2个；多声道功能：虚拟环绕声；音频系统：DOLBY AUDIO、DTS-HD 音频双解码</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CPU核数：≥四核；运行内存：≥2GB；操作系统：Patch Wall；GPU：Mali-450 750MHz；存储内存：≥8GB；</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电源功率（w）：160W；待机功率（w）：≤0.50W；工作电压（v）：220v~50/60Hz</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网络连接：支持有线&amp;无线，包含HDMI线缆1条，长度5-10米</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3、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附表14：服务要求及标准。服务项目：机柜</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尺寸：≥600*1000*1200MM</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承载:静载≥1000KG ；防护等级:≥IP20</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主要材料:SPCC优质冷扎钢板制作；</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厚度：方孔条≥2.0mm，托盘≥2.0mm，安装梁≥1.5m，其他≥1.2mm；</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表面处理:脱脂、酸洗、磷化、静电喷塑；满配PDU插座。</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4、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附表15：服务要求及标准。服务项目：室内/外设备箱</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尺寸: ≥550MMx430MMx110MM,包含强电模块多孔位强电排插。</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5、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附表16：服务要求及标准。服务项目：无线传输系统</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编号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风生存:≥200 km/h (125 mph) ；电源:24V, 0.5A 7W；工作温度 -40 至70°C；工作湿度 5 至95% 非凝结 ；冲击和震动测试标准 ETSI300-019-1.4 ETSI；处理器≥MIPS 74K ；内存 ≥64 MB；网络接口10/100/1000M;无线规范符合 FCC, IC, CE RoHS ;</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附表17：服务要求及标准。服务项目：摄像机1</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具有≥200万像素CMOS传感器。</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需具有≥20路取流路数能力，以满足更多用户同时在线访问摄像机视频。（公安部检验报告证明）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最低照度彩色：0.001lx，黑白:0.0001lx，灰度等级不小于11级。（公安部检验报告证明）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红外补光距离不小于50米。（公安部检验报告证明）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需支持三码流技术，主码流最高1920x1080@30fps，第三码流最大1920x1080@30fps，子码流704x576@30fps。（公安部检验报告证明）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在1920x1080@25fps下，清晰度不小于1000TVL。（公安部检验报告证明）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支持H.264、H.265、MJPEG视频编码格式，且具有HighProfile编码能力。（公安部检验报告证明）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8</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信噪比不小于55dB。</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9</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需支持≥8行字符显示，字体颜色可设置，需具有图片叠加到视频画面功能。</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支持区域遮盖功能，并能支持8块区域。</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11</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需具有黑白名单功能，其中白名单可添加不小于10个IP地址。</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12</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需具备人脸检测、区域入侵检测、越界检测、虚焦检测、进入区域、离开区域、徘徊、人员聚集、逆行、场景变更等功能。（公安部检验报告证明）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13</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可开启或关闭智能后检索功能。</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14</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同一静止场景相同图像质量下，设备在H.265编码方式时，开启智能编码功能和不开启智能编码相比，码率节约1/2。（公安部检验报告证明）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15</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需具有电子快门、ROI感兴趣区域、SVC可伸缩编码、自动增益、背光补偿、数字降噪、强光抑制、防红外过曝等功能。</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16</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摄像机能够在≥-30~60摄氏度，湿度小于≥93%环境下稳定工作。</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17</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不低于≥IP67防尘防水等级。</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18</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需具有≥1个RJ-4510M/100M自适应网络接口</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19</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需支持DC12V/POE供电，且在不小于DC12V±30%范围内变化时可以正常工作。</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附表18：服务要求及标准。服务项目：摄像机2</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具有≥200万像素CMOS传感器。</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需具有≥20路取流路数能力，以满足更多用户同时在线访问摄像机视频。（公安部检验报告证明）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最低照度彩色：0.001lx，黑白:0.0001lx，灰度等级不小于11级。（公安部检验报告证明）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需支持三码流技术，可同时浏览三路码流，主码流最高1920x1080@30fps，第三码流最大1920x1080@30fps，子码流704x480@30fps。（公安部检验报告证明）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在1920x1080@25fps下，清晰度不小于1100TVL。（公安部检验报告证明）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支持H.264、H.265、MJPEG视频编码格式，其中H.264支持Baseline/Main/HighProfile。（公安部检验报告证明）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信噪比不小于59dB。</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8</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需具大于105dB宽动态。</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9</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需支持≥8行字符显示，字体颜色可设置，需具有图片叠加到视频画面功能。</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支持区域遮盖功能，并能支持4块区域。</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11</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需具有黑白名单功能，其中白名单可添加不小于10个MAC地址。</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12</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需具备人脸检测、区域入侵检测、越界检测、虚焦检测、进入区域、离开区域、徘徊、人员聚集、场景变更等功能。</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13</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可开启或关闭智能后检索功能。</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14</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需具有电子防抖、ROI感兴趣区域、SVC可伸缩编码、自动增益、背光补偿、数字降噪、强光抑制、防红外过曝等功能。</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15</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摄像机能够在≥-45~70摄氏度，湿度小于≥93%环境下稳定工作。</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16</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不低于≥IP67防尘防水等级。</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17</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需支持DC12V供电，且在不小于DC12V±30%范围内变化时可以正常工作。</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18</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同一静止场景相同图像质量下，设备在H.265编码方式时，开启智能编码功能和不开启智能编码相比，码率节约1/2。（公安部检验报告证明）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19</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红外补光距离不小于110米。（公安部检验报告证明）</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配置壁装或报装支架</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附表19：服务要求及标准。服务项目：摄像机3</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1/2.7" 200万像素逐行扫描CMOS；</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支持分辨率1920*1080、帧率在1-60fps可调，分辨力≥1100TVL；</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信噪比≥60dB；</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动态范围≥120dB，照度适应范围≥140dB；提供公安部检测报告证明</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最低照度：彩色模式≤0.0002lx ,黑白模式≤0.0001lx；提供公安部检测报告证明</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在同一静止场景相同图像质量情况下，H.265编码，开启智能编码功能和不开启智能编码相比，码率节约85%；五码流均支持智能编码；提供公安部检测报告证明</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支持自动识别背光、运动速度、雾（雨）天、正常等场景，并能在＜1s的时间内快速自适应调整相应的图像参数；提供公安部检测报告证明</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8</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具有图像诊断雪花、偏色、画面冻结、增益失衡、摄像机抖动、条纹噪声、场景变更、虚焦检测设置选项；提供公安部检测报告证明</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9</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支持热度图统计功能，可以分别统计分析视频中最多8个区域的活跃度，可通过不同的颜色显示，并可输出日、周、月、年热度图及对应统计报表；</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支持对经过监控画面中的行人进行（自上而下，自下而上）的人流量统计，支持双向通行的人数统计，准确率：≥90%，支持报表统计，支持日报表、周报表、月报表、年报表。</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支持人体检测、跟踪、抓拍、支持正面、背面双向抓拍，抓拍率≥99%；提供公安部检测报告证明</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在同一个视频画面中，最多可同时检测100个运动人体目标；在同一个视频画面中，可检测、跟踪、抓拍≥50个运动人体目标；提供公安部检测报告证明</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支持最佳人体（通过像素点最多、遮挡比例最小等条件判断）全貌抓拍筛选去重，重复率≤1%；提供公安部检测报告证明</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支持对人脸最佳抓拍图片（通过像素点最多、遮挡比例最小等条件判断）筛选去重，重复率≤1%；提供公安部检测报告证明</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在同一个视频画面中，最多可同时检测100个运动人脸目标；在同一个视频画面中，可检测、跟踪、抓拍≥60个运动人脸目标；提供公安部检测报告证明</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可对检测到的人脸进行属性分析，包括年龄段（老、中、轻）、肤色（黑、白、黄）、性别、是否戴口罩、是否带眼镜，准确率≥95%</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17</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支持遮挡人脸检测，包括大墨墨镜、鸭舌帽子、口罩等遮挡的人脸抓拍；</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18</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支持多角度人脸检测功能，支持检出水平转动角不超过±90℃，俯仰角不超过±60℃，倾斜角不超过±45℃姿态角度的人脸抓拍；</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19</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支持KMC安全密钥与AES256码流加密功能；提供公安部检测报告证明</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20</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应能在DC12±30%范围内正常工作，支持POE供电</w:t>
            </w:r>
          </w:p>
        </w:tc>
      </w:tr>
      <w:tr>
        <w:tblPrEx>
          <w:tblCellMar>
            <w:top w:w="0" w:type="dxa"/>
            <w:left w:w="0" w:type="dxa"/>
            <w:bottom w:w="0" w:type="dxa"/>
            <w:right w:w="0" w:type="dxa"/>
          </w:tblCellMar>
        </w:tblPrEx>
        <w:trPr>
          <w:trHeight w:val="51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支持智能算法模块动态加载，加载过程中，视频业务不中断；采用开放架构，支持快速集成智能算法或应用APP，智能算法可以独立升级；</w:t>
            </w:r>
          </w:p>
        </w:tc>
      </w:tr>
      <w:tr>
        <w:tblPrEx>
          <w:tblCellMar>
            <w:top w:w="0" w:type="dxa"/>
            <w:left w:w="0" w:type="dxa"/>
            <w:bottom w:w="0" w:type="dxa"/>
            <w:right w:w="0" w:type="dxa"/>
          </w:tblCellMar>
        </w:tblPrEx>
        <w:trPr>
          <w:trHeight w:val="255"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外壳防护等级≥IP67，机械碰撞防护等级≥IK10；提供公安部检测报告证明</w:t>
            </w:r>
          </w:p>
        </w:tc>
      </w:tr>
      <w:tr>
        <w:tblPrEx>
          <w:tblCellMar>
            <w:top w:w="0" w:type="dxa"/>
            <w:left w:w="0" w:type="dxa"/>
            <w:bottom w:w="0" w:type="dxa"/>
            <w:right w:w="0" w:type="dxa"/>
          </w:tblCellMar>
        </w:tblPrEx>
        <w:trPr>
          <w:trHeight w:val="255"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附表20：服务要求及标准。服务项目：接入交换机1</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提供≥4个百兆PoE电口，≥1个百兆电口</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支持IEEE 802.3at/af</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支持IEEE 802.3、IEEE 802.3u、IEEE 802.3x、IEEE802.3ab、IEEE802.3z</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支持6 KV防浪涌（PoE口）</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支持PoE输出功率管理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线速转发、无阻塞设计</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存储转发交换方式</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8</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坚固式高强度金属外壳</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9</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无风扇设计，高可靠性</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具有CCC证书</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附表21：服务要求及标准。服务项目：接入交换机2</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提供≥8个千兆PoE电口，≥1个千兆电口，≥1个千兆光口</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支持IEEE 802.3at/af</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支持IEEE 802.3、IEEE 802.3u、IEEE 802.3x、IEEE802.3ab、IEEE802.3z</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支持6 KV防浪涌（PoE口）</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支持PoE输出功率管理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千兆网络接入设计</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线速转发、无阻塞设计</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8</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存储转发交换方式</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9</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坚固式高强度金属外壳</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无风扇设计，高可靠性</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具有CCC证书</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附表22：服务要求及标准。服务项目：接入交换机3</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提供≥16个千兆</w:t>
            </w:r>
            <w:r>
              <w:rPr>
                <w:rFonts w:ascii="Calibri" w:hAnsi="Calibri" w:eastAsia="宋体" w:cs="Calibri"/>
                <w:i w:val="0"/>
                <w:color w:val="000000"/>
                <w:kern w:val="0"/>
                <w:sz w:val="21"/>
                <w:szCs w:val="21"/>
                <w:u w:val="none"/>
                <w:bdr w:val="none" w:color="auto" w:sz="0" w:space="0"/>
                <w:lang w:val="en-US" w:eastAsia="zh-CN" w:bidi="ar"/>
              </w:rPr>
              <w:t>PoE</w:t>
            </w:r>
            <w:r>
              <w:rPr>
                <w:rFonts w:hint="eastAsia" w:ascii="宋体" w:hAnsi="宋体" w:eastAsia="宋体" w:cs="宋体"/>
                <w:i w:val="0"/>
                <w:color w:val="000000"/>
                <w:kern w:val="0"/>
                <w:sz w:val="21"/>
                <w:szCs w:val="21"/>
                <w:u w:val="none"/>
                <w:bdr w:val="none" w:color="auto" w:sz="0" w:space="0"/>
                <w:lang w:val="en-US" w:eastAsia="zh-CN" w:bidi="ar"/>
              </w:rPr>
              <w:t>电口，</w:t>
            </w:r>
            <w:r>
              <w:rPr>
                <w:rFonts w:ascii="Calibri" w:hAnsi="Calibri" w:eastAsia="宋体" w:cs="Calibri"/>
                <w:i w:val="0"/>
                <w:color w:val="000000"/>
                <w:kern w:val="0"/>
                <w:sz w:val="21"/>
                <w:szCs w:val="21"/>
                <w:u w:val="none"/>
                <w:bdr w:val="none" w:color="auto" w:sz="0" w:space="0"/>
                <w:lang w:val="en-US" w:eastAsia="zh-CN" w:bidi="ar"/>
              </w:rPr>
              <w:t>1</w:t>
            </w:r>
            <w:r>
              <w:rPr>
                <w:rFonts w:hint="eastAsia" w:ascii="宋体" w:hAnsi="宋体" w:eastAsia="宋体" w:cs="宋体"/>
                <w:i w:val="0"/>
                <w:color w:val="000000"/>
                <w:kern w:val="0"/>
                <w:sz w:val="21"/>
                <w:szCs w:val="21"/>
                <w:u w:val="none"/>
                <w:bdr w:val="none" w:color="auto" w:sz="0" w:space="0"/>
                <w:lang w:val="en-US" w:eastAsia="zh-CN" w:bidi="ar"/>
              </w:rPr>
              <w:t>个千兆电口，</w:t>
            </w:r>
            <w:r>
              <w:rPr>
                <w:rFonts w:ascii="Calibri" w:hAnsi="Calibri" w:eastAsia="宋体" w:cs="Calibri"/>
                <w:i w:val="0"/>
                <w:color w:val="000000"/>
                <w:kern w:val="0"/>
                <w:sz w:val="21"/>
                <w:szCs w:val="21"/>
                <w:u w:val="none"/>
                <w:bdr w:val="none" w:color="auto" w:sz="0" w:space="0"/>
                <w:lang w:val="en-US" w:eastAsia="zh-CN" w:bidi="ar"/>
              </w:rPr>
              <w:t>1</w:t>
            </w:r>
            <w:r>
              <w:rPr>
                <w:rFonts w:hint="eastAsia" w:ascii="宋体" w:hAnsi="宋体" w:eastAsia="宋体" w:cs="宋体"/>
                <w:i w:val="0"/>
                <w:color w:val="000000"/>
                <w:kern w:val="0"/>
                <w:sz w:val="21"/>
                <w:szCs w:val="21"/>
                <w:u w:val="none"/>
                <w:bdr w:val="none" w:color="auto" w:sz="0" w:space="0"/>
                <w:lang w:val="en-US" w:eastAsia="zh-CN" w:bidi="ar"/>
              </w:rPr>
              <w:t>个千兆光口</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支持IEEE 802.3at/af</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支持IEEE 802.3、</w:t>
            </w:r>
            <w:r>
              <w:rPr>
                <w:rFonts w:ascii="Calibri" w:hAnsi="Calibri" w:eastAsia="宋体" w:cs="Calibri"/>
                <w:i w:val="0"/>
                <w:color w:val="000000"/>
                <w:kern w:val="0"/>
                <w:sz w:val="21"/>
                <w:szCs w:val="21"/>
                <w:u w:val="none"/>
                <w:bdr w:val="none" w:color="auto" w:sz="0" w:space="0"/>
                <w:lang w:val="en-US" w:eastAsia="zh-CN" w:bidi="ar"/>
              </w:rPr>
              <w:t>IEEE 802.3u</w:t>
            </w:r>
            <w:r>
              <w:rPr>
                <w:rFonts w:hint="eastAsia" w:ascii="宋体" w:hAnsi="宋体" w:eastAsia="宋体" w:cs="宋体"/>
                <w:i w:val="0"/>
                <w:color w:val="000000"/>
                <w:kern w:val="0"/>
                <w:sz w:val="21"/>
                <w:szCs w:val="21"/>
                <w:u w:val="none"/>
                <w:bdr w:val="none" w:color="auto" w:sz="0" w:space="0"/>
                <w:lang w:val="en-US" w:eastAsia="zh-CN" w:bidi="ar"/>
              </w:rPr>
              <w:t>、</w:t>
            </w:r>
            <w:r>
              <w:rPr>
                <w:rFonts w:ascii="Calibri" w:hAnsi="Calibri" w:eastAsia="宋体" w:cs="Calibri"/>
                <w:i w:val="0"/>
                <w:color w:val="000000"/>
                <w:kern w:val="0"/>
                <w:sz w:val="21"/>
                <w:szCs w:val="21"/>
                <w:u w:val="none"/>
                <w:bdr w:val="none" w:color="auto" w:sz="0" w:space="0"/>
                <w:lang w:val="en-US" w:eastAsia="zh-CN" w:bidi="ar"/>
              </w:rPr>
              <w:t>IEEE 802.3x</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支持6 KV防浪涌（</w:t>
            </w:r>
            <w:r>
              <w:rPr>
                <w:rFonts w:ascii="Calibri" w:hAnsi="Calibri" w:eastAsia="宋体" w:cs="Calibri"/>
                <w:i w:val="0"/>
                <w:color w:val="000000"/>
                <w:kern w:val="0"/>
                <w:sz w:val="21"/>
                <w:szCs w:val="21"/>
                <w:u w:val="none"/>
                <w:bdr w:val="none" w:color="auto" w:sz="0" w:space="0"/>
                <w:lang w:val="en-US" w:eastAsia="zh-CN" w:bidi="ar"/>
              </w:rPr>
              <w:t>PoE</w:t>
            </w:r>
            <w:r>
              <w:rPr>
                <w:rFonts w:hint="eastAsia" w:ascii="宋体" w:hAnsi="宋体" w:eastAsia="宋体" w:cs="宋体"/>
                <w:i w:val="0"/>
                <w:color w:val="000000"/>
                <w:kern w:val="0"/>
                <w:sz w:val="21"/>
                <w:szCs w:val="21"/>
                <w:u w:val="none"/>
                <w:bdr w:val="none" w:color="auto" w:sz="0" w:space="0"/>
                <w:lang w:val="en-US" w:eastAsia="zh-CN" w:bidi="ar"/>
              </w:rPr>
              <w:t>口）</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支持PoE输出功率管理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千兆网络接入设计</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线速转发、无阻塞设计</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8</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存储转发交换方式</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9</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坚固式高强度金属外壳</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具有</w:t>
            </w:r>
            <w:r>
              <w:rPr>
                <w:rFonts w:ascii="Calibri" w:hAnsi="Calibri" w:eastAsia="宋体" w:cs="Calibri"/>
                <w:i w:val="0"/>
                <w:color w:val="000000"/>
                <w:kern w:val="0"/>
                <w:sz w:val="21"/>
                <w:szCs w:val="21"/>
                <w:u w:val="none"/>
                <w:bdr w:val="none" w:color="auto" w:sz="0" w:space="0"/>
                <w:lang w:val="en-US" w:eastAsia="zh-CN" w:bidi="ar"/>
              </w:rPr>
              <w:t>CCC</w:t>
            </w:r>
            <w:r>
              <w:rPr>
                <w:rFonts w:hint="eastAsia" w:ascii="宋体" w:hAnsi="宋体" w:eastAsia="宋体" w:cs="宋体"/>
                <w:i w:val="0"/>
                <w:color w:val="000000"/>
                <w:kern w:val="0"/>
                <w:sz w:val="21"/>
                <w:szCs w:val="21"/>
                <w:u w:val="none"/>
                <w:bdr w:val="none" w:color="auto" w:sz="0" w:space="0"/>
                <w:lang w:val="en-US" w:eastAsia="zh-CN" w:bidi="ar"/>
              </w:rPr>
              <w:t>证书</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3、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附表23：服务要求及标准。服务项目：接入交换机4</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提供≥24个百兆PoE电口，2个千兆光电复用口。</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支持IEEE 802.3at/af。</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支持IEEE 802.3、IEEE 802.3u、IEEE 802.3x。</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支持红口保障。</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支持8芯供电。</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支持上行口链路聚合。</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支持最远250 m传输。</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8</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支持6 KV防浪涌（PoE口）</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9</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支持PoE输出功率管理。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百兆网络接入设计。</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线速转发、无阻塞设计。</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存储转发交换方式。</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坚固式高强度金属外壳。</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POE功率≥370瓦。</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具有CCC证书</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4、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附表24：服务要求及标准。服务项目：光纤收发设备</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光口：≥</w:t>
            </w:r>
            <w:r>
              <w:rPr>
                <w:rFonts w:hint="default" w:ascii="Calibri" w:hAnsi="Calibri" w:eastAsia="宋体" w:cs="Calibri"/>
                <w:i w:val="0"/>
                <w:color w:val="000000"/>
                <w:kern w:val="0"/>
                <w:sz w:val="21"/>
                <w:szCs w:val="21"/>
                <w:u w:val="none"/>
                <w:bdr w:val="none" w:color="auto" w:sz="0" w:space="0"/>
                <w:lang w:val="en-US" w:eastAsia="zh-CN" w:bidi="ar"/>
              </w:rPr>
              <w:t>1</w:t>
            </w:r>
            <w:r>
              <w:rPr>
                <w:rFonts w:hint="eastAsia" w:ascii="宋体" w:hAnsi="宋体" w:eastAsia="宋体" w:cs="宋体"/>
                <w:i w:val="0"/>
                <w:color w:val="000000"/>
                <w:kern w:val="0"/>
                <w:sz w:val="21"/>
                <w:szCs w:val="21"/>
                <w:u w:val="none"/>
                <w:bdr w:val="none" w:color="auto" w:sz="0" w:space="0"/>
                <w:lang w:val="en-US" w:eastAsia="zh-CN" w:bidi="ar"/>
              </w:rPr>
              <w:t>个百兆光口；</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设备支持≥</w:t>
            </w:r>
            <w:r>
              <w:rPr>
                <w:rFonts w:hint="default" w:ascii="Calibri" w:hAnsi="Calibri" w:eastAsia="宋体" w:cs="Calibri"/>
                <w:i w:val="0"/>
                <w:color w:val="000000"/>
                <w:kern w:val="0"/>
                <w:sz w:val="21"/>
                <w:szCs w:val="21"/>
                <w:u w:val="none"/>
                <w:bdr w:val="none" w:color="auto" w:sz="0" w:space="0"/>
                <w:lang w:val="en-US" w:eastAsia="zh-CN" w:bidi="ar"/>
              </w:rPr>
              <w:t>1</w:t>
            </w:r>
            <w:r>
              <w:rPr>
                <w:rFonts w:hint="eastAsia" w:ascii="宋体" w:hAnsi="宋体" w:eastAsia="宋体" w:cs="宋体"/>
                <w:i w:val="0"/>
                <w:color w:val="000000"/>
                <w:kern w:val="0"/>
                <w:sz w:val="21"/>
                <w:szCs w:val="21"/>
                <w:u w:val="none"/>
                <w:bdr w:val="none" w:color="auto" w:sz="0" w:space="0"/>
                <w:lang w:val="en-US" w:eastAsia="zh-CN" w:bidi="ar"/>
              </w:rPr>
              <w:t>个</w:t>
            </w:r>
            <w:r>
              <w:rPr>
                <w:rFonts w:hint="default" w:ascii="Calibri" w:hAnsi="Calibri" w:eastAsia="宋体" w:cs="Calibri"/>
                <w:i w:val="0"/>
                <w:color w:val="000000"/>
                <w:kern w:val="0"/>
                <w:sz w:val="21"/>
                <w:szCs w:val="21"/>
                <w:u w:val="none"/>
                <w:bdr w:val="none" w:color="auto" w:sz="0" w:space="0"/>
                <w:lang w:val="en-US" w:eastAsia="zh-CN" w:bidi="ar"/>
              </w:rPr>
              <w:t>FC</w:t>
            </w:r>
            <w:r>
              <w:rPr>
                <w:rFonts w:hint="eastAsia" w:ascii="宋体" w:hAnsi="宋体" w:eastAsia="宋体" w:cs="宋体"/>
                <w:i w:val="0"/>
                <w:color w:val="000000"/>
                <w:kern w:val="0"/>
                <w:sz w:val="21"/>
                <w:szCs w:val="21"/>
                <w:u w:val="none"/>
                <w:bdr w:val="none" w:color="auto" w:sz="0" w:space="0"/>
                <w:lang w:val="en-US" w:eastAsia="zh-CN" w:bidi="ar"/>
              </w:rPr>
              <w:t>口</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距离：≥</w:t>
            </w:r>
            <w:r>
              <w:rPr>
                <w:rFonts w:hint="default" w:ascii="Calibri" w:hAnsi="Calibri" w:eastAsia="宋体" w:cs="Calibri"/>
                <w:i w:val="0"/>
                <w:color w:val="000000"/>
                <w:kern w:val="0"/>
                <w:sz w:val="21"/>
                <w:szCs w:val="21"/>
                <w:u w:val="none"/>
                <w:bdr w:val="none" w:color="auto" w:sz="0" w:space="0"/>
                <w:lang w:val="en-US" w:eastAsia="zh-CN" w:bidi="ar"/>
              </w:rPr>
              <w:t>20</w:t>
            </w:r>
            <w:r>
              <w:rPr>
                <w:rFonts w:hint="eastAsia" w:ascii="宋体" w:hAnsi="宋体" w:eastAsia="宋体" w:cs="宋体"/>
                <w:i w:val="0"/>
                <w:color w:val="000000"/>
                <w:kern w:val="0"/>
                <w:sz w:val="21"/>
                <w:szCs w:val="21"/>
                <w:u w:val="none"/>
                <w:bdr w:val="none" w:color="auto" w:sz="0" w:space="0"/>
                <w:lang w:val="en-US" w:eastAsia="zh-CN" w:bidi="ar"/>
              </w:rPr>
              <w:t>公里</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电口：≥</w:t>
            </w:r>
            <w:r>
              <w:rPr>
                <w:rFonts w:hint="default" w:ascii="Calibri" w:hAnsi="Calibri" w:eastAsia="宋体" w:cs="Calibri"/>
                <w:i w:val="0"/>
                <w:color w:val="000000"/>
                <w:kern w:val="0"/>
                <w:sz w:val="21"/>
                <w:szCs w:val="21"/>
                <w:u w:val="none"/>
                <w:bdr w:val="none" w:color="auto" w:sz="0" w:space="0"/>
                <w:lang w:val="en-US" w:eastAsia="zh-CN" w:bidi="ar"/>
              </w:rPr>
              <w:t>1</w:t>
            </w:r>
            <w:r>
              <w:rPr>
                <w:rFonts w:hint="eastAsia" w:ascii="宋体" w:hAnsi="宋体" w:eastAsia="宋体" w:cs="宋体"/>
                <w:i w:val="0"/>
                <w:color w:val="000000"/>
                <w:kern w:val="0"/>
                <w:sz w:val="21"/>
                <w:szCs w:val="21"/>
                <w:u w:val="none"/>
                <w:bdr w:val="none" w:color="auto" w:sz="0" w:space="0"/>
                <w:lang w:val="en-US" w:eastAsia="zh-CN" w:bidi="ar"/>
              </w:rPr>
              <w:t>个百兆网口；</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4、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附表25：服务要求及标准。服务项目：汇聚交换机</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≥12个千兆电口，≥12个千兆光口，交换容量≥48Gbps，包转发率≥35Mpps</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全千兆网络数据交换，MAC地址表≥16K，内部缓存≥12Mbit</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10/100/1000BaseT（X）（RJ45接口）</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支持IEEE802.3、IEEE802.3u、IEEE802.3x网络标准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存储转发交换方式</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数据交换延时＜5us</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7</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工作温度范围，大于等于-5 ~ 50˚C</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8</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坚固式高强度金属外壳</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9</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19英寸1U标准机架安装</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5、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附表26：服务要求及标准。服务项目：配套光模块</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千兆20公里单模单纤接收/发送端模块；TX1550nm/1.25G；RX1310nm/1.25G；LC；20km；0～70℃；SFP</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6、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附表27：服务要求及标准。服务项目：电源线</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RVV2*1.5国标无氧铜</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7、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附表28：服务要求及标准。服务项目：光纤</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≥4芯单模光纤</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8、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附表29：服务要求及标准。服务项目：网线</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both"/>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bdr w:val="none" w:color="auto" w:sz="0" w:space="0"/>
                <w:lang w:val="en-US" w:eastAsia="zh-CN" w:bidi="ar"/>
              </w:rPr>
              <w:t>Cat5e</w:t>
            </w:r>
            <w:r>
              <w:rPr>
                <w:rFonts w:hint="eastAsia" w:ascii="宋体" w:hAnsi="宋体" w:eastAsia="宋体" w:cs="宋体"/>
                <w:i w:val="0"/>
                <w:color w:val="000000"/>
                <w:kern w:val="0"/>
                <w:sz w:val="21"/>
                <w:szCs w:val="21"/>
                <w:u w:val="none"/>
                <w:bdr w:val="none" w:color="auto" w:sz="0" w:space="0"/>
                <w:lang w:val="en-US" w:eastAsia="zh-CN" w:bidi="ar"/>
              </w:rPr>
              <w:t>非屏蔽双绞线；</w:t>
            </w:r>
            <w:r>
              <w:rPr>
                <w:rFonts w:hint="default" w:ascii="Calibri" w:hAnsi="Calibri" w:eastAsia="宋体" w:cs="Calibri"/>
                <w:i w:val="0"/>
                <w:color w:val="000000"/>
                <w:kern w:val="0"/>
                <w:sz w:val="21"/>
                <w:szCs w:val="21"/>
                <w:u w:val="none"/>
                <w:bdr w:val="none" w:color="auto" w:sz="0" w:space="0"/>
                <w:lang w:val="en-US" w:eastAsia="zh-CN" w:bidi="ar"/>
              </w:rPr>
              <w:t>CM</w:t>
            </w:r>
            <w:r>
              <w:rPr>
                <w:rFonts w:hint="eastAsia" w:ascii="宋体" w:hAnsi="宋体" w:eastAsia="宋体" w:cs="宋体"/>
                <w:i w:val="0"/>
                <w:color w:val="000000"/>
                <w:kern w:val="0"/>
                <w:sz w:val="21"/>
                <w:szCs w:val="21"/>
                <w:u w:val="none"/>
                <w:bdr w:val="none" w:color="auto" w:sz="0" w:space="0"/>
                <w:lang w:val="en-US" w:eastAsia="zh-CN" w:bidi="ar"/>
              </w:rPr>
              <w:t>防火等级；</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标准：符合ISO/IEC 11801、TIA-568-C.2、GB/T 18015.5要求；</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3</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所用材料符合RoHS要求；并通过符合UL认证的CM防火等级认证；</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芯线规格:24AWG；无氧铜；</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5</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标准装箱长度:305m±1.5m；</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6</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线缆结构：4对8芯双绞线；每芯均有颜色区分；外皮印有厂商标识及电缆编码；有撕裂绳；</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9、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附表30：服务要求及标准。服务项目：终端盒</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一进四出，接口样式：直接出尾纤，尾纤长度不低于50CM</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10、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附表31：服务要求及标准。服务项目：稳压电源</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室外防尘防水、</w:t>
            </w:r>
            <w:r>
              <w:rPr>
                <w:rFonts w:hint="default" w:ascii="Calibri" w:hAnsi="Calibri" w:eastAsia="宋体" w:cs="Calibri"/>
                <w:i w:val="0"/>
                <w:color w:val="000000"/>
                <w:kern w:val="0"/>
                <w:sz w:val="21"/>
                <w:szCs w:val="21"/>
                <w:u w:val="none"/>
                <w:bdr w:val="none" w:color="auto" w:sz="0" w:space="0"/>
                <w:lang w:val="en-US" w:eastAsia="zh-CN" w:bidi="ar"/>
              </w:rPr>
              <w:t>12V2A</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11、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附表32：服务要求及标准。服务项目：立杆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高度不低于</w:t>
            </w:r>
            <w:r>
              <w:rPr>
                <w:rFonts w:hint="default" w:ascii="Calibri" w:hAnsi="Calibri" w:eastAsia="宋体" w:cs="Calibri"/>
                <w:i w:val="0"/>
                <w:color w:val="000000"/>
                <w:kern w:val="0"/>
                <w:sz w:val="21"/>
                <w:szCs w:val="21"/>
                <w:u w:val="none"/>
                <w:bdr w:val="none" w:color="auto" w:sz="0" w:space="0"/>
                <w:lang w:val="en-US" w:eastAsia="zh-CN" w:bidi="ar"/>
              </w:rPr>
              <w:t>4</w:t>
            </w:r>
            <w:r>
              <w:rPr>
                <w:rFonts w:hint="eastAsia" w:ascii="宋体" w:hAnsi="宋体" w:eastAsia="宋体" w:cs="宋体"/>
                <w:i w:val="0"/>
                <w:color w:val="000000"/>
                <w:kern w:val="0"/>
                <w:sz w:val="21"/>
                <w:szCs w:val="21"/>
                <w:u w:val="none"/>
                <w:bdr w:val="none" w:color="auto" w:sz="0" w:space="0"/>
                <w:lang w:val="en-US" w:eastAsia="zh-CN" w:bidi="ar"/>
              </w:rPr>
              <w:t>米，壁厚不低于</w:t>
            </w:r>
            <w:r>
              <w:rPr>
                <w:rFonts w:hint="default" w:ascii="Calibri" w:hAnsi="Calibri" w:eastAsia="宋体" w:cs="Calibri"/>
                <w:i w:val="0"/>
                <w:color w:val="000000"/>
                <w:kern w:val="0"/>
                <w:sz w:val="21"/>
                <w:szCs w:val="21"/>
                <w:u w:val="none"/>
                <w:bdr w:val="none" w:color="auto" w:sz="0" w:space="0"/>
                <w:lang w:val="en-US" w:eastAsia="zh-CN" w:bidi="ar"/>
              </w:rPr>
              <w:t>3MM</w:t>
            </w:r>
            <w:r>
              <w:rPr>
                <w:rFonts w:hint="eastAsia" w:ascii="宋体" w:hAnsi="宋体" w:eastAsia="宋体" w:cs="宋体"/>
                <w:i w:val="0"/>
                <w:color w:val="000000"/>
                <w:kern w:val="0"/>
                <w:sz w:val="21"/>
                <w:szCs w:val="21"/>
                <w:u w:val="none"/>
                <w:bdr w:val="none" w:color="auto" w:sz="0" w:space="0"/>
                <w:lang w:val="en-US" w:eastAsia="zh-CN" w:bidi="ar"/>
              </w:rPr>
              <w:t>，横臂尺寸不低于</w:t>
            </w:r>
            <w:r>
              <w:rPr>
                <w:rFonts w:hint="default" w:ascii="Calibri" w:hAnsi="Calibri" w:eastAsia="宋体" w:cs="Calibri"/>
                <w:i w:val="0"/>
                <w:color w:val="000000"/>
                <w:kern w:val="0"/>
                <w:sz w:val="21"/>
                <w:szCs w:val="21"/>
                <w:u w:val="none"/>
                <w:bdr w:val="none" w:color="auto" w:sz="0" w:space="0"/>
                <w:lang w:val="en-US" w:eastAsia="zh-CN" w:bidi="ar"/>
              </w:rPr>
              <w:t>0.5</w:t>
            </w:r>
            <w:r>
              <w:rPr>
                <w:rFonts w:hint="eastAsia" w:ascii="宋体" w:hAnsi="宋体" w:eastAsia="宋体" w:cs="宋体"/>
                <w:i w:val="0"/>
                <w:color w:val="000000"/>
                <w:kern w:val="0"/>
                <w:sz w:val="21"/>
                <w:szCs w:val="21"/>
                <w:u w:val="none"/>
                <w:bdr w:val="none" w:color="auto" w:sz="0" w:space="0"/>
                <w:lang w:val="en-US" w:eastAsia="zh-CN" w:bidi="ar"/>
              </w:rPr>
              <w:t>米</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基础采用C25标号混凝土浇筑，基础尺寸不低于80*60*60CM，防雷接地阻值小于10Ω</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12、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附表33：服务要求及标准。服务项目：土质、硬化面开挖与恢复</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长度约1000米，根据实际施工环境确定，增加部分不做数量变更。</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2</w:t>
            </w:r>
          </w:p>
        </w:tc>
        <w:tc>
          <w:tcPr>
            <w:tcW w:w="445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深度不低于70CM,管道沟底须平整，沟底高程及坡度变化必须符合设计要求，石块、碎砖等坚硬杂物必须清除干净；</w:t>
            </w:r>
            <w:r>
              <w:rPr>
                <w:rFonts w:hint="default" w:ascii="Times New Roman" w:hAnsi="Times New Roman" w:eastAsia="宋体" w:cs="Times New Roman"/>
                <w:i w:val="0"/>
                <w:color w:val="000000"/>
                <w:kern w:val="0"/>
                <w:sz w:val="21"/>
                <w:szCs w:val="21"/>
                <w:u w:val="none"/>
                <w:bdr w:val="none" w:color="auto" w:sz="0" w:space="0"/>
                <w:lang w:val="en-US" w:eastAsia="zh-CN" w:bidi="ar"/>
              </w:rPr>
              <w:t> </w:t>
            </w:r>
            <w:r>
              <w:rPr>
                <w:rFonts w:hint="eastAsia" w:ascii="宋体" w:hAnsi="宋体" w:eastAsia="宋体" w:cs="宋体"/>
                <w:i w:val="0"/>
                <w:color w:val="000000"/>
                <w:kern w:val="0"/>
                <w:sz w:val="21"/>
                <w:szCs w:val="21"/>
                <w:u w:val="none"/>
                <w:bdr w:val="none" w:color="auto" w:sz="0" w:space="0"/>
                <w:lang w:val="en-US" w:eastAsia="zh-CN" w:bidi="ar"/>
              </w:rPr>
              <w:t>回填土前沟内应无积水，塑料管两侧和顶部不应有坚硬杂物，以免擦伤管道表面；涉及硬化位置恢复原有平整度与完整度（硬化部分需铺新砖）；涉及绿化位置恢复原有植物。</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13、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附表34：服务要求及标准。服务项目：辅材</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包含但不限于此项目的全部辅材，PVC线管、水晶头、扎带、弯头、直接、线卡、膨胀螺丝、标签纸等全部内容。</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14、对于不允许偏离的实质性要求和条件，在上表中以“★”的方式标明；对于允许偏离的实质性要求和条件，上表中无“★”标注。</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附表35：服务要求及标准。服务项目：机房线路整合</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包含但不限于桥架、线缆等材料及整合，包含桥架材料，具体以实际环境为准。</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注：1、标注“△”的产品为核心产品，未标注“△”的产品为非核心产品，核心产品技术参数指标必须完全满足招标文件要求。15、对于不允许偏离的实质性要求和条件，在上表中以“★”的方式标明；对于允许偏离的实质性要求和条件，上表中无“★”标注。</w:t>
            </w:r>
          </w:p>
        </w:tc>
      </w:tr>
    </w:tbl>
    <w:tbl>
      <w:tblPr>
        <w:tblStyle w:val="2"/>
        <w:tblW w:w="5000" w:type="pct"/>
        <w:tblInd w:w="0" w:type="dxa"/>
        <w:shd w:val="clear" w:color="auto" w:fill="auto"/>
        <w:tblLayout w:type="fixed"/>
        <w:tblCellMar>
          <w:top w:w="0" w:type="dxa"/>
          <w:left w:w="0" w:type="dxa"/>
          <w:bottom w:w="0" w:type="dxa"/>
          <w:right w:w="0" w:type="dxa"/>
        </w:tblCellMar>
      </w:tblPr>
      <w:tblGrid>
        <w:gridCol w:w="557"/>
        <w:gridCol w:w="345"/>
        <w:gridCol w:w="7434"/>
      </w:tblGrid>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附表36：服务要求及标准。服务项目：安装调试费</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参数性质</w:t>
            </w:r>
          </w:p>
        </w:tc>
        <w:tc>
          <w:tcPr>
            <w:tcW w:w="20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4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具体服务要求及标准</w:t>
            </w:r>
          </w:p>
        </w:tc>
      </w:tr>
      <w:tr>
        <w:tblPrEx>
          <w:tblCellMar>
            <w:top w:w="0" w:type="dxa"/>
            <w:left w:w="0" w:type="dxa"/>
            <w:bottom w:w="0" w:type="dxa"/>
            <w:right w:w="0" w:type="dxa"/>
          </w:tblCellMar>
        </w:tblPrEx>
        <w:trPr>
          <w:trHeight w:val="3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包含但不限于此项目的全部安装调试。</w:t>
            </w:r>
          </w:p>
        </w:tc>
      </w:tr>
      <w:tr>
        <w:tblPrEx>
          <w:tblCellMar>
            <w:top w:w="0" w:type="dxa"/>
            <w:left w:w="0" w:type="dxa"/>
            <w:bottom w:w="0" w:type="dxa"/>
            <w:right w:w="0" w:type="dxa"/>
          </w:tblCellMar>
        </w:tblPrEx>
        <w:trPr>
          <w:trHeight w:val="3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注：1、标注“△”的产品为核心产品，未标注“△”的产品为非核心产品，核心产品技术参数指标必须完全满足招标文件要求。15、对于不允许偏离的实质性要求和条件，在上表中以“★”的方式标明；对于允许偏离的实质性要求和条件，上表中无“★”标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77F02"/>
    <w:rsid w:val="0D477F02"/>
    <w:rsid w:val="15262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1"/>
      <w:szCs w:val="21"/>
      <w:u w:val="none"/>
    </w:rPr>
  </w:style>
  <w:style w:type="character" w:customStyle="1" w:styleId="5">
    <w:name w:val="font41"/>
    <w:basedOn w:val="3"/>
    <w:uiPriority w:val="0"/>
    <w:rPr>
      <w:rFonts w:hint="eastAsia" w:ascii="宋体" w:hAnsi="宋体" w:eastAsia="宋体" w:cs="宋体"/>
      <w:color w:val="000000"/>
      <w:sz w:val="21"/>
      <w:szCs w:val="21"/>
      <w:u w:val="none"/>
    </w:rPr>
  </w:style>
  <w:style w:type="character" w:customStyle="1" w:styleId="6">
    <w:name w:val="font11"/>
    <w:basedOn w:val="3"/>
    <w:uiPriority w:val="0"/>
    <w:rPr>
      <w:rFonts w:hint="eastAsia" w:ascii="宋体" w:hAnsi="宋体" w:eastAsia="宋体" w:cs="宋体"/>
      <w:color w:val="000000"/>
      <w:sz w:val="21"/>
      <w:szCs w:val="21"/>
      <w:u w:val="none"/>
    </w:rPr>
  </w:style>
  <w:style w:type="character" w:customStyle="1" w:styleId="7">
    <w:name w:val="font31"/>
    <w:basedOn w:val="3"/>
    <w:uiPriority w:val="0"/>
    <w:rPr>
      <w:rFonts w:hint="default" w:ascii="Calibri" w:hAnsi="Calibri" w:cs="Calibri"/>
      <w:color w:val="000000"/>
      <w:sz w:val="21"/>
      <w:szCs w:val="21"/>
      <w:u w:val="none"/>
    </w:rPr>
  </w:style>
  <w:style w:type="character" w:customStyle="1" w:styleId="8">
    <w:name w:val="font01"/>
    <w:basedOn w:val="3"/>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2020-08-26T01:40:00Z</dcterms:created>
  <dc:creator>Administrator</dc:creator>
  <cp:lastModifiedBy>Administrator</cp:lastModifiedBy>
  <dcterms:modified xsi:type="dcterms:W3CDTF">2020-08-26T03:20:42Z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