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914F">
      <w:pPr>
        <w:spacing w:before="183" w:line="225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</w:t>
      </w:r>
    </w:p>
    <w:p w14:paraId="2F88072A">
      <w:pPr>
        <w:spacing w:before="160" w:line="224" w:lineRule="auto"/>
        <w:ind w:left="32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符合性审查表</w:t>
      </w:r>
    </w:p>
    <w:p w14:paraId="42A9CB43">
      <w:pPr>
        <w:spacing w:line="94" w:lineRule="exact"/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5F79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95E3B68">
            <w:pPr>
              <w:spacing w:line="247" w:lineRule="auto"/>
              <w:rPr>
                <w:rFonts w:ascii="Arial"/>
                <w:sz w:val="21"/>
              </w:rPr>
            </w:pPr>
          </w:p>
          <w:p w14:paraId="2025F800">
            <w:pPr>
              <w:spacing w:line="247" w:lineRule="auto"/>
              <w:rPr>
                <w:rFonts w:ascii="Arial"/>
                <w:sz w:val="21"/>
              </w:rPr>
            </w:pPr>
          </w:p>
          <w:p w14:paraId="578CE061">
            <w:pPr>
              <w:spacing w:line="247" w:lineRule="auto"/>
              <w:rPr>
                <w:rFonts w:ascii="Arial"/>
                <w:sz w:val="21"/>
              </w:rPr>
            </w:pPr>
          </w:p>
          <w:p w14:paraId="0D8DE2C5">
            <w:pPr>
              <w:spacing w:line="247" w:lineRule="auto"/>
              <w:rPr>
                <w:rFonts w:ascii="Arial"/>
                <w:sz w:val="21"/>
              </w:rPr>
            </w:pPr>
          </w:p>
          <w:p w14:paraId="34B4CA9B">
            <w:pPr>
              <w:spacing w:line="247" w:lineRule="auto"/>
              <w:rPr>
                <w:rFonts w:ascii="Arial"/>
                <w:sz w:val="21"/>
              </w:rPr>
            </w:pPr>
          </w:p>
          <w:p w14:paraId="6F3E579F">
            <w:pPr>
              <w:spacing w:line="247" w:lineRule="auto"/>
              <w:rPr>
                <w:rFonts w:ascii="Arial"/>
                <w:sz w:val="21"/>
              </w:rPr>
            </w:pPr>
          </w:p>
          <w:p w14:paraId="0B22D039">
            <w:pPr>
              <w:spacing w:line="247" w:lineRule="auto"/>
              <w:rPr>
                <w:rFonts w:ascii="Arial"/>
                <w:sz w:val="21"/>
              </w:rPr>
            </w:pPr>
          </w:p>
          <w:p w14:paraId="6E67799D">
            <w:pPr>
              <w:spacing w:line="248" w:lineRule="auto"/>
              <w:rPr>
                <w:rFonts w:ascii="Arial"/>
                <w:sz w:val="21"/>
              </w:rPr>
            </w:pPr>
          </w:p>
          <w:p w14:paraId="399676D4">
            <w:pPr>
              <w:spacing w:line="248" w:lineRule="auto"/>
              <w:rPr>
                <w:rFonts w:ascii="Arial"/>
                <w:sz w:val="21"/>
              </w:rPr>
            </w:pPr>
          </w:p>
          <w:p w14:paraId="5698D07B">
            <w:pPr>
              <w:spacing w:line="248" w:lineRule="auto"/>
              <w:rPr>
                <w:rFonts w:ascii="Arial"/>
                <w:sz w:val="21"/>
              </w:rPr>
            </w:pPr>
          </w:p>
          <w:p w14:paraId="44E45F0C">
            <w:pPr>
              <w:spacing w:line="248" w:lineRule="auto"/>
              <w:rPr>
                <w:rFonts w:ascii="Arial"/>
                <w:sz w:val="21"/>
              </w:rPr>
            </w:pPr>
          </w:p>
          <w:p w14:paraId="26E3015B">
            <w:pPr>
              <w:spacing w:line="248" w:lineRule="auto"/>
              <w:rPr>
                <w:rFonts w:ascii="Arial"/>
                <w:sz w:val="21"/>
              </w:rPr>
            </w:pPr>
          </w:p>
          <w:p w14:paraId="5A0F6FBA">
            <w:pPr>
              <w:spacing w:line="248" w:lineRule="auto"/>
              <w:rPr>
                <w:rFonts w:ascii="Arial"/>
                <w:sz w:val="21"/>
              </w:rPr>
            </w:pPr>
          </w:p>
          <w:p w14:paraId="6F89BD10">
            <w:pPr>
              <w:spacing w:line="248" w:lineRule="auto"/>
              <w:rPr>
                <w:rFonts w:ascii="Arial"/>
                <w:sz w:val="21"/>
              </w:rPr>
            </w:pPr>
          </w:p>
          <w:p w14:paraId="570D9112">
            <w:pPr>
              <w:spacing w:line="248" w:lineRule="auto"/>
              <w:rPr>
                <w:rFonts w:ascii="Arial"/>
                <w:sz w:val="21"/>
              </w:rPr>
            </w:pPr>
          </w:p>
          <w:p w14:paraId="423FE06B">
            <w:pPr>
              <w:spacing w:line="248" w:lineRule="auto"/>
              <w:rPr>
                <w:rFonts w:ascii="Arial"/>
                <w:sz w:val="21"/>
              </w:rPr>
            </w:pPr>
          </w:p>
          <w:p w14:paraId="3D069688">
            <w:pPr>
              <w:spacing w:line="248" w:lineRule="auto"/>
              <w:rPr>
                <w:rFonts w:ascii="Arial"/>
                <w:sz w:val="21"/>
              </w:rPr>
            </w:pPr>
          </w:p>
          <w:p w14:paraId="0D2855A3">
            <w:pPr>
              <w:spacing w:line="248" w:lineRule="auto"/>
              <w:rPr>
                <w:rFonts w:ascii="Arial"/>
                <w:sz w:val="21"/>
              </w:rPr>
            </w:pPr>
          </w:p>
          <w:p w14:paraId="28C022F3">
            <w:pPr>
              <w:spacing w:line="248" w:lineRule="auto"/>
              <w:rPr>
                <w:rFonts w:ascii="Arial"/>
                <w:sz w:val="21"/>
              </w:rPr>
            </w:pPr>
          </w:p>
          <w:p w14:paraId="7849E934">
            <w:pPr>
              <w:spacing w:line="248" w:lineRule="auto"/>
              <w:rPr>
                <w:rFonts w:ascii="Arial"/>
                <w:sz w:val="21"/>
              </w:rPr>
            </w:pPr>
          </w:p>
          <w:p w14:paraId="74814E2F">
            <w:pPr>
              <w:spacing w:line="248" w:lineRule="auto"/>
              <w:rPr>
                <w:rFonts w:ascii="Arial"/>
                <w:sz w:val="21"/>
              </w:rPr>
            </w:pPr>
          </w:p>
          <w:p w14:paraId="5A1929DB">
            <w:pPr>
              <w:spacing w:line="248" w:lineRule="auto"/>
              <w:rPr>
                <w:rFonts w:ascii="Arial"/>
                <w:sz w:val="21"/>
              </w:rPr>
            </w:pPr>
          </w:p>
          <w:p w14:paraId="1B0C69A0">
            <w:pPr>
              <w:pStyle w:val="5"/>
              <w:spacing w:before="68" w:line="263" w:lineRule="auto"/>
              <w:ind w:left="465" w:right="142" w:hanging="308"/>
            </w:pPr>
            <w:r>
              <w:rPr>
                <w:spacing w:val="-3"/>
              </w:rPr>
              <w:t>符合性审</w:t>
            </w:r>
            <w:r>
              <w:t xml:space="preserve"> 查</w:t>
            </w:r>
          </w:p>
        </w:tc>
        <w:tc>
          <w:tcPr>
            <w:tcW w:w="1699" w:type="dxa"/>
            <w:vAlign w:val="top"/>
          </w:tcPr>
          <w:p w14:paraId="6E991586">
            <w:pPr>
              <w:spacing w:line="250" w:lineRule="auto"/>
              <w:rPr>
                <w:rFonts w:ascii="Arial"/>
                <w:sz w:val="21"/>
              </w:rPr>
            </w:pPr>
          </w:p>
          <w:p w14:paraId="50E12B3D">
            <w:pPr>
              <w:spacing w:line="250" w:lineRule="auto"/>
              <w:rPr>
                <w:rFonts w:ascii="Arial"/>
                <w:sz w:val="21"/>
              </w:rPr>
            </w:pPr>
          </w:p>
          <w:p w14:paraId="1BF614BE">
            <w:pPr>
              <w:spacing w:line="251" w:lineRule="auto"/>
              <w:rPr>
                <w:rFonts w:ascii="Arial"/>
                <w:sz w:val="21"/>
              </w:rPr>
            </w:pPr>
          </w:p>
          <w:p w14:paraId="19FE4FFD">
            <w:pPr>
              <w:spacing w:line="251" w:lineRule="auto"/>
              <w:rPr>
                <w:rFonts w:ascii="Arial"/>
                <w:sz w:val="21"/>
              </w:rPr>
            </w:pPr>
          </w:p>
          <w:p w14:paraId="654F361B">
            <w:pPr>
              <w:spacing w:line="251" w:lineRule="auto"/>
              <w:rPr>
                <w:rFonts w:ascii="Arial"/>
                <w:sz w:val="21"/>
              </w:rPr>
            </w:pPr>
          </w:p>
          <w:p w14:paraId="6D08D854">
            <w:pPr>
              <w:spacing w:line="251" w:lineRule="auto"/>
              <w:rPr>
                <w:rFonts w:ascii="Arial"/>
                <w:sz w:val="21"/>
              </w:rPr>
            </w:pPr>
          </w:p>
          <w:p w14:paraId="62DC0DC5">
            <w:pPr>
              <w:spacing w:line="251" w:lineRule="auto"/>
              <w:rPr>
                <w:rFonts w:ascii="Arial"/>
                <w:sz w:val="21"/>
              </w:rPr>
            </w:pPr>
          </w:p>
          <w:p w14:paraId="345A4C9F">
            <w:pPr>
              <w:spacing w:line="251" w:lineRule="auto"/>
              <w:rPr>
                <w:rFonts w:ascii="Arial"/>
                <w:sz w:val="21"/>
              </w:rPr>
            </w:pPr>
          </w:p>
          <w:p w14:paraId="4CD4E5FA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资格要求</w:t>
            </w:r>
          </w:p>
        </w:tc>
        <w:tc>
          <w:tcPr>
            <w:tcW w:w="5469" w:type="dxa"/>
            <w:vAlign w:val="top"/>
          </w:tcPr>
          <w:p w14:paraId="3421CE58">
            <w:pPr>
              <w:pStyle w:val="5"/>
              <w:spacing w:before="57" w:line="265" w:lineRule="auto"/>
              <w:ind w:left="105" w:right="109" w:firstLine="20"/>
              <w:jc w:val="both"/>
            </w:pPr>
            <w:r>
              <w:rPr>
                <w:spacing w:val="-1"/>
              </w:rPr>
              <w:t>1.银行金融服务机构具有独立承担民事责任的能力，具备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《中华人民共和国招标投标法》第二十六条的规定</w:t>
            </w:r>
            <w:r>
              <w:rPr>
                <w:spacing w:val="-5"/>
              </w:rPr>
              <w:t>。（允</w:t>
            </w:r>
            <w:r>
              <w:t xml:space="preserve">  </w:t>
            </w:r>
            <w:r>
              <w:rPr>
                <w:spacing w:val="-6"/>
              </w:rPr>
              <w:t>许依法成立的分支机构参与）。</w:t>
            </w:r>
          </w:p>
          <w:p w14:paraId="29747736">
            <w:pPr>
              <w:pStyle w:val="5"/>
              <w:spacing w:before="33" w:line="267" w:lineRule="auto"/>
              <w:ind w:left="113" w:right="102" w:firstLine="8"/>
            </w:pPr>
            <w:r>
              <w:rPr>
                <w:spacing w:val="-1"/>
              </w:rPr>
              <w:t>2.银行金融服务机构属于国有商业银行、股份制商业银行</w:t>
            </w:r>
            <w:r>
              <w:rPr>
                <w:spacing w:val="15"/>
              </w:rPr>
              <w:t xml:space="preserve"> </w:t>
            </w:r>
            <w:r>
              <w:t>或地方商业银行性质，须具备银行业监督管理部门</w:t>
            </w:r>
            <w:r>
              <w:rPr>
                <w:spacing w:val="-1"/>
              </w:rPr>
              <w:t>颁发的</w:t>
            </w:r>
            <w:r>
              <w:t xml:space="preserve"> </w:t>
            </w:r>
            <w:r>
              <w:rPr>
                <w:spacing w:val="-5"/>
              </w:rPr>
              <w:t>有效金融许可证件、营业执照。（响应文件提供相关证件</w:t>
            </w:r>
            <w:r>
              <w:rPr>
                <w:spacing w:val="7"/>
              </w:rPr>
              <w:t xml:space="preserve">  </w:t>
            </w:r>
            <w:r>
              <w:rPr>
                <w:spacing w:val="-16"/>
              </w:rPr>
              <w:t>扫面件）。</w:t>
            </w:r>
          </w:p>
          <w:p w14:paraId="5BA8F66F">
            <w:pPr>
              <w:pStyle w:val="5"/>
              <w:spacing w:before="32" w:line="260" w:lineRule="auto"/>
              <w:ind w:left="110" w:right="102" w:firstLine="19"/>
            </w:pPr>
            <w:r>
              <w:rPr>
                <w:spacing w:val="-3"/>
              </w:rPr>
              <w:t>3.银行金融服务机构须具备鄂尔多斯市旗</w:t>
            </w:r>
            <w:r>
              <w:rPr>
                <w:spacing w:val="-4"/>
              </w:rPr>
              <w:t>（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区）县级支行</w:t>
            </w:r>
            <w:r>
              <w:t xml:space="preserve"> </w:t>
            </w:r>
            <w:r>
              <w:rPr>
                <w:spacing w:val="-1"/>
              </w:rPr>
              <w:t>及以上资格。</w:t>
            </w:r>
          </w:p>
          <w:p w14:paraId="19DC9562">
            <w:pPr>
              <w:pStyle w:val="5"/>
              <w:spacing w:before="31" w:line="260" w:lineRule="auto"/>
              <w:ind w:left="115" w:right="124" w:firstLine="4"/>
            </w:pPr>
            <w:r>
              <w:rPr>
                <w:spacing w:val="-1"/>
              </w:rPr>
              <w:t>4.银行金融服务机构具备保证金托管所必</w:t>
            </w:r>
            <w:r>
              <w:rPr>
                <w:spacing w:val="-2"/>
              </w:rPr>
              <w:t>需的设备、专业</w:t>
            </w:r>
            <w:r>
              <w:t xml:space="preserve"> </w:t>
            </w:r>
            <w:r>
              <w:rPr>
                <w:spacing w:val="-1"/>
              </w:rPr>
              <w:t>技术和服务能力。</w:t>
            </w:r>
          </w:p>
          <w:p w14:paraId="20BF3142">
            <w:pPr>
              <w:pStyle w:val="5"/>
              <w:spacing w:before="35" w:line="256" w:lineRule="auto"/>
              <w:ind w:left="106" w:right="102" w:firstLine="17"/>
              <w:jc w:val="both"/>
              <w:rPr>
                <w:rFonts w:hint="eastAsia" w:eastAsia="仿宋"/>
                <w:lang w:eastAsia="zh-CN"/>
              </w:rPr>
            </w:pPr>
            <w:r>
              <w:rPr>
                <w:spacing w:val="-2"/>
              </w:rPr>
              <w:t>5.具备与</w:t>
            </w:r>
            <w:r>
              <w:rPr>
                <w:rFonts w:hint="eastAsia"/>
                <w:spacing w:val="-1"/>
                <w:lang w:val="en-US" w:eastAsia="zh-CN"/>
              </w:rPr>
              <w:t>内蒙古自治区建设工程项目交易系统</w:t>
            </w:r>
            <w:r>
              <w:rPr>
                <w:spacing w:val="-1"/>
              </w:rPr>
              <w:t xml:space="preserve">、 </w:t>
            </w:r>
            <w:r>
              <w:rPr>
                <w:spacing w:val="-2"/>
              </w:rPr>
              <w:t>内蒙</w:t>
            </w:r>
            <w:r>
              <w:rPr>
                <w:spacing w:val="-3"/>
              </w:rPr>
              <w:t>古自治</w:t>
            </w:r>
            <w:r>
              <w:t>区政府采购云平台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财务记账系统（鄂尔多斯市艾特科技服务有限公司）完成</w:t>
            </w:r>
            <w:r>
              <w:rPr>
                <w:rFonts w:hint="eastAsia"/>
                <w:lang w:val="en-US" w:eastAsia="zh-Hans"/>
              </w:rPr>
              <w:t>对接，</w:t>
            </w:r>
            <w:r>
              <w:rPr>
                <w:rFonts w:hint="eastAsia"/>
                <w:lang w:val="en-US" w:eastAsia="zh-CN"/>
              </w:rPr>
              <w:t>确保对接后的系统</w:t>
            </w:r>
            <w:r>
              <w:rPr>
                <w:rFonts w:hint="eastAsia"/>
                <w:lang w:val="en-US" w:eastAsia="zh-Hans"/>
              </w:rPr>
              <w:t>能实现投标电子信息传输和保密功能，</w:t>
            </w:r>
            <w:r>
              <w:rPr>
                <w:rFonts w:hint="eastAsia"/>
                <w:lang w:val="en-US" w:eastAsia="zh-CN"/>
              </w:rPr>
              <w:t>且</w:t>
            </w:r>
            <w:r>
              <w:rPr>
                <w:rFonts w:hint="eastAsia"/>
                <w:lang w:val="en-US" w:eastAsia="zh-Hans"/>
              </w:rPr>
              <w:t>经联动测试合格</w:t>
            </w:r>
            <w:r>
              <w:rPr>
                <w:rFonts w:hint="eastAsia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688D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FBF2B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4849AEE">
            <w:pPr>
              <w:pStyle w:val="5"/>
              <w:spacing w:before="213" w:line="259" w:lineRule="auto"/>
              <w:ind w:left="239" w:right="110" w:hanging="116"/>
            </w:pPr>
            <w:r>
              <w:rPr>
                <w:spacing w:val="-2"/>
              </w:rPr>
              <w:t>响应征集文件规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范性、符合性</w:t>
            </w:r>
          </w:p>
        </w:tc>
        <w:tc>
          <w:tcPr>
            <w:tcW w:w="5469" w:type="dxa"/>
            <w:vAlign w:val="top"/>
          </w:tcPr>
          <w:p w14:paraId="09B098DA">
            <w:pPr>
              <w:pStyle w:val="5"/>
              <w:spacing w:before="58" w:line="218" w:lineRule="auto"/>
              <w:ind w:left="222"/>
            </w:pPr>
            <w:r>
              <w:rPr>
                <w:spacing w:val="1"/>
              </w:rPr>
              <w:t>响应征集电子文件须加盖公章、法人章且以</w:t>
            </w:r>
            <w:r>
              <w:t>PDF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格式递</w:t>
            </w:r>
          </w:p>
          <w:p w14:paraId="346609E8">
            <w:pPr>
              <w:pStyle w:val="5"/>
              <w:spacing w:before="64" w:line="247" w:lineRule="auto"/>
              <w:ind w:left="330" w:right="210" w:hanging="107"/>
            </w:pPr>
            <w:r>
              <w:rPr>
                <w:spacing w:val="-1"/>
              </w:rPr>
              <w:t>交，符合征集文件要求；应真实有效，无严重的编排混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乱、内容不全或字迹模糊辨认不清、前后矛盾情况。</w:t>
            </w:r>
          </w:p>
        </w:tc>
      </w:tr>
      <w:tr w14:paraId="629B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343852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87F537F">
            <w:pPr>
              <w:spacing w:line="453" w:lineRule="auto"/>
              <w:rPr>
                <w:rFonts w:ascii="Arial"/>
                <w:sz w:val="21"/>
              </w:rPr>
            </w:pPr>
          </w:p>
          <w:p w14:paraId="1EBC8BB1">
            <w:pPr>
              <w:pStyle w:val="5"/>
              <w:spacing w:before="68" w:line="218" w:lineRule="auto"/>
              <w:ind w:left="121"/>
            </w:pPr>
            <w:r>
              <w:rPr>
                <w:spacing w:val="-2"/>
              </w:rPr>
              <w:t>参加征集活动前</w:t>
            </w:r>
          </w:p>
          <w:p w14:paraId="34E860F7">
            <w:pPr>
              <w:pStyle w:val="5"/>
              <w:spacing w:before="63" w:line="216" w:lineRule="auto"/>
              <w:ind w:left="122"/>
            </w:pPr>
            <w:r>
              <w:rPr>
                <w:spacing w:val="-5"/>
              </w:rPr>
              <w:t>近年内，在经营</w:t>
            </w:r>
          </w:p>
          <w:p w14:paraId="4DF5F367">
            <w:pPr>
              <w:pStyle w:val="5"/>
              <w:spacing w:before="66" w:line="219" w:lineRule="auto"/>
              <w:ind w:left="128"/>
            </w:pPr>
            <w:r>
              <w:rPr>
                <w:spacing w:val="-3"/>
              </w:rPr>
              <w:t>活动中没有重大</w:t>
            </w:r>
          </w:p>
          <w:p w14:paraId="46169ED3">
            <w:pPr>
              <w:pStyle w:val="5"/>
              <w:spacing w:before="62" w:line="220" w:lineRule="auto"/>
              <w:ind w:left="434"/>
            </w:pPr>
            <w:r>
              <w:rPr>
                <w:spacing w:val="-2"/>
              </w:rPr>
              <w:t>违法记录</w:t>
            </w:r>
          </w:p>
        </w:tc>
        <w:tc>
          <w:tcPr>
            <w:tcW w:w="5469" w:type="dxa"/>
            <w:vAlign w:val="top"/>
          </w:tcPr>
          <w:p w14:paraId="1ECB9991">
            <w:pPr>
              <w:pStyle w:val="5"/>
              <w:spacing w:before="45" w:line="257" w:lineRule="auto"/>
              <w:ind w:left="119" w:right="136" w:firstLine="6"/>
            </w:pPr>
            <w:r>
              <w:rPr>
                <w:spacing w:val="-1"/>
              </w:rPr>
              <w:t>1.在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信用中国</w:t>
            </w:r>
            <w:r>
              <w:rPr>
                <w:rFonts w:ascii="等线" w:hAnsi="等线" w:eastAsia="等线" w:cs="等线"/>
                <w:spacing w:val="-1"/>
              </w:rPr>
              <w:t>”</w:t>
            </w:r>
            <w:r>
              <w:rPr>
                <w:spacing w:val="-1"/>
              </w:rPr>
              <w:t>网站（www.creditchina.gov.cn）和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中</w:t>
            </w:r>
            <w:r>
              <w:rPr>
                <w:spacing w:val="8"/>
              </w:rPr>
              <w:t xml:space="preserve">  </w:t>
            </w:r>
            <w:r>
              <w:t>国政府采购网</w:t>
            </w:r>
            <w:r>
              <w:rPr>
                <w:rFonts w:ascii="等线" w:hAnsi="等线" w:eastAsia="等线" w:cs="等线"/>
              </w:rPr>
              <w:t>”</w:t>
            </w:r>
            <w:r>
              <w:t>（www.ccgp.gov</w:t>
            </w:r>
            <w:r>
              <w:rPr>
                <w:spacing w:val="-1"/>
              </w:rPr>
              <w:t>.cn）未被列入有关违法违</w:t>
            </w:r>
            <w:r>
              <w:t xml:space="preserve"> </w:t>
            </w:r>
            <w:r>
              <w:rPr>
                <w:spacing w:val="-1"/>
              </w:rPr>
              <w:t>规记录，提供查询截图，投标文件须附复印件。</w:t>
            </w:r>
          </w:p>
          <w:p w14:paraId="04831091">
            <w:pPr>
              <w:pStyle w:val="5"/>
              <w:spacing w:before="26" w:line="260" w:lineRule="auto"/>
              <w:ind w:left="142" w:right="263" w:hanging="21"/>
            </w:pPr>
            <w:r>
              <w:rPr>
                <w:spacing w:val="-7"/>
              </w:rPr>
              <w:t>2.银行金融服务机构近三年来（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202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 日至今）</w:t>
            </w:r>
            <w:r>
              <w:t xml:space="preserve"> </w:t>
            </w:r>
            <w:r>
              <w:rPr>
                <w:spacing w:val="-4"/>
              </w:rPr>
              <w:t>内未受相关监管机构重大违规处罚。</w:t>
            </w:r>
          </w:p>
          <w:p w14:paraId="4567CA23">
            <w:pPr>
              <w:pStyle w:val="5"/>
              <w:spacing w:before="32" w:line="247" w:lineRule="auto"/>
              <w:ind w:left="115" w:right="145" w:firstLine="13"/>
            </w:pPr>
            <w:r>
              <w:rPr>
                <w:spacing w:val="-3"/>
              </w:rPr>
              <w:t>3.银行金融服务机构参加公开征集活动近三年内（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t xml:space="preserve"> 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 日至今）在经营活动中没有重大违</w:t>
            </w:r>
            <w:r>
              <w:rPr>
                <w:spacing w:val="-7"/>
              </w:rPr>
              <w:t>法违规记录。</w:t>
            </w:r>
          </w:p>
        </w:tc>
      </w:tr>
      <w:tr w14:paraId="68A9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FF298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113EEB9">
            <w:pPr>
              <w:spacing w:line="299" w:lineRule="auto"/>
              <w:rPr>
                <w:rFonts w:ascii="Arial"/>
                <w:sz w:val="21"/>
              </w:rPr>
            </w:pPr>
          </w:p>
          <w:p w14:paraId="633BA0AC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资质要求</w:t>
            </w:r>
          </w:p>
        </w:tc>
        <w:tc>
          <w:tcPr>
            <w:tcW w:w="5469" w:type="dxa"/>
            <w:vAlign w:val="top"/>
          </w:tcPr>
          <w:p w14:paraId="76EA6387">
            <w:pPr>
              <w:pStyle w:val="5"/>
              <w:spacing w:before="57" w:line="256" w:lineRule="auto"/>
              <w:ind w:left="111" w:right="102"/>
              <w:jc w:val="both"/>
            </w:pPr>
            <w:r>
              <w:t xml:space="preserve">银行金融服务机构属于国有商业银行、股份制商业银行或 地方商业银行性质，须具备银行业监督管理部门颁发的有 </w:t>
            </w:r>
            <w:r>
              <w:rPr>
                <w:spacing w:val="-6"/>
              </w:rPr>
              <w:t>效的《金融许可证》和《营业执照》。</w:t>
            </w:r>
          </w:p>
        </w:tc>
      </w:tr>
      <w:tr w14:paraId="56626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33CA5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CD1130D">
            <w:pPr>
              <w:pStyle w:val="5"/>
              <w:spacing w:before="57" w:line="219" w:lineRule="auto"/>
              <w:ind w:left="123"/>
            </w:pPr>
            <w:r>
              <w:rPr>
                <w:spacing w:val="-2"/>
              </w:rPr>
              <w:t>具有良好的商业</w:t>
            </w:r>
          </w:p>
          <w:p w14:paraId="620A19EB">
            <w:pPr>
              <w:pStyle w:val="5"/>
              <w:spacing w:before="63" w:line="218" w:lineRule="auto"/>
              <w:ind w:left="110"/>
            </w:pPr>
            <w:r>
              <w:t>信誉和健全的财</w:t>
            </w:r>
          </w:p>
          <w:p w14:paraId="038DAFF4">
            <w:pPr>
              <w:pStyle w:val="5"/>
              <w:spacing w:before="63" w:line="218" w:lineRule="auto"/>
              <w:ind w:left="330"/>
            </w:pPr>
            <w:r>
              <w:rPr>
                <w:spacing w:val="-2"/>
              </w:rPr>
              <w:t>务会计制度</w:t>
            </w:r>
          </w:p>
        </w:tc>
        <w:tc>
          <w:tcPr>
            <w:tcW w:w="5469" w:type="dxa"/>
            <w:vAlign w:val="top"/>
          </w:tcPr>
          <w:p w14:paraId="3A863489">
            <w:pPr>
              <w:spacing w:line="299" w:lineRule="auto"/>
              <w:rPr>
                <w:rFonts w:ascii="Arial"/>
                <w:sz w:val="21"/>
              </w:rPr>
            </w:pPr>
          </w:p>
          <w:p w14:paraId="3114E83D">
            <w:pPr>
              <w:pStyle w:val="5"/>
              <w:spacing w:before="69" w:line="219" w:lineRule="auto"/>
              <w:ind w:left="1004"/>
            </w:pPr>
            <w:r>
              <w:rPr>
                <w:spacing w:val="-2"/>
              </w:rPr>
              <w:t>提供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年度的审计报告或财务报表</w:t>
            </w:r>
          </w:p>
        </w:tc>
      </w:tr>
      <w:tr w14:paraId="75336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7BE3DD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97CE354">
            <w:pPr>
              <w:spacing w:line="305" w:lineRule="auto"/>
              <w:rPr>
                <w:rFonts w:ascii="Arial"/>
                <w:sz w:val="21"/>
              </w:rPr>
            </w:pPr>
          </w:p>
          <w:p w14:paraId="11D475B8">
            <w:pPr>
              <w:spacing w:line="305" w:lineRule="auto"/>
              <w:rPr>
                <w:rFonts w:ascii="Arial"/>
                <w:sz w:val="21"/>
              </w:rPr>
            </w:pPr>
          </w:p>
          <w:p w14:paraId="2A8A1E75">
            <w:pPr>
              <w:pStyle w:val="5"/>
              <w:spacing w:before="68" w:line="219" w:lineRule="auto"/>
              <w:ind w:left="433"/>
            </w:pPr>
            <w:r>
              <w:rPr>
                <w:spacing w:val="-2"/>
              </w:rPr>
              <w:t>人员要求</w:t>
            </w:r>
          </w:p>
        </w:tc>
        <w:tc>
          <w:tcPr>
            <w:tcW w:w="5469" w:type="dxa"/>
            <w:vAlign w:val="top"/>
          </w:tcPr>
          <w:p w14:paraId="6FC41097">
            <w:pPr>
              <w:pStyle w:val="5"/>
              <w:spacing w:before="58" w:line="263" w:lineRule="auto"/>
              <w:ind w:left="110" w:right="102"/>
              <w:jc w:val="both"/>
            </w:pPr>
            <w:r>
              <w:rPr>
                <w:spacing w:val="-1"/>
              </w:rPr>
              <w:t>银行金融服务机构需安排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名本单位业务素质高</w:t>
            </w:r>
            <w:r>
              <w:rPr>
                <w:spacing w:val="-2"/>
              </w:rPr>
              <w:t>、服务态</w:t>
            </w:r>
            <w:r>
              <w:t xml:space="preserve"> 度好、责任心强的工作人员做好保证金代收、代退等相关 工作，要求工作经验三年（含以上）的工作人员（需提供 相关工作人员的身份证、学历证明、工作证明和企业员工 </w:t>
            </w:r>
            <w:r>
              <w:rPr>
                <w:spacing w:val="-6"/>
              </w:rPr>
              <w:t>缴纳社保资金的凭证）。</w:t>
            </w:r>
          </w:p>
        </w:tc>
      </w:tr>
      <w:tr w14:paraId="292F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55EFAD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3C5B021">
            <w:pPr>
              <w:pStyle w:val="5"/>
              <w:spacing w:before="214" w:line="221" w:lineRule="auto"/>
              <w:ind w:left="538"/>
            </w:pPr>
            <w:r>
              <w:rPr>
                <w:spacing w:val="-2"/>
              </w:rPr>
              <w:t>承诺书</w:t>
            </w:r>
          </w:p>
        </w:tc>
        <w:tc>
          <w:tcPr>
            <w:tcW w:w="5469" w:type="dxa"/>
            <w:vAlign w:val="top"/>
          </w:tcPr>
          <w:p w14:paraId="74789537">
            <w:pPr>
              <w:pStyle w:val="5"/>
              <w:spacing w:before="59" w:line="249" w:lineRule="auto"/>
              <w:ind w:left="118" w:right="150" w:hanging="4"/>
            </w:pPr>
            <w:r>
              <w:rPr>
                <w:spacing w:val="-2"/>
              </w:rPr>
              <w:t>承诺退还保证金免除一切转账手续费用，资金往来</w:t>
            </w:r>
            <w:r>
              <w:rPr>
                <w:spacing w:val="-3"/>
              </w:rPr>
              <w:t>保密，</w:t>
            </w:r>
            <w:r>
              <w:t xml:space="preserve"> </w:t>
            </w:r>
            <w:r>
              <w:rPr>
                <w:spacing w:val="-6"/>
              </w:rPr>
              <w:t>并提供保密承诺等。（提供承诺书，格式自拟）</w:t>
            </w:r>
          </w:p>
        </w:tc>
      </w:tr>
    </w:tbl>
    <w:p w14:paraId="15DB1732">
      <w:pPr>
        <w:rPr>
          <w:rFonts w:ascii="Arial"/>
          <w:sz w:val="21"/>
        </w:rPr>
      </w:pPr>
    </w:p>
    <w:p w14:paraId="6C9B12D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2F13ACE">
      <w:pPr>
        <w:spacing w:line="91" w:lineRule="auto"/>
        <w:rPr>
          <w:rFonts w:ascii="Arial"/>
          <w:sz w:val="2"/>
        </w:rPr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63D7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CABC2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C513D05">
            <w:pPr>
              <w:spacing w:line="269" w:lineRule="auto"/>
              <w:rPr>
                <w:rFonts w:ascii="Arial"/>
                <w:sz w:val="21"/>
              </w:rPr>
            </w:pPr>
          </w:p>
          <w:p w14:paraId="404AD31F">
            <w:pPr>
              <w:spacing w:line="269" w:lineRule="auto"/>
              <w:rPr>
                <w:rFonts w:ascii="Arial"/>
                <w:sz w:val="21"/>
              </w:rPr>
            </w:pPr>
          </w:p>
          <w:p w14:paraId="02FA357F">
            <w:pPr>
              <w:spacing w:line="269" w:lineRule="auto"/>
              <w:rPr>
                <w:rFonts w:ascii="Arial"/>
                <w:sz w:val="21"/>
              </w:rPr>
            </w:pPr>
          </w:p>
          <w:p w14:paraId="20BCFDC7">
            <w:pPr>
              <w:spacing w:line="269" w:lineRule="auto"/>
              <w:rPr>
                <w:rFonts w:ascii="Arial"/>
                <w:sz w:val="21"/>
              </w:rPr>
            </w:pPr>
          </w:p>
          <w:p w14:paraId="45908305">
            <w:pPr>
              <w:pStyle w:val="5"/>
              <w:spacing w:before="68" w:line="218" w:lineRule="auto"/>
              <w:ind w:left="431"/>
            </w:pPr>
            <w:r>
              <w:rPr>
                <w:spacing w:val="-2"/>
              </w:rPr>
              <w:t>其他要求</w:t>
            </w:r>
          </w:p>
        </w:tc>
        <w:tc>
          <w:tcPr>
            <w:tcW w:w="5469" w:type="dxa"/>
            <w:vAlign w:val="top"/>
          </w:tcPr>
          <w:p w14:paraId="7DFE3474">
            <w:pPr>
              <w:pStyle w:val="5"/>
              <w:spacing w:before="57" w:line="269" w:lineRule="auto"/>
              <w:ind w:left="117" w:right="102" w:firstLine="9"/>
            </w:pPr>
            <w:r>
              <w:rPr>
                <w:spacing w:val="-1"/>
              </w:rPr>
              <w:t>1.银行金融服务机构</w:t>
            </w:r>
            <w:r>
              <w:rPr>
                <w:color w:val="auto"/>
                <w:spacing w:val="-1"/>
              </w:rPr>
              <w:t>不能</w:t>
            </w:r>
            <w:r>
              <w:rPr>
                <w:spacing w:val="-1"/>
              </w:rPr>
              <w:t>满足各级公共资源交易平台监管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需要的，各级公共资源交易平台可以自行调整银行金融服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务机构。银行金融服务机构未尽到相关义务，给当事人造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成损失的，应当依法承担赔偿责任。（提供承诺书，格式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自拟）</w:t>
            </w:r>
          </w:p>
          <w:p w14:paraId="006D75D8">
            <w:pPr>
              <w:pStyle w:val="5"/>
              <w:spacing w:before="32" w:line="256" w:lineRule="auto"/>
              <w:ind w:left="114" w:right="102" w:firstLine="7"/>
              <w:jc w:val="both"/>
            </w:pPr>
            <w:r>
              <w:rPr>
                <w:spacing w:val="-1"/>
              </w:rPr>
              <w:t>2.愿意遵守公共资源交易有关的法律法规及各级公共资源</w:t>
            </w:r>
            <w:r>
              <w:rPr>
                <w:spacing w:val="15"/>
              </w:rPr>
              <w:t xml:space="preserve"> </w:t>
            </w:r>
            <w:r>
              <w:t>交易平台关于保证金管理的有关要求，并承担政</w:t>
            </w:r>
            <w:r>
              <w:rPr>
                <w:spacing w:val="-1"/>
              </w:rPr>
              <w:t>策不确定</w:t>
            </w:r>
            <w:r>
              <w:t xml:space="preserve"> </w:t>
            </w:r>
            <w:r>
              <w:rPr>
                <w:spacing w:val="-5"/>
              </w:rPr>
              <w:t>风险及业务风险的承诺。（提供承诺书，格式自拟）</w:t>
            </w:r>
          </w:p>
        </w:tc>
      </w:tr>
      <w:tr w14:paraId="3281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359726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267EFBF">
            <w:pPr>
              <w:pStyle w:val="5"/>
              <w:spacing w:before="133" w:line="219" w:lineRule="auto"/>
              <w:ind w:left="225"/>
            </w:pPr>
            <w:r>
              <w:rPr>
                <w:spacing w:val="-2"/>
              </w:rPr>
              <w:t>服务需求内容</w:t>
            </w:r>
          </w:p>
        </w:tc>
        <w:tc>
          <w:tcPr>
            <w:tcW w:w="5469" w:type="dxa"/>
            <w:vAlign w:val="top"/>
          </w:tcPr>
          <w:p w14:paraId="042429FC">
            <w:pPr>
              <w:pStyle w:val="5"/>
              <w:spacing w:before="133" w:line="217" w:lineRule="auto"/>
              <w:ind w:left="430"/>
            </w:pPr>
            <w:r>
              <w:rPr>
                <w:spacing w:val="-2"/>
              </w:rPr>
              <w:t>服务内容明确并实质性满足交易平台的相关要求。</w:t>
            </w:r>
          </w:p>
        </w:tc>
      </w:tr>
      <w:tr w14:paraId="4BE24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34" w:type="dxa"/>
            <w:vAlign w:val="top"/>
          </w:tcPr>
          <w:p w14:paraId="5B05817D">
            <w:pPr>
              <w:pStyle w:val="5"/>
              <w:spacing w:before="272" w:line="221" w:lineRule="auto"/>
              <w:ind w:left="363"/>
            </w:pPr>
            <w:r>
              <w:rPr>
                <w:spacing w:val="-3"/>
              </w:rPr>
              <w:t>备注</w:t>
            </w:r>
          </w:p>
        </w:tc>
        <w:tc>
          <w:tcPr>
            <w:tcW w:w="1699" w:type="dxa"/>
            <w:vAlign w:val="top"/>
          </w:tcPr>
          <w:p w14:paraId="6DB391E1">
            <w:pPr>
              <w:spacing w:line="326" w:lineRule="auto"/>
              <w:rPr>
                <w:rFonts w:ascii="Arial"/>
                <w:sz w:val="21"/>
              </w:rPr>
            </w:pPr>
          </w:p>
          <w:p w14:paraId="4F3F0139">
            <w:pPr>
              <w:pStyle w:val="5"/>
              <w:spacing w:before="68" w:line="220" w:lineRule="auto"/>
              <w:ind w:left="434"/>
            </w:pPr>
            <w:r>
              <w:rPr>
                <w:spacing w:val="-2"/>
              </w:rPr>
              <w:t>特别说明</w:t>
            </w:r>
          </w:p>
        </w:tc>
        <w:tc>
          <w:tcPr>
            <w:tcW w:w="5469" w:type="dxa"/>
            <w:vAlign w:val="top"/>
          </w:tcPr>
          <w:p w14:paraId="2EF4BED7">
            <w:pPr>
              <w:pStyle w:val="5"/>
              <w:spacing w:before="84" w:line="264" w:lineRule="auto"/>
              <w:ind w:left="109" w:right="102" w:firstLine="4"/>
            </w:pPr>
            <w:r>
              <w:rPr>
                <w:spacing w:val="-5"/>
              </w:rPr>
              <w:t>说明：投标人提供的《信用查询结果》、中国政府采购网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查询截图中，如有失信记录的，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已处理失信情况则需要提</w:t>
            </w:r>
            <w:r>
              <w:t xml:space="preserve"> </w:t>
            </w:r>
            <w:r>
              <w:rPr>
                <w:spacing w:val="-3"/>
              </w:rPr>
              <w:t>供已处理证明材料。</w:t>
            </w:r>
          </w:p>
        </w:tc>
      </w:tr>
    </w:tbl>
    <w:p w14:paraId="0245149A">
      <w:pPr>
        <w:rPr>
          <w:rFonts w:ascii="Arial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4B58B3"/>
    <w:rsid w:val="3BF830BC"/>
    <w:rsid w:val="500128DE"/>
    <w:rsid w:val="621F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1088</Words>
  <Characters>1144</Characters>
  <TotalTime>0</TotalTime>
  <ScaleCrop>false</ScaleCrop>
  <LinksUpToDate>false</LinksUpToDate>
  <CharactersWithSpaces>1200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乌翰</cp:lastModifiedBy>
  <dcterms:modified xsi:type="dcterms:W3CDTF">2025-12-18T02:20:49Z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2025-03-05T10:08:33Z</vt:filetime>
  </property>
  <property fmtid="{D5CDD505-2E9C-101B-9397-08002B2CF9AE}" pid="4" name="KSOTemplateDocerSaveRecord">
    <vt:lpwstr>eyJoZGlkIjoiMDZjNTI2ODU0NDY2YjBiMzNkYzUwNzEzNzU3NGU1MzQiLCJ1c2VySWQiOiI1MTI5MzY3NzIifQ==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6C0056D3FF81414191B672D4222987EA_12</vt:lpwstr>
  </property>
</Properties>
</file>