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hint="eastAsia" w:ascii="宋体" w:hAnsi="宋体"/>
          <w:b/>
          <w:bCs/>
          <w:spacing w:val="36"/>
          <w:w w:val="66"/>
          <w:sz w:val="72"/>
          <w:szCs w:val="72"/>
        </w:rPr>
      </w:pP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鄂尔多斯市</w:t>
      </w:r>
      <w:r>
        <w:rPr>
          <w:rFonts w:hint="eastAsia" w:ascii="宋体" w:hAnsi="宋体"/>
          <w:b/>
          <w:bCs/>
          <w:spacing w:val="36"/>
          <w:w w:val="66"/>
          <w:sz w:val="72"/>
          <w:szCs w:val="72"/>
          <w:lang w:eastAsia="zh-CN"/>
        </w:rPr>
        <w:t>准格尔旗公共资源交易</w:t>
      </w:r>
      <w:r>
        <w:rPr>
          <w:rFonts w:hint="eastAsia" w:ascii="宋体" w:hAnsi="宋体"/>
          <w:b/>
          <w:bCs/>
          <w:spacing w:val="36"/>
          <w:w w:val="66"/>
          <w:sz w:val="72"/>
          <w:szCs w:val="72"/>
        </w:rPr>
        <w:t>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招 标 文 件</w:t>
      </w:r>
    </w:p>
    <w:p>
      <w:pPr>
        <w:tabs>
          <w:tab w:val="left" w:pos="315"/>
          <w:tab w:val="left" w:pos="8820"/>
        </w:tabs>
        <w:spacing w:line="360" w:lineRule="auto"/>
        <w:ind w:right="356" w:rightChars="127"/>
        <w:rPr>
          <w:rFonts w:ascii="宋体" w:hAnsi="宋体"/>
          <w:b/>
          <w:kern w:val="0"/>
          <w:szCs w:val="28"/>
          <w:lang w:val="zh-CN"/>
        </w:rPr>
      </w:pP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b/>
          <w:szCs w:val="28"/>
          <w:lang w:val="en-US" w:eastAsia="zh-CN"/>
        </w:rPr>
        <w:t xml:space="preserve"> </w:t>
      </w:r>
      <w:r>
        <w:rPr>
          <w:rFonts w:hint="eastAsia" w:ascii="宋体" w:hAnsi="宋体"/>
          <w:szCs w:val="28"/>
        </w:rPr>
        <w:t xml:space="preserve">    </w:t>
      </w:r>
    </w:p>
    <w:p>
      <w:pPr>
        <w:pStyle w:val="12"/>
        <w:spacing w:line="360" w:lineRule="auto"/>
        <w:ind w:left="2476" w:leftChars="337" w:hanging="1532" w:hangingChars="545"/>
        <w:rPr>
          <w:rFonts w:ascii="宋体" w:hAnsi="宋体" w:eastAsia="宋体"/>
          <w:szCs w:val="28"/>
        </w:rPr>
      </w:pPr>
      <w:r>
        <w:rPr>
          <w:rFonts w:hint="eastAsia" w:ascii="宋体" w:hAnsi="宋体" w:eastAsia="宋体"/>
          <w:szCs w:val="28"/>
        </w:rPr>
        <w:t>项目名称：</w:t>
      </w:r>
      <w:r>
        <w:rPr>
          <w:rFonts w:hint="eastAsia" w:ascii="宋体" w:hAnsi="宋体" w:eastAsia="宋体"/>
          <w:szCs w:val="28"/>
          <w:lang w:eastAsia="zh-CN"/>
        </w:rPr>
        <w:t>准格尔旗医疗保险资金管理局采购城乡居民无责意外伤害补偿商业保险</w:t>
      </w:r>
    </w:p>
    <w:p>
      <w:pPr>
        <w:pStyle w:val="12"/>
        <w:spacing w:line="360" w:lineRule="auto"/>
        <w:ind w:left="2335" w:leftChars="337" w:hanging="1391" w:hangingChars="495"/>
        <w:rPr>
          <w:rFonts w:ascii="宋体" w:hAnsi="宋体" w:eastAsia="宋体"/>
          <w:szCs w:val="28"/>
          <w:lang w:val="en-US"/>
        </w:rPr>
      </w:pPr>
      <w:r>
        <w:rPr>
          <w:rFonts w:hint="eastAsia" w:ascii="宋体" w:hAnsi="宋体" w:eastAsia="宋体"/>
          <w:szCs w:val="28"/>
        </w:rPr>
        <w:t>项目编号：</w:t>
      </w:r>
      <w:r>
        <w:rPr>
          <w:rFonts w:hint="eastAsia" w:ascii="宋体" w:hAnsi="宋体" w:eastAsia="宋体"/>
          <w:szCs w:val="28"/>
          <w:lang w:val="en-US" w:eastAsia="zh-CN"/>
        </w:rPr>
        <w:t>2018-CG-G-035A</w:t>
      </w:r>
    </w:p>
    <w:p>
      <w:pPr>
        <w:pStyle w:val="12"/>
        <w:spacing w:line="360" w:lineRule="auto"/>
        <w:rPr>
          <w:rFonts w:ascii="宋体" w:hAnsi="宋体" w:eastAsia="宋体"/>
          <w:szCs w:val="28"/>
        </w:rPr>
      </w:pPr>
    </w:p>
    <w:p>
      <w:pPr>
        <w:rPr>
          <w:rFonts w:ascii="宋体" w:hAnsi="宋体"/>
          <w:szCs w:val="28"/>
        </w:rPr>
      </w:pPr>
      <w:r>
        <w:rPr>
          <w:rFonts w:hint="eastAsia" w:ascii="宋体" w:hAnsi="宋体"/>
          <w:szCs w:val="28"/>
        </w:rPr>
        <w:t xml:space="preserve">                   </w:t>
      </w:r>
      <w:r>
        <w:rPr>
          <w:rFonts w:hint="eastAsia" w:ascii="宋体" w:hAnsi="宋体"/>
          <w:szCs w:val="28"/>
          <w:lang w:val="en-US" w:eastAsia="zh-CN"/>
        </w:rPr>
        <w:t xml:space="preserve">                          </w:t>
      </w:r>
      <w:r>
        <w:rPr>
          <w:rFonts w:hint="eastAsia" w:ascii="宋体" w:hAnsi="宋体"/>
          <w:szCs w:val="28"/>
        </w:rPr>
        <w:t>20</w:t>
      </w:r>
      <w:r>
        <w:rPr>
          <w:rFonts w:hint="eastAsia" w:ascii="宋体" w:hAnsi="宋体"/>
          <w:szCs w:val="28"/>
          <w:lang w:val="en-US" w:eastAsia="zh-CN"/>
        </w:rPr>
        <w:t>18</w:t>
      </w:r>
      <w:r>
        <w:rPr>
          <w:rFonts w:hint="eastAsia" w:ascii="宋体" w:hAnsi="宋体"/>
          <w:szCs w:val="28"/>
        </w:rPr>
        <w:t>年</w:t>
      </w:r>
      <w:r>
        <w:rPr>
          <w:rFonts w:hint="eastAsia" w:ascii="宋体" w:hAnsi="宋体"/>
          <w:szCs w:val="28"/>
          <w:lang w:val="en-US" w:eastAsia="zh-CN"/>
        </w:rPr>
        <w:t>7</w:t>
      </w:r>
      <w:r>
        <w:rPr>
          <w:rFonts w:hint="eastAsia" w:ascii="宋体" w:hAnsi="宋体"/>
          <w:szCs w:val="28"/>
        </w:rPr>
        <w:t>月</w:t>
      </w:r>
      <w:r>
        <w:rPr>
          <w:rFonts w:hint="eastAsia" w:ascii="宋体" w:hAnsi="宋体"/>
          <w:szCs w:val="28"/>
          <w:lang w:val="en-US" w:eastAsia="zh-CN"/>
        </w:rPr>
        <w:t>5</w:t>
      </w:r>
      <w:r>
        <w:rPr>
          <w:rFonts w:hint="eastAsia" w:ascii="宋体" w:hAnsi="宋体"/>
          <w:szCs w:val="28"/>
        </w:rPr>
        <w:t>日</w:t>
      </w:r>
    </w:p>
    <w:p>
      <w:pPr>
        <w:rPr>
          <w:rFonts w:ascii="宋体" w:hAnsi="宋体"/>
          <w:szCs w:val="28"/>
        </w:rPr>
      </w:pPr>
      <w:r>
        <w:rPr>
          <w:rFonts w:ascii="宋体" w:hAnsi="宋体"/>
          <w:szCs w:val="28"/>
        </w:rPr>
        <w:br w:type="page"/>
      </w:r>
    </w:p>
    <w:p>
      <w:pPr>
        <w:pStyle w:val="51"/>
        <w:keepNext w:val="0"/>
        <w:keepLines w:val="0"/>
        <w:spacing w:before="0" w:line="360" w:lineRule="auto"/>
        <w:jc w:val="center"/>
        <w:rPr>
          <w:rFonts w:ascii="宋体" w:hAnsi="宋体"/>
          <w:color w:val="auto"/>
        </w:rPr>
      </w:pPr>
      <w:r>
        <w:rPr>
          <w:rFonts w:hint="eastAsia" w:ascii="宋体" w:hAnsi="宋体"/>
          <w:color w:val="auto"/>
        </w:rPr>
        <w:t>目   录</w:t>
      </w:r>
    </w:p>
    <w:p>
      <w:pPr>
        <w:pStyle w:val="19"/>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"_Toc497408623" </w:instrText>
      </w:r>
      <w:r>
        <w:fldChar w:fldCharType="separate"/>
      </w:r>
      <w:r>
        <w:rPr>
          <w:rStyle w:val="31"/>
          <w:rFonts w:hint="eastAsia" w:ascii="宋体" w:hAnsi="宋体"/>
          <w:color w:val="auto"/>
        </w:rPr>
        <w:t>第一章</w:t>
      </w:r>
      <w:r>
        <w:rPr>
          <w:rStyle w:val="31"/>
          <w:rFonts w:ascii="宋体" w:hAnsi="宋体"/>
          <w:color w:val="auto"/>
        </w:rPr>
        <w:t xml:space="preserve"> </w:t>
      </w:r>
      <w:r>
        <w:rPr>
          <w:rStyle w:val="31"/>
          <w:rFonts w:hint="eastAsia" w:ascii="宋体" w:hAnsi="宋体"/>
          <w:color w:val="auto"/>
        </w:rPr>
        <w:t>招标公告</w:t>
      </w:r>
      <w:r>
        <w:tab/>
      </w:r>
      <w:r>
        <w:fldChar w:fldCharType="begin"/>
      </w:r>
      <w:r>
        <w:instrText xml:space="preserve"> PAGEREF _Toc497408623 \h </w:instrText>
      </w:r>
      <w:r>
        <w:fldChar w:fldCharType="separate"/>
      </w:r>
      <w:r>
        <w:t>2</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"_Toc497408624" </w:instrText>
      </w:r>
      <w:r>
        <w:fldChar w:fldCharType="separate"/>
      </w:r>
      <w:r>
        <w:rPr>
          <w:rStyle w:val="31"/>
          <w:rFonts w:hint="eastAsia" w:ascii="宋体" w:hAnsi="宋体"/>
          <w:color w:val="auto"/>
        </w:rPr>
        <w:t>第二章</w:t>
      </w:r>
      <w:r>
        <w:rPr>
          <w:rStyle w:val="31"/>
          <w:rFonts w:ascii="宋体" w:hAnsi="宋体"/>
          <w:color w:val="auto"/>
        </w:rPr>
        <w:t xml:space="preserve"> </w:t>
      </w:r>
      <w:r>
        <w:rPr>
          <w:rStyle w:val="31"/>
          <w:rFonts w:hint="eastAsia" w:ascii="宋体" w:hAnsi="宋体"/>
          <w:color w:val="auto"/>
        </w:rPr>
        <w:t>投标人须知</w:t>
      </w:r>
      <w:r>
        <w:tab/>
      </w:r>
      <w:r>
        <w:fldChar w:fldCharType="begin"/>
      </w:r>
      <w:r>
        <w:instrText xml:space="preserve"> PAGEREF _Toc497408624 \h </w:instrText>
      </w:r>
      <w:r>
        <w:fldChar w:fldCharType="separate"/>
      </w:r>
      <w:r>
        <w:t>4</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"_Toc497408625" </w:instrText>
      </w:r>
      <w:r>
        <w:fldChar w:fldCharType="separate"/>
      </w:r>
      <w:r>
        <w:rPr>
          <w:rStyle w:val="31"/>
          <w:rFonts w:hint="eastAsia" w:ascii="宋体" w:hAnsi="宋体" w:cs="宋体"/>
          <w:color w:val="auto"/>
        </w:rPr>
        <w:t>第三章</w:t>
      </w:r>
      <w:r>
        <w:rPr>
          <w:rStyle w:val="31"/>
          <w:rFonts w:ascii="宋体" w:hAnsi="宋体" w:cs="宋体"/>
          <w:color w:val="auto"/>
        </w:rPr>
        <w:t xml:space="preserve"> </w:t>
      </w:r>
      <w:r>
        <w:rPr>
          <w:rStyle w:val="31"/>
          <w:rFonts w:hint="eastAsia" w:ascii="宋体" w:hAnsi="宋体" w:cs="宋体"/>
          <w:color w:val="auto"/>
        </w:rPr>
        <w:t>合同与验收</w:t>
      </w:r>
      <w:r>
        <w:tab/>
      </w:r>
      <w:r>
        <w:fldChar w:fldCharType="begin"/>
      </w:r>
      <w:r>
        <w:instrText xml:space="preserve"> PAGEREF _Toc497408625 \h </w:instrText>
      </w:r>
      <w:r>
        <w:fldChar w:fldCharType="separate"/>
      </w:r>
      <w:r>
        <w:t>16</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"_Toc497408626" </w:instrText>
      </w:r>
      <w:r>
        <w:fldChar w:fldCharType="separate"/>
      </w:r>
      <w:r>
        <w:rPr>
          <w:rStyle w:val="31"/>
          <w:rFonts w:hint="eastAsia" w:ascii="宋体" w:hAnsi="宋体"/>
          <w:color w:val="auto"/>
          <w:kern w:val="44"/>
          <w:lang w:val="zh-CN"/>
        </w:rPr>
        <w:t>第四章</w:t>
      </w:r>
      <w:r>
        <w:rPr>
          <w:rStyle w:val="31"/>
          <w:rFonts w:ascii="宋体" w:hAnsi="宋体"/>
          <w:color w:val="auto"/>
          <w:kern w:val="44"/>
          <w:lang w:val="zh-CN"/>
        </w:rPr>
        <w:t xml:space="preserve"> </w:t>
      </w:r>
      <w:r>
        <w:rPr>
          <w:rStyle w:val="31"/>
          <w:rFonts w:hint="eastAsia" w:ascii="宋体" w:hAnsi="宋体"/>
          <w:color w:val="auto"/>
          <w:kern w:val="44"/>
          <w:lang w:val="zh-CN"/>
        </w:rPr>
        <w:t>服务需求</w:t>
      </w:r>
      <w:r>
        <w:tab/>
      </w:r>
      <w:r>
        <w:fldChar w:fldCharType="begin"/>
      </w:r>
      <w:r>
        <w:instrText xml:space="preserve"> PAGEREF _Toc497408626 \h </w:instrText>
      </w:r>
      <w:r>
        <w:fldChar w:fldCharType="separate"/>
      </w:r>
      <w:r>
        <w:t>19</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"_Toc497408627" </w:instrText>
      </w:r>
      <w:r>
        <w:fldChar w:fldCharType="separate"/>
      </w:r>
      <w:r>
        <w:rPr>
          <w:rStyle w:val="31"/>
          <w:rFonts w:hint="eastAsia" w:ascii="宋体" w:hAnsi="宋体"/>
          <w:color w:val="auto"/>
          <w:kern w:val="44"/>
          <w:lang w:val="zh-CN"/>
        </w:rPr>
        <w:t>第五章</w:t>
      </w:r>
      <w:r>
        <w:rPr>
          <w:rStyle w:val="31"/>
          <w:rFonts w:ascii="宋体" w:hAnsi="宋体"/>
          <w:color w:val="auto"/>
          <w:kern w:val="44"/>
          <w:lang w:val="zh-CN"/>
        </w:rPr>
        <w:t xml:space="preserve"> </w:t>
      </w:r>
      <w:r>
        <w:rPr>
          <w:rStyle w:val="31"/>
          <w:rFonts w:hint="eastAsia" w:ascii="宋体" w:hAnsi="宋体"/>
          <w:color w:val="auto"/>
          <w:kern w:val="44"/>
          <w:lang w:val="zh-CN"/>
        </w:rPr>
        <w:t>投标人资格证明及相关文件要求</w:t>
      </w:r>
      <w:r>
        <w:tab/>
      </w:r>
      <w:r>
        <w:fldChar w:fldCharType="begin"/>
      </w:r>
      <w:r>
        <w:instrText xml:space="preserve"> PAGEREF _Toc497408627 \h </w:instrText>
      </w:r>
      <w:r>
        <w:fldChar w:fldCharType="separate"/>
      </w:r>
      <w:r>
        <w:t>20</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"_Toc497408628" </w:instrText>
      </w:r>
      <w:r>
        <w:fldChar w:fldCharType="separate"/>
      </w:r>
      <w:r>
        <w:rPr>
          <w:rStyle w:val="31"/>
          <w:rFonts w:hint="eastAsia" w:ascii="宋体" w:hAnsi="宋体"/>
          <w:color w:val="auto"/>
          <w:kern w:val="44"/>
          <w:lang w:val="zh-CN"/>
        </w:rPr>
        <w:t>第六章</w:t>
      </w:r>
      <w:r>
        <w:rPr>
          <w:rStyle w:val="31"/>
          <w:rFonts w:ascii="宋体" w:hAnsi="宋体"/>
          <w:color w:val="auto"/>
          <w:kern w:val="44"/>
          <w:lang w:val="zh-CN"/>
        </w:rPr>
        <w:t xml:space="preserve"> </w:t>
      </w:r>
      <w:r>
        <w:rPr>
          <w:rStyle w:val="31"/>
          <w:rFonts w:hint="eastAsia" w:ascii="宋体" w:hAnsi="宋体"/>
          <w:color w:val="auto"/>
          <w:kern w:val="44"/>
          <w:lang w:val="zh-CN"/>
        </w:rPr>
        <w:t>评标办法（综合评分法）</w:t>
      </w:r>
      <w:r>
        <w:tab/>
      </w:r>
      <w:r>
        <w:fldChar w:fldCharType="begin"/>
      </w:r>
      <w:r>
        <w:instrText xml:space="preserve"> PAGEREF _Toc497408628 \h </w:instrText>
      </w:r>
      <w:r>
        <w:fldChar w:fldCharType="separate"/>
      </w:r>
      <w:r>
        <w:t>21</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"_Toc497408629" </w:instrText>
      </w:r>
      <w:r>
        <w:fldChar w:fldCharType="separate"/>
      </w:r>
      <w:r>
        <w:rPr>
          <w:rStyle w:val="31"/>
          <w:rFonts w:hint="eastAsia" w:ascii="宋体" w:hAnsi="宋体"/>
          <w:color w:val="auto"/>
        </w:rPr>
        <w:t>第七章</w:t>
      </w:r>
      <w:r>
        <w:rPr>
          <w:rStyle w:val="31"/>
          <w:rFonts w:ascii="宋体" w:hAnsi="宋体"/>
          <w:color w:val="auto"/>
        </w:rPr>
        <w:t xml:space="preserve"> </w:t>
      </w:r>
      <w:r>
        <w:rPr>
          <w:rStyle w:val="31"/>
          <w:rFonts w:hint="eastAsia" w:ascii="宋体" w:hAnsi="宋体"/>
          <w:color w:val="auto"/>
        </w:rPr>
        <w:t>投标文件格式与要求</w:t>
      </w:r>
      <w:r>
        <w:tab/>
      </w:r>
      <w:r>
        <w:fldChar w:fldCharType="begin"/>
      </w:r>
      <w:r>
        <w:instrText xml:space="preserve"> PAGEREF _Toc497408629 \h </w:instrText>
      </w:r>
      <w:r>
        <w:fldChar w:fldCharType="separate"/>
      </w:r>
      <w:r>
        <w:t>25</w:t>
      </w:r>
      <w:r>
        <w:fldChar w:fldCharType="end"/>
      </w:r>
      <w:r>
        <w:fldChar w:fldCharType="end"/>
      </w:r>
    </w:p>
    <w:p>
      <w:pPr>
        <w:pStyle w:val="1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"_Toc497408630" </w:instrText>
      </w:r>
      <w:r>
        <w:fldChar w:fldCharType="separate"/>
      </w:r>
      <w:r>
        <w:rPr>
          <w:rStyle w:val="31"/>
          <w:rFonts w:hint="eastAsia" w:ascii="宋体" w:hAnsi="宋体"/>
          <w:color w:val="auto"/>
          <w:lang w:val="zh-CN"/>
        </w:rPr>
        <w:t>温馨提示</w:t>
      </w:r>
      <w:r>
        <w:tab/>
      </w:r>
      <w:r>
        <w:fldChar w:fldCharType="begin"/>
      </w:r>
      <w:r>
        <w:instrText xml:space="preserve"> PAGEREF _Toc497408630 \h </w:instrText>
      </w:r>
      <w:r>
        <w:fldChar w:fldCharType="separate"/>
      </w:r>
      <w:r>
        <w:t>51</w:t>
      </w:r>
      <w:r>
        <w:fldChar w:fldCharType="end"/>
      </w:r>
      <w:r>
        <w:fldChar w:fldCharType="end"/>
      </w:r>
    </w:p>
    <w:p>
      <w:pPr>
        <w:outlineLvl w:val="0"/>
        <w:rPr>
          <w:rFonts w:ascii="宋体" w:hAnsi="宋体"/>
          <w:b/>
          <w:szCs w:val="28"/>
        </w:rPr>
      </w:pPr>
      <w:r>
        <w:rPr>
          <w:rFonts w:ascii="宋体" w:hAnsi="宋体"/>
          <w:b/>
          <w:szCs w:val="28"/>
        </w:rPr>
        <w:fldChar w:fldCharType="end"/>
      </w:r>
      <w:r>
        <w:rPr>
          <w:rFonts w:ascii="宋体" w:hAnsi="宋体"/>
          <w:b/>
          <w:szCs w:val="28"/>
        </w:rPr>
        <w:br w:type="page"/>
      </w:r>
    </w:p>
    <w:p>
      <w:pPr>
        <w:jc w:val="center"/>
        <w:outlineLvl w:val="0"/>
        <w:rPr>
          <w:rFonts w:ascii="宋体" w:hAnsi="宋体"/>
          <w:b/>
          <w:sz w:val="24"/>
          <w:szCs w:val="24"/>
        </w:rPr>
      </w:pPr>
      <w:bookmarkStart w:id="0" w:name="_Toc497408623"/>
      <w:r>
        <w:rPr>
          <w:rFonts w:hint="eastAsia" w:ascii="宋体" w:hAnsi="宋体"/>
          <w:b/>
          <w:sz w:val="24"/>
          <w:szCs w:val="24"/>
        </w:rPr>
        <w:t>第一章 招标公告</w:t>
      </w:r>
      <w:bookmarkEnd w:id="0"/>
    </w:p>
    <w:p>
      <w:pPr>
        <w:spacing w:line="360" w:lineRule="auto"/>
        <w:rPr>
          <w:rFonts w:ascii="宋体" w:hAnsi="宋体"/>
          <w:sz w:val="24"/>
          <w:szCs w:val="24"/>
        </w:rPr>
      </w:pPr>
      <w:r>
        <w:rPr>
          <w:rFonts w:hint="eastAsia" w:ascii="宋体" w:hAnsi="宋体"/>
          <w:b/>
          <w:sz w:val="24"/>
          <w:szCs w:val="24"/>
          <w:lang w:eastAsia="zh-CN"/>
        </w:rPr>
        <w:t>准格尔旗医疗保险资金管理局采购城乡居民无责意外伤害补偿商业保险</w:t>
      </w:r>
      <w:r>
        <w:rPr>
          <w:rFonts w:hint="eastAsia" w:ascii="宋体" w:hAnsi="宋体"/>
          <w:b/>
          <w:sz w:val="24"/>
          <w:szCs w:val="24"/>
        </w:rPr>
        <w:t>公开招标公告</w:t>
      </w:r>
    </w:p>
    <w:p>
      <w:pPr>
        <w:spacing w:line="360" w:lineRule="auto"/>
        <w:ind w:firstLine="600" w:firstLineChars="250"/>
        <w:rPr>
          <w:rFonts w:ascii="宋体" w:hAnsi="宋体"/>
          <w:sz w:val="24"/>
          <w:szCs w:val="24"/>
        </w:rPr>
      </w:pPr>
      <w:r>
        <w:rPr>
          <w:rFonts w:hint="eastAsia" w:ascii="宋体" w:hAnsi="宋体"/>
          <w:sz w:val="24"/>
          <w:szCs w:val="24"/>
        </w:rPr>
        <w:t>鄂尔多斯市</w:t>
      </w:r>
      <w:r>
        <w:rPr>
          <w:rFonts w:hint="eastAsia" w:ascii="宋体" w:hAnsi="宋体"/>
          <w:sz w:val="24"/>
          <w:szCs w:val="24"/>
          <w:lang w:eastAsia="zh-CN"/>
        </w:rPr>
        <w:t>准格尔公共资源交易</w:t>
      </w:r>
      <w:r>
        <w:rPr>
          <w:rFonts w:hint="eastAsia" w:ascii="宋体" w:hAnsi="宋体"/>
          <w:sz w:val="24"/>
          <w:szCs w:val="24"/>
        </w:rPr>
        <w:t>中心受</w:t>
      </w:r>
      <w:r>
        <w:rPr>
          <w:rFonts w:hint="eastAsia" w:ascii="宋体" w:hAnsi="宋体"/>
          <w:sz w:val="24"/>
          <w:szCs w:val="24"/>
          <w:lang w:eastAsia="zh-CN"/>
        </w:rPr>
        <w:t>准格尔旗医疗保险资金管理局</w:t>
      </w:r>
      <w:r>
        <w:rPr>
          <w:rFonts w:hint="eastAsia" w:ascii="宋体" w:hAnsi="宋体"/>
          <w:sz w:val="24"/>
          <w:szCs w:val="24"/>
        </w:rPr>
        <w:t>委托，采用公开招标方式组织采购</w:t>
      </w:r>
      <w:r>
        <w:rPr>
          <w:rFonts w:hint="eastAsia" w:ascii="宋体" w:hAnsi="宋体"/>
          <w:sz w:val="24"/>
          <w:szCs w:val="24"/>
          <w:lang w:eastAsia="zh-CN"/>
        </w:rPr>
        <w:t>城乡居民无责意外伤害补偿商业保险</w:t>
      </w:r>
      <w:r>
        <w:rPr>
          <w:rFonts w:hint="eastAsia" w:ascii="宋体" w:hAnsi="宋体"/>
          <w:sz w:val="24"/>
          <w:szCs w:val="24"/>
        </w:rPr>
        <w:t>。欢迎符合资格条件的投标人前来报名参加。</w:t>
      </w:r>
    </w:p>
    <w:p>
      <w:pPr>
        <w:spacing w:line="360" w:lineRule="auto"/>
        <w:rPr>
          <w:rFonts w:ascii="宋体" w:hAnsi="宋体"/>
          <w:b/>
          <w:sz w:val="24"/>
          <w:szCs w:val="24"/>
        </w:rPr>
      </w:pPr>
      <w:r>
        <w:rPr>
          <w:rFonts w:hint="eastAsia" w:ascii="宋体" w:hAnsi="宋体"/>
          <w:b/>
          <w:sz w:val="24"/>
          <w:szCs w:val="24"/>
        </w:rPr>
        <w:t>一.项目概述</w:t>
      </w:r>
    </w:p>
    <w:p>
      <w:pPr>
        <w:pStyle w:val="50"/>
        <w:spacing w:line="360" w:lineRule="auto"/>
        <w:ind w:firstLine="480"/>
        <w:rPr>
          <w:rFonts w:ascii="宋体" w:hAnsi="宋体"/>
          <w:b/>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val="en-US"/>
        </w:rPr>
      </w:pPr>
      <w:r>
        <w:rPr>
          <w:rFonts w:hint="eastAsia" w:ascii="宋体" w:hAnsi="宋体"/>
          <w:sz w:val="24"/>
          <w:szCs w:val="24"/>
        </w:rPr>
        <w:t>项目名称：</w:t>
      </w:r>
      <w:r>
        <w:rPr>
          <w:rFonts w:hint="eastAsia" w:ascii="宋体" w:hAnsi="宋体"/>
          <w:sz w:val="24"/>
          <w:szCs w:val="24"/>
          <w:lang w:eastAsia="zh-CN"/>
        </w:rPr>
        <w:t>准格尔旗医疗保险资金管理局采购城乡居民无责意外伤害补偿商业保险</w:t>
      </w:r>
      <w:r>
        <w:rPr>
          <w:rFonts w:hint="eastAsia" w:ascii="宋体" w:hAnsi="宋体"/>
          <w:sz w:val="24"/>
          <w:szCs w:val="24"/>
        </w:rPr>
        <w:t>批</w:t>
      </w:r>
      <w:r>
        <w:rPr>
          <w:rFonts w:hint="eastAsia" w:ascii="宋体" w:hAnsi="宋体"/>
          <w:sz w:val="24"/>
          <w:szCs w:val="24"/>
          <w:lang w:val="en-US" w:eastAsia="zh-CN"/>
        </w:rPr>
        <w:t xml:space="preserve"> </w:t>
      </w:r>
      <w:r>
        <w:rPr>
          <w:rFonts w:hint="eastAsia" w:ascii="宋体" w:hAnsi="宋体"/>
          <w:sz w:val="24"/>
          <w:szCs w:val="24"/>
        </w:rPr>
        <w:t>采购文件编号：</w:t>
      </w:r>
      <w:r>
        <w:rPr>
          <w:rFonts w:hint="eastAsia" w:ascii="宋体" w:hAnsi="宋体"/>
          <w:sz w:val="24"/>
          <w:szCs w:val="24"/>
          <w:lang w:val="en-US" w:eastAsia="zh-CN"/>
        </w:rPr>
        <w:t>2018-CG-G-035A</w:t>
      </w:r>
    </w:p>
    <w:p>
      <w:pPr>
        <w:spacing w:line="360" w:lineRule="auto"/>
        <w:ind w:firstLine="480" w:firstLineChars="200"/>
        <w:jc w:val="left"/>
        <w:rPr>
          <w:rFonts w:hint="eastAsia" w:ascii="宋体" w:hAnsi="宋体"/>
          <w:sz w:val="24"/>
          <w:szCs w:val="24"/>
          <w:lang w:val="en-US" w:eastAsia="zh-CN"/>
        </w:rPr>
      </w:pPr>
      <w:r>
        <w:rPr>
          <w:rFonts w:hint="eastAsia" w:ascii="宋体" w:hAnsi="宋体"/>
          <w:sz w:val="24"/>
          <w:szCs w:val="24"/>
          <w:lang w:val="en-US" w:eastAsia="zh-CN"/>
        </w:rPr>
        <w:t xml:space="preserve"> </w:t>
      </w:r>
    </w:p>
    <w:p>
      <w:pPr>
        <w:spacing w:line="360" w:lineRule="auto"/>
        <w:ind w:firstLine="480" w:firstLineChars="200"/>
        <w:jc w:val="left"/>
        <w:rPr>
          <w:rFonts w:ascii="宋体" w:hAnsi="宋体"/>
          <w:sz w:val="24"/>
          <w:szCs w:val="24"/>
        </w:rPr>
      </w:pPr>
      <w:r>
        <w:rPr>
          <w:rFonts w:hint="eastAsia" w:ascii="宋体" w:hAnsi="宋体"/>
          <w:sz w:val="24"/>
          <w:szCs w:val="24"/>
        </w:rPr>
        <w:t>2.内容及分包情况（技术规格、参数及要求）</w:t>
      </w:r>
    </w:p>
    <w:tbl>
      <w:tblPr>
        <w:tblStyle w:val="3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货物服务名称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w:t>
            </w:r>
            <w:r>
              <w:rPr>
                <w:rFonts w:hint="eastAsia" w:ascii="宋体" w:hAnsi="宋体"/>
                <w:sz w:val="24"/>
                <w:szCs w:val="24"/>
                <w:lang w:eastAsia="zh-CN"/>
              </w:rPr>
              <w:t>万</w:t>
            </w:r>
            <w:r>
              <w:rPr>
                <w:rFonts w:hint="eastAsia" w:ascii="宋体" w:hAnsi="宋体"/>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eastAsia="zh-CN"/>
              </w:rPr>
              <w:t>城乡居民无责意外伤害补偿商业保险</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1</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详见招标文件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675.64</w:t>
            </w:r>
          </w:p>
        </w:tc>
      </w:tr>
    </w:tbl>
    <w:p>
      <w:pPr>
        <w:spacing w:line="360" w:lineRule="auto"/>
        <w:rPr>
          <w:rFonts w:ascii="宋体" w:hAnsi="宋体"/>
          <w:b/>
          <w:sz w:val="24"/>
          <w:szCs w:val="24"/>
        </w:rPr>
      </w:pPr>
      <w:r>
        <w:rPr>
          <w:rFonts w:hint="eastAsia" w:ascii="宋体" w:hAnsi="宋体"/>
          <w:b/>
          <w:sz w:val="24"/>
          <w:szCs w:val="24"/>
        </w:rPr>
        <w:t>二.投标人的资格要求</w:t>
      </w:r>
    </w:p>
    <w:p>
      <w:pPr>
        <w:spacing w:line="360" w:lineRule="auto"/>
        <w:ind w:firstLine="480" w:firstLineChars="200"/>
        <w:rPr>
          <w:rFonts w:ascii="宋体" w:hAnsi="宋体"/>
          <w:sz w:val="24"/>
          <w:szCs w:val="24"/>
        </w:rPr>
      </w:pPr>
      <w:r>
        <w:rPr>
          <w:rFonts w:hint="eastAsia" w:ascii="宋体" w:hAnsi="宋体"/>
          <w:sz w:val="24"/>
          <w:szCs w:val="24"/>
        </w:rPr>
        <w:t>1.投标人应符合《中华人民共和国政府采购法》第二十二条规定的条件；</w:t>
      </w:r>
    </w:p>
    <w:p>
      <w:pPr>
        <w:spacing w:line="360" w:lineRule="auto"/>
        <w:ind w:firstLine="480" w:firstLineChars="200"/>
        <w:rPr>
          <w:rFonts w:ascii="宋体" w:hAnsi="宋体"/>
          <w:sz w:val="24"/>
          <w:szCs w:val="24"/>
        </w:rPr>
      </w:pPr>
      <w:r>
        <w:rPr>
          <w:rFonts w:hint="eastAsia" w:ascii="宋体" w:hAnsi="宋体"/>
          <w:sz w:val="24"/>
          <w:szCs w:val="24"/>
        </w:rPr>
        <w:t>2.投标人须在投标文件中提供企业工商注册所在地或项目所在地检察机关出具的《检察机关行贿犯罪档案查询结果告知函》（在有效期范围内）。</w:t>
      </w:r>
    </w:p>
    <w:p>
      <w:pPr>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具有经保监会批准经营意外保险的商业保险机构的独立法人</w:t>
      </w:r>
    </w:p>
    <w:p>
      <w:pPr>
        <w:spacing w:line="360" w:lineRule="auto"/>
        <w:rPr>
          <w:rFonts w:ascii="宋体" w:hAnsi="宋体"/>
          <w:sz w:val="24"/>
          <w:szCs w:val="24"/>
        </w:rPr>
      </w:pPr>
      <w:r>
        <w:rPr>
          <w:rFonts w:hint="eastAsia" w:ascii="宋体" w:hAnsi="宋体"/>
          <w:b/>
          <w:sz w:val="24"/>
          <w:szCs w:val="24"/>
        </w:rPr>
        <w:t>三.获取招标文件的时间、地点、方式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符合上述条件的投标人可于</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日起登录内蒙古自治区政府采购网、内蒙古自治区公共资源交易网、鄂尔多斯市政府采购网或鄂尔多斯市公共资源交易网站获取招标文件。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w:t>
      </w:r>
      <w:r>
        <w:rPr>
          <w:rFonts w:ascii="宋体" w:hAnsi="宋体"/>
          <w:sz w:val="24"/>
          <w:szCs w:val="24"/>
        </w:rPr>
        <w:t>http://zfcg.ordos.gov.cn</w:t>
      </w:r>
      <w:r>
        <w:rPr>
          <w:rFonts w:hint="eastAsia" w:ascii="宋体" w:hAnsi="宋体"/>
          <w:sz w:val="24"/>
          <w:szCs w:val="24"/>
        </w:rPr>
        <w:t>）。登陆网站页面，点击“政府采购公告”，查询采购信息，点击信息公告页面中“下载招标文件”可浏览、下载招标文件。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4.鄂尔多斯市公共资源交易网（http://www.ordosggzyjy.org.cn）。登陆网站页面，点击“政府采购”中的“信息公告”栏，查询采购信息，点击信息公告页面左下角“附件”即可浏览、下载招标文件。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pPr>
      <w:r>
        <w:rPr>
          <w:rFonts w:hint="eastAsia" w:ascii="宋体" w:hAnsi="宋体" w:eastAsia="宋体" w:cs="Times New Roman"/>
          <w:color w:val="0D203D"/>
          <w:kern w:val="2"/>
          <w:sz w:val="24"/>
          <w:szCs w:val="24"/>
          <w:vertAlign w:val="baseline"/>
          <w:lang w:val="en-US" w:eastAsia="zh-CN" w:bidi="ar"/>
        </w:rPr>
        <w:t>5、准格尔旗公共资源交易网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textAlignment w:val="baseline"/>
      </w:pPr>
      <w:r>
        <w:rPr>
          <w:rFonts w:hint="eastAsia" w:ascii="宋体" w:hAnsi="宋体" w:eastAsia="宋体" w:cs="宋体"/>
          <w:color w:val="0D203D"/>
          <w:kern w:val="2"/>
          <w:sz w:val="24"/>
          <w:szCs w:val="24"/>
          <w:vertAlign w:val="baseline"/>
          <w:lang w:val="en-US" w:eastAsia="zh-CN" w:bidi="ar"/>
        </w:rPr>
        <w:t>（</w:t>
      </w:r>
      <w:r>
        <w:rPr>
          <w:rFonts w:hint="eastAsia" w:ascii="宋体" w:hAnsi="宋体" w:eastAsia="宋体" w:cs="Times New Roman"/>
          <w:color w:val="0D203D"/>
          <w:kern w:val="2"/>
          <w:sz w:val="24"/>
          <w:szCs w:val="24"/>
          <w:vertAlign w:val="baseline"/>
          <w:lang w:val="en-US" w:eastAsia="zh-CN" w:bidi="ar"/>
        </w:rPr>
        <w:t>http://www.ordosggzyjy.org.cn/TPFront_zgeq/）。登陆网站页面，点击“政府采购”中的“采购公告”栏，查询采购信息，点击信息公告页面左下角“附件”即可浏览、下载招标文件。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textAlignment w:val="baseline"/>
      </w:pPr>
      <w:r>
        <w:rPr>
          <w:rFonts w:hint="eastAsia" w:ascii="宋体" w:hAnsi="宋体" w:eastAsia="宋体" w:cs="Times New Roman"/>
          <w:color w:val="0D203D"/>
          <w:kern w:val="2"/>
          <w:sz w:val="24"/>
          <w:szCs w:val="24"/>
          <w:vertAlign w:val="baseline"/>
          <w:lang w:val="en-US" w:eastAsia="zh-CN" w:bidi="ar"/>
        </w:rPr>
        <w:t>6.报名方式及报名时间详见询价通知书第二章“报名须知”。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2" w:firstLineChars="200"/>
        <w:jc w:val="left"/>
        <w:textAlignment w:val="baseline"/>
      </w:pPr>
      <w:r>
        <w:rPr>
          <w:rFonts w:hint="eastAsia" w:ascii="宋体" w:hAnsi="宋体" w:eastAsia="宋体" w:cs="宋体"/>
          <w:b/>
          <w:color w:val="0D203D"/>
          <w:kern w:val="2"/>
          <w:sz w:val="24"/>
          <w:szCs w:val="24"/>
          <w:vertAlign w:val="baseline"/>
          <w:lang w:val="en-US" w:eastAsia="zh-CN" w:bidi="ar"/>
        </w:rPr>
        <w:t>四</w:t>
      </w:r>
      <w:r>
        <w:rPr>
          <w:rFonts w:hint="eastAsia" w:ascii="宋体" w:hAnsi="宋体" w:eastAsia="宋体" w:cs="Times New Roman"/>
          <w:b/>
          <w:color w:val="0D203D"/>
          <w:kern w:val="2"/>
          <w:sz w:val="24"/>
          <w:szCs w:val="24"/>
          <w:vertAlign w:val="baseline"/>
          <w:lang w:val="en-US" w:eastAsia="zh-CN" w:bidi="ar"/>
        </w:rPr>
        <w:t>.询价通知书售价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本次询价通知书的售价为</w:t>
      </w:r>
      <w:r>
        <w:rPr>
          <w:rFonts w:hint="eastAsia" w:ascii="宋体" w:hAnsi="宋体" w:eastAsia="宋体" w:cs="Times New Roman"/>
          <w:color w:val="0D203D"/>
          <w:kern w:val="2"/>
          <w:sz w:val="24"/>
          <w:szCs w:val="24"/>
          <w:lang w:val="en-US" w:eastAsia="zh-CN" w:bidi="ar"/>
        </w:rPr>
        <w:t>0元人民币。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2" w:firstLineChars="200"/>
        <w:jc w:val="left"/>
      </w:pPr>
      <w:r>
        <w:rPr>
          <w:rFonts w:hint="eastAsia" w:ascii="宋体" w:hAnsi="宋体" w:eastAsia="宋体" w:cs="宋体"/>
          <w:b/>
          <w:color w:val="0D203D"/>
          <w:kern w:val="2"/>
          <w:sz w:val="24"/>
          <w:szCs w:val="24"/>
          <w:lang w:val="en-US" w:eastAsia="zh-CN" w:bidi="ar"/>
        </w:rPr>
        <w:t>五</w:t>
      </w:r>
      <w:r>
        <w:rPr>
          <w:rFonts w:hint="eastAsia" w:ascii="宋体" w:hAnsi="宋体" w:eastAsia="宋体" w:cs="Times New Roman"/>
          <w:b/>
          <w:color w:val="0D203D"/>
          <w:kern w:val="2"/>
          <w:sz w:val="24"/>
          <w:szCs w:val="24"/>
          <w:lang w:val="en-US" w:eastAsia="zh-CN" w:bidi="ar"/>
        </w:rPr>
        <w:t>.递交投标（响应）文件截止时间、开标时间及地点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递交投标（响应）文件截止时间：</w:t>
      </w:r>
      <w:r>
        <w:rPr>
          <w:rFonts w:hint="eastAsia" w:ascii="宋体" w:hAnsi="宋体" w:eastAsia="宋体" w:cs="Times New Roman"/>
          <w:color w:val="0D203D"/>
          <w:kern w:val="2"/>
          <w:sz w:val="24"/>
          <w:szCs w:val="24"/>
          <w:lang w:val="en-US" w:eastAsia="zh-CN" w:bidi="ar"/>
        </w:rPr>
        <w:t>2018</w:t>
      </w:r>
      <w:r>
        <w:rPr>
          <w:rFonts w:hint="eastAsia" w:ascii="宋体" w:hAnsi="宋体" w:eastAsia="宋体" w:cs="宋体"/>
          <w:color w:val="0D203D"/>
          <w:kern w:val="2"/>
          <w:sz w:val="24"/>
          <w:szCs w:val="24"/>
          <w:lang w:val="en-US" w:eastAsia="zh-CN" w:bidi="ar"/>
        </w:rPr>
        <w:t>年</w:t>
      </w:r>
      <w:r>
        <w:rPr>
          <w:rFonts w:hint="eastAsia" w:ascii="宋体" w:hAnsi="宋体" w:cs="Times New Roman"/>
          <w:color w:val="0D203D"/>
          <w:kern w:val="2"/>
          <w:sz w:val="24"/>
          <w:szCs w:val="24"/>
          <w:lang w:val="en-US" w:eastAsia="zh-CN" w:bidi="ar"/>
        </w:rPr>
        <w:t>07</w:t>
      </w:r>
      <w:r>
        <w:rPr>
          <w:rFonts w:hint="eastAsia" w:ascii="宋体" w:hAnsi="宋体" w:eastAsia="宋体" w:cs="宋体"/>
          <w:color w:val="0D203D"/>
          <w:kern w:val="2"/>
          <w:sz w:val="24"/>
          <w:szCs w:val="24"/>
          <w:lang w:val="en-US" w:eastAsia="zh-CN" w:bidi="ar"/>
        </w:rPr>
        <w:t>月</w:t>
      </w:r>
      <w:r>
        <w:rPr>
          <w:rFonts w:hint="eastAsia" w:ascii="宋体" w:hAnsi="宋体" w:cs="Times New Roman"/>
          <w:color w:val="0D203D"/>
          <w:kern w:val="2"/>
          <w:sz w:val="24"/>
          <w:szCs w:val="24"/>
          <w:lang w:val="en-US" w:eastAsia="zh-CN" w:bidi="ar"/>
        </w:rPr>
        <w:t>31</w:t>
      </w:r>
      <w:r>
        <w:rPr>
          <w:rFonts w:hint="eastAsia" w:ascii="宋体" w:hAnsi="宋体" w:eastAsia="宋体" w:cs="宋体"/>
          <w:color w:val="0D203D"/>
          <w:kern w:val="2"/>
          <w:sz w:val="24"/>
          <w:szCs w:val="24"/>
          <w:lang w:val="en-US" w:eastAsia="zh-CN" w:bidi="ar"/>
        </w:rPr>
        <w:t>日</w:t>
      </w:r>
      <w:r>
        <w:rPr>
          <w:rFonts w:hint="eastAsia" w:ascii="宋体" w:hAnsi="宋体" w:eastAsia="宋体" w:cs="Times New Roman"/>
          <w:color w:val="0D203D"/>
          <w:kern w:val="2"/>
          <w:sz w:val="24"/>
          <w:szCs w:val="24"/>
          <w:lang w:val="en-US" w:eastAsia="zh-CN" w:bidi="ar"/>
        </w:rPr>
        <w:t>10</w:t>
      </w:r>
      <w:r>
        <w:rPr>
          <w:rFonts w:hint="eastAsia" w:ascii="宋体" w:hAnsi="宋体" w:eastAsia="宋体" w:cs="宋体"/>
          <w:color w:val="0D203D"/>
          <w:kern w:val="2"/>
          <w:sz w:val="24"/>
          <w:szCs w:val="24"/>
          <w:lang w:val="en-US" w:eastAsia="zh-CN" w:bidi="ar"/>
        </w:rPr>
        <w:t>时</w:t>
      </w:r>
      <w:r>
        <w:rPr>
          <w:rFonts w:hint="eastAsia" w:ascii="宋体" w:hAnsi="宋体" w:eastAsia="宋体" w:cs="Times New Roman"/>
          <w:color w:val="0D203D"/>
          <w:kern w:val="2"/>
          <w:sz w:val="24"/>
          <w:szCs w:val="24"/>
          <w:lang w:val="en-US" w:eastAsia="zh-CN" w:bidi="ar"/>
        </w:rPr>
        <w:t>00</w:t>
      </w:r>
      <w:r>
        <w:rPr>
          <w:rFonts w:hint="eastAsia" w:ascii="宋体" w:hAnsi="宋体" w:eastAsia="宋体" w:cs="宋体"/>
          <w:color w:val="0D203D"/>
          <w:kern w:val="2"/>
          <w:sz w:val="24"/>
          <w:szCs w:val="24"/>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投标地点：鄂尔多斯市准格尔旗公共资源交易中心二楼开标室（准格尔旗大路新区）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开标时间：</w:t>
      </w:r>
      <w:r>
        <w:rPr>
          <w:rFonts w:hint="eastAsia" w:ascii="宋体" w:hAnsi="宋体" w:eastAsia="宋体" w:cs="Times New Roman"/>
          <w:color w:val="0D203D"/>
          <w:kern w:val="2"/>
          <w:sz w:val="24"/>
          <w:szCs w:val="24"/>
          <w:lang w:val="en-US" w:eastAsia="zh-CN" w:bidi="ar"/>
        </w:rPr>
        <w:t>2018</w:t>
      </w:r>
      <w:r>
        <w:rPr>
          <w:rFonts w:hint="eastAsia" w:ascii="宋体" w:hAnsi="宋体" w:eastAsia="宋体" w:cs="宋体"/>
          <w:color w:val="0D203D"/>
          <w:kern w:val="2"/>
          <w:sz w:val="24"/>
          <w:szCs w:val="24"/>
          <w:lang w:val="en-US" w:eastAsia="zh-CN" w:bidi="ar"/>
        </w:rPr>
        <w:t>年</w:t>
      </w:r>
      <w:r>
        <w:rPr>
          <w:rFonts w:hint="eastAsia" w:ascii="宋体" w:hAnsi="宋体" w:cs="Times New Roman"/>
          <w:color w:val="0D203D"/>
          <w:kern w:val="2"/>
          <w:sz w:val="24"/>
          <w:szCs w:val="24"/>
          <w:lang w:val="en-US" w:eastAsia="zh-CN" w:bidi="ar"/>
        </w:rPr>
        <w:t>07</w:t>
      </w:r>
      <w:r>
        <w:rPr>
          <w:rFonts w:hint="eastAsia" w:ascii="宋体" w:hAnsi="宋体" w:eastAsia="宋体" w:cs="宋体"/>
          <w:color w:val="0D203D"/>
          <w:kern w:val="2"/>
          <w:sz w:val="24"/>
          <w:szCs w:val="24"/>
          <w:lang w:val="en-US" w:eastAsia="zh-CN" w:bidi="ar"/>
        </w:rPr>
        <w:t>月</w:t>
      </w:r>
      <w:r>
        <w:rPr>
          <w:rFonts w:hint="eastAsia" w:ascii="宋体" w:hAnsi="宋体" w:cs="Times New Roman"/>
          <w:color w:val="0D203D"/>
          <w:kern w:val="2"/>
          <w:sz w:val="24"/>
          <w:szCs w:val="24"/>
          <w:lang w:val="en-US" w:eastAsia="zh-CN" w:bidi="ar"/>
        </w:rPr>
        <w:t>31</w:t>
      </w:r>
      <w:r>
        <w:rPr>
          <w:rFonts w:hint="eastAsia" w:ascii="宋体" w:hAnsi="宋体" w:eastAsia="宋体" w:cs="宋体"/>
          <w:color w:val="0D203D"/>
          <w:kern w:val="2"/>
          <w:sz w:val="24"/>
          <w:szCs w:val="24"/>
          <w:lang w:val="en-US" w:eastAsia="zh-CN" w:bidi="ar"/>
        </w:rPr>
        <w:t>日</w:t>
      </w:r>
      <w:r>
        <w:rPr>
          <w:rFonts w:hint="eastAsia" w:ascii="宋体" w:hAnsi="宋体" w:eastAsia="宋体" w:cs="Times New Roman"/>
          <w:color w:val="0D203D"/>
          <w:kern w:val="2"/>
          <w:sz w:val="24"/>
          <w:szCs w:val="24"/>
          <w:lang w:val="en-US" w:eastAsia="zh-CN" w:bidi="ar"/>
        </w:rPr>
        <w:t>10</w:t>
      </w:r>
      <w:r>
        <w:rPr>
          <w:rFonts w:hint="eastAsia" w:ascii="宋体" w:hAnsi="宋体" w:eastAsia="宋体" w:cs="宋体"/>
          <w:color w:val="0D203D"/>
          <w:kern w:val="2"/>
          <w:sz w:val="24"/>
          <w:szCs w:val="24"/>
          <w:lang w:val="en-US" w:eastAsia="zh-CN" w:bidi="ar"/>
        </w:rPr>
        <w:t>时</w:t>
      </w:r>
      <w:r>
        <w:rPr>
          <w:rFonts w:hint="eastAsia" w:ascii="宋体" w:hAnsi="宋体" w:eastAsia="宋体" w:cs="Times New Roman"/>
          <w:color w:val="0D203D"/>
          <w:kern w:val="2"/>
          <w:sz w:val="24"/>
          <w:szCs w:val="24"/>
          <w:lang w:val="en-US" w:eastAsia="zh-CN" w:bidi="ar"/>
        </w:rPr>
        <w:t>00</w:t>
      </w:r>
      <w:r>
        <w:rPr>
          <w:rFonts w:hint="eastAsia" w:ascii="宋体" w:hAnsi="宋体" w:eastAsia="宋体" w:cs="宋体"/>
          <w:color w:val="0D203D"/>
          <w:kern w:val="2"/>
          <w:sz w:val="24"/>
          <w:szCs w:val="24"/>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开标地点：鄂尔多斯市准格尔旗公共资源交易中心二楼开标室（准格尔旗大路新区）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2" w:firstLineChars="200"/>
        <w:jc w:val="left"/>
      </w:pPr>
      <w:r>
        <w:rPr>
          <w:rFonts w:hint="eastAsia" w:ascii="宋体" w:hAnsi="宋体" w:eastAsia="宋体" w:cs="宋体"/>
          <w:b/>
          <w:color w:val="0D203D"/>
          <w:kern w:val="2"/>
          <w:sz w:val="24"/>
          <w:szCs w:val="24"/>
          <w:lang w:val="en-US" w:eastAsia="zh-CN" w:bidi="ar"/>
        </w:rPr>
        <w:t>六</w:t>
      </w:r>
      <w:r>
        <w:rPr>
          <w:rFonts w:hint="eastAsia" w:ascii="宋体" w:hAnsi="宋体" w:eastAsia="宋体" w:cs="Times New Roman"/>
          <w:b/>
          <w:color w:val="0D203D"/>
          <w:kern w:val="2"/>
          <w:sz w:val="24"/>
          <w:szCs w:val="24"/>
          <w:lang w:val="en-US" w:eastAsia="zh-CN" w:bidi="ar"/>
        </w:rPr>
        <w:t>.联系方式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采购代理机构名称：鄂尔多斯市准格尔旗公共资源交易中心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0" w:rightChars="-50" w:firstLine="480" w:firstLineChars="200"/>
        <w:jc w:val="left"/>
      </w:pPr>
      <w:r>
        <w:rPr>
          <w:rFonts w:hint="eastAsia" w:ascii="宋体" w:hAnsi="宋体" w:eastAsia="宋体" w:cs="宋体"/>
          <w:color w:val="0D203D"/>
          <w:kern w:val="2"/>
          <w:sz w:val="24"/>
          <w:szCs w:val="24"/>
          <w:lang w:val="en-US" w:eastAsia="zh-CN" w:bidi="ar"/>
        </w:rPr>
        <w:t>地址：鄂尔多斯市</w:t>
      </w:r>
      <w:r>
        <w:rPr>
          <w:rFonts w:hint="eastAsia" w:ascii="宋体" w:hAnsi="宋体" w:eastAsia="宋体" w:cs="宋体"/>
          <w:color w:val="000000"/>
          <w:kern w:val="2"/>
          <w:sz w:val="24"/>
          <w:szCs w:val="24"/>
          <w:lang w:val="en-US" w:eastAsia="zh-CN" w:bidi="ar"/>
        </w:rPr>
        <w:t>准格尔旗公共资源交易中心二楼</w:t>
      </w:r>
      <w:r>
        <w:rPr>
          <w:rFonts w:hint="eastAsia" w:ascii="宋体" w:hAnsi="宋体" w:eastAsia="宋体" w:cs="Times New Roman"/>
          <w:color w:val="000000"/>
          <w:kern w:val="2"/>
          <w:sz w:val="24"/>
          <w:szCs w:val="24"/>
          <w:lang w:val="en-US" w:eastAsia="zh-CN" w:bidi="ar"/>
        </w:rPr>
        <w:t>20</w:t>
      </w:r>
      <w:r>
        <w:rPr>
          <w:rFonts w:hint="eastAsia" w:ascii="宋体" w:hAnsi="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室（准格尔旗大路新区）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邮政编码：</w:t>
      </w:r>
      <w:r>
        <w:rPr>
          <w:rFonts w:hint="eastAsia" w:ascii="宋体" w:hAnsi="宋体" w:eastAsia="宋体" w:cs="Times New Roman"/>
          <w:color w:val="0D203D"/>
          <w:kern w:val="2"/>
          <w:sz w:val="24"/>
          <w:szCs w:val="24"/>
          <w:lang w:val="en-US" w:eastAsia="zh-CN" w:bidi="ar"/>
        </w:rPr>
        <w:t xml:space="preserve">010300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lang w:val="en-US"/>
        </w:rPr>
      </w:pPr>
      <w:r>
        <w:rPr>
          <w:rFonts w:hint="eastAsia" w:ascii="宋体" w:hAnsi="宋体" w:eastAsia="宋体" w:cs="宋体"/>
          <w:color w:val="0D203D"/>
          <w:kern w:val="2"/>
          <w:sz w:val="24"/>
          <w:szCs w:val="24"/>
          <w:lang w:val="en-US" w:eastAsia="zh-CN" w:bidi="ar"/>
        </w:rPr>
        <w:t>联系电话：</w:t>
      </w:r>
      <w:r>
        <w:rPr>
          <w:rFonts w:hint="eastAsia" w:ascii="宋体" w:hAnsi="宋体" w:eastAsia="宋体" w:cs="Times New Roman"/>
          <w:color w:val="0D203D"/>
          <w:kern w:val="2"/>
          <w:sz w:val="24"/>
          <w:szCs w:val="24"/>
          <w:lang w:val="en-US" w:eastAsia="zh-CN" w:bidi="ar"/>
        </w:rPr>
        <w:t>0477-38642</w:t>
      </w:r>
      <w:r>
        <w:rPr>
          <w:rFonts w:hint="eastAsia" w:ascii="宋体" w:hAnsi="宋体" w:cs="Times New Roman"/>
          <w:color w:val="0D203D"/>
          <w:kern w:val="2"/>
          <w:sz w:val="24"/>
          <w:szCs w:val="24"/>
          <w:lang w:val="en-US" w:eastAsia="zh-CN" w:bidi="ar"/>
        </w:rPr>
        <w:t>28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cs="宋体"/>
          <w:color w:val="0D203D"/>
          <w:kern w:val="2"/>
          <w:sz w:val="24"/>
          <w:szCs w:val="24"/>
          <w:lang w:val="en-US" w:eastAsia="zh-CN" w:bidi="ar"/>
        </w:rPr>
      </w:pPr>
      <w:r>
        <w:rPr>
          <w:rFonts w:hint="eastAsia" w:ascii="宋体" w:hAnsi="宋体" w:eastAsia="宋体" w:cs="宋体"/>
          <w:color w:val="0D203D"/>
          <w:kern w:val="2"/>
          <w:sz w:val="24"/>
          <w:szCs w:val="24"/>
          <w:lang w:val="en-US" w:eastAsia="zh-CN" w:bidi="ar"/>
        </w:rPr>
        <w:t>采购单位名称：</w:t>
      </w:r>
      <w:r>
        <w:rPr>
          <w:rFonts w:hint="eastAsia" w:ascii="宋体" w:hAnsi="宋体" w:cs="宋体"/>
          <w:color w:val="0D203D"/>
          <w:kern w:val="2"/>
          <w:sz w:val="24"/>
          <w:szCs w:val="24"/>
          <w:lang w:val="en-US" w:eastAsia="zh-CN" w:bidi="ar"/>
        </w:rPr>
        <w:t>准格尔旗医疗保险资金管理局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地址：准格尔旗薛家湾镇</w:t>
      </w:r>
      <w:r>
        <w:rPr>
          <w:rFonts w:hint="eastAsia" w:ascii="宋体" w:hAnsi="宋体" w:eastAsia="宋体" w:cs="Times New Roman"/>
          <w:color w:val="0D203D"/>
          <w:kern w:val="2"/>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邮政编码：</w:t>
      </w:r>
      <w:r>
        <w:rPr>
          <w:rFonts w:hint="eastAsia" w:ascii="宋体" w:hAnsi="宋体" w:eastAsia="宋体" w:cs="Times New Roman"/>
          <w:color w:val="0D203D"/>
          <w:kern w:val="2"/>
          <w:sz w:val="24"/>
          <w:szCs w:val="24"/>
          <w:lang w:val="en-US" w:eastAsia="zh-CN" w:bidi="ar"/>
        </w:rPr>
        <w:t>010300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pPr>
      <w:r>
        <w:rPr>
          <w:rFonts w:hint="eastAsia" w:ascii="宋体" w:hAnsi="宋体" w:eastAsia="宋体" w:cs="宋体"/>
          <w:color w:val="0D203D"/>
          <w:kern w:val="2"/>
          <w:sz w:val="24"/>
          <w:szCs w:val="24"/>
          <w:lang w:val="en-US" w:eastAsia="zh-CN" w:bidi="ar"/>
        </w:rPr>
        <w:t>联系人：</w:t>
      </w:r>
      <w:r>
        <w:rPr>
          <w:rFonts w:hint="eastAsia" w:ascii="宋体" w:hAnsi="宋体" w:cs="宋体"/>
          <w:color w:val="0D203D"/>
          <w:kern w:val="2"/>
          <w:sz w:val="24"/>
          <w:szCs w:val="24"/>
          <w:lang w:val="en-US" w:eastAsia="zh-CN" w:bidi="ar"/>
        </w:rPr>
        <w:t>赵红梅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lang w:val="en-US"/>
        </w:rPr>
      </w:pPr>
      <w:r>
        <w:rPr>
          <w:rFonts w:hint="eastAsia" w:ascii="宋体" w:hAnsi="宋体" w:eastAsia="宋体" w:cs="宋体"/>
          <w:color w:val="0D203D"/>
          <w:kern w:val="2"/>
          <w:sz w:val="24"/>
          <w:szCs w:val="24"/>
          <w:lang w:val="en-US" w:eastAsia="zh-CN" w:bidi="ar"/>
        </w:rPr>
        <w:t>联系电话：</w:t>
      </w:r>
      <w:r>
        <w:rPr>
          <w:rFonts w:hint="eastAsia" w:ascii="宋体" w:hAnsi="宋体" w:cs="Times New Roman"/>
          <w:color w:val="0D203D"/>
          <w:kern w:val="2"/>
          <w:sz w:val="24"/>
          <w:szCs w:val="24"/>
          <w:lang w:val="en-US" w:eastAsia="zh-CN" w:bidi="ar"/>
        </w:rPr>
        <w:t>13947760092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00" w:firstLineChars="250"/>
        <w:jc w:val="left"/>
      </w:pPr>
      <w:r>
        <w:rPr>
          <w:rFonts w:hint="eastAsia" w:ascii="宋体" w:hAnsi="宋体" w:eastAsia="宋体" w:cs="Times New Roman"/>
          <w:color w:val="0D203D"/>
          <w:kern w:val="2"/>
          <w:sz w:val="24"/>
          <w:szCs w:val="24"/>
          <w:lang w:val="en-US" w:eastAsia="zh-CN" w:bidi="ar"/>
        </w:rPr>
        <w:t xml:space="preserve">                              </w:t>
      </w:r>
      <w:r>
        <w:rPr>
          <w:rFonts w:hint="eastAsia" w:ascii="宋体" w:hAnsi="宋体" w:eastAsia="宋体" w:cs="宋体"/>
          <w:color w:val="0D203D"/>
          <w:kern w:val="2"/>
          <w:sz w:val="24"/>
          <w:szCs w:val="24"/>
          <w:lang w:val="en-US" w:eastAsia="zh-CN" w:bidi="ar"/>
        </w:rPr>
        <w:t>鄂尔多斯市准格尔旗公共资源交易中心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680" w:firstLineChars="1950"/>
        <w:jc w:val="left"/>
      </w:pPr>
      <w:r>
        <w:rPr>
          <w:rFonts w:hint="eastAsia" w:ascii="宋体" w:hAnsi="宋体" w:eastAsia="宋体" w:cs="Times New Roman"/>
          <w:color w:val="0D203D"/>
          <w:kern w:val="2"/>
          <w:sz w:val="24"/>
          <w:szCs w:val="24"/>
          <w:lang w:val="en-US" w:eastAsia="zh-CN" w:bidi="ar"/>
        </w:rPr>
        <w:t>2018</w:t>
      </w:r>
      <w:r>
        <w:rPr>
          <w:rFonts w:hint="eastAsia" w:ascii="宋体" w:hAnsi="宋体" w:eastAsia="宋体" w:cs="宋体"/>
          <w:color w:val="0D203D"/>
          <w:kern w:val="2"/>
          <w:sz w:val="24"/>
          <w:szCs w:val="24"/>
          <w:lang w:val="en-US" w:eastAsia="zh-CN" w:bidi="ar"/>
        </w:rPr>
        <w:t>年</w:t>
      </w:r>
      <w:r>
        <w:rPr>
          <w:rFonts w:hint="eastAsia" w:ascii="宋体" w:hAnsi="宋体" w:cs="Times New Roman"/>
          <w:color w:val="0D203D"/>
          <w:kern w:val="2"/>
          <w:sz w:val="24"/>
          <w:szCs w:val="24"/>
          <w:lang w:val="en-US" w:eastAsia="zh-CN" w:bidi="ar"/>
        </w:rPr>
        <w:t>07</w:t>
      </w:r>
      <w:r>
        <w:rPr>
          <w:rFonts w:hint="eastAsia" w:ascii="宋体" w:hAnsi="宋体" w:eastAsia="宋体" w:cs="宋体"/>
          <w:color w:val="0D203D"/>
          <w:kern w:val="2"/>
          <w:sz w:val="24"/>
          <w:szCs w:val="24"/>
          <w:lang w:val="en-US" w:eastAsia="zh-CN" w:bidi="ar"/>
        </w:rPr>
        <w:t>月</w:t>
      </w:r>
      <w:r>
        <w:rPr>
          <w:rFonts w:hint="eastAsia" w:ascii="宋体" w:hAnsi="宋体" w:cs="Times New Roman"/>
          <w:color w:val="0D203D"/>
          <w:kern w:val="2"/>
          <w:sz w:val="24"/>
          <w:szCs w:val="24"/>
          <w:lang w:val="en-US" w:eastAsia="zh-CN" w:bidi="ar"/>
        </w:rPr>
        <w:t>05</w:t>
      </w:r>
      <w:r>
        <w:rPr>
          <w:rFonts w:hint="eastAsia" w:ascii="宋体" w:hAnsi="宋体" w:eastAsia="宋体" w:cs="宋体"/>
          <w:color w:val="0D203D"/>
          <w:kern w:val="2"/>
          <w:sz w:val="24"/>
          <w:szCs w:val="24"/>
          <w:lang w:val="en-US" w:eastAsia="zh-CN" w:bidi="ar"/>
        </w:rPr>
        <w:t>日</w:t>
      </w:r>
    </w:p>
    <w:p>
      <w:pPr>
        <w:spacing w:line="360" w:lineRule="auto"/>
        <w:jc w:val="center"/>
        <w:rPr>
          <w:rFonts w:ascii="宋体" w:hAnsi="宋体"/>
          <w:b/>
          <w:sz w:val="24"/>
          <w:szCs w:val="24"/>
        </w:rPr>
      </w:pPr>
      <w:r>
        <w:rPr>
          <w:rFonts w:ascii="宋体" w:hAnsi="宋体"/>
          <w:b/>
          <w:sz w:val="24"/>
          <w:szCs w:val="24"/>
        </w:rPr>
        <w:br w:type="page"/>
      </w:r>
    </w:p>
    <w:p>
      <w:pPr>
        <w:spacing w:line="360" w:lineRule="auto"/>
        <w:jc w:val="center"/>
        <w:outlineLvl w:val="0"/>
        <w:rPr>
          <w:rFonts w:ascii="宋体" w:hAnsi="宋体"/>
          <w:b/>
          <w:sz w:val="24"/>
          <w:szCs w:val="24"/>
        </w:rPr>
      </w:pPr>
      <w:bookmarkStart w:id="1" w:name="_Toc497408624"/>
      <w:r>
        <w:rPr>
          <w:rFonts w:hint="eastAsia" w:ascii="宋体" w:hAnsi="宋体"/>
          <w:b/>
          <w:sz w:val="24"/>
          <w:szCs w:val="24"/>
        </w:rPr>
        <w:t>第二章 投标人须知</w:t>
      </w:r>
      <w:bookmarkEnd w:id="1"/>
    </w:p>
    <w:p>
      <w:pPr>
        <w:spacing w:line="360" w:lineRule="auto"/>
        <w:rPr>
          <w:rFonts w:ascii="宋体" w:hAnsi="宋体"/>
          <w:b/>
          <w:sz w:val="24"/>
          <w:szCs w:val="24"/>
        </w:rPr>
      </w:pPr>
      <w:r>
        <w:rPr>
          <w:rFonts w:hint="eastAsia" w:ascii="宋体" w:hAnsi="宋体"/>
          <w:b/>
          <w:sz w:val="24"/>
          <w:szCs w:val="24"/>
        </w:rPr>
        <w:t>一.前附表</w:t>
      </w:r>
    </w:p>
    <w:tbl>
      <w:tblPr>
        <w:tblStyle w:val="33"/>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ind w:firstLine="720" w:firstLineChars="300"/>
              <w:rPr>
                <w:rFonts w:ascii="宋体" w:hAnsi="宋体"/>
                <w:sz w:val="24"/>
                <w:szCs w:val="24"/>
              </w:rPr>
            </w:pPr>
            <w:r>
              <w:rPr>
                <w:rFonts w:hint="eastAsia" w:ascii="宋体" w:hAnsi="宋体"/>
                <w:sz w:val="24"/>
                <w:szCs w:val="24"/>
              </w:rPr>
              <w:t>采购人</w:t>
            </w:r>
          </w:p>
        </w:tc>
        <w:tc>
          <w:tcPr>
            <w:tcW w:w="64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firstLineChars="200"/>
              <w:jc w:val="left"/>
              <w:rPr>
                <w:rFonts w:hint="eastAsia" w:ascii="宋体" w:hAnsi="宋体" w:cs="宋体"/>
                <w:color w:val="0D203D"/>
                <w:kern w:val="2"/>
                <w:sz w:val="24"/>
                <w:szCs w:val="24"/>
                <w:lang w:val="en-US" w:eastAsia="zh-CN" w:bidi="ar"/>
              </w:rPr>
            </w:pPr>
            <w:r>
              <w:rPr>
                <w:rFonts w:hint="eastAsia" w:ascii="宋体" w:hAnsi="宋体" w:cs="宋体"/>
                <w:color w:val="0D203D"/>
                <w:kern w:val="2"/>
                <w:sz w:val="24"/>
                <w:szCs w:val="24"/>
                <w:lang w:val="en-US" w:eastAsia="zh-CN" w:bidi="ar"/>
              </w:rPr>
              <w:t>准格尔旗医疗保险资金管理局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rPr>
                <w:lang w:val="en-US"/>
              </w:rPr>
            </w:pPr>
            <w:r>
              <w:rPr>
                <w:rFonts w:hint="eastAsia" w:ascii="宋体" w:hAnsi="宋体"/>
                <w:sz w:val="24"/>
                <w:szCs w:val="24"/>
              </w:rPr>
              <w:t>联系人：</w:t>
            </w:r>
            <w:r>
              <w:rPr>
                <w:rFonts w:hint="eastAsia" w:ascii="宋体" w:hAnsi="宋体" w:cs="宋体"/>
                <w:color w:val="0D203D"/>
                <w:kern w:val="2"/>
                <w:sz w:val="24"/>
                <w:szCs w:val="24"/>
                <w:lang w:val="en-US" w:eastAsia="zh-CN" w:bidi="ar"/>
              </w:rPr>
              <w:t>赵红梅</w:t>
            </w:r>
            <w:r>
              <w:rPr>
                <w:rFonts w:hint="eastAsia" w:ascii="宋体" w:hAnsi="宋体"/>
                <w:sz w:val="24"/>
                <w:szCs w:val="24"/>
              </w:rPr>
              <w:t xml:space="preserve">    联系电话：</w:t>
            </w:r>
            <w:r>
              <w:rPr>
                <w:rFonts w:hint="eastAsia" w:ascii="宋体" w:hAnsi="宋体" w:cs="Times New Roman"/>
                <w:color w:val="0D203D"/>
                <w:kern w:val="2"/>
                <w:sz w:val="24"/>
                <w:szCs w:val="24"/>
                <w:lang w:val="en-US" w:eastAsia="zh-CN" w:bidi="ar"/>
              </w:rPr>
              <w:t>13947760092</w:t>
            </w:r>
          </w:p>
          <w:p>
            <w:pPr>
              <w:spacing w:line="360" w:lineRule="auto"/>
              <w:ind w:right="-140" w:rightChars="-50"/>
              <w:rPr>
                <w:rFonts w:ascii="宋体" w:hAnsi="宋体"/>
                <w:sz w:val="24"/>
                <w:szCs w:val="24"/>
              </w:rPr>
            </w:pPr>
            <w:r>
              <w:rPr>
                <w:rFonts w:hint="eastAsia" w:ascii="宋体" w:hAnsi="宋体"/>
                <w:sz w:val="24"/>
                <w:szCs w:val="24"/>
              </w:rPr>
              <w:t>地址：</w:t>
            </w:r>
            <w:r>
              <w:rPr>
                <w:rFonts w:hint="eastAsia" w:ascii="宋体" w:hAnsi="宋体" w:eastAsia="宋体" w:cs="宋体"/>
                <w:color w:val="0D203D"/>
                <w:kern w:val="2"/>
                <w:sz w:val="24"/>
                <w:szCs w:val="24"/>
                <w:lang w:val="en-US" w:eastAsia="zh-CN" w:bidi="ar"/>
              </w:rPr>
              <w:t>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13"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 xml:space="preserve"> </w:t>
            </w:r>
          </w:p>
          <w:p>
            <w:pPr>
              <w:spacing w:line="360" w:lineRule="auto"/>
              <w:ind w:right="-140" w:rightChars="-50"/>
              <w:rPr>
                <w:rFonts w:ascii="宋体" w:hAnsi="宋体"/>
                <w:sz w:val="24"/>
                <w:szCs w:val="24"/>
                <w:lang w:val="en-US"/>
              </w:rPr>
            </w:pPr>
            <w:r>
              <w:rPr>
                <w:rFonts w:hint="eastAsia" w:ascii="宋体" w:hAnsi="宋体"/>
                <w:sz w:val="24"/>
                <w:szCs w:val="24"/>
                <w:lang w:val="en-US" w:eastAsia="zh-CN"/>
              </w:rPr>
              <w:t xml:space="preserve"> </w:t>
            </w:r>
            <w:r>
              <w:rPr>
                <w:rFonts w:hint="eastAsia" w:ascii="宋体" w:hAnsi="宋体"/>
                <w:sz w:val="24"/>
                <w:szCs w:val="24"/>
              </w:rPr>
              <w:t xml:space="preserve">  联系电话：0477-</w:t>
            </w:r>
            <w:r>
              <w:rPr>
                <w:rFonts w:hint="eastAsia" w:ascii="宋体" w:hAnsi="宋体"/>
                <w:sz w:val="24"/>
                <w:szCs w:val="24"/>
                <w:lang w:val="en-US" w:eastAsia="zh-CN"/>
              </w:rPr>
              <w:t>3864228</w:t>
            </w:r>
          </w:p>
          <w:p>
            <w:pPr>
              <w:spacing w:line="360" w:lineRule="auto"/>
              <w:ind w:right="-140" w:rightChars="-50"/>
              <w:rPr>
                <w:rFonts w:ascii="宋体" w:hAnsi="宋体"/>
                <w:sz w:val="24"/>
                <w:szCs w:val="24"/>
              </w:rPr>
            </w:pPr>
            <w:r>
              <w:rPr>
                <w:rFonts w:hint="eastAsia" w:ascii="宋体" w:hAnsi="宋体"/>
                <w:sz w:val="24"/>
                <w:szCs w:val="24"/>
              </w:rPr>
              <w:t>地址：鄂尔多斯市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lang w:val="en-US" w:eastAsia="zh-CN"/>
              </w:rPr>
              <w:t>2</w:t>
            </w:r>
            <w:r>
              <w:rPr>
                <w:rFonts w:hint="eastAsia" w:ascii="宋体" w:hAnsi="宋体"/>
                <w:sz w:val="24"/>
                <w:szCs w:val="24"/>
              </w:rPr>
              <w:t>室</w:t>
            </w:r>
            <w:r>
              <w:rPr>
                <w:rFonts w:hint="eastAsia" w:ascii="宋体" w:hAnsi="宋体"/>
                <w:sz w:val="24"/>
                <w:szCs w:val="24"/>
                <w:lang w:val="en-US" w:eastAsia="zh-CN"/>
              </w:rPr>
              <w:t xml:space="preserve"> </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auto"/>
              <w:textAlignment w:val="baseline"/>
              <w:rPr>
                <w:rFonts w:ascii="宋体" w:hAnsi="宋体"/>
                <w:sz w:val="24"/>
                <w:szCs w:val="24"/>
              </w:rPr>
            </w:pPr>
            <w:r>
              <w:rPr>
                <w:rFonts w:hint="eastAsia" w:ascii="宋体" w:hAnsi="宋体"/>
                <w:sz w:val="24"/>
                <w:szCs w:val="24"/>
              </w:rPr>
              <w:t>详见招标文件第四章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675.64万</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国库集中支付</w:t>
            </w:r>
            <w:r>
              <w:rPr>
                <w:rFonts w:hint="eastAsia" w:ascii="宋体" w:hAns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评标委员会由采购人代表和评审专家组成，成员人数应当为5人及5人以上单数。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中标人确定</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□采购人授权评标委员会按照评审原则直接确定中标人。</w:t>
            </w:r>
          </w:p>
          <w:p>
            <w:pPr>
              <w:spacing w:line="360" w:lineRule="auto"/>
              <w:ind w:left="-140" w:leftChars="-50" w:right="-140" w:rightChars="-50" w:firstLine="120" w:firstLineChars="50"/>
              <w:rPr>
                <w:rFonts w:hint="eastAsia" w:ascii="宋体" w:hAnsi="宋体" w:eastAsia="宋体"/>
                <w:sz w:val="24"/>
                <w:szCs w:val="24"/>
                <w:lang w:eastAsia="zh-CN"/>
              </w:rPr>
            </w:pPr>
            <w:r>
              <w:rPr>
                <w:rFonts w:hint="eastAsia" w:ascii="宋体" w:hAnsi="宋体"/>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投标人资格要求</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提交投标文件时间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7</w:t>
            </w:r>
            <w:r>
              <w:rPr>
                <w:rFonts w:hint="eastAsia" w:ascii="宋体" w:hAnsi="宋体"/>
                <w:sz w:val="24"/>
                <w:szCs w:val="24"/>
              </w:rPr>
              <w:t>月</w:t>
            </w:r>
            <w:r>
              <w:rPr>
                <w:rFonts w:hint="eastAsia" w:ascii="宋体" w:hAnsi="宋体"/>
                <w:sz w:val="24"/>
                <w:szCs w:val="24"/>
                <w:lang w:val="en-US" w:eastAsia="zh-CN"/>
              </w:rPr>
              <w:t>31</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开标地点（投标文件提交地点）</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right="-140" w:rightChars="-50"/>
              <w:rPr>
                <w:rFonts w:ascii="宋体" w:hAnsi="宋体"/>
                <w:sz w:val="24"/>
                <w:szCs w:val="24"/>
              </w:rPr>
            </w:pPr>
            <w:r>
              <w:rPr>
                <w:rFonts w:hint="eastAsia" w:ascii="宋体" w:hAnsi="宋体"/>
                <w:sz w:val="24"/>
                <w:szCs w:val="24"/>
              </w:rPr>
              <w:t>（1）鄂尔多斯市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eastAsia="zh-CN"/>
              </w:rPr>
              <w:t>二</w:t>
            </w:r>
            <w:r>
              <w:rPr>
                <w:rFonts w:hint="eastAsia" w:ascii="宋体" w:hAnsi="宋体"/>
                <w:sz w:val="24"/>
                <w:szCs w:val="24"/>
              </w:rPr>
              <w:t>楼开标</w:t>
            </w:r>
            <w:r>
              <w:rPr>
                <w:rFonts w:hint="eastAsia" w:ascii="宋体" w:hAnsi="宋体"/>
                <w:sz w:val="24"/>
                <w:szCs w:val="24"/>
                <w:lang w:eastAsia="zh-CN"/>
              </w:rPr>
              <w:t>开标</w:t>
            </w:r>
            <w:r>
              <w:rPr>
                <w:rFonts w:hint="eastAsia" w:ascii="宋体" w:hAnsi="宋体"/>
                <w:sz w:val="24"/>
                <w:szCs w:val="24"/>
              </w:rPr>
              <w:t>室</w:t>
            </w:r>
            <w:r>
              <w:rPr>
                <w:rFonts w:hint="eastAsia" w:ascii="宋体" w:hAnsi="宋体"/>
                <w:sz w:val="24"/>
                <w:szCs w:val="24"/>
                <w:lang w:val="en-US" w:eastAsia="zh-CN"/>
              </w:rPr>
              <w:t xml:space="preserve"> </w:t>
            </w:r>
          </w:p>
          <w:p>
            <w:pPr>
              <w:spacing w:line="360" w:lineRule="auto"/>
              <w:ind w:left="-140" w:right="-140" w:rightChars="-5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 xml:space="preserve"> 16</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投标文件数量</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w:t>
            </w:r>
            <w:r>
              <w:rPr>
                <w:rFonts w:hint="eastAsia" w:ascii="宋体" w:hAnsi="宋体"/>
                <w:sz w:val="24"/>
                <w:szCs w:val="24"/>
                <w:lang w:val="en-US" w:eastAsia="zh-CN"/>
              </w:rPr>
              <w:t>1</w:t>
            </w:r>
            <w:r>
              <w:rPr>
                <w:rFonts w:hint="eastAsia" w:ascii="宋体" w:hAnsi="宋体"/>
                <w:sz w:val="24"/>
                <w:szCs w:val="24"/>
              </w:rPr>
              <w:t xml:space="preserve">）非加密电子版投标文件 U 盘 </w:t>
            </w:r>
            <w:r>
              <w:rPr>
                <w:rFonts w:hint="eastAsia" w:ascii="宋体" w:hAnsi="宋体"/>
                <w:sz w:val="24"/>
                <w:szCs w:val="24"/>
                <w:lang w:val="en-US" w:eastAsia="zh-CN"/>
              </w:rPr>
              <w:t>2</w:t>
            </w:r>
            <w:r>
              <w:rPr>
                <w:rFonts w:hint="eastAsia" w:ascii="宋体" w:hAnsi="宋体"/>
                <w:sz w:val="24"/>
                <w:szCs w:val="24"/>
              </w:rPr>
              <w:t xml:space="preserve"> 份； </w:t>
            </w:r>
          </w:p>
          <w:p>
            <w:pPr>
              <w:spacing w:line="360" w:lineRule="auto"/>
              <w:ind w:right="-140" w:rightChars="-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）纸质投标文件正本 1 份，副本</w:t>
            </w:r>
            <w:r>
              <w:rPr>
                <w:rFonts w:hint="eastAsia" w:ascii="宋体" w:hAnsi="宋体"/>
                <w:sz w:val="24"/>
                <w:szCs w:val="24"/>
                <w:lang w:val="en-US" w:eastAsia="zh-CN"/>
              </w:rPr>
              <w:t>2</w:t>
            </w:r>
            <w:r>
              <w:rPr>
                <w:rFonts w:hint="eastAsia" w:ascii="宋体" w:hAnsi="宋体"/>
                <w:sz w:val="24"/>
                <w:szCs w:val="24"/>
              </w:rPr>
              <w:t>份，副本可以是正本签字盖章后的黑白复印件，中标人在与招标人签订合同前，须另向招标人提供纸质投标文件副本（以正本为准，投标人要保证电子投标文件与纸质投标文件的一致性）</w:t>
            </w:r>
            <w:r>
              <w:rPr>
                <w:rFonts w:hint="eastAsia" w:ascii="宋体" w:hAnsi="宋体"/>
                <w:sz w:val="24"/>
                <w:szCs w:val="24"/>
                <w:lang w:val="en-US" w:eastAsia="zh-CN"/>
              </w:rPr>
              <w:t>2</w:t>
            </w:r>
            <w:r>
              <w:rPr>
                <w:rFonts w:hint="eastAsia" w:ascii="宋体" w:hAnsi="宋体"/>
                <w:sz w:val="24"/>
                <w:szCs w:val="24"/>
              </w:rPr>
              <w:t xml:space="preserve"> 份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投标现场演示</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23</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投标保证金</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本招标项目采用“虚拟子账户”形式及法律法规规定的其它缴纳方式收退投标保证金。请各投标人特别关注并严格遵照招标文件中有关投标保证金缴纳的规定。</w:t>
            </w:r>
          </w:p>
          <w:p>
            <w:pPr>
              <w:spacing w:line="360" w:lineRule="auto"/>
              <w:rPr>
                <w:rFonts w:ascii="宋体" w:hAnsi="宋体"/>
                <w:color w:val="000000"/>
                <w:sz w:val="24"/>
                <w:szCs w:val="24"/>
              </w:rPr>
            </w:pPr>
            <w:r>
              <w:rPr>
                <w:rFonts w:hint="eastAsia" w:ascii="宋体" w:hAnsi="宋体"/>
                <w:color w:val="000000"/>
                <w:sz w:val="24"/>
                <w:szCs w:val="24"/>
              </w:rPr>
              <w:t>保证金人民币：</w:t>
            </w:r>
            <w:r>
              <w:rPr>
                <w:rFonts w:hint="eastAsia" w:ascii="宋体" w:hAnsi="宋体"/>
                <w:b/>
                <w:bCs/>
                <w:color w:val="000000"/>
                <w:sz w:val="24"/>
                <w:szCs w:val="24"/>
                <w:u w:val="single"/>
                <w:lang w:eastAsia="zh-CN"/>
              </w:rPr>
              <w:t>伍仟</w:t>
            </w:r>
            <w:r>
              <w:rPr>
                <w:rFonts w:hint="eastAsia" w:ascii="宋体" w:hAnsi="宋体"/>
                <w:b/>
                <w:bCs/>
                <w:color w:val="000000"/>
                <w:sz w:val="24"/>
                <w:szCs w:val="24"/>
                <w:u w:val="single"/>
              </w:rPr>
              <w:t>元整</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开户银行：</w:t>
            </w:r>
            <w:r>
              <w:rPr>
                <w:rFonts w:hint="eastAsia" w:ascii="宋体" w:hAnsi="宋体"/>
                <w:b/>
                <w:color w:val="000000"/>
                <w:sz w:val="24"/>
                <w:szCs w:val="24"/>
                <w:u w:val="single"/>
                <w:lang w:eastAsia="zh-CN"/>
              </w:rPr>
              <w:t>准格尔煤田信用合作联社中山分社</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行</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lang w:val="en-US" w:eastAsia="zh-CN"/>
              </w:rPr>
              <w:t>402205300010</w:t>
            </w:r>
            <w:r>
              <w:rPr>
                <w:rFonts w:hint="eastAsia" w:ascii="宋体" w:hAnsi="宋体"/>
                <w:color w:val="000000"/>
                <w:sz w:val="24"/>
                <w:szCs w:val="24"/>
              </w:rPr>
              <w:t>。</w:t>
            </w:r>
          </w:p>
          <w:p>
            <w:pPr>
              <w:spacing w:line="360" w:lineRule="auto"/>
              <w:rPr>
                <w:rFonts w:ascii="宋体" w:hAnsi="宋体"/>
                <w:color w:val="000000"/>
                <w:sz w:val="24"/>
                <w:szCs w:val="24"/>
              </w:rPr>
            </w:pPr>
            <w:r>
              <w:rPr>
                <w:rFonts w:hint="eastAsia" w:ascii="宋体" w:hAnsi="宋体"/>
                <w:color w:val="000000"/>
                <w:sz w:val="24"/>
                <w:szCs w:val="24"/>
              </w:rPr>
              <w:t>开户单位：</w:t>
            </w:r>
            <w:r>
              <w:rPr>
                <w:rFonts w:hint="eastAsia" w:ascii="宋体" w:hAnsi="宋体"/>
                <w:b/>
                <w:color w:val="000000"/>
                <w:sz w:val="24"/>
                <w:szCs w:val="24"/>
                <w:u w:val="single"/>
              </w:rPr>
              <w:t>鄂尔多斯市公共资源交易</w:t>
            </w:r>
            <w:r>
              <w:rPr>
                <w:rFonts w:hint="eastAsia" w:ascii="宋体" w:hAnsi="宋体"/>
                <w:b/>
                <w:color w:val="000000"/>
                <w:sz w:val="24"/>
                <w:szCs w:val="24"/>
                <w:u w:val="single"/>
                <w:lang w:eastAsia="zh-CN"/>
              </w:rPr>
              <w:t>中心</w:t>
            </w:r>
            <w:r>
              <w:rPr>
                <w:rFonts w:hint="eastAsia" w:ascii="宋体" w:hAnsi="宋体"/>
                <w:color w:val="000000"/>
                <w:sz w:val="24"/>
                <w:szCs w:val="24"/>
              </w:rPr>
              <w:t>。</w:t>
            </w:r>
          </w:p>
          <w:p>
            <w:pPr>
              <w:spacing w:line="360" w:lineRule="auto"/>
              <w:rPr>
                <w:rFonts w:ascii="宋体" w:hAnsi="宋体"/>
                <w:color w:val="FF0000"/>
                <w:sz w:val="24"/>
                <w:szCs w:val="24"/>
              </w:rPr>
            </w:pPr>
            <w:r>
              <w:rPr>
                <w:rFonts w:hint="eastAsia" w:ascii="宋体" w:hAnsi="宋体"/>
                <w:color w:val="000000"/>
                <w:sz w:val="24"/>
                <w:szCs w:val="24"/>
              </w:rPr>
              <w:t>账</w:t>
            </w:r>
            <w:r>
              <w:rPr>
                <w:rFonts w:hint="eastAsia" w:ascii="宋体" w:hAnsi="宋体"/>
                <w:color w:val="000000"/>
                <w:sz w:val="24"/>
                <w:szCs w:val="24"/>
                <w:lang w:val="en-US" w:eastAsia="zh-CN"/>
              </w:rPr>
              <w:t xml:space="preserve">    </w:t>
            </w:r>
            <w:r>
              <w:rPr>
                <w:rFonts w:hint="eastAsia" w:ascii="宋体" w:hAnsi="宋体"/>
                <w:color w:val="000000"/>
                <w:sz w:val="24"/>
                <w:szCs w:val="24"/>
              </w:rPr>
              <w:t>号：</w:t>
            </w:r>
            <w:r>
              <w:rPr>
                <w:rFonts w:hint="eastAsia" w:ascii="宋体" w:hAnsi="宋体"/>
                <w:b/>
                <w:color w:val="000000"/>
                <w:sz w:val="24"/>
                <w:szCs w:val="24"/>
                <w:u w:val="single"/>
              </w:rPr>
              <w:t>详见“政府采购投标信息回执函”下方所附“保证金缴纳信息”中载明的账号</w:t>
            </w:r>
            <w:r>
              <w:rPr>
                <w:rFonts w:hint="eastAsia" w:ascii="宋体" w:hAnsi="宋体"/>
                <w:color w:val="000000"/>
                <w:sz w:val="24"/>
                <w:szCs w:val="24"/>
              </w:rPr>
              <w:t>。</w:t>
            </w:r>
          </w:p>
          <w:p>
            <w:pPr>
              <w:spacing w:line="360" w:lineRule="auto"/>
              <w:jc w:val="left"/>
              <w:rPr>
                <w:rFonts w:hint="eastAsia" w:ascii="宋体" w:hAnsi="宋体" w:eastAsia="宋体"/>
                <w:color w:val="000000"/>
                <w:sz w:val="24"/>
                <w:szCs w:val="24"/>
                <w:lang w:val="en-US" w:eastAsia="zh-CN"/>
              </w:rPr>
            </w:pPr>
            <w:r>
              <w:rPr>
                <w:rFonts w:hint="eastAsia" w:ascii="宋体" w:hAnsi="宋体"/>
                <w:color w:val="000000"/>
                <w:sz w:val="24"/>
                <w:szCs w:val="24"/>
              </w:rPr>
              <w:t>投标保证金缴纳</w:t>
            </w:r>
            <w:r>
              <w:rPr>
                <w:rFonts w:hint="eastAsia" w:ascii="宋体" w:hAnsi="宋体"/>
                <w:color w:val="000000"/>
                <w:sz w:val="24"/>
                <w:szCs w:val="24"/>
                <w:lang w:eastAsia="zh-CN"/>
              </w:rPr>
              <w:t>确认</w:t>
            </w:r>
            <w:r>
              <w:rPr>
                <w:rFonts w:hint="eastAsia" w:ascii="宋体" w:hAnsi="宋体"/>
                <w:color w:val="000000"/>
                <w:sz w:val="24"/>
                <w:szCs w:val="24"/>
              </w:rPr>
              <w:t>、退还联系人：</w:t>
            </w:r>
            <w:r>
              <w:rPr>
                <w:rFonts w:hint="eastAsia" w:ascii="宋体" w:hAnsi="宋体"/>
                <w:color w:val="000000"/>
                <w:sz w:val="24"/>
                <w:szCs w:val="24"/>
                <w:lang w:eastAsia="zh-CN"/>
              </w:rPr>
              <w:t>赵先生</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0477-</w:t>
            </w:r>
            <w:r>
              <w:rPr>
                <w:rFonts w:hint="eastAsia" w:ascii="宋体" w:hAnsi="宋体"/>
                <w:color w:val="000000"/>
                <w:sz w:val="24"/>
                <w:szCs w:val="24"/>
                <w:lang w:val="en-US" w:eastAsia="zh-CN"/>
              </w:rPr>
              <w:t>3864230</w:t>
            </w:r>
          </w:p>
          <w:p>
            <w:pPr>
              <w:spacing w:line="360" w:lineRule="auto"/>
              <w:rPr>
                <w:rFonts w:ascii="宋体" w:hAnsi="宋体"/>
                <w:color w:val="000000"/>
                <w:sz w:val="24"/>
                <w:szCs w:val="24"/>
              </w:rPr>
            </w:pPr>
            <w:r>
              <w:rPr>
                <w:rFonts w:hint="eastAsia" w:ascii="宋体" w:hAnsi="宋体"/>
                <w:color w:val="000000"/>
                <w:sz w:val="24"/>
                <w:szCs w:val="24"/>
                <w:lang w:eastAsia="zh-CN"/>
              </w:rPr>
              <w:t>准格尔煤田信用联社中山分社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0477-3864221</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http://www.ordosggzyjy.com</w:t>
      </w:r>
      <w:r>
        <w:rPr>
          <w:rFonts w:hint="eastAsia" w:ascii="宋体" w:hAnsi="宋体" w:cs="宋体"/>
          <w:kern w:val="0"/>
          <w:sz w:val="24"/>
          <w:szCs w:val="24"/>
        </w:rPr>
        <w:fldChar w:fldCharType="end"/>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156"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本招标项目采用“虚拟子账号”形式收退投标保证金，每一个投标人在所投的每一项目或标包会自动生成一个账号，</w:t>
      </w:r>
      <w:r>
        <w:rPr>
          <w:rFonts w:hint="eastAsia" w:ascii="宋体" w:hAnsi="宋体" w:cs="宋体"/>
          <w:kern w:val="0"/>
          <w:sz w:val="24"/>
          <w:szCs w:val="24"/>
        </w:rPr>
        <w:t>称为“虚拟子账号”。投标人</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textAlignment w:val="baseline"/>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2.报名时间及报名截止时间（网上报名）</w:t>
      </w:r>
    </w:p>
    <w:p>
      <w:pPr>
        <w:spacing w:line="360" w:lineRule="auto"/>
        <w:rPr>
          <w:rFonts w:ascii="宋体" w:hAnsi="宋体" w:cs="宋体"/>
          <w:kern w:val="0"/>
          <w:sz w:val="24"/>
          <w:szCs w:val="24"/>
        </w:rPr>
      </w:pPr>
      <w:r>
        <w:rPr>
          <w:rFonts w:hint="eastAsia" w:ascii="宋体" w:hAnsi="宋体" w:cs="宋体"/>
          <w:kern w:val="0"/>
          <w:sz w:val="24"/>
          <w:szCs w:val="24"/>
        </w:rPr>
        <w:t>2.1报名时间（招标文件提供期限）：</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05</w:t>
      </w:r>
      <w:r>
        <w:rPr>
          <w:rFonts w:hint="eastAsia" w:ascii="宋体" w:hAnsi="宋体" w:cs="宋体"/>
          <w:kern w:val="0"/>
          <w:sz w:val="24"/>
          <w:szCs w:val="24"/>
        </w:rPr>
        <w:t>日至</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13</w:t>
      </w:r>
      <w:r>
        <w:rPr>
          <w:rFonts w:hint="eastAsia" w:ascii="宋体" w:hAnsi="宋体" w:cs="宋体"/>
          <w:kern w:val="0"/>
          <w:sz w:val="24"/>
          <w:szCs w:val="24"/>
        </w:rPr>
        <w:t>日</w:t>
      </w:r>
      <w:r>
        <w:rPr>
          <w:rFonts w:hint="eastAsia" w:ascii="宋体" w:hAnsi="宋体" w:cs="宋体"/>
          <w:kern w:val="0"/>
          <w:sz w:val="24"/>
          <w:szCs w:val="24"/>
          <w:lang w:val="en-US" w:eastAsia="zh-CN"/>
        </w:rPr>
        <w:t>12时整</w:t>
      </w:r>
    </w:p>
    <w:p>
      <w:pPr>
        <w:spacing w:line="360" w:lineRule="auto"/>
        <w:rPr>
          <w:rFonts w:ascii="宋体" w:hAnsi="宋体" w:cs="宋体"/>
          <w:kern w:val="0"/>
          <w:sz w:val="24"/>
          <w:szCs w:val="24"/>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val="en-US" w:eastAsia="zh-CN"/>
        </w:rPr>
        <w:t>2018</w:t>
      </w:r>
      <w:r>
        <w:rPr>
          <w:rFonts w:hint="eastAsia" w:ascii="宋体" w:hAnsi="宋体" w:cs="宋体"/>
          <w:kern w:val="0"/>
          <w:sz w:val="24"/>
          <w:szCs w:val="24"/>
        </w:rPr>
        <w:t>年</w:t>
      </w:r>
      <w:r>
        <w:rPr>
          <w:rFonts w:hint="eastAsia" w:ascii="宋体" w:hAnsi="宋体" w:cs="宋体"/>
          <w:kern w:val="0"/>
          <w:sz w:val="24"/>
          <w:szCs w:val="24"/>
          <w:lang w:val="en-US" w:eastAsia="zh-CN"/>
        </w:rPr>
        <w:t>07</w:t>
      </w:r>
      <w:r>
        <w:rPr>
          <w:rFonts w:hint="eastAsia" w:ascii="宋体" w:hAnsi="宋体" w:cs="宋体"/>
          <w:kern w:val="0"/>
          <w:sz w:val="24"/>
          <w:szCs w:val="24"/>
        </w:rPr>
        <w:t>月</w:t>
      </w:r>
      <w:r>
        <w:rPr>
          <w:rFonts w:hint="eastAsia" w:ascii="宋体" w:hAnsi="宋体" w:cs="宋体"/>
          <w:kern w:val="0"/>
          <w:sz w:val="24"/>
          <w:szCs w:val="24"/>
          <w:lang w:val="en-US" w:eastAsia="zh-CN"/>
        </w:rPr>
        <w:t>31</w:t>
      </w:r>
      <w:r>
        <w:rPr>
          <w:rFonts w:hint="eastAsia" w:ascii="宋体" w:hAnsi="宋体" w:cs="宋体"/>
          <w:kern w:val="0"/>
          <w:sz w:val="24"/>
          <w:szCs w:val="24"/>
        </w:rPr>
        <w:t>日</w:t>
      </w:r>
      <w:r>
        <w:rPr>
          <w:rFonts w:hint="eastAsia" w:ascii="宋体" w:hAnsi="宋体" w:cs="宋体"/>
          <w:kern w:val="0"/>
          <w:sz w:val="24"/>
          <w:szCs w:val="24"/>
          <w:lang w:val="en-US" w:eastAsia="zh-CN"/>
        </w:rPr>
        <w:t>10时整</w:t>
      </w:r>
    </w:p>
    <w:p>
      <w:pPr>
        <w:spacing w:line="360" w:lineRule="auto"/>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投标人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lang w:eastAsia="zh-CN"/>
        </w:rPr>
        <w:t>准格尔煤田信用联社中山分社</w:t>
      </w:r>
      <w:r>
        <w:rPr>
          <w:rFonts w:hint="eastAsia" w:ascii="宋体" w:hAnsi="宋体"/>
          <w:sz w:val="24"/>
          <w:szCs w:val="24"/>
        </w:rPr>
        <w:t>进行咨询，以确保投标保证金缴纳情况符合招标文件规定。投标人未按照招标文件要求缴纳投标保证金导致的一切后果由投标人自行承担。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3.2由于投标保证金到账需要一定时间，请投标人在投标截止前及早缴纳，以免导致报名无效。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w:t>
      </w:r>
      <w:r>
        <w:rPr>
          <w:rFonts w:hint="eastAsia" w:ascii="宋体" w:hAnsi="宋体"/>
          <w:sz w:val="24"/>
          <w:szCs w:val="24"/>
          <w:lang w:val="en-US" w:eastAsia="zh-CN"/>
        </w:rPr>
        <w:t>3个工作日</w:t>
      </w:r>
      <w:r>
        <w:rPr>
          <w:rFonts w:hint="eastAsia" w:ascii="宋体" w:hAnsi="宋体"/>
          <w:sz w:val="24"/>
          <w:szCs w:val="24"/>
        </w:rPr>
        <w:t>以书面形式并加盖单位公章（扫描件发送至</w:t>
      </w:r>
      <w:r>
        <w:fldChar w:fldCharType="begin"/>
      </w:r>
      <w:r>
        <w:instrText xml:space="preserve"> HYPERLINK "javascript:;" </w:instrText>
      </w:r>
      <w:r>
        <w:fldChar w:fldCharType="separate"/>
      </w:r>
      <w:r>
        <w:rPr>
          <w:rStyle w:val="31"/>
          <w:rFonts w:hint="eastAsia" w:ascii="宋体" w:hAnsi="宋体" w:cs="宋体"/>
          <w:kern w:val="0"/>
          <w:sz w:val="24"/>
          <w:szCs w:val="24"/>
          <w:lang w:val="en-US" w:eastAsia="zh-CN"/>
        </w:rPr>
        <w:t>zqjycg</w:t>
      </w:r>
      <w:r>
        <w:rPr>
          <w:rStyle w:val="31"/>
          <w:rFonts w:ascii="宋体" w:hAnsi="宋体" w:cs="宋体"/>
          <w:kern w:val="0"/>
          <w:sz w:val="24"/>
          <w:szCs w:val="24"/>
        </w:rPr>
        <w:t>@163.com</w:t>
      </w:r>
      <w:r>
        <w:rPr>
          <w:rFonts w:ascii="宋体" w:hAnsi="宋体" w:cs="宋体"/>
          <w:kern w:val="0"/>
          <w:sz w:val="24"/>
          <w:szCs w:val="24"/>
        </w:rPr>
        <w:fldChar w:fldCharType="end"/>
      </w:r>
      <w:r>
        <w:rPr>
          <w:rFonts w:hint="eastAsia" w:ascii="宋体" w:hAnsi="宋体"/>
          <w:sz w:val="24"/>
          <w:szCs w:val="24"/>
        </w:rPr>
        <w:t>或书面送达）通知鄂尔多斯市</w:t>
      </w:r>
      <w:r>
        <w:rPr>
          <w:rFonts w:hint="eastAsia" w:ascii="宋体" w:hAnsi="宋体"/>
          <w:sz w:val="24"/>
          <w:szCs w:val="24"/>
          <w:lang w:eastAsia="zh-CN"/>
        </w:rPr>
        <w:t>准格尔旗公共资源交易</w:t>
      </w:r>
      <w:r>
        <w:rPr>
          <w:rFonts w:hint="eastAsia" w:ascii="宋体" w:hAnsi="宋体"/>
          <w:sz w:val="24"/>
          <w:szCs w:val="24"/>
        </w:rPr>
        <w:t>中心，并在网上报名页面中撤销报名。放弃投标未予告知的，鄂尔多斯市</w:t>
      </w:r>
      <w:r>
        <w:rPr>
          <w:rFonts w:hint="eastAsia" w:ascii="宋体" w:hAnsi="宋体"/>
          <w:sz w:val="24"/>
          <w:szCs w:val="24"/>
          <w:lang w:eastAsia="zh-CN"/>
        </w:rPr>
        <w:t>准格尔旗公共资源交易</w:t>
      </w:r>
      <w:r>
        <w:rPr>
          <w:rFonts w:hint="eastAsia" w:ascii="宋体" w:hAnsi="宋体"/>
          <w:sz w:val="24"/>
          <w:szCs w:val="24"/>
        </w:rPr>
        <w:t>中心将给予不诚信行为记录并在鄂尔多斯市公共资源交易网上公开通报。</w:t>
      </w:r>
    </w:p>
    <w:p>
      <w:pPr>
        <w:spacing w:line="360" w:lineRule="auto"/>
        <w:ind w:firstLine="480" w:firstLineChars="20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三.说明</w:t>
      </w:r>
    </w:p>
    <w:p>
      <w:pPr>
        <w:spacing w:line="360" w:lineRule="auto"/>
        <w:rPr>
          <w:rFonts w:ascii="宋体" w:hAnsi="宋体" w:cs="宋体"/>
          <w:b/>
          <w:sz w:val="24"/>
          <w:szCs w:val="24"/>
        </w:rPr>
      </w:pPr>
      <w:r>
        <w:rPr>
          <w:rFonts w:hint="eastAsia" w:ascii="宋体" w:hAnsi="宋体" w:cs="宋体"/>
          <w:b/>
          <w:sz w:val="24"/>
          <w:szCs w:val="24"/>
        </w:rPr>
        <w:t>1.总则</w:t>
      </w:r>
    </w:p>
    <w:p>
      <w:pPr>
        <w:spacing w:line="360" w:lineRule="auto"/>
        <w:ind w:firstLine="482" w:firstLineChars="201"/>
        <w:rPr>
          <w:rFonts w:ascii="宋体" w:hAnsi="宋体"/>
          <w:sz w:val="24"/>
          <w:szCs w:val="24"/>
        </w:rPr>
      </w:pPr>
      <w:r>
        <w:rPr>
          <w:rFonts w:hint="eastAsia" w:ascii="宋体" w:hAnsi="宋体" w:cs="宋体"/>
          <w:sz w:val="24"/>
          <w:szCs w:val="24"/>
        </w:rPr>
        <w:t>本招标文件依据《中华人民共和国政府采购法》、《中华人民共和国政府采购法实施条例》和《政府采购货物和服务招标投标管理办法》（财政部令第87号）及国家和自治区有关法律、法规、规章制度编制。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投标人应仔细阅读本项目信息公告及招标文件的所有内容（包括变更、补充、澄清以及修改等，且均为招标文件的组成部分），按照招标文件要求以及格式编制投标文件，并保证其真实性，否则一切后果自负。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本次公开招标项目，</w:t>
      </w:r>
      <w:r>
        <w:rPr>
          <w:rFonts w:ascii="宋体" w:hAnsi="宋体"/>
          <w:sz w:val="24"/>
          <w:szCs w:val="24"/>
        </w:rPr>
        <w:t>是以</w:t>
      </w:r>
      <w:r>
        <w:rPr>
          <w:rFonts w:hint="eastAsia" w:ascii="宋体" w:hAnsi="宋体"/>
          <w:sz w:val="24"/>
          <w:szCs w:val="24"/>
        </w:rPr>
        <w:t>招标</w:t>
      </w:r>
      <w:r>
        <w:rPr>
          <w:rFonts w:ascii="宋体" w:hAnsi="宋体"/>
          <w:sz w:val="24"/>
          <w:szCs w:val="24"/>
        </w:rPr>
        <w:t>公告的方式邀请非特定的</w:t>
      </w:r>
      <w:r>
        <w:rPr>
          <w:rFonts w:hint="eastAsia" w:ascii="宋体" w:hAnsi="宋体"/>
          <w:sz w:val="24"/>
          <w:szCs w:val="24"/>
        </w:rPr>
        <w:t>投标人</w:t>
      </w:r>
      <w:r>
        <w:rPr>
          <w:rFonts w:ascii="宋体" w:hAnsi="宋体"/>
          <w:sz w:val="24"/>
          <w:szCs w:val="24"/>
        </w:rPr>
        <w:t>参加投标</w:t>
      </w:r>
      <w:r>
        <w:rPr>
          <w:rFonts w:hint="eastAsia" w:ascii="宋体" w:hAnsi="宋体"/>
          <w:sz w:val="24"/>
          <w:szCs w:val="24"/>
        </w:rPr>
        <w:t>。</w:t>
      </w:r>
    </w:p>
    <w:p>
      <w:pPr>
        <w:spacing w:line="360" w:lineRule="auto"/>
        <w:ind w:firstLine="480" w:firstLineChars="200"/>
        <w:rPr>
          <w:rFonts w:ascii="宋体" w:hAnsi="宋体"/>
          <w:b/>
          <w:snapToGrid w:val="0"/>
          <w:color w:val="FF0000"/>
          <w:kern w:val="0"/>
          <w:sz w:val="24"/>
          <w:szCs w:val="24"/>
        </w:rPr>
      </w:pPr>
      <w:r>
        <w:rPr>
          <w:rFonts w:hint="eastAsia" w:ascii="宋体" w:hAnsi="宋体"/>
          <w:sz w:val="24"/>
          <w:szCs w:val="24"/>
        </w:rPr>
        <w:t>本招标文件所称货物，是指各种形态和种类的物品。提供的货物必须合法生产或销售且符合国家有关标准要求。</w:t>
      </w:r>
    </w:p>
    <w:p>
      <w:pPr>
        <w:pStyle w:val="60"/>
        <w:adjustRightInd w:val="0"/>
        <w:snapToGrid w:val="0"/>
        <w:spacing w:line="360" w:lineRule="auto"/>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本招标文件仅适用于本次招标公告中所涉及的项目和内容。</w:t>
      </w:r>
    </w:p>
    <w:p>
      <w:pPr>
        <w:pStyle w:val="60"/>
        <w:adjustRightInd w:val="0"/>
        <w:snapToGrid w:val="0"/>
        <w:spacing w:line="360" w:lineRule="auto"/>
        <w:rPr>
          <w:rFonts w:hAnsi="宋体"/>
          <w:b/>
          <w:sz w:val="24"/>
          <w:szCs w:val="24"/>
        </w:rPr>
      </w:pPr>
      <w:r>
        <w:rPr>
          <w:rFonts w:hint="eastAsia" w:hAnsi="宋体"/>
          <w:b/>
          <w:sz w:val="24"/>
          <w:szCs w:val="24"/>
        </w:rPr>
        <w:t>3.投标费用</w:t>
      </w:r>
    </w:p>
    <w:p>
      <w:pPr>
        <w:pStyle w:val="60"/>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投标人应承担所有与准备和参加投标有关的费用。不论投标结果如何，</w:t>
      </w:r>
      <w:r>
        <w:rPr>
          <w:rFonts w:hint="eastAsia" w:hAnsi="宋体"/>
          <w:sz w:val="24"/>
          <w:szCs w:val="24"/>
          <w:lang w:eastAsia="zh-CN"/>
        </w:rPr>
        <w:t>公共资源交易</w:t>
      </w:r>
      <w:r>
        <w:rPr>
          <w:rFonts w:hint="eastAsia" w:hAnsi="宋体" w:cs="Arial"/>
          <w:color w:val="000000"/>
          <w:kern w:val="2"/>
          <w:sz w:val="24"/>
          <w:szCs w:val="24"/>
        </w:rPr>
        <w:t>中心和采购人均无义务和责任承担相关费用。</w:t>
      </w:r>
    </w:p>
    <w:p>
      <w:pPr>
        <w:spacing w:line="360" w:lineRule="auto"/>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依法进行政府采购的国家机关、事业单位、团体组织。本招标文件的采购人特指（</w:t>
      </w:r>
      <w:r>
        <w:rPr>
          <w:rFonts w:hint="eastAsia" w:ascii="宋体" w:hAnsi="宋体" w:cs="Arial"/>
          <w:b/>
          <w:bCs/>
          <w:color w:val="000000"/>
          <w:sz w:val="24"/>
          <w:szCs w:val="24"/>
          <w:lang w:eastAsia="zh-CN"/>
        </w:rPr>
        <w:t>准格尔旗医保局</w:t>
      </w:r>
      <w:r>
        <w:rPr>
          <w:rFonts w:hint="eastAsia" w:ascii="宋体" w:hAnsi="宋体" w:cs="Arial"/>
          <w:b/>
          <w:bCs/>
          <w:color w:val="000000"/>
          <w:sz w:val="24"/>
          <w:szCs w:val="24"/>
        </w:rPr>
        <w:t>）</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4.2“集中采购机构”是指人民政府依法设立的代理集中采购项目的执行机构。本招标文件的集中采购机构特指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4.3“投标人”是指向采购人提供货物、工程或者服务的法人、其他组织或者自然人。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4.4“评标委员会”是指根据《中华人民共和国政府采购法》等法律法规规定，由采购人代表和有关专家组成以确定中标人或者推荐中标候选人的临时组织。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4.5“中标人”是指经评标委员会评审确定的对招标文件做出实质性响应，取得与采购人签订合同资格的投标人。</w:t>
      </w:r>
    </w:p>
    <w:p>
      <w:pPr>
        <w:spacing w:line="360" w:lineRule="auto"/>
        <w:rPr>
          <w:rFonts w:ascii="宋体" w:hAnsi="宋体"/>
          <w:b/>
          <w:color w:val="000000"/>
          <w:sz w:val="24"/>
          <w:szCs w:val="24"/>
        </w:rPr>
      </w:pPr>
      <w:r>
        <w:rPr>
          <w:rFonts w:hint="eastAsia" w:ascii="宋体" w:hAnsi="宋体"/>
          <w:b/>
          <w:color w:val="000000"/>
          <w:sz w:val="24"/>
          <w:szCs w:val="24"/>
        </w:rPr>
        <w:t>5.合格的投标人</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5.3单位负责人为同一人或者存在直接控股、管理关系的不同投标人，不得参加同一合同项下的政府采购活动。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5.4为采购项目提供整体设计、规范编制或者项目管理、监理、检测等服务的投标人，不得再参加该采购项目的其他采购活动。</w:t>
      </w:r>
    </w:p>
    <w:p>
      <w:pPr>
        <w:spacing w:line="360" w:lineRule="auto"/>
        <w:ind w:firstLine="480" w:firstLineChars="200"/>
        <w:rPr>
          <w:rFonts w:ascii="宋体" w:hAnsi="宋体"/>
          <w:bCs/>
          <w:sz w:val="24"/>
          <w:szCs w:val="24"/>
        </w:rPr>
      </w:pPr>
      <w:r>
        <w:rPr>
          <w:rFonts w:hint="eastAsia" w:ascii="宋体" w:hAnsi="宋体"/>
          <w:bCs/>
          <w:sz w:val="24"/>
          <w:szCs w:val="24"/>
        </w:rPr>
        <w:t>5.5由于法人分支机构不能独立承担民事责任，不能以分支机构的身份参加政府采购，只能以法人身份参加。</w:t>
      </w:r>
    </w:p>
    <w:p>
      <w:pPr>
        <w:tabs>
          <w:tab w:val="left" w:pos="567"/>
        </w:tabs>
        <w:spacing w:line="360" w:lineRule="auto"/>
        <w:rPr>
          <w:rFonts w:ascii="宋体" w:hAnsi="宋体"/>
          <w:b/>
          <w:bCs/>
          <w:sz w:val="24"/>
          <w:szCs w:val="24"/>
        </w:rPr>
      </w:pPr>
      <w:r>
        <w:rPr>
          <w:rFonts w:hint="eastAsia" w:ascii="宋体" w:hAnsi="宋体"/>
          <w:b/>
          <w:bCs/>
          <w:sz w:val="24"/>
          <w:szCs w:val="24"/>
        </w:rPr>
        <w:t>6.以联合体形式投标的，应符合以下规定：</w:t>
      </w:r>
    </w:p>
    <w:p>
      <w:pPr>
        <w:spacing w:line="360" w:lineRule="auto"/>
        <w:ind w:firstLine="480" w:firstLineChars="200"/>
        <w:rPr>
          <w:rFonts w:ascii="宋体" w:hAnsi="宋体"/>
          <w:bCs/>
          <w:sz w:val="24"/>
          <w:szCs w:val="24"/>
        </w:rPr>
      </w:pPr>
      <w:r>
        <w:rPr>
          <w:rFonts w:hint="eastAsia" w:ascii="宋体" w:hAnsi="宋体"/>
          <w:bCs/>
          <w:sz w:val="24"/>
          <w:szCs w:val="24"/>
        </w:rPr>
        <w:t>6.1联合体各方应签订联合体协议书，明确联合体牵头人和各方权利义务，并装订至投标文件中。</w:t>
      </w:r>
    </w:p>
    <w:p>
      <w:pPr>
        <w:spacing w:line="360" w:lineRule="auto"/>
        <w:ind w:firstLine="480" w:firstLineChars="200"/>
        <w:rPr>
          <w:rFonts w:ascii="宋体" w:hAnsi="宋体"/>
          <w:bCs/>
          <w:sz w:val="24"/>
          <w:szCs w:val="24"/>
        </w:rPr>
      </w:pPr>
      <w:r>
        <w:rPr>
          <w:rFonts w:hint="eastAsia" w:ascii="宋体" w:hAnsi="宋体"/>
          <w:bCs/>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cs="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w:t>
      </w:r>
      <w:r>
        <w:rPr>
          <w:rFonts w:hint="eastAsia" w:ascii="宋体" w:hAnsi="宋体" w:cs="宋体"/>
          <w:sz w:val="24"/>
          <w:szCs w:val="24"/>
        </w:rPr>
        <w:t>联合体各方中至少应当有一方符合采购人规定的资格要求。由</w:t>
      </w:r>
      <w:r>
        <w:rPr>
          <w:rFonts w:hint="eastAsia" w:ascii="宋体" w:hAnsi="宋体"/>
          <w:sz w:val="24"/>
          <w:szCs w:val="24"/>
        </w:rPr>
        <w:t>同一资质条件的投标人组成的联合体，应当按照资质等级较低的投标人确定联合体资质等级。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8.1招标文件规定组织踏勘现场的，采购人按招标文件规定的时间、地点组织投标人踏勘项目现场。 </w:t>
      </w:r>
    </w:p>
    <w:p>
      <w:pPr>
        <w:spacing w:line="360" w:lineRule="auto"/>
        <w:ind w:firstLine="480" w:firstLineChars="200"/>
        <w:rPr>
          <w:rFonts w:ascii="宋体" w:hAnsi="宋体"/>
          <w:sz w:val="24"/>
          <w:szCs w:val="24"/>
        </w:rPr>
      </w:pPr>
      <w:r>
        <w:rPr>
          <w:rFonts w:hint="eastAsia" w:ascii="宋体" w:hAnsi="宋体"/>
          <w:sz w:val="24"/>
          <w:szCs w:val="24"/>
        </w:rPr>
        <w:t>8.2投标人自行承担踏勘现场发生的责任、风险和自身费用。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8.3采购人在踏勘现场中介绍的资料和数据等，不构成对招标文件的修改或不作为投标人编制投标文件的依据。</w:t>
      </w:r>
    </w:p>
    <w:p>
      <w:pPr>
        <w:spacing w:line="360" w:lineRule="auto"/>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无论中标与否投标人递交的投标文件均不予退还。</w:t>
      </w:r>
    </w:p>
    <w:p>
      <w:pPr>
        <w:spacing w:line="360" w:lineRule="auto"/>
        <w:rPr>
          <w:rFonts w:ascii="宋体" w:hAnsi="宋体"/>
          <w:b/>
          <w:sz w:val="24"/>
          <w:szCs w:val="24"/>
        </w:rPr>
      </w:pPr>
      <w:r>
        <w:rPr>
          <w:rFonts w:hint="eastAsia" w:ascii="宋体" w:hAnsi="宋体"/>
          <w:b/>
          <w:sz w:val="24"/>
          <w:szCs w:val="24"/>
        </w:rPr>
        <w:t>四.招标文件的澄清或者修改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w:t>
      </w:r>
      <w:r>
        <w:rPr>
          <w:rFonts w:hint="eastAsia" w:ascii="宋体" w:hAnsi="宋体"/>
          <w:sz w:val="24"/>
          <w:szCs w:val="24"/>
          <w:lang w:eastAsia="zh-CN"/>
        </w:rPr>
        <w:t>交易中心</w:t>
      </w:r>
      <w:r>
        <w:rPr>
          <w:rFonts w:hint="eastAsia" w:ascii="宋体" w:hAnsi="宋体"/>
          <w:sz w:val="24"/>
          <w:szCs w:val="24"/>
        </w:rPr>
        <w:t>对已发出的招标文件进行必要的澄清或修改的，澄清或者修改的内容可能影响投标文件编制的，采购人或者</w:t>
      </w:r>
      <w:r>
        <w:rPr>
          <w:rFonts w:hint="eastAsia" w:ascii="宋体" w:hAnsi="宋体"/>
          <w:sz w:val="24"/>
          <w:szCs w:val="24"/>
          <w:lang w:eastAsia="zh-CN"/>
        </w:rPr>
        <w:t>交易中心</w:t>
      </w:r>
      <w:r>
        <w:rPr>
          <w:rFonts w:hint="eastAsia" w:ascii="宋体" w:hAnsi="宋体"/>
          <w:sz w:val="24"/>
          <w:szCs w:val="24"/>
        </w:rPr>
        <w:t>应当在投标截止时间15日前，</w:t>
      </w:r>
      <w:r>
        <w:rPr>
          <w:rFonts w:ascii="宋体" w:hAnsi="宋体" w:cs="宋体"/>
          <w:kern w:val="0"/>
          <w:sz w:val="24"/>
          <w:szCs w:val="24"/>
        </w:rPr>
        <w:t>不足</w:t>
      </w:r>
      <w:r>
        <w:rPr>
          <w:rFonts w:hint="eastAsia" w:ascii="宋体" w:hAnsi="宋体" w:cs="宋体"/>
          <w:kern w:val="0"/>
          <w:sz w:val="24"/>
          <w:szCs w:val="24"/>
        </w:rPr>
        <w:t>15</w:t>
      </w:r>
      <w:r>
        <w:rPr>
          <w:rFonts w:ascii="宋体" w:hAnsi="宋体" w:cs="宋体"/>
          <w:kern w:val="0"/>
          <w:sz w:val="24"/>
          <w:szCs w:val="24"/>
        </w:rPr>
        <w:t>日的，顺延</w:t>
      </w:r>
      <w:r>
        <w:rPr>
          <w:rFonts w:hint="eastAsia" w:ascii="宋体" w:hAnsi="宋体" w:cs="宋体"/>
          <w:kern w:val="0"/>
          <w:sz w:val="24"/>
          <w:szCs w:val="24"/>
        </w:rPr>
        <w:t>投标</w:t>
      </w:r>
      <w:r>
        <w:rPr>
          <w:rFonts w:ascii="宋体" w:hAnsi="宋体" w:cs="宋体"/>
          <w:kern w:val="0"/>
          <w:sz w:val="24"/>
          <w:szCs w:val="24"/>
        </w:rPr>
        <w:t>截止之日</w:t>
      </w:r>
      <w:r>
        <w:rPr>
          <w:rFonts w:hint="eastAsia" w:ascii="宋体" w:hAnsi="宋体" w:cs="宋体"/>
          <w:kern w:val="0"/>
          <w:sz w:val="24"/>
          <w:szCs w:val="24"/>
        </w:rPr>
        <w:t>，同时</w:t>
      </w:r>
      <w:r>
        <w:rPr>
          <w:rFonts w:hint="eastAsia" w:ascii="宋体" w:hAnsi="宋体"/>
          <w:sz w:val="24"/>
          <w:szCs w:val="24"/>
        </w:rPr>
        <w:t>在“内蒙古自治区政府采购网”、“内蒙古自治区公共资源交易网”、“鄂尔多斯市政府采购网”和“鄂尔多斯市公共资源交易网”上发布澄清或者变更公告进行通知。澄清或者变更公告的内容为招标文件的组成部分，投标人应自行上网查询，采购人或</w:t>
      </w:r>
      <w:r>
        <w:rPr>
          <w:rFonts w:hint="eastAsia" w:ascii="宋体" w:hAnsi="宋体"/>
          <w:sz w:val="24"/>
          <w:szCs w:val="24"/>
          <w:lang w:eastAsia="zh-CN"/>
        </w:rPr>
        <w:t>交易中心</w:t>
      </w:r>
      <w:r>
        <w:rPr>
          <w:rFonts w:hint="eastAsia" w:ascii="宋体" w:hAnsi="宋体"/>
          <w:sz w:val="24"/>
          <w:szCs w:val="24"/>
        </w:rPr>
        <w:t>不承担投标人未及时关注相关信息的责任。</w:t>
      </w:r>
    </w:p>
    <w:p>
      <w:pPr>
        <w:spacing w:line="360" w:lineRule="auto"/>
        <w:rPr>
          <w:rFonts w:ascii="宋体" w:hAnsi="宋体"/>
          <w:b/>
          <w:sz w:val="24"/>
          <w:szCs w:val="24"/>
        </w:rPr>
      </w:pPr>
      <w:r>
        <w:rPr>
          <w:rFonts w:hint="eastAsia" w:ascii="宋体" w:hAnsi="宋体"/>
          <w:b/>
          <w:sz w:val="24"/>
          <w:szCs w:val="24"/>
        </w:rPr>
        <w:t>五.投标文件</w:t>
      </w:r>
    </w:p>
    <w:p>
      <w:pPr>
        <w:spacing w:line="360" w:lineRule="auto"/>
        <w:rPr>
          <w:rFonts w:ascii="宋体" w:hAnsi="宋体"/>
          <w:b/>
          <w:sz w:val="24"/>
          <w:szCs w:val="24"/>
        </w:rPr>
      </w:pPr>
      <w:r>
        <w:rPr>
          <w:rFonts w:hint="eastAsia" w:ascii="宋体" w:hAnsi="宋体"/>
          <w:b/>
          <w:sz w:val="24"/>
          <w:szCs w:val="24"/>
        </w:rPr>
        <w:t>1.投标文件的构成</w:t>
      </w:r>
    </w:p>
    <w:p>
      <w:pPr>
        <w:spacing w:line="360" w:lineRule="auto"/>
        <w:ind w:firstLine="480" w:firstLineChars="200"/>
        <w:rPr>
          <w:rFonts w:ascii="宋体" w:hAnsi="宋体"/>
          <w:sz w:val="24"/>
          <w:szCs w:val="24"/>
        </w:rPr>
      </w:pPr>
      <w:r>
        <w:rPr>
          <w:rFonts w:hint="eastAsia" w:ascii="宋体" w:hAnsi="宋体"/>
          <w:sz w:val="24"/>
          <w:szCs w:val="24"/>
        </w:rPr>
        <w:t>投标文件应按照招标文件第七章“投标文件格式”完整填写（可以增加附页），作为投标文件的组成部分。</w:t>
      </w:r>
    </w:p>
    <w:p>
      <w:pPr>
        <w:spacing w:line="360" w:lineRule="auto"/>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投标人应按照“第四章招标内容与要求”的供货内容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。投标总价中不得包含招标文件要求以外的内容，否则，在评审时不予核减。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2.3投标报价不得有选择性报价和附有条件的报价，每一种规格的货物只允许有一个报价，不得缺项、漏项、不得高于预算价或最高限价。</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）投标文件中开标一览表（报价表）内容与投标文件中相应内容不一致的，以开标一览表（报价表）为准；</w:t>
      </w:r>
    </w:p>
    <w:p>
      <w:pPr>
        <w:widowControl/>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）大写金额和小写金额不一致的，以大写金额为准；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）单价金额小数点或者百分比有明显错位的，以开标一览表的总价为准，并修改单价。</w:t>
      </w:r>
    </w:p>
    <w:p>
      <w:pPr>
        <w:spacing w:line="360" w:lineRule="auto"/>
        <w:ind w:firstLine="482" w:firstLineChars="201"/>
        <w:rPr>
          <w:rFonts w:ascii="宋体" w:hAnsi="宋体"/>
          <w:sz w:val="24"/>
          <w:szCs w:val="24"/>
        </w:rPr>
      </w:pPr>
      <w:r>
        <w:rPr>
          <w:rFonts w:hint="eastAsia" w:ascii="宋体" w:hAnsi="宋体"/>
          <w:sz w:val="24"/>
          <w:szCs w:val="24"/>
        </w:rPr>
        <w:t>注：修正后的报价投标人应当采用书面形式，并加盖公章，或者由法定代表人或其授权的代表签字确认后产生约束力，但不得超出投标文件的范围或者改变投标文件的实质性内容，投标人不确认的，其投标无效。</w:t>
      </w:r>
    </w:p>
    <w:p>
      <w:pPr>
        <w:spacing w:line="360" w:lineRule="auto"/>
        <w:rPr>
          <w:rFonts w:ascii="宋体" w:hAnsi="宋体"/>
          <w:b/>
          <w:sz w:val="24"/>
          <w:szCs w:val="24"/>
        </w:rPr>
      </w:pPr>
      <w:r>
        <w:rPr>
          <w:rFonts w:hint="eastAsia" w:ascii="宋体" w:hAnsi="宋体"/>
          <w:b/>
          <w:sz w:val="24"/>
          <w:szCs w:val="24"/>
        </w:rPr>
        <w:t>3.投标文件的密封、签署、盖章要求等</w:t>
      </w:r>
    </w:p>
    <w:p>
      <w:pPr>
        <w:spacing w:line="360" w:lineRule="auto"/>
        <w:ind w:firstLine="480" w:firstLineChars="200"/>
        <w:rPr>
          <w:rFonts w:ascii="宋体" w:hAnsi="宋体"/>
          <w:sz w:val="24"/>
          <w:szCs w:val="24"/>
        </w:rPr>
      </w:pPr>
      <w:r>
        <w:rPr>
          <w:rFonts w:hint="eastAsia" w:ascii="宋体" w:hAnsi="宋体"/>
          <w:sz w:val="24"/>
          <w:szCs w:val="24"/>
        </w:rPr>
        <w:t>3.1纸质投标文件编制要求：投标文件应用A4纸书写、打印。正本和副本的封面上应清楚地标记“正本”或“副本”的字样，副本可采用正本复印件。当副本和正本不一致时，以正本为准。投标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3.2电子版响应文件编制要求：提供PDF格式和word格式电子文档一份，内容必须一致，在电子文档上标明投标人全称。（电子文档可使用U盘或光盘）</w:t>
      </w:r>
    </w:p>
    <w:p>
      <w:pPr>
        <w:spacing w:line="360" w:lineRule="auto"/>
        <w:ind w:firstLine="480" w:firstLineChars="200"/>
        <w:rPr>
          <w:rFonts w:ascii="宋体" w:hAnsi="宋体"/>
          <w:sz w:val="24"/>
          <w:szCs w:val="24"/>
        </w:rPr>
      </w:pPr>
      <w:r>
        <w:rPr>
          <w:rFonts w:hint="eastAsia" w:ascii="宋体" w:hAnsi="宋体"/>
          <w:sz w:val="24"/>
          <w:szCs w:val="24"/>
        </w:rPr>
        <w:t>3.3投标文件正、副本中要求签署盖章的应按要求由投标人的法定代表人或其授权委托人签字并加盖公章。投标文件应尽量避免涂改、行间插字或删除，如果出现上述情况，改动之处应当加盖公章或由投标人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：投标人在投标文件及相关书面文件中的单位公章（包括印章、公章等）均指与投标人名称全称一致的标准公章，不得使用其他形式（如带有“专用章”、“财务章”、“业务章”等）的印章。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3.3投标文件的装订应采用胶订方式牢固装订成册，不可插页抽页，不可采用活页纸进行装订；投标人同时对多个标包投标的，投标文件应按所投标包分别编制，并分册胶装、分包密封。</w:t>
      </w:r>
    </w:p>
    <w:p>
      <w:pPr>
        <w:spacing w:line="360" w:lineRule="auto"/>
        <w:ind w:firstLine="480" w:firstLineChars="200"/>
        <w:rPr>
          <w:rFonts w:ascii="宋体" w:hAnsi="宋体"/>
          <w:sz w:val="24"/>
          <w:szCs w:val="24"/>
        </w:rPr>
      </w:pPr>
      <w:r>
        <w:rPr>
          <w:rFonts w:hint="eastAsia" w:ascii="宋体" w:hAnsi="宋体"/>
          <w:sz w:val="24"/>
          <w:szCs w:val="24"/>
        </w:rPr>
        <w:t>3.4投标文件的密封。投标人</w:t>
      </w:r>
      <w:r>
        <w:rPr>
          <w:rFonts w:ascii="宋体" w:hAnsi="宋体"/>
          <w:sz w:val="24"/>
          <w:szCs w:val="24"/>
        </w:rPr>
        <w:t>应使用密封袋将</w:t>
      </w:r>
      <w:r>
        <w:rPr>
          <w:rFonts w:hint="eastAsia" w:ascii="宋体" w:hAnsi="宋体"/>
          <w:sz w:val="24"/>
          <w:szCs w:val="24"/>
        </w:rPr>
        <w:t>投标</w:t>
      </w:r>
      <w:r>
        <w:rPr>
          <w:rFonts w:ascii="宋体" w:hAnsi="宋体"/>
          <w:sz w:val="24"/>
          <w:szCs w:val="24"/>
        </w:rPr>
        <w:t>文件密封</w:t>
      </w:r>
      <w:r>
        <w:rPr>
          <w:rFonts w:hint="eastAsia" w:ascii="宋体" w:hAnsi="宋体"/>
          <w:sz w:val="24"/>
          <w:szCs w:val="24"/>
        </w:rPr>
        <w:t>，电子文档可密封至投标文件中也可单独密封。密封封面上需注明“项目名称”、“项目编号”、“分包号”、“投标人全称”和《招标文件》或《电子版》字样，并在密封包装上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right="57" w:firstLine="480" w:firstLineChars="200"/>
        <w:rPr>
          <w:rFonts w:ascii="宋体" w:hAnsi="宋体"/>
          <w:sz w:val="24"/>
          <w:szCs w:val="24"/>
        </w:rPr>
      </w:pPr>
      <w:r>
        <w:rPr>
          <w:rFonts w:hint="eastAsia" w:ascii="宋体" w:hAnsi="宋体"/>
          <w:sz w:val="24"/>
          <w:szCs w:val="24"/>
        </w:rPr>
        <w:t>投标人按上述规定进行密封和标记后，将投标文件按照招标文件的要求送达指定地点。如果未按上述规定进行密封和标记，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4.1投标有效期从提交投标文件的截止之日起算。投标文件中承诺的投标有效期应当不少于招标文件中载明的投标有效期。投标有效期内投标人撤销投标文件的，采购人或者采购代理机构可以不退还投标保证金。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投标人在提交投标文件的同时，应按投标人须知前附表规定的金额、开户银行、行号、开户单位、账号和招标文件本章“报名须知”规定的投标保证金缴纳要求递交投标保证金，并作为其投标文件的组成部分。</w:t>
      </w:r>
    </w:p>
    <w:p>
      <w:pPr>
        <w:spacing w:line="360" w:lineRule="auto"/>
        <w:ind w:firstLine="480" w:firstLineChars="200"/>
        <w:rPr>
          <w:rFonts w:ascii="宋体" w:hAnsi="宋体"/>
          <w:sz w:val="24"/>
          <w:szCs w:val="24"/>
        </w:rPr>
      </w:pPr>
      <w:r>
        <w:rPr>
          <w:rFonts w:hint="eastAsia" w:ascii="宋体" w:hAnsi="宋体"/>
          <w:sz w:val="24"/>
          <w:szCs w:val="24"/>
        </w:rPr>
        <w:t>5.2投标保证金的退还：</w:t>
      </w:r>
    </w:p>
    <w:p>
      <w:pPr>
        <w:spacing w:line="360" w:lineRule="auto"/>
        <w:ind w:firstLine="480" w:firstLineChars="200"/>
        <w:rPr>
          <w:rFonts w:ascii="宋体" w:hAnsi="宋体"/>
          <w:sz w:val="24"/>
          <w:szCs w:val="24"/>
        </w:rPr>
      </w:pPr>
      <w:r>
        <w:rPr>
          <w:rFonts w:hint="eastAsia" w:ascii="宋体" w:hAnsi="宋体"/>
          <w:sz w:val="24"/>
          <w:szCs w:val="24"/>
        </w:rPr>
        <w:t>（1）投标人在投标截止时间前放弃投标的，自收到投标人书面放弃投标通知之日起５个工作日内退还，但因投标人自身原因导致无法及时退还的除外；</w:t>
      </w:r>
    </w:p>
    <w:p>
      <w:pPr>
        <w:spacing w:line="360" w:lineRule="auto"/>
        <w:ind w:firstLine="480" w:firstLineChars="200"/>
        <w:rPr>
          <w:rFonts w:ascii="宋体" w:hAnsi="宋体"/>
          <w:sz w:val="24"/>
          <w:szCs w:val="24"/>
        </w:rPr>
      </w:pPr>
      <w:r>
        <w:rPr>
          <w:rFonts w:hint="eastAsia" w:ascii="宋体" w:hAnsi="宋体"/>
          <w:sz w:val="24"/>
          <w:szCs w:val="24"/>
        </w:rPr>
        <w:t>（2）未中标人投标保证金，自中标通知书发出之日起5个工作日内退还；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（3）中标人投标保证金，自政府采购合同签订之日起5个工作日内退还或者转为中标人的履约保证金。</w:t>
      </w:r>
    </w:p>
    <w:p>
      <w:pPr>
        <w:spacing w:line="360" w:lineRule="auto"/>
        <w:ind w:firstLine="480" w:firstLineChars="200"/>
        <w:rPr>
          <w:rFonts w:ascii="宋体" w:hAnsi="宋体"/>
          <w:sz w:val="24"/>
          <w:szCs w:val="24"/>
        </w:rPr>
      </w:pPr>
      <w:r>
        <w:rPr>
          <w:rFonts w:hint="eastAsia" w:ascii="宋体" w:hAnsi="宋体"/>
          <w:sz w:val="24"/>
          <w:szCs w:val="24"/>
        </w:rPr>
        <w:t>5.3有下列情形之一的，投标保证金将不予退还：</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（1）中标后，无正当理由放弃中标资格；</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（2）中标后，无正当理由不与招标人签订合同；</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（3）在签订合同时，向招标人提出附加条件；</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（4）不按照招标文件要求提交履约保证金；</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（5）要求修改、补充和撤销投标文件的实质性内容；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（6）要求更改招标文件和中标结果公告的实质性内容；</w:t>
      </w:r>
    </w:p>
    <w:p>
      <w:pPr>
        <w:spacing w:line="360" w:lineRule="auto"/>
        <w:ind w:firstLine="528" w:firstLineChars="220"/>
        <w:rPr>
          <w:rFonts w:ascii="宋体" w:hAnsi="宋体"/>
          <w:color w:val="000000"/>
          <w:kern w:val="0"/>
          <w:sz w:val="24"/>
          <w:szCs w:val="24"/>
        </w:rPr>
      </w:pPr>
      <w:r>
        <w:rPr>
          <w:rFonts w:hint="eastAsia" w:ascii="宋体" w:hAnsi="宋体"/>
          <w:color w:val="000000"/>
          <w:kern w:val="0"/>
          <w:sz w:val="24"/>
          <w:szCs w:val="24"/>
        </w:rPr>
        <w:t>（7）法律法规和招标文件规定的其他情形。</w:t>
      </w:r>
    </w:p>
    <w:p>
      <w:pPr>
        <w:spacing w:line="360" w:lineRule="auto"/>
        <w:rPr>
          <w:rFonts w:ascii="宋体" w:hAnsi="宋体"/>
          <w:color w:val="000000"/>
          <w:sz w:val="24"/>
          <w:szCs w:val="24"/>
        </w:rPr>
      </w:pPr>
      <w:r>
        <w:rPr>
          <w:rFonts w:hint="eastAsia" w:ascii="宋体" w:hAnsi="宋体"/>
          <w:b/>
          <w:sz w:val="24"/>
          <w:szCs w:val="24"/>
        </w:rPr>
        <w:t>6.</w:t>
      </w:r>
      <w:r>
        <w:rPr>
          <w:rFonts w:ascii="宋体" w:hAnsi="宋体"/>
          <w:b/>
          <w:sz w:val="24"/>
          <w:szCs w:val="24"/>
        </w:rPr>
        <w:t>投标文件的修改和撤回</w:t>
      </w:r>
    </w:p>
    <w:p>
      <w:pPr>
        <w:spacing w:line="360" w:lineRule="auto"/>
        <w:ind w:firstLine="480" w:firstLineChars="200"/>
        <w:rPr>
          <w:rFonts w:ascii="宋体" w:hAnsi="宋体"/>
          <w:sz w:val="24"/>
          <w:szCs w:val="24"/>
        </w:rPr>
      </w:pPr>
      <w:r>
        <w:rPr>
          <w:rFonts w:hint="eastAsia" w:ascii="宋体" w:hAnsi="宋体"/>
          <w:sz w:val="24"/>
          <w:szCs w:val="24"/>
        </w:rPr>
        <w:t>投标人在提交投标截止时间前，可以对所递交的投标文件进行补充、修改或者撤回。补充、修改的内容旁签署（法人或授权委托人签署）、盖章、密封后生效，并作为投标文件的组成部分；撤回的应以书面形式告知</w:t>
      </w:r>
      <w:r>
        <w:rPr>
          <w:rFonts w:hint="eastAsia" w:ascii="宋体" w:hAnsi="宋体"/>
          <w:sz w:val="24"/>
          <w:szCs w:val="24"/>
          <w:lang w:eastAsia="zh-CN"/>
        </w:rPr>
        <w:t>交易中心</w:t>
      </w:r>
      <w:r>
        <w:rPr>
          <w:rFonts w:hint="eastAsia" w:ascii="宋体" w:hAnsi="宋体"/>
          <w:sz w:val="24"/>
          <w:szCs w:val="24"/>
        </w:rPr>
        <w:t>或采购人。</w:t>
      </w:r>
    </w:p>
    <w:p>
      <w:pPr>
        <w:spacing w:line="360" w:lineRule="auto"/>
        <w:ind w:firstLine="480" w:firstLineChars="200"/>
        <w:rPr>
          <w:rFonts w:ascii="宋体" w:hAnsi="宋体"/>
          <w:sz w:val="24"/>
          <w:szCs w:val="24"/>
        </w:rPr>
      </w:pPr>
      <w:r>
        <w:rPr>
          <w:rFonts w:hint="eastAsia" w:ascii="宋体" w:hAnsi="宋体"/>
          <w:sz w:val="24"/>
          <w:szCs w:val="24"/>
        </w:rPr>
        <w:t>在提交投标文件截止时间后到招标文件规定的投标有效期终止之前，投标人不得补充、修改、替代或者撤回其投标文件。</w:t>
      </w:r>
    </w:p>
    <w:p>
      <w:pPr>
        <w:spacing w:line="360" w:lineRule="auto"/>
        <w:rPr>
          <w:rFonts w:ascii="宋体" w:hAnsi="宋体"/>
          <w:sz w:val="24"/>
          <w:szCs w:val="24"/>
        </w:rPr>
      </w:pPr>
      <w:r>
        <w:rPr>
          <w:rFonts w:hint="eastAsia" w:ascii="宋体" w:hAnsi="宋体"/>
          <w:b/>
          <w:sz w:val="24"/>
          <w:szCs w:val="24"/>
        </w:rPr>
        <w:t>7.投标文件的递交</w:t>
      </w:r>
    </w:p>
    <w:p>
      <w:pPr>
        <w:spacing w:line="360" w:lineRule="auto"/>
        <w:ind w:firstLine="480" w:firstLineChars="200"/>
        <w:rPr>
          <w:rFonts w:ascii="宋体" w:hAnsi="宋体"/>
          <w:sz w:val="24"/>
          <w:szCs w:val="24"/>
        </w:rPr>
      </w:pPr>
      <w:r>
        <w:rPr>
          <w:rFonts w:hint="eastAsia" w:ascii="宋体" w:hAnsi="宋体"/>
          <w:sz w:val="24"/>
          <w:szCs w:val="24"/>
        </w:rPr>
        <w:t>在招标文件要求提交投标文件的截止时间之后送达的投标文件</w:t>
      </w:r>
      <w:r>
        <w:rPr>
          <w:rFonts w:hint="eastAsia" w:ascii="宋体" w:hAnsi="宋体"/>
          <w:color w:val="000000"/>
          <w:kern w:val="0"/>
          <w:sz w:val="24"/>
          <w:szCs w:val="24"/>
        </w:rPr>
        <w:t>，</w:t>
      </w:r>
      <w:r>
        <w:rPr>
          <w:rFonts w:hint="eastAsia" w:ascii="宋体" w:hAnsi="宋体"/>
          <w:sz w:val="24"/>
          <w:szCs w:val="24"/>
        </w:rPr>
        <w:t>为无效投标文件，采购单位或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招标文件规定投标人提交样品的，样品属于投标文件的组成部分。样品的生产、运输、安装、保全等一切费用由投标人自理。</w:t>
      </w:r>
    </w:p>
    <w:p>
      <w:pPr>
        <w:spacing w:line="360" w:lineRule="auto"/>
        <w:ind w:firstLine="480" w:firstLineChars="200"/>
        <w:rPr>
          <w:rFonts w:ascii="宋体" w:hAnsi="宋体"/>
          <w:sz w:val="24"/>
          <w:szCs w:val="24"/>
        </w:rPr>
      </w:pPr>
      <w:r>
        <w:rPr>
          <w:rFonts w:hint="eastAsia" w:ascii="宋体" w:hAnsi="宋体"/>
          <w:sz w:val="24"/>
          <w:szCs w:val="24"/>
        </w:rPr>
        <w:t>8.1开标前，投标人应将样品送达至指定地点，并按要求摆放并做好展示。若需要现场演示的，投标人应提前做好演示准备（包括演示设备）。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8.2评标结束后，中标人与采购人共同清点、检查和密封样品，由中标人送至采购人指定地点封存。未中标投标人将样品自行带回。</w:t>
      </w:r>
    </w:p>
    <w:p>
      <w:pPr>
        <w:spacing w:line="360" w:lineRule="auto"/>
        <w:rPr>
          <w:rFonts w:ascii="宋体" w:hAnsi="宋体"/>
          <w:b/>
          <w:sz w:val="24"/>
          <w:szCs w:val="24"/>
        </w:rPr>
      </w:pPr>
      <w:r>
        <w:rPr>
          <w:rFonts w:hint="eastAsia" w:ascii="宋体" w:hAnsi="宋体"/>
          <w:b/>
          <w:sz w:val="24"/>
          <w:szCs w:val="24"/>
        </w:rPr>
        <w:t>六.开标</w:t>
      </w:r>
    </w:p>
    <w:p>
      <w:pPr>
        <w:spacing w:line="360" w:lineRule="auto"/>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开标时间与提交投标文件截止时间为同一时间；开标地点为招标文件规定的地点。邀请所有投标人的法定代表人或其授权委托人准时参加。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（2）公布在投标截止时间前提交投标文件的投标人名称；</w:t>
      </w:r>
    </w:p>
    <w:p>
      <w:pPr>
        <w:spacing w:line="360" w:lineRule="auto"/>
        <w:ind w:firstLine="480" w:firstLineChars="200"/>
        <w:rPr>
          <w:rFonts w:ascii="宋体" w:hAnsi="宋体"/>
          <w:sz w:val="24"/>
          <w:szCs w:val="24"/>
        </w:rPr>
      </w:pPr>
      <w:r>
        <w:rPr>
          <w:rFonts w:hint="eastAsia" w:ascii="宋体" w:hAnsi="宋体"/>
          <w:sz w:val="24"/>
          <w:szCs w:val="24"/>
        </w:rPr>
        <w:t>（3）宣布采购人代表、采购代理机构代表、监督部门等有关人员姓名；</w:t>
      </w:r>
    </w:p>
    <w:p>
      <w:pPr>
        <w:spacing w:line="360" w:lineRule="auto"/>
        <w:ind w:firstLine="480" w:firstLineChars="200"/>
        <w:rPr>
          <w:rFonts w:ascii="宋体" w:hAnsi="宋体"/>
          <w:sz w:val="24"/>
          <w:szCs w:val="24"/>
        </w:rPr>
      </w:pPr>
      <w:r>
        <w:rPr>
          <w:rFonts w:hint="eastAsia" w:ascii="宋体" w:hAnsi="宋体"/>
          <w:sz w:val="24"/>
          <w:szCs w:val="24"/>
        </w:rPr>
        <w:t>（4）由投标人或者其推选的代表检查投标文件的密封情况；经确认无误后，由采购人或者采购代理机构工作人员当众拆封，宣布投标人名称、投标价格和招标文件规定的需要宣布的其他内容（以开标一览表要求为准），投标人签字确认；</w:t>
      </w:r>
    </w:p>
    <w:p>
      <w:pPr>
        <w:spacing w:line="360" w:lineRule="auto"/>
        <w:ind w:firstLine="480" w:firstLineChars="200"/>
        <w:rPr>
          <w:rFonts w:ascii="宋体" w:hAnsi="宋体"/>
          <w:sz w:val="24"/>
          <w:szCs w:val="24"/>
        </w:rPr>
      </w:pPr>
      <w:r>
        <w:rPr>
          <w:rFonts w:hint="eastAsia" w:ascii="宋体" w:hAnsi="宋体"/>
          <w:sz w:val="24"/>
          <w:szCs w:val="24"/>
        </w:rPr>
        <w:t>（5）参加开标会议人员在开标记录上对应签字确认；</w:t>
      </w:r>
    </w:p>
    <w:p>
      <w:pPr>
        <w:spacing w:line="360" w:lineRule="auto"/>
        <w:ind w:firstLine="480" w:firstLineChars="200"/>
        <w:rPr>
          <w:rFonts w:ascii="宋体" w:hAnsi="宋体"/>
          <w:sz w:val="24"/>
          <w:szCs w:val="24"/>
        </w:rPr>
      </w:pPr>
      <w:r>
        <w:rPr>
          <w:rFonts w:hint="eastAsia" w:ascii="宋体" w:hAnsi="宋体"/>
          <w:sz w:val="24"/>
          <w:szCs w:val="24"/>
        </w:rPr>
        <w:t>（6）开标结束，投标文件移交评标委员会。</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360" w:firstLineChars="150"/>
        <w:rPr>
          <w:rFonts w:ascii="宋体" w:hAnsi="宋体"/>
          <w:sz w:val="24"/>
          <w:szCs w:val="24"/>
        </w:rPr>
      </w:pPr>
      <w:r>
        <w:rPr>
          <w:rFonts w:hint="eastAsia" w:ascii="宋体" w:hAnsi="宋体"/>
          <w:sz w:val="24"/>
          <w:szCs w:val="24"/>
        </w:rPr>
        <w:t>投标人代表对开标过程和开标记录有疑义，以及认为采购人、采购代理机构相关工作人员有需要回避的情形的，应当场提出询问或者回避申请，开标会议结束后不再接受相关询问、质疑或者回避申请。</w:t>
      </w:r>
    </w:p>
    <w:p>
      <w:pPr>
        <w:spacing w:line="360" w:lineRule="auto"/>
        <w:ind w:firstLine="480" w:firstLineChars="200"/>
        <w:rPr>
          <w:rFonts w:ascii="宋体" w:hAnsi="宋体"/>
          <w:sz w:val="24"/>
          <w:szCs w:val="24"/>
        </w:rPr>
      </w:pPr>
      <w:r>
        <w:rPr>
          <w:rFonts w:hint="eastAsia" w:ascii="宋体" w:hAnsi="宋体"/>
          <w:sz w:val="24"/>
          <w:szCs w:val="24"/>
        </w:rPr>
        <w:t>2.3 投标人不足三家的，不得开标。</w:t>
      </w:r>
    </w:p>
    <w:p>
      <w:pPr>
        <w:spacing w:line="360" w:lineRule="auto"/>
        <w:ind w:firstLine="361" w:firstLineChars="150"/>
        <w:rPr>
          <w:rFonts w:ascii="宋体" w:hAnsi="宋体"/>
          <w:b/>
          <w:sz w:val="24"/>
          <w:szCs w:val="24"/>
        </w:rPr>
      </w:pPr>
      <w:r>
        <w:rPr>
          <w:rFonts w:hint="eastAsia" w:ascii="宋体" w:hAnsi="宋体"/>
          <w:b/>
          <w:sz w:val="24"/>
          <w:szCs w:val="24"/>
        </w:rPr>
        <w:t>七.评标</w:t>
      </w:r>
    </w:p>
    <w:p>
      <w:pPr>
        <w:spacing w:line="360" w:lineRule="auto"/>
        <w:rPr>
          <w:rFonts w:ascii="宋体" w:hAnsi="宋体"/>
          <w:b/>
          <w:sz w:val="24"/>
          <w:szCs w:val="24"/>
        </w:rPr>
      </w:pPr>
      <w:r>
        <w:rPr>
          <w:rFonts w:hint="eastAsia" w:ascii="宋体" w:hAnsi="宋体"/>
          <w:b/>
          <w:sz w:val="24"/>
          <w:szCs w:val="24"/>
        </w:rPr>
        <w:t>1.评标委员会</w:t>
      </w:r>
    </w:p>
    <w:p>
      <w:pPr>
        <w:spacing w:line="360" w:lineRule="auto"/>
        <w:ind w:firstLine="480" w:firstLineChars="200"/>
        <w:rPr>
          <w:rFonts w:ascii="宋体" w:hAnsi="宋体"/>
          <w:sz w:val="24"/>
          <w:szCs w:val="24"/>
        </w:rPr>
      </w:pPr>
      <w:r>
        <w:rPr>
          <w:rFonts w:hint="eastAsia" w:ascii="宋体" w:hAnsi="宋体"/>
          <w:sz w:val="24"/>
          <w:szCs w:val="24"/>
        </w:rPr>
        <w:t>1.1评标委员会由采购人代表和有关技术、经济等方面的专家组成，成员人数为5人及以上单数，其中技术、经济等方面的评审专家不得少于成员总数的三分之二。</w:t>
      </w:r>
    </w:p>
    <w:p>
      <w:pPr>
        <w:spacing w:line="360" w:lineRule="auto"/>
        <w:ind w:firstLine="480" w:firstLineChars="200"/>
        <w:rPr>
          <w:rFonts w:ascii="宋体" w:hAnsi="宋体"/>
          <w:sz w:val="24"/>
          <w:szCs w:val="24"/>
        </w:rPr>
      </w:pPr>
      <w:r>
        <w:rPr>
          <w:rFonts w:hint="eastAsia" w:ascii="宋体" w:hAnsi="宋体"/>
          <w:sz w:val="24"/>
          <w:szCs w:val="24"/>
        </w:rPr>
        <w:t>1.2评标委员会成员有下列情形之一的，应当回避：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（1）参加采购活动前三年内,与投标人存在劳动关系,或者担任过投标人的董事、监事,或者是投标人的控股股东或实际控制人；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（2）与投标人的法定代表人或者负责人有夫妻、直系血亲、三代以内旁系血亲或者近姻亲关系；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（3）与投标人有其他可能影响政府采购活动公平、公正进行的关系；</w:t>
      </w:r>
    </w:p>
    <w:p>
      <w:pPr>
        <w:spacing w:line="360" w:lineRule="auto"/>
        <w:rPr>
          <w:rFonts w:ascii="宋体" w:hAnsi="宋体"/>
          <w:b/>
          <w:sz w:val="24"/>
          <w:szCs w:val="24"/>
        </w:rPr>
      </w:pPr>
      <w:r>
        <w:rPr>
          <w:rFonts w:hint="eastAsia" w:ascii="宋体" w:hAnsi="宋体"/>
          <w:b/>
          <w:sz w:val="24"/>
          <w:szCs w:val="24"/>
        </w:rPr>
        <w:t>2.评标原则</w:t>
      </w:r>
    </w:p>
    <w:p>
      <w:pPr>
        <w:spacing w:line="360" w:lineRule="auto"/>
        <w:ind w:firstLine="480" w:firstLineChars="200"/>
        <w:rPr>
          <w:rFonts w:ascii="宋体" w:hAnsi="宋体"/>
          <w:sz w:val="24"/>
          <w:szCs w:val="24"/>
        </w:rPr>
      </w:pPr>
      <w:r>
        <w:rPr>
          <w:rFonts w:hint="eastAsia" w:ascii="宋体" w:hAnsi="宋体"/>
          <w:sz w:val="24"/>
          <w:szCs w:val="24"/>
        </w:rPr>
        <w:t>2.1评标活动遵循公平、公正、科学和择优的原则，以招标文件和投标文件为评标的基本依据，并按照招标文件规定的评标方法和评标标准进行评标。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sz w:val="24"/>
          <w:szCs w:val="24"/>
        </w:rPr>
      </w:pPr>
      <w:r>
        <w:rPr>
          <w:rFonts w:hint="eastAsia" w:ascii="宋体" w:hAnsi="宋体"/>
          <w:sz w:val="24"/>
          <w:szCs w:val="24"/>
        </w:rPr>
        <w:t>2.2具体评标事项由评标委员会负责，并按招标文件的规定办法进行评审。</w:t>
      </w:r>
    </w:p>
    <w:p>
      <w:pPr>
        <w:spacing w:line="360" w:lineRule="auto"/>
        <w:ind w:firstLine="480" w:firstLineChars="200"/>
        <w:rPr>
          <w:rFonts w:ascii="宋体" w:hAnsi="宋体"/>
          <w:sz w:val="24"/>
          <w:szCs w:val="24"/>
        </w:rPr>
      </w:pPr>
      <w:r>
        <w:rPr>
          <w:rFonts w:hint="eastAsia" w:ascii="宋体" w:hAnsi="宋体"/>
          <w:sz w:val="24"/>
          <w:szCs w:val="24"/>
        </w:rPr>
        <w:t>2.3 合格投标人不足三家的，不得评标。</w:t>
      </w:r>
    </w:p>
    <w:p>
      <w:pPr>
        <w:spacing w:line="360" w:lineRule="auto"/>
        <w:rPr>
          <w:rFonts w:ascii="宋体" w:hAnsi="宋体"/>
          <w:b/>
          <w:sz w:val="24"/>
          <w:szCs w:val="24"/>
        </w:rPr>
      </w:pPr>
      <w:r>
        <w:rPr>
          <w:rFonts w:hint="eastAsia" w:ascii="宋体" w:hAnsi="宋体"/>
          <w:b/>
          <w:sz w:val="24"/>
          <w:szCs w:val="24"/>
        </w:rPr>
        <w:t>3.澄清</w:t>
      </w:r>
    </w:p>
    <w:p>
      <w:pPr>
        <w:spacing w:line="360" w:lineRule="auto"/>
        <w:ind w:firstLine="480" w:firstLineChars="200"/>
        <w:rPr>
          <w:rFonts w:ascii="宋体" w:hAnsi="宋体"/>
          <w:b/>
          <w:sz w:val="24"/>
          <w:szCs w:val="24"/>
        </w:rPr>
      </w:pPr>
      <w:r>
        <w:rPr>
          <w:rFonts w:hint="eastAsia" w:ascii="宋体" w:hAnsi="宋体"/>
          <w:sz w:val="24"/>
          <w:szCs w:val="24"/>
        </w:rPr>
        <w:t>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sz w:val="24"/>
          <w:szCs w:val="24"/>
        </w:rPr>
      </w:pPr>
      <w:r>
        <w:rPr>
          <w:rFonts w:hint="eastAsia" w:ascii="宋体" w:hAnsi="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宋体" w:hAnsi="宋体"/>
          <w:sz w:val="24"/>
          <w:szCs w:val="24"/>
        </w:rPr>
      </w:pPr>
      <w:r>
        <w:rPr>
          <w:rFonts w:hint="eastAsia" w:ascii="宋体" w:hAnsi="宋体"/>
          <w:sz w:val="24"/>
          <w:szCs w:val="24"/>
        </w:rPr>
        <w:t>3.1评标委员会不接受投标人主动提出的澄清、说明或补正。</w:t>
      </w:r>
    </w:p>
    <w:p>
      <w:pPr>
        <w:spacing w:line="360" w:lineRule="auto"/>
        <w:ind w:firstLine="480" w:firstLineChars="200"/>
        <w:rPr>
          <w:rFonts w:ascii="宋体" w:hAnsi="宋体"/>
          <w:sz w:val="24"/>
          <w:szCs w:val="24"/>
        </w:rPr>
      </w:pPr>
      <w:r>
        <w:rPr>
          <w:rFonts w:hint="eastAsia" w:ascii="宋体" w:hAnsi="宋体"/>
          <w:sz w:val="24"/>
          <w:szCs w:val="24"/>
        </w:rPr>
        <w:t>3.2评标委员会对投标人提交的澄清、说明或补正有疑问的，可以要求投标人进一步澄清、说明或补正。</w:t>
      </w:r>
    </w:p>
    <w:p>
      <w:pPr>
        <w:spacing w:line="360" w:lineRule="auto"/>
        <w:rPr>
          <w:rFonts w:ascii="宋体" w:hAnsi="宋体"/>
          <w:b/>
          <w:sz w:val="24"/>
          <w:szCs w:val="24"/>
        </w:rPr>
      </w:pPr>
      <w:r>
        <w:rPr>
          <w:rFonts w:hint="eastAsia" w:ascii="宋体" w:hAnsi="宋体"/>
          <w:b/>
          <w:sz w:val="24"/>
          <w:szCs w:val="24"/>
        </w:rPr>
        <w:t>4.投标无效的情形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详见第六章评审表。经评标委员会认定，凡其中有一项不合格的，按无效投标处理。</w:t>
      </w:r>
    </w:p>
    <w:p>
      <w:pPr>
        <w:spacing w:line="360" w:lineRule="auto"/>
        <w:rPr>
          <w:rFonts w:ascii="宋体" w:hAnsi="宋体"/>
          <w:sz w:val="24"/>
          <w:szCs w:val="24"/>
        </w:rPr>
      </w:pPr>
      <w:r>
        <w:rPr>
          <w:rFonts w:hint="eastAsia" w:ascii="宋体" w:hAnsi="宋体"/>
          <w:b/>
          <w:sz w:val="24"/>
          <w:szCs w:val="24"/>
        </w:rPr>
        <w:t>5.有下列情形之一的，视为投标人串通投标：</w:t>
      </w:r>
    </w:p>
    <w:p>
      <w:pPr>
        <w:spacing w:line="360" w:lineRule="auto"/>
        <w:ind w:firstLine="360" w:firstLineChars="150"/>
        <w:rPr>
          <w:rFonts w:ascii="宋体" w:hAnsi="宋体"/>
          <w:sz w:val="24"/>
          <w:szCs w:val="24"/>
        </w:rPr>
      </w:pPr>
      <w:r>
        <w:rPr>
          <w:rFonts w:hint="eastAsia" w:ascii="宋体" w:hAnsi="宋体"/>
          <w:sz w:val="24"/>
          <w:szCs w:val="24"/>
        </w:rPr>
        <w:t>（1）不同投标人的投标文件由同一单位或者个人编制；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（2）不同投标人委托同一单位或者个人办理投标事宜；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（3）不同投标人的投标文件载明的项目管理成员或者联系人员为同一人；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（4）不同投标人的投标文件异常一致或者投标报价呈规律性差异；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（5）不同投标人的投标文件相互混装；</w:t>
      </w:r>
    </w:p>
    <w:p>
      <w:pPr>
        <w:spacing w:line="360" w:lineRule="auto"/>
        <w:ind w:firstLine="360" w:firstLineChars="150"/>
        <w:rPr>
          <w:rFonts w:ascii="宋体" w:hAnsi="宋体"/>
          <w:sz w:val="24"/>
          <w:szCs w:val="24"/>
        </w:rPr>
      </w:pPr>
      <w:r>
        <w:rPr>
          <w:rFonts w:hint="eastAsia" w:ascii="宋体" w:hAnsi="宋体"/>
          <w:sz w:val="24"/>
          <w:szCs w:val="24"/>
        </w:rPr>
        <w:t>（6）不同投标人的投标保证金从同一单位或者个人的账户转出。</w:t>
      </w:r>
    </w:p>
    <w:p>
      <w:pPr>
        <w:spacing w:line="360" w:lineRule="auto"/>
        <w:rPr>
          <w:rFonts w:ascii="宋体" w:hAnsi="宋体"/>
          <w:sz w:val="24"/>
          <w:szCs w:val="24"/>
        </w:rPr>
      </w:pPr>
      <w:r>
        <w:rPr>
          <w:rFonts w:hint="eastAsia" w:ascii="宋体" w:hAnsi="宋体"/>
          <w:b/>
          <w:sz w:val="24"/>
          <w:szCs w:val="24"/>
        </w:rPr>
        <w:t>6.废标的情形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（1）符合专业条件的投标人或者对招标文件作实质响应的投标人不足3家；</w:t>
      </w:r>
      <w:r>
        <w:rPr>
          <w:rFonts w:hint="eastAsia" w:ascii="宋体" w:hAnsi="宋体" w:cs="宋体"/>
          <w:sz w:val="24"/>
          <w:szCs w:val="24"/>
        </w:rPr>
        <w:t>（或参与竞争的核心产品品牌不足</w:t>
      </w:r>
      <w:r>
        <w:rPr>
          <w:rFonts w:ascii="宋体" w:hAnsi="宋体" w:cs="宋体"/>
          <w:sz w:val="24"/>
          <w:szCs w:val="24"/>
        </w:rPr>
        <w:t>3</w:t>
      </w:r>
      <w:r>
        <w:rPr>
          <w:rFonts w:hint="eastAsia" w:ascii="宋体" w:hAnsi="宋体" w:cs="宋体"/>
          <w:sz w:val="24"/>
          <w:szCs w:val="24"/>
        </w:rPr>
        <w:t>个）的；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（3）投标人的报价均超过了采购预算；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（5）法律、法规以及招标文件规定其他情形。</w:t>
      </w:r>
    </w:p>
    <w:p>
      <w:pPr>
        <w:spacing w:line="360" w:lineRule="auto"/>
        <w:rPr>
          <w:rFonts w:ascii="宋体" w:hAnsi="宋体"/>
          <w:b/>
          <w:sz w:val="24"/>
          <w:szCs w:val="24"/>
        </w:rPr>
      </w:pPr>
      <w:r>
        <w:rPr>
          <w:rFonts w:hint="eastAsia" w:ascii="宋体" w:hAnsi="宋体"/>
          <w:b/>
          <w:sz w:val="24"/>
          <w:szCs w:val="24"/>
        </w:rPr>
        <w:t>7.定标</w:t>
      </w:r>
    </w:p>
    <w:p>
      <w:pPr>
        <w:spacing w:line="360" w:lineRule="auto"/>
        <w:ind w:firstLine="480" w:firstLineChars="200"/>
        <w:rPr>
          <w:rFonts w:ascii="宋体" w:hAnsi="宋体"/>
          <w:sz w:val="24"/>
          <w:szCs w:val="24"/>
        </w:rPr>
      </w:pPr>
      <w:r>
        <w:rPr>
          <w:rFonts w:hint="eastAsia" w:ascii="宋体" w:hAnsi="宋体"/>
          <w:sz w:val="24"/>
          <w:szCs w:val="24"/>
        </w:rPr>
        <w:t>评标委员会按照招标文件确定的评标方法、步骤、标准，对投标文件进行评审。评标结束后，对投标人的评审名次进行排序，确定中标人或者推荐中标候选人。</w:t>
      </w:r>
    </w:p>
    <w:p>
      <w:pPr>
        <w:spacing w:line="360" w:lineRule="auto"/>
        <w:rPr>
          <w:rFonts w:ascii="宋体" w:hAnsi="宋体"/>
          <w:b/>
          <w:sz w:val="24"/>
          <w:szCs w:val="24"/>
        </w:rPr>
      </w:pPr>
      <w:r>
        <w:rPr>
          <w:rFonts w:hint="eastAsia" w:ascii="宋体" w:hAnsi="宋体"/>
          <w:b/>
          <w:sz w:val="24"/>
          <w:szCs w:val="24"/>
        </w:rPr>
        <w:t>8.中标结果公告</w:t>
      </w:r>
    </w:p>
    <w:p>
      <w:pPr>
        <w:spacing w:line="360" w:lineRule="auto"/>
        <w:ind w:firstLine="480" w:firstLineChars="200"/>
        <w:rPr>
          <w:rFonts w:ascii="宋体" w:hAnsi="宋体"/>
          <w:sz w:val="24"/>
          <w:szCs w:val="24"/>
        </w:rPr>
      </w:pPr>
      <w:r>
        <w:rPr>
          <w:rFonts w:hint="eastAsia" w:ascii="宋体" w:hAnsi="宋体"/>
          <w:sz w:val="24"/>
          <w:szCs w:val="24"/>
        </w:rPr>
        <w:t>中标人确定后，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将在内蒙古自治区政府采购网、内蒙古自治区公共资源交易网、鄂尔多斯市政府采购网和鄂尔多斯市公共资源交易网上发布中标结果公告，同时将中标结果以公告形式通知未中标的投标人，中标结果公告期为</w:t>
      </w:r>
      <w:r>
        <w:rPr>
          <w:rFonts w:hint="eastAsia" w:ascii="宋体" w:hAnsi="宋体"/>
          <w:sz w:val="24"/>
          <w:szCs w:val="24"/>
          <w:u w:val="single"/>
        </w:rPr>
        <w:t xml:space="preserve"> 1 </w:t>
      </w:r>
      <w:r>
        <w:rPr>
          <w:rFonts w:hint="eastAsia" w:ascii="宋体" w:hAnsi="宋体"/>
          <w:sz w:val="24"/>
          <w:szCs w:val="24"/>
        </w:rPr>
        <w:t>个工作日。</w:t>
      </w:r>
    </w:p>
    <w:p>
      <w:pPr>
        <w:spacing w:line="360" w:lineRule="auto"/>
        <w:rPr>
          <w:rFonts w:ascii="宋体" w:hAnsi="宋体"/>
          <w:b/>
          <w:sz w:val="24"/>
          <w:szCs w:val="24"/>
        </w:rPr>
      </w:pPr>
      <w:r>
        <w:rPr>
          <w:rFonts w:hint="eastAsia" w:ascii="宋体" w:hAnsi="宋体"/>
          <w:b/>
          <w:sz w:val="24"/>
          <w:szCs w:val="24"/>
        </w:rPr>
        <w:t>9.中标通知书发放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以书面形式向中标人发出中标通知书，</w:t>
      </w:r>
      <w:r>
        <w:rPr>
          <w:rFonts w:ascii="宋体" w:hAnsi="宋体"/>
          <w:sz w:val="24"/>
          <w:szCs w:val="24"/>
        </w:rPr>
        <w:t>中标通知书是合同的组成部分</w:t>
      </w:r>
      <w:r>
        <w:rPr>
          <w:rFonts w:hint="eastAsia" w:ascii="宋体" w:hAnsi="宋体"/>
          <w:sz w:val="24"/>
          <w:szCs w:val="24"/>
        </w:rPr>
        <w:t>，中标通知书对采购人和中标投标人具有同等法律效力。</w:t>
      </w:r>
    </w:p>
    <w:p>
      <w:pPr>
        <w:spacing w:line="360" w:lineRule="auto"/>
        <w:ind w:firstLine="480" w:firstLineChars="200"/>
        <w:rPr>
          <w:rFonts w:ascii="宋体" w:hAnsi="宋体"/>
          <w:sz w:val="24"/>
          <w:szCs w:val="24"/>
        </w:rPr>
      </w:pPr>
      <w:r>
        <w:rPr>
          <w:rFonts w:hint="eastAsia" w:ascii="宋体" w:hAnsi="宋体"/>
          <w:sz w:val="24"/>
          <w:szCs w:val="24"/>
        </w:rPr>
        <w:t>中标通知书发出后，采购人不得违法改变中标结果，中标人无正当理由不得放弃中标。</w:t>
      </w:r>
    </w:p>
    <w:p>
      <w:pPr>
        <w:spacing w:line="360" w:lineRule="auto"/>
        <w:ind w:firstLine="480" w:firstLineChars="200"/>
        <w:rPr>
          <w:rFonts w:ascii="宋体" w:hAnsi="宋体"/>
          <w:sz w:val="24"/>
          <w:szCs w:val="24"/>
        </w:rPr>
      </w:pPr>
      <w:r>
        <w:rPr>
          <w:rFonts w:hint="eastAsia" w:ascii="宋体" w:hAnsi="宋体"/>
          <w:sz w:val="24"/>
          <w:szCs w:val="24"/>
        </w:rPr>
        <w:t>中标人须持法定代表人授权委托书及本人身份证至</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lang w:val="en-US" w:eastAsia="zh-CN"/>
        </w:rPr>
        <w:t>202</w:t>
      </w:r>
      <w:r>
        <w:rPr>
          <w:rFonts w:hint="eastAsia" w:ascii="宋体" w:hAnsi="宋体"/>
          <w:color w:val="000000"/>
          <w:sz w:val="24"/>
          <w:szCs w:val="24"/>
        </w:rPr>
        <w:t>室</w:t>
      </w:r>
      <w:r>
        <w:rPr>
          <w:rFonts w:hint="eastAsia" w:ascii="宋体" w:hAnsi="宋体"/>
          <w:sz w:val="24"/>
          <w:szCs w:val="24"/>
        </w:rPr>
        <w:t>领取。</w:t>
      </w:r>
    </w:p>
    <w:p>
      <w:pPr>
        <w:spacing w:line="360" w:lineRule="auto"/>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投标人对政府采购活动事项有疑问的，可以向采购人或采购中心提出询问，采购人或采购中心应当在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投标人提出的询问超出采购人对采购中心委托授权范围的，采购中心应当告知其向采购人提出。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sz w:val="24"/>
          <w:szCs w:val="24"/>
        </w:rPr>
      </w:pPr>
      <w:r>
        <w:rPr>
          <w:rFonts w:hint="eastAsia" w:ascii="宋体" w:hAnsi="宋体"/>
          <w:sz w:val="24"/>
          <w:szCs w:val="24"/>
        </w:rPr>
        <w:t>2.1投标人认为采购文件、采购过程和中标、成交结果使自己的权益受到损害的，可以在知道或者应知其权益受到损害之日起七个工作日内，以书面形式向采购人提出质疑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sz w:val="24"/>
          <w:szCs w:val="24"/>
        </w:rPr>
      </w:pPr>
      <w:r>
        <w:rPr>
          <w:rFonts w:hint="eastAsia" w:ascii="宋体" w:hAnsi="宋体"/>
          <w:sz w:val="24"/>
          <w:szCs w:val="24"/>
        </w:rPr>
        <w:t>2.2采购人应当在收到投标人的书面质疑后七个工作日内作出答复，并以书面形式通知质疑投标人和其他有关投标人，但答复的内容不得涉及商业秘密。</w:t>
      </w:r>
    </w:p>
    <w:p>
      <w:pPr>
        <w:spacing w:line="360" w:lineRule="auto"/>
        <w:ind w:firstLine="480" w:firstLineChars="200"/>
        <w:rPr>
          <w:rFonts w:ascii="宋体" w:hAnsi="宋体"/>
          <w:sz w:val="24"/>
          <w:szCs w:val="24"/>
        </w:rPr>
      </w:pPr>
      <w:r>
        <w:rPr>
          <w:rFonts w:hint="eastAsia" w:ascii="宋体" w:hAnsi="宋体"/>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olor w:val="FF0000"/>
          <w:sz w:val="24"/>
          <w:szCs w:val="24"/>
        </w:rPr>
      </w:pPr>
      <w:r>
        <w:rPr>
          <w:rFonts w:hint="eastAsia" w:ascii="宋体" w:hAnsi="宋体" w:cs="宋体"/>
          <w:color w:val="333333"/>
          <w:kern w:val="0"/>
          <w:sz w:val="24"/>
          <w:szCs w:val="24"/>
        </w:rPr>
        <w:t>2.4为了使提出的质疑事项在规定时间内得到有效答</w:t>
      </w:r>
      <w:r>
        <w:rPr>
          <w:rFonts w:hint="eastAsia" w:ascii="宋体" w:hAnsi="宋体" w:cs="宋体"/>
          <w:kern w:val="0"/>
          <w:sz w:val="24"/>
          <w:szCs w:val="24"/>
        </w:rPr>
        <w:t>复、处理，</w:t>
      </w:r>
      <w:r>
        <w:rPr>
          <w:rFonts w:hint="eastAsia" w:ascii="宋体" w:hAnsi="宋体" w:cs="宋体"/>
          <w:color w:val="333333"/>
          <w:kern w:val="0"/>
          <w:sz w:val="24"/>
          <w:szCs w:val="24"/>
        </w:rPr>
        <w:t>质疑采用实名制，</w:t>
      </w:r>
      <w:r>
        <w:rPr>
          <w:rFonts w:hint="eastAsia" w:ascii="宋体" w:hAnsi="宋体" w:cs="宋体"/>
          <w:kern w:val="0"/>
          <w:sz w:val="24"/>
          <w:szCs w:val="24"/>
        </w:rPr>
        <w:t>质疑人必须为本次采购活动当事人，且由法定代表人或投标授权人亲自递交到</w:t>
      </w:r>
      <w:r>
        <w:rPr>
          <w:rFonts w:hint="eastAsia" w:ascii="宋体" w:hAnsi="宋体" w:cs="宋体"/>
          <w:kern w:val="0"/>
          <w:sz w:val="24"/>
          <w:szCs w:val="24"/>
          <w:lang w:eastAsia="zh-CN"/>
        </w:rPr>
        <w:t>交易中心</w:t>
      </w:r>
      <w:r>
        <w:rPr>
          <w:rFonts w:hint="eastAsia" w:ascii="宋体" w:hAnsi="宋体" w:cs="宋体"/>
          <w:kern w:val="0"/>
          <w:sz w:val="24"/>
          <w:szCs w:val="24"/>
        </w:rPr>
        <w:t>，正式受理后方可生效，否则，为无效质疑。</w:t>
      </w:r>
    </w:p>
    <w:p>
      <w:pPr>
        <w:spacing w:line="360" w:lineRule="auto"/>
        <w:ind w:firstLine="480" w:firstLineChars="200"/>
        <w:rPr>
          <w:rFonts w:ascii="宋体" w:hAnsi="宋体"/>
          <w:sz w:val="24"/>
          <w:szCs w:val="24"/>
        </w:rPr>
      </w:pPr>
      <w:r>
        <w:rPr>
          <w:rFonts w:hint="eastAsia" w:ascii="宋体" w:hAnsi="宋体"/>
          <w:sz w:val="24"/>
          <w:szCs w:val="24"/>
        </w:rPr>
        <w:t>2.5递交的质疑函务必提供以下信息和内容：</w:t>
      </w:r>
    </w:p>
    <w:p>
      <w:pPr>
        <w:spacing w:line="360" w:lineRule="auto"/>
        <w:ind w:firstLine="360" w:firstLineChars="150"/>
        <w:rPr>
          <w:rFonts w:ascii="宋体" w:hAnsi="宋体"/>
          <w:sz w:val="24"/>
          <w:szCs w:val="24"/>
        </w:rPr>
      </w:pPr>
      <w:r>
        <w:rPr>
          <w:rFonts w:hint="eastAsia" w:ascii="宋体" w:hAnsi="宋体"/>
          <w:sz w:val="24"/>
          <w:szCs w:val="24"/>
        </w:rPr>
        <w:t>（1）质疑人的单位名称和姓名、地址、联系电话、身份证明和法人授权委托书；</w:t>
      </w:r>
    </w:p>
    <w:p>
      <w:pPr>
        <w:spacing w:line="360" w:lineRule="auto"/>
        <w:ind w:firstLine="360" w:firstLineChars="150"/>
        <w:rPr>
          <w:rFonts w:ascii="宋体" w:hAnsi="宋体"/>
          <w:sz w:val="24"/>
          <w:szCs w:val="24"/>
        </w:rPr>
      </w:pPr>
      <w:r>
        <w:rPr>
          <w:rFonts w:hint="eastAsia" w:ascii="宋体" w:hAnsi="宋体"/>
          <w:sz w:val="24"/>
          <w:szCs w:val="24"/>
        </w:rPr>
        <w:t>（2）被质疑人的单位名称或姓名等；</w:t>
      </w:r>
    </w:p>
    <w:p>
      <w:pPr>
        <w:spacing w:line="360" w:lineRule="auto"/>
        <w:ind w:firstLine="360" w:firstLineChars="150"/>
        <w:rPr>
          <w:rFonts w:ascii="宋体" w:hAnsi="宋体"/>
          <w:sz w:val="24"/>
          <w:szCs w:val="24"/>
        </w:rPr>
      </w:pPr>
      <w:r>
        <w:rPr>
          <w:rFonts w:hint="eastAsia" w:ascii="宋体" w:hAnsi="宋体"/>
          <w:sz w:val="24"/>
          <w:szCs w:val="24"/>
        </w:rPr>
        <w:t>（3）质疑应当有明确的请求和必要的证明材料；</w:t>
      </w:r>
    </w:p>
    <w:p>
      <w:pPr>
        <w:spacing w:line="360" w:lineRule="auto"/>
        <w:ind w:firstLine="360" w:firstLineChars="150"/>
        <w:rPr>
          <w:rFonts w:ascii="宋体" w:hAnsi="宋体"/>
          <w:sz w:val="24"/>
          <w:szCs w:val="24"/>
        </w:rPr>
      </w:pPr>
      <w:r>
        <w:rPr>
          <w:rFonts w:hint="eastAsia" w:ascii="宋体" w:hAnsi="宋体"/>
          <w:sz w:val="24"/>
          <w:szCs w:val="24"/>
        </w:rPr>
        <w:t>（4）质疑人的签章及提出质疑的准确日期。</w:t>
      </w:r>
    </w:p>
    <w:p>
      <w:pPr>
        <w:spacing w:line="360" w:lineRule="auto"/>
        <w:ind w:firstLine="482" w:firstLineChars="201"/>
        <w:rPr>
          <w:rFonts w:ascii="宋体" w:hAnsi="宋体"/>
          <w:sz w:val="24"/>
          <w:szCs w:val="24"/>
        </w:rPr>
      </w:pPr>
      <w:r>
        <w:rPr>
          <w:rFonts w:hint="eastAsia" w:ascii="宋体" w:hAnsi="宋体"/>
          <w:sz w:val="24"/>
          <w:szCs w:val="24"/>
        </w:rPr>
        <w:t>2.6有下列情况之一的质疑不予受理：</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）非投标人提出的质疑；</w:t>
      </w:r>
    </w:p>
    <w:p>
      <w:pPr>
        <w:spacing w:line="360" w:lineRule="auto"/>
        <w:ind w:firstLine="482" w:firstLineChars="201"/>
        <w:rPr>
          <w:rFonts w:ascii="宋体" w:hAnsi="宋体"/>
          <w:sz w:val="24"/>
          <w:szCs w:val="24"/>
        </w:rPr>
      </w:pPr>
      <w:r>
        <w:rPr>
          <w:rFonts w:hint="eastAsia" w:ascii="宋体" w:hAnsi="宋体"/>
          <w:sz w:val="24"/>
          <w:szCs w:val="24"/>
        </w:rPr>
        <w:t>（2）无质疑函件或质疑函件缺少投标人法人印章、投标人法定代表人签字、有效授权书和联系方式之一的质疑；</w:t>
      </w:r>
    </w:p>
    <w:p>
      <w:pPr>
        <w:spacing w:line="360" w:lineRule="auto"/>
        <w:ind w:firstLine="482" w:firstLineChars="201"/>
        <w:rPr>
          <w:rFonts w:ascii="宋体" w:hAnsi="宋体"/>
          <w:sz w:val="24"/>
          <w:szCs w:val="24"/>
        </w:rPr>
      </w:pPr>
      <w:r>
        <w:rPr>
          <w:rFonts w:hint="eastAsia" w:ascii="宋体" w:hAnsi="宋体"/>
          <w:sz w:val="24"/>
          <w:szCs w:val="24"/>
        </w:rPr>
        <w:t>（3）质疑函件无实质性内容或佐证文件资料，主观臆断及推理得出结论的质疑；</w:t>
      </w:r>
    </w:p>
    <w:p>
      <w:pPr>
        <w:spacing w:line="360" w:lineRule="auto"/>
        <w:ind w:firstLine="482" w:firstLineChars="201"/>
        <w:rPr>
          <w:rFonts w:ascii="宋体" w:hAnsi="宋体"/>
          <w:sz w:val="24"/>
          <w:szCs w:val="24"/>
        </w:rPr>
      </w:pPr>
      <w:r>
        <w:rPr>
          <w:rFonts w:hint="eastAsia" w:ascii="宋体" w:hAnsi="宋体"/>
          <w:sz w:val="24"/>
          <w:szCs w:val="24"/>
        </w:rPr>
        <w:t>（4）相应证明材料不真实或来源不合法的质疑；</w:t>
      </w:r>
    </w:p>
    <w:p>
      <w:pPr>
        <w:spacing w:line="360" w:lineRule="auto"/>
        <w:ind w:firstLine="482" w:firstLineChars="201"/>
        <w:rPr>
          <w:rFonts w:ascii="宋体" w:hAnsi="宋体"/>
          <w:sz w:val="24"/>
          <w:szCs w:val="24"/>
        </w:rPr>
      </w:pPr>
      <w:r>
        <w:rPr>
          <w:rFonts w:hint="eastAsia" w:ascii="宋体" w:hAnsi="宋体"/>
          <w:sz w:val="24"/>
          <w:szCs w:val="24"/>
        </w:rPr>
        <w:t>（5）未按规定时间或超过质疑时限提出的质疑；</w:t>
      </w:r>
    </w:p>
    <w:p>
      <w:pPr>
        <w:spacing w:line="360" w:lineRule="auto"/>
        <w:ind w:firstLine="482" w:firstLineChars="201"/>
        <w:rPr>
          <w:rFonts w:ascii="宋体" w:hAnsi="宋体"/>
          <w:sz w:val="24"/>
          <w:szCs w:val="24"/>
        </w:rPr>
      </w:pPr>
      <w:r>
        <w:rPr>
          <w:rFonts w:hint="eastAsia" w:ascii="宋体" w:hAnsi="宋体"/>
          <w:sz w:val="24"/>
          <w:szCs w:val="24"/>
        </w:rPr>
        <w:t>（6）除亲自送达书面质疑书式外，其他任何方式的质疑。</w:t>
      </w:r>
    </w:p>
    <w:p>
      <w:pPr>
        <w:spacing w:line="360" w:lineRule="auto"/>
        <w:ind w:firstLine="480" w:firstLineChars="200"/>
        <w:rPr>
          <w:rFonts w:ascii="宋体" w:hAnsi="宋体"/>
          <w:sz w:val="24"/>
          <w:szCs w:val="24"/>
        </w:rPr>
      </w:pPr>
      <w:r>
        <w:rPr>
          <w:rFonts w:hint="eastAsia" w:ascii="宋体" w:hAnsi="宋体"/>
          <w:sz w:val="24"/>
          <w:szCs w:val="24"/>
        </w:rPr>
        <w:t>2.7对捏造事实，提供虚假材料或者以非法手段取得证明材料进行恶意质疑的，一经查实，将上报监督部门，并给以相应处罚。</w:t>
      </w:r>
    </w:p>
    <w:p>
      <w:pPr>
        <w:spacing w:line="360" w:lineRule="auto"/>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w:t>
      </w:r>
      <w:r>
        <w:rPr>
          <w:rFonts w:hint="eastAsia" w:ascii="宋体" w:hAnsi="宋体"/>
          <w:sz w:val="24"/>
          <w:szCs w:val="24"/>
          <w:lang w:eastAsia="zh-CN"/>
        </w:rPr>
        <w:t>交易中心</w:t>
      </w:r>
      <w:r>
        <w:rPr>
          <w:rFonts w:hint="eastAsia" w:ascii="宋体" w:hAnsi="宋体"/>
          <w:sz w:val="24"/>
          <w:szCs w:val="24"/>
        </w:rPr>
        <w:t>的答复不满意或者采购人、</w:t>
      </w:r>
      <w:r>
        <w:rPr>
          <w:rFonts w:hint="eastAsia" w:ascii="宋体" w:hAnsi="宋体"/>
          <w:sz w:val="24"/>
          <w:szCs w:val="24"/>
          <w:lang w:eastAsia="zh-CN"/>
        </w:rPr>
        <w:t>交易中心</w:t>
      </w:r>
      <w:r>
        <w:rPr>
          <w:rFonts w:hint="eastAsia" w:ascii="宋体" w:hAnsi="宋体"/>
          <w:sz w:val="24"/>
          <w:szCs w:val="24"/>
        </w:rPr>
        <w:t>未在规定的时间内做出书面答复的，可以在答复期满后十五个工作日内向监督部门进行投诉。投诉程序按《政府采购法》及相关规定执行。</w:t>
      </w:r>
    </w:p>
    <w:p>
      <w:pPr>
        <w:ind w:firstLine="480" w:firstLineChars="200"/>
        <w:rPr>
          <w:rFonts w:ascii="宋体" w:hAnsi="宋体"/>
          <w:sz w:val="24"/>
          <w:szCs w:val="24"/>
        </w:rPr>
      </w:pPr>
      <w:r>
        <w:rPr>
          <w:rFonts w:hint="eastAsia" w:ascii="宋体" w:hAnsi="宋体"/>
          <w:sz w:val="24"/>
          <w:szCs w:val="24"/>
        </w:rPr>
        <w:t>投标人投诉的事项不得超出已质疑事项的范围。</w:t>
      </w:r>
      <w:bookmarkStart w:id="2" w:name="_Toc447030613"/>
      <w:bookmarkStart w:id="3" w:name="_Toc266431157"/>
    </w:p>
    <w:p>
      <w:pPr>
        <w:pStyle w:val="24"/>
        <w:spacing w:line="360" w:lineRule="auto"/>
        <w:jc w:val="both"/>
        <w:rPr>
          <w:rFonts w:ascii="宋体" w:hAnsi="宋体" w:eastAsia="宋体" w:cs="宋体"/>
          <w:bCs w:val="0"/>
          <w:color w:val="000000"/>
          <w:sz w:val="24"/>
          <w:szCs w:val="24"/>
        </w:rPr>
      </w:pPr>
      <w:r>
        <w:rPr>
          <w:rFonts w:ascii="宋体" w:hAnsi="宋体" w:eastAsia="宋体" w:cs="宋体"/>
          <w:bCs w:val="0"/>
          <w:color w:val="000000"/>
          <w:sz w:val="24"/>
          <w:szCs w:val="24"/>
        </w:rPr>
        <w:br w:type="page"/>
      </w:r>
    </w:p>
    <w:p>
      <w:pPr>
        <w:pStyle w:val="24"/>
        <w:spacing w:line="360" w:lineRule="auto"/>
        <w:rPr>
          <w:rFonts w:ascii="宋体" w:hAnsi="宋体" w:eastAsia="宋体" w:cs="宋体"/>
          <w:bCs w:val="0"/>
          <w:color w:val="000000"/>
          <w:sz w:val="24"/>
          <w:szCs w:val="24"/>
        </w:rPr>
      </w:pPr>
      <w:bookmarkStart w:id="4" w:name="_Toc497408673"/>
      <w:r>
        <w:rPr>
          <w:rFonts w:hint="eastAsia" w:ascii="宋体" w:hAnsi="宋体" w:eastAsia="宋体" w:cs="宋体"/>
          <w:bCs w:val="0"/>
          <w:color w:val="000000"/>
          <w:sz w:val="24"/>
          <w:szCs w:val="24"/>
        </w:rPr>
        <w:t xml:space="preserve">第三章 </w:t>
      </w:r>
      <w:bookmarkEnd w:id="2"/>
      <w:bookmarkEnd w:id="3"/>
      <w:r>
        <w:rPr>
          <w:rFonts w:hint="eastAsia" w:ascii="宋体" w:hAnsi="宋体" w:eastAsia="宋体" w:cs="宋体"/>
          <w:bCs w:val="0"/>
          <w:color w:val="000000"/>
          <w:sz w:val="24"/>
          <w:szCs w:val="24"/>
        </w:rPr>
        <w:t>合同与验收</w:t>
      </w:r>
      <w:bookmarkEnd w:id="4"/>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鄂尔多斯市准格尔旗公共资源交易中心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3864228</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2.1具体格式见本招标文件后附拟签订的《合同文本》（部分合同条款），投标文件中可以不提供《合同文本》。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中标人在供货、工程竣工或服务结束后，采购人应及时组织验收，并按照招标文件、投标文件及合同约定填写验收单（下载地址：鄂尔多斯市公共资源交易网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鄂尔多斯市准格尔旗公共资源交易中心</w:t>
      </w:r>
      <w:r>
        <w:rPr>
          <w:rFonts w:hint="eastAsia" w:ascii="宋体" w:hAnsi="宋体"/>
          <w:sz w:val="24"/>
          <w:szCs w:val="24"/>
          <w:lang w:val="en-US" w:eastAsia="zh-CN"/>
        </w:rPr>
        <w:t>204</w:t>
      </w:r>
      <w:r>
        <w:rPr>
          <w:rFonts w:hint="eastAsia" w:ascii="宋体" w:hAnsi="宋体"/>
          <w:sz w:val="24"/>
          <w:szCs w:val="24"/>
        </w:rPr>
        <w:t>室</w:t>
      </w:r>
      <w:r>
        <w:rPr>
          <w:rFonts w:hint="eastAsia" w:ascii="宋体" w:hAnsi="宋体"/>
          <w:sz w:val="24"/>
          <w:szCs w:val="24"/>
          <w:lang w:eastAsia="zh-CN"/>
        </w:rPr>
        <w:t>（</w:t>
      </w:r>
      <w:r>
        <w:rPr>
          <w:rFonts w:hint="eastAsia" w:ascii="宋体" w:hAnsi="宋体"/>
          <w:sz w:val="24"/>
          <w:szCs w:val="24"/>
        </w:rPr>
        <w:t>联系电话：0477-</w:t>
      </w:r>
      <w:r>
        <w:rPr>
          <w:rFonts w:hint="eastAsia" w:ascii="宋体" w:hAnsi="宋体"/>
          <w:sz w:val="24"/>
          <w:szCs w:val="24"/>
          <w:lang w:val="en-US" w:eastAsia="zh-CN"/>
        </w:rPr>
        <w:t>3864228</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kern w:val="44"/>
          <w:sz w:val="24"/>
          <w:szCs w:val="24"/>
          <w:lang w:val="zh-CN"/>
        </w:rPr>
      </w:pPr>
      <w:r>
        <w:rPr>
          <w:rFonts w:ascii="宋体" w:hAnsi="宋体"/>
          <w:b/>
          <w:bCs/>
          <w:kern w:val="44"/>
          <w:sz w:val="24"/>
          <w:szCs w:val="24"/>
          <w:lang w:val="zh-CN"/>
        </w:rPr>
        <w:br w:type="page"/>
      </w:r>
    </w:p>
    <w:p>
      <w:pPr>
        <w:jc w:val="center"/>
        <w:rPr>
          <w:rFonts w:ascii="宋体" w:hAnsi="宋体"/>
          <w:b/>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甲方：名称（采购人名称）：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乙方：名称（中标人名称）：</w:t>
      </w:r>
    </w:p>
    <w:p>
      <w:pPr>
        <w:ind w:firstLine="723" w:firstLineChars="300"/>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1、服务期限：合同签订后</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合同文本一式五份，采购单位、投标人、政府采购监管部门、市</w:t>
      </w:r>
      <w:r>
        <w:rPr>
          <w:rFonts w:hint="eastAsia" w:asciiTheme="minorEastAsia" w:hAnsiTheme="minorEastAsia" w:eastAsiaTheme="minorEastAsia"/>
          <w:sz w:val="24"/>
          <w:szCs w:val="24"/>
          <w:lang w:eastAsia="zh-CN"/>
        </w:rPr>
        <w:t>准格尔旗交易</w:t>
      </w:r>
      <w:r>
        <w:rPr>
          <w:rFonts w:hint="eastAsia" w:asciiTheme="minorEastAsia" w:hAnsiTheme="minorEastAsia" w:eastAsiaTheme="minorEastAsia"/>
          <w:sz w:val="24"/>
          <w:szCs w:val="24"/>
        </w:rPr>
        <w:t>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投标人法人代表：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3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Theme="minorEastAsia" w:hAnsiTheme="minorEastAsia" w:eastAsiaTheme="minorEastAsia"/>
          <w:b/>
          <w:sz w:val="24"/>
          <w:szCs w:val="24"/>
        </w:rPr>
      </w:pPr>
    </w:p>
    <w:p>
      <w:pPr>
        <w:outlineLvl w:val="0"/>
        <w:rPr>
          <w:rFonts w:ascii="宋体" w:hAnsi="宋体"/>
          <w:b/>
          <w:bCs/>
          <w:kern w:val="44"/>
          <w:sz w:val="24"/>
          <w:szCs w:val="24"/>
          <w:lang w:val="zh-CN"/>
        </w:rPr>
      </w:pPr>
      <w:r>
        <w:rPr>
          <w:rFonts w:ascii="宋体" w:hAnsi="宋体"/>
          <w:b/>
          <w:bCs/>
          <w:kern w:val="44"/>
          <w:sz w:val="24"/>
          <w:szCs w:val="24"/>
          <w:lang w:val="zh-CN"/>
        </w:rPr>
        <w:br w:type="page"/>
      </w:r>
    </w:p>
    <w:p>
      <w:pPr>
        <w:jc w:val="center"/>
        <w:outlineLvl w:val="0"/>
        <w:rPr>
          <w:rFonts w:ascii="宋体" w:hAnsi="宋体"/>
          <w:b/>
          <w:bCs/>
          <w:kern w:val="44"/>
          <w:sz w:val="24"/>
          <w:szCs w:val="24"/>
          <w:lang w:val="zh-CN"/>
        </w:rPr>
      </w:pPr>
      <w:bookmarkStart w:id="5" w:name="_Toc493507492"/>
      <w:bookmarkStart w:id="6" w:name="_Toc497408626"/>
      <w:r>
        <w:rPr>
          <w:rFonts w:hint="eastAsia" w:ascii="宋体" w:hAnsi="宋体"/>
          <w:b/>
          <w:bCs/>
          <w:kern w:val="44"/>
          <w:sz w:val="24"/>
          <w:szCs w:val="24"/>
          <w:lang w:val="zh-CN"/>
        </w:rPr>
        <w:t>第四章 服务</w:t>
      </w:r>
      <w:bookmarkEnd w:id="5"/>
      <w:r>
        <w:rPr>
          <w:rFonts w:hint="eastAsia" w:ascii="宋体" w:hAnsi="宋体"/>
          <w:b/>
          <w:bCs/>
          <w:kern w:val="44"/>
          <w:sz w:val="24"/>
          <w:szCs w:val="24"/>
          <w:lang w:val="zh-CN"/>
        </w:rPr>
        <w:t>需求</w:t>
      </w:r>
      <w:bookmarkEnd w:id="6"/>
    </w:p>
    <w:p>
      <w:pPr>
        <w:jc w:val="left"/>
        <w:rPr>
          <w:rFonts w:hAnsi="宋体"/>
          <w:sz w:val="24"/>
          <w:szCs w:val="24"/>
        </w:rPr>
      </w:pPr>
      <w:r>
        <w:rPr>
          <w:rFonts w:hint="eastAsia" w:ascii="宋体" w:hAnsi="宋体"/>
          <w:b/>
          <w:bCs/>
          <w:kern w:val="44"/>
          <w:sz w:val="24"/>
          <w:szCs w:val="24"/>
          <w:lang w:val="zh-CN"/>
        </w:rPr>
        <w:t>一.主要商务要求</w:t>
      </w: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50"/>
              <w:ind w:firstLine="0" w:firstLineChars="0"/>
              <w:jc w:val="center"/>
              <w:rPr>
                <w:rFonts w:ascii="宋体" w:hAnsi="宋体"/>
                <w:sz w:val="24"/>
                <w:szCs w:val="24"/>
              </w:rPr>
            </w:pPr>
            <w:bookmarkStart w:id="7" w:name="_Toc491862079"/>
            <w:r>
              <w:rPr>
                <w:rFonts w:hint="eastAsia" w:ascii="宋体" w:hAnsi="宋体"/>
                <w:sz w:val="24"/>
                <w:szCs w:val="24"/>
              </w:rPr>
              <w:t xml:space="preserve">   主要商务条款</w:t>
            </w:r>
            <w:bookmarkEnd w:id="7"/>
          </w:p>
        </w:tc>
        <w:tc>
          <w:tcPr>
            <w:tcW w:w="6957" w:type="dxa"/>
            <w:vAlign w:val="center"/>
          </w:tcPr>
          <w:p>
            <w:pPr>
              <w:pStyle w:val="50"/>
              <w:ind w:firstLine="0" w:firstLineChars="0"/>
              <w:jc w:val="center"/>
              <w:rPr>
                <w:rFonts w:ascii="宋体" w:hAnsi="宋体"/>
                <w:sz w:val="24"/>
                <w:szCs w:val="24"/>
              </w:rPr>
            </w:pPr>
            <w:bookmarkStart w:id="8" w:name="_Toc491862080"/>
            <w:r>
              <w:rPr>
                <w:rFonts w:hint="eastAsia" w:ascii="宋体" w:hAnsi="宋体"/>
                <w:sz w:val="24"/>
                <w:szCs w:val="24"/>
              </w:rPr>
              <w:t>具体要求</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50"/>
              <w:ind w:firstLine="0" w:firstLineChars="0"/>
              <w:jc w:val="center"/>
              <w:rPr>
                <w:rFonts w:ascii="宋体" w:hAnsi="宋体"/>
                <w:sz w:val="24"/>
                <w:szCs w:val="24"/>
              </w:rPr>
            </w:pPr>
            <w:bookmarkStart w:id="9" w:name="_Toc491862082"/>
            <w:r>
              <w:rPr>
                <w:rFonts w:hint="eastAsia" w:ascii="宋体" w:hAnsi="宋体"/>
                <w:sz w:val="24"/>
                <w:szCs w:val="24"/>
              </w:rPr>
              <w:t xml:space="preserve">  采购预算/最高限价</w:t>
            </w:r>
            <w:bookmarkEnd w:id="9"/>
          </w:p>
        </w:tc>
        <w:tc>
          <w:tcPr>
            <w:tcW w:w="6957" w:type="dxa"/>
            <w:vAlign w:val="center"/>
          </w:tcPr>
          <w:p>
            <w:pPr>
              <w:ind w:firstLine="480" w:firstLineChars="200"/>
              <w:rPr>
                <w:rFonts w:ascii="宋体" w:hAnsi="宋体"/>
                <w:sz w:val="24"/>
                <w:szCs w:val="24"/>
              </w:rPr>
            </w:pPr>
            <w:bookmarkStart w:id="10" w:name="_Toc491862083"/>
            <w:r>
              <w:rPr>
                <w:rFonts w:hint="eastAsia" w:ascii="宋体" w:hAnsi="宋体"/>
                <w:sz w:val="24"/>
                <w:szCs w:val="24"/>
                <w:lang w:val="en-US" w:eastAsia="zh-CN"/>
              </w:rPr>
              <w:t>675.64万</w:t>
            </w:r>
            <w:r>
              <w:rPr>
                <w:rFonts w:hint="eastAsia" w:ascii="宋体" w:hAnsi="宋体"/>
                <w:sz w:val="24"/>
                <w:szCs w:val="24"/>
              </w:rPr>
              <w:t>元</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6957" w:type="dxa"/>
            <w:vAlign w:val="center"/>
          </w:tcPr>
          <w:p>
            <w:pPr>
              <w:spacing w:line="360" w:lineRule="auto"/>
              <w:rPr>
                <w:rFonts w:ascii="宋体" w:hAnsi="宋体"/>
                <w:sz w:val="24"/>
                <w:szCs w:val="24"/>
              </w:rPr>
            </w:pPr>
            <w:r>
              <w:rPr>
                <w:rFonts w:hint="eastAsia" w:ascii="宋体" w:hAnsi="宋体"/>
                <w:sz w:val="24"/>
                <w:szCs w:val="24"/>
              </w:rPr>
              <w:t>合同生效后至</w:t>
            </w:r>
            <w:r>
              <w:rPr>
                <w:rFonts w:hint="eastAsia" w:ascii="宋体" w:hAnsi="宋体"/>
                <w:sz w:val="24"/>
                <w:szCs w:val="24"/>
                <w:lang w:val="en-US" w:eastAsia="zh-CN"/>
              </w:rPr>
              <w:t>2018</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lang w:val="en-US" w:eastAsia="zh-CN"/>
              </w:rPr>
              <w:t>12</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u w:val="single"/>
                <w:lang w:val="en-US" w:eastAsia="zh-CN"/>
              </w:rPr>
              <w:t>31</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50"/>
              <w:ind w:firstLine="0" w:firstLineChars="0"/>
              <w:jc w:val="center"/>
              <w:rPr>
                <w:rFonts w:ascii="宋体" w:hAnsi="宋体"/>
                <w:sz w:val="24"/>
                <w:szCs w:val="24"/>
              </w:rPr>
            </w:pPr>
            <w:bookmarkStart w:id="11" w:name="_Toc491862089"/>
            <w:r>
              <w:rPr>
                <w:rFonts w:hint="eastAsia" w:ascii="宋体" w:hAnsi="宋体"/>
                <w:sz w:val="24"/>
                <w:szCs w:val="24"/>
              </w:rPr>
              <w:t>服务地点</w:t>
            </w:r>
            <w:bookmarkEnd w:id="11"/>
          </w:p>
        </w:tc>
        <w:tc>
          <w:tcPr>
            <w:tcW w:w="6957" w:type="dxa"/>
            <w:vAlign w:val="center"/>
          </w:tcPr>
          <w:p>
            <w:pPr>
              <w:pStyle w:val="50"/>
              <w:ind w:firstLine="0" w:firstLineChars="0"/>
              <w:rPr>
                <w:rFonts w:ascii="宋体" w:hAnsi="宋体"/>
                <w:sz w:val="24"/>
                <w:szCs w:val="24"/>
              </w:rPr>
            </w:pPr>
            <w:bookmarkStart w:id="12" w:name="_Toc491862090"/>
            <w:r>
              <w:rPr>
                <w:rFonts w:hint="eastAsia" w:ascii="宋体" w:hAnsi="宋体"/>
                <w:sz w:val="24"/>
                <w:szCs w:val="24"/>
              </w:rPr>
              <w:t>采购人指定地点。</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671" w:type="dxa"/>
            <w:vAlign w:val="center"/>
          </w:tcPr>
          <w:p>
            <w:pPr>
              <w:pStyle w:val="50"/>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50"/>
              <w:ind w:firstLine="0" w:firstLineChars="0"/>
              <w:rPr>
                <w:rFonts w:ascii="宋体" w:hAnsi="宋体"/>
                <w:sz w:val="24"/>
                <w:szCs w:val="24"/>
              </w:rPr>
            </w:pPr>
            <w:r>
              <w:rPr>
                <w:rFonts w:hint="eastAsia" w:ascii="宋体" w:hAnsi="宋体"/>
                <w:sz w:val="24"/>
                <w:szCs w:val="24"/>
              </w:rPr>
              <w:t>从提交投标文件的截止之日起</w:t>
            </w:r>
            <w:r>
              <w:rPr>
                <w:rFonts w:hint="eastAsia" w:ascii="宋体" w:hAnsi="宋体"/>
                <w:sz w:val="24"/>
                <w:szCs w:val="24"/>
                <w:u w:val="single"/>
              </w:rPr>
              <w:t xml:space="preserve">  </w:t>
            </w:r>
            <w:r>
              <w:rPr>
                <w:rFonts w:hint="eastAsia" w:ascii="宋体" w:hAnsi="宋体"/>
                <w:sz w:val="24"/>
                <w:szCs w:val="24"/>
                <w:u w:val="single"/>
                <w:lang w:val="en-US" w:eastAsia="zh-CN"/>
              </w:rPr>
              <w:t>90</w:t>
            </w:r>
            <w:r>
              <w:rPr>
                <w:rFonts w:hint="eastAsia" w:ascii="宋体" w:hAnsi="宋体"/>
                <w:sz w:val="24"/>
                <w:szCs w:val="24"/>
                <w:u w:val="single"/>
              </w:rPr>
              <w:t xml:space="preserve"> </w:t>
            </w:r>
            <w:r>
              <w:rPr>
                <w:rFonts w:hint="eastAsia" w:ascii="宋体" w:hAnsi="宋体"/>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671" w:type="dxa"/>
            <w:vAlign w:val="center"/>
          </w:tcPr>
          <w:p>
            <w:pPr>
              <w:pStyle w:val="50"/>
              <w:ind w:firstLine="0" w:firstLineChars="0"/>
              <w:jc w:val="center"/>
              <w:rPr>
                <w:rFonts w:ascii="宋体" w:hAnsi="宋体"/>
                <w:sz w:val="24"/>
                <w:szCs w:val="24"/>
              </w:rPr>
            </w:pPr>
            <w:bookmarkStart w:id="13" w:name="_Toc491862095"/>
            <w:r>
              <w:rPr>
                <w:rFonts w:hint="eastAsia" w:ascii="宋体" w:hAnsi="宋体"/>
                <w:sz w:val="24"/>
                <w:szCs w:val="24"/>
              </w:rPr>
              <w:t>付款方式</w:t>
            </w:r>
            <w:bookmarkEnd w:id="13"/>
          </w:p>
        </w:tc>
        <w:tc>
          <w:tcPr>
            <w:tcW w:w="6957" w:type="dxa"/>
            <w:vAlign w:val="center"/>
          </w:tcPr>
          <w:p>
            <w:pPr>
              <w:pStyle w:val="50"/>
              <w:ind w:firstLine="0" w:firstLineChars="0"/>
              <w:rPr>
                <w:rFonts w:hint="eastAsia" w:ascii="宋体" w:hAnsi="宋体"/>
                <w:sz w:val="24"/>
                <w:szCs w:val="24"/>
              </w:rPr>
            </w:pPr>
            <w:r>
              <w:rPr>
                <w:rFonts w:hint="eastAsia" w:ascii="宋体" w:hAnsi="宋体"/>
                <w:sz w:val="24"/>
                <w:szCs w:val="24"/>
                <w:lang w:eastAsia="zh-CN"/>
              </w:rPr>
              <w:t>按</w:t>
            </w:r>
            <w:r>
              <w:rPr>
                <w:rFonts w:hint="eastAsia" w:ascii="宋体" w:hAnsi="宋体"/>
                <w:sz w:val="24"/>
                <w:szCs w:val="24"/>
                <w:lang w:val="en-US" w:eastAsia="zh-CN"/>
              </w:rPr>
              <w:t>年</w:t>
            </w:r>
            <w:r>
              <w:rPr>
                <w:rFonts w:hint="eastAsia" w:ascii="宋体" w:hAnsi="宋体"/>
                <w:sz w:val="24"/>
                <w:szCs w:val="24"/>
                <w:lang w:eastAsia="zh-CN"/>
              </w:rPr>
              <w:t>度付款（</w:t>
            </w:r>
            <w:r>
              <w:rPr>
                <w:rFonts w:hint="eastAsia" w:ascii="宋体" w:hAnsi="宋体"/>
                <w:sz w:val="24"/>
                <w:szCs w:val="24"/>
                <w:lang w:val="en-US" w:eastAsia="zh-CN"/>
              </w:rPr>
              <w:t>支付80%资金</w:t>
            </w:r>
            <w:r>
              <w:rPr>
                <w:rFonts w:hint="eastAsia" w:ascii="宋体" w:hAnsi="宋体"/>
                <w:sz w:val="24"/>
                <w:szCs w:val="24"/>
                <w:lang w:eastAsia="zh-CN"/>
              </w:rPr>
              <w:t>）。</w:t>
            </w:r>
            <w:r>
              <w:rPr>
                <w:rFonts w:hint="eastAsia" w:ascii="宋体" w:hAnsi="宋体"/>
                <w:sz w:val="24"/>
                <w:szCs w:val="24"/>
                <w:lang w:val="en-US" w:eastAsia="zh-CN"/>
              </w:rPr>
              <w:t>签订合同后一次性支付保额的80%、剩余20%，服务期结束后根据考核支付。</w:t>
            </w:r>
          </w:p>
          <w:p>
            <w:pPr>
              <w:pStyle w:val="50"/>
              <w:ind w:firstLine="0" w:firstLineChars="0"/>
              <w:rPr>
                <w:rFonts w:ascii="宋体" w:hAnsi="宋体"/>
                <w:sz w:val="24"/>
                <w:szCs w:val="24"/>
              </w:rPr>
            </w:pPr>
          </w:p>
        </w:tc>
      </w:tr>
    </w:tbl>
    <w:p>
      <w:pPr>
        <w:numPr>
          <w:ilvl w:val="0"/>
          <w:numId w:val="2"/>
        </w:numPr>
        <w:spacing w:line="360" w:lineRule="auto"/>
        <w:jc w:val="left"/>
        <w:rPr>
          <w:rFonts w:hint="eastAsia" w:hAnsi="宋体"/>
          <w:b/>
          <w:sz w:val="24"/>
          <w:szCs w:val="24"/>
        </w:rPr>
      </w:pPr>
      <w:r>
        <w:rPr>
          <w:rFonts w:hint="eastAsia" w:hAnsi="宋体"/>
          <w:b/>
          <w:sz w:val="24"/>
          <w:szCs w:val="24"/>
        </w:rPr>
        <w:t>服务需求：</w:t>
      </w:r>
    </w:p>
    <w:p>
      <w:pPr>
        <w:spacing w:line="360" w:lineRule="auto"/>
        <w:rPr>
          <w:rFonts w:hint="eastAsia" w:ascii="宋体" w:hAnsi="宋体" w:eastAsia="宋体" w:cs="宋体"/>
          <w:color w:val="auto"/>
          <w:sz w:val="28"/>
          <w:szCs w:val="28"/>
          <w:lang w:val="en-US"/>
        </w:rPr>
      </w:pPr>
      <w:r>
        <w:rPr>
          <w:rFonts w:hint="eastAsia" w:ascii="宋体" w:hAnsi="宋体"/>
          <w:sz w:val="28"/>
          <w:szCs w:val="28"/>
        </w:rPr>
        <w:t xml:space="preserve">  </w:t>
      </w:r>
      <w:r>
        <w:rPr>
          <w:rFonts w:hint="eastAsia" w:ascii="宋体" w:hAnsi="宋体"/>
          <w:sz w:val="28"/>
          <w:szCs w:val="28"/>
          <w:lang w:val="en-US" w:eastAsia="zh-CN"/>
        </w:rPr>
        <w:t xml:space="preserve"> </w:t>
      </w:r>
    </w:p>
    <w:p>
      <w:pPr>
        <w:spacing w:line="360" w:lineRule="auto"/>
        <w:rPr>
          <w:rFonts w:ascii="宋体" w:hAnsi="宋体"/>
          <w:b/>
          <w:sz w:val="28"/>
          <w:szCs w:val="28"/>
        </w:rPr>
      </w:pPr>
      <w:r>
        <w:rPr>
          <w:rFonts w:hint="eastAsia" w:ascii="宋体" w:hAnsi="宋体"/>
          <w:color w:val="auto"/>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宋体" w:hAnsi="宋体"/>
          <w:b/>
          <w:sz w:val="28"/>
          <w:szCs w:val="28"/>
        </w:rPr>
        <w:t xml:space="preserve"> 一、项目</w:t>
      </w:r>
      <w:r>
        <w:rPr>
          <w:rFonts w:ascii="宋体" w:hAnsi="宋体"/>
          <w:b/>
          <w:sz w:val="28"/>
          <w:szCs w:val="28"/>
        </w:rPr>
        <w:t>说明</w:t>
      </w:r>
    </w:p>
    <w:p>
      <w:pPr>
        <w:spacing w:line="360" w:lineRule="auto"/>
        <w:ind w:firstLine="560"/>
        <w:rPr>
          <w:rFonts w:hint="eastAsia" w:ascii="宋体" w:hAnsi="宋体" w:eastAsia="宋体"/>
          <w:color w:val="auto"/>
          <w:sz w:val="28"/>
          <w:szCs w:val="28"/>
          <w:lang w:val="en-US" w:eastAsia="zh-CN"/>
        </w:rPr>
      </w:pPr>
      <w:r>
        <w:rPr>
          <w:rFonts w:hint="eastAsia" w:ascii="宋体" w:hAnsi="宋体"/>
          <w:sz w:val="28"/>
          <w:szCs w:val="28"/>
        </w:rPr>
        <w:t xml:space="preserve">   </w:t>
      </w:r>
      <w:r>
        <w:rPr>
          <w:rFonts w:hint="eastAsia" w:ascii="宋体" w:hAnsi="宋体"/>
          <w:sz w:val="28"/>
          <w:szCs w:val="28"/>
          <w:lang w:val="en-US" w:eastAsia="zh-CN"/>
        </w:rPr>
        <w:t xml:space="preserve"> </w:t>
      </w:r>
    </w:p>
    <w:p>
      <w:pPr>
        <w:spacing w:line="360" w:lineRule="auto"/>
        <w:ind w:firstLine="560"/>
        <w:rPr>
          <w:rFonts w:ascii="宋体" w:hAnsi="宋体"/>
          <w:color w:val="000000"/>
          <w:sz w:val="28"/>
          <w:szCs w:val="28"/>
        </w:rPr>
      </w:pPr>
      <w:r>
        <w:rPr>
          <w:rFonts w:hint="eastAsia" w:ascii="宋体" w:hAnsi="宋体"/>
          <w:color w:val="000000"/>
          <w:sz w:val="28"/>
          <w:szCs w:val="28"/>
          <w:lang w:val="en-US" w:eastAsia="zh-CN"/>
        </w:rPr>
        <w:t>1.服务期:保险期结束后半年</w:t>
      </w:r>
      <w:r>
        <w:rPr>
          <w:rFonts w:ascii="宋体" w:hAnsi="宋体"/>
          <w:color w:val="000000"/>
          <w:sz w:val="28"/>
          <w:szCs w:val="28"/>
        </w:rPr>
        <w:t>。</w:t>
      </w:r>
    </w:p>
    <w:p>
      <w:pPr>
        <w:spacing w:line="360" w:lineRule="auto"/>
        <w:rPr>
          <w:rFonts w:hint="eastAsia" w:ascii="宋体" w:hAnsi="宋体" w:eastAsia="宋体" w:cs="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val="en-US" w:eastAsia="zh-CN"/>
        </w:rPr>
        <w:t>2</w:t>
      </w:r>
      <w:r>
        <w:rPr>
          <w:rFonts w:ascii="宋体" w:hAnsi="宋体"/>
          <w:color w:val="000000"/>
          <w:sz w:val="28"/>
          <w:szCs w:val="28"/>
        </w:rPr>
        <w:t>.</w:t>
      </w:r>
      <w:r>
        <w:rPr>
          <w:rFonts w:hint="eastAsia" w:ascii="宋体" w:hAnsi="宋体"/>
          <w:color w:val="000000"/>
          <w:sz w:val="28"/>
          <w:szCs w:val="28"/>
          <w:lang w:eastAsia="zh-CN"/>
        </w:rPr>
        <w:t>服务</w:t>
      </w:r>
      <w:r>
        <w:rPr>
          <w:rFonts w:ascii="宋体" w:hAnsi="宋体"/>
          <w:color w:val="000000"/>
          <w:sz w:val="28"/>
          <w:szCs w:val="28"/>
        </w:rPr>
        <w:t>地点</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准格尔旗政务大厅</w:t>
      </w:r>
      <w:r>
        <w:rPr>
          <w:rFonts w:hint="eastAsia" w:ascii="宋体" w:hAnsi="宋体" w:eastAsia="宋体" w:cs="宋体"/>
          <w:color w:val="000000"/>
          <w:sz w:val="28"/>
          <w:szCs w:val="28"/>
        </w:rPr>
        <w:t>。</w:t>
      </w:r>
    </w:p>
    <w:p>
      <w:pPr>
        <w:spacing w:line="360" w:lineRule="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val="en-US" w:eastAsia="zh-CN"/>
        </w:rPr>
        <w:t>3</w:t>
      </w:r>
      <w:r>
        <w:rPr>
          <w:rFonts w:ascii="宋体" w:hAnsi="宋体"/>
          <w:color w:val="000000"/>
          <w:sz w:val="28"/>
          <w:szCs w:val="28"/>
        </w:rPr>
        <w:t>.</w:t>
      </w:r>
      <w:r>
        <w:rPr>
          <w:rFonts w:hint="eastAsia" w:ascii="宋体" w:hAnsi="宋体"/>
          <w:color w:val="000000"/>
          <w:sz w:val="28"/>
          <w:szCs w:val="28"/>
        </w:rPr>
        <w:t>付款方式：</w:t>
      </w:r>
    </w:p>
    <w:p>
      <w:pPr>
        <w:widowControl w:val="0"/>
        <w:numPr>
          <w:ilvl w:val="0"/>
          <w:numId w:val="0"/>
        </w:numPr>
        <w:wordWrap/>
        <w:adjustRightInd/>
        <w:snapToGrid/>
        <w:spacing w:before="0" w:after="0" w:line="360" w:lineRule="auto"/>
        <w:ind w:left="0" w:leftChars="0" w:right="0" w:firstLine="562" w:firstLineChars="200"/>
        <w:jc w:val="both"/>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lang w:eastAsia="zh-CN"/>
        </w:rPr>
        <w:t>二、</w:t>
      </w:r>
      <w:r>
        <w:rPr>
          <w:rFonts w:hint="eastAsia" w:ascii="宋体" w:hAnsi="宋体"/>
          <w:b/>
          <w:sz w:val="28"/>
          <w:szCs w:val="28"/>
          <w:lang w:eastAsia="zh-CN"/>
        </w:rPr>
        <w:t>服务内容</w:t>
      </w:r>
      <w:r>
        <w:rPr>
          <w:rFonts w:hint="eastAsia"/>
          <w:b/>
          <w:sz w:val="28"/>
          <w:szCs w:val="28"/>
          <w:lang w:eastAsia="zh-CN"/>
        </w:rPr>
        <w:t>及其他</w:t>
      </w:r>
      <w:r>
        <w:rPr>
          <w:rFonts w:hint="eastAsia"/>
          <w:b/>
          <w:sz w:val="28"/>
          <w:szCs w:val="28"/>
        </w:rPr>
        <w:t>要求</w:t>
      </w:r>
    </w:p>
    <w:p>
      <w:pPr>
        <w:widowControl w:val="0"/>
        <w:wordWrap/>
        <w:adjustRightInd/>
        <w:snapToGrid/>
        <w:spacing w:before="0" w:after="0" w:line="360" w:lineRule="auto"/>
        <w:ind w:left="0" w:leftChars="0" w:right="0" w:firstLine="0" w:firstLine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宋体" w:hAnsi="宋体" w:cs="宋体"/>
          <w:sz w:val="28"/>
          <w:szCs w:val="28"/>
          <w:lang w:val="en-US" w:eastAsia="zh-CN"/>
        </w:rPr>
        <w:t>为全旗250238名参保居民参加无责意外伤害保险。</w:t>
      </w:r>
      <w:r>
        <w:rPr>
          <w:rFonts w:hint="eastAsia" w:ascii="宋体" w:hAnsi="宋体"/>
          <w:color w:val="C00000"/>
          <w:sz w:val="28"/>
          <w:szCs w:val="28"/>
          <w:lang w:val="en-US" w:eastAsia="zh-CN"/>
        </w:rPr>
        <w:t>（包括2018年备案的新生儿）</w:t>
      </w:r>
    </w:p>
    <w:p>
      <w:pPr>
        <w:spacing w:afterLines="50" w:line="360" w:lineRule="auto"/>
        <w:ind w:right="57" w:firstLine="57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eastAsia="zh-CN"/>
        </w:rPr>
        <w:t>（一）保障项目内容</w:t>
      </w:r>
    </w:p>
    <w:tbl>
      <w:tblPr>
        <w:tblStyle w:val="33"/>
        <w:tblW w:w="8740"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投保险种</w:t>
            </w:r>
          </w:p>
        </w:tc>
        <w:tc>
          <w:tcPr>
            <w:tcW w:w="6940" w:type="dxa"/>
            <w:tcBorders>
              <w:tl2br w:val="nil"/>
              <w:tr2bl w:val="nil"/>
            </w:tcBorders>
            <w:vAlign w:val="center"/>
          </w:tcPr>
          <w:p>
            <w:pPr>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团体</w:t>
            </w:r>
            <w:r>
              <w:rPr>
                <w:rFonts w:hint="eastAsia" w:ascii="宋体" w:hAnsi="宋体" w:eastAsia="宋体" w:cs="宋体"/>
                <w:color w:val="000000"/>
                <w:sz w:val="21"/>
                <w:szCs w:val="21"/>
                <w:lang w:eastAsia="zh-CN"/>
              </w:rPr>
              <w:t>无责意外伤害</w:t>
            </w:r>
            <w:r>
              <w:rPr>
                <w:rFonts w:hint="eastAsia" w:ascii="宋体" w:hAnsi="宋体" w:eastAsia="宋体" w:cs="宋体"/>
                <w:color w:val="000000"/>
                <w:sz w:val="21"/>
                <w:szCs w:val="21"/>
              </w:rPr>
              <w:t>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保单形式</w:t>
            </w:r>
          </w:p>
        </w:tc>
        <w:tc>
          <w:tcPr>
            <w:tcW w:w="6940" w:type="dxa"/>
            <w:tcBorders>
              <w:tl2br w:val="nil"/>
              <w:tr2bl w:val="nil"/>
            </w:tcBorders>
            <w:vAlign w:val="center"/>
          </w:tcPr>
          <w:p>
            <w:pPr>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保险条款、附加条款及特别约定、保险协议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投保人</w:t>
            </w:r>
          </w:p>
        </w:tc>
        <w:tc>
          <w:tcPr>
            <w:tcW w:w="6940" w:type="dxa"/>
            <w:tcBorders>
              <w:tl2br w:val="nil"/>
              <w:tr2bl w:val="nil"/>
            </w:tcBorders>
            <w:vAlign w:val="center"/>
          </w:tcPr>
          <w:p>
            <w:pPr>
              <w:spacing w:line="240" w:lineRule="auto"/>
              <w:jc w:val="left"/>
              <w:rPr>
                <w:rFonts w:hint="eastAsia" w:ascii="宋体" w:hAnsi="宋体" w:eastAsia="宋体" w:cs="宋体"/>
                <w:b/>
                <w:bCs/>
                <w:color w:val="000000"/>
                <w:sz w:val="21"/>
                <w:szCs w:val="21"/>
                <w:lang w:eastAsia="zh-CN"/>
              </w:rPr>
            </w:pPr>
            <w:r>
              <w:rPr>
                <w:rFonts w:hint="eastAsia" w:ascii="宋体" w:hAnsi="宋体" w:eastAsia="宋体" w:cs="宋体"/>
                <w:bCs/>
                <w:color w:val="000000"/>
                <w:sz w:val="21"/>
                <w:szCs w:val="21"/>
                <w:lang w:val="en-US" w:eastAsia="zh-CN"/>
              </w:rPr>
              <w:t>准格尔旗</w:t>
            </w:r>
            <w:r>
              <w:rPr>
                <w:rFonts w:hint="eastAsia" w:ascii="宋体" w:hAnsi="宋体" w:eastAsia="宋体" w:cs="宋体"/>
                <w:bCs/>
                <w:color w:val="000000"/>
                <w:sz w:val="21"/>
                <w:szCs w:val="21"/>
                <w:lang w:eastAsia="zh-CN"/>
              </w:rPr>
              <w:t>医疗保险资金管理局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被保险人</w:t>
            </w:r>
          </w:p>
        </w:tc>
        <w:tc>
          <w:tcPr>
            <w:tcW w:w="6940" w:type="dxa"/>
            <w:tcBorders>
              <w:tl2br w:val="nil"/>
              <w:tr2bl w:val="nil"/>
            </w:tcBorders>
            <w:vAlign w:val="center"/>
          </w:tcPr>
          <w:p>
            <w:pPr>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被保险人：参</w:t>
            </w:r>
            <w:r>
              <w:rPr>
                <w:rFonts w:hint="eastAsia" w:ascii="宋体" w:hAnsi="宋体" w:eastAsia="宋体" w:cs="宋体"/>
                <w:color w:val="auto"/>
                <w:sz w:val="21"/>
                <w:szCs w:val="21"/>
              </w:rPr>
              <w:t>加</w:t>
            </w:r>
            <w:r>
              <w:rPr>
                <w:rFonts w:hint="eastAsia" w:ascii="宋体" w:hAnsi="宋体" w:eastAsia="宋体" w:cs="宋体"/>
                <w:color w:val="auto"/>
                <w:sz w:val="21"/>
                <w:szCs w:val="21"/>
                <w:lang w:val="en-US" w:eastAsia="zh-CN"/>
              </w:rPr>
              <w:t>准格尔旗</w:t>
            </w:r>
            <w:r>
              <w:rPr>
                <w:rFonts w:hint="eastAsia" w:ascii="宋体" w:hAnsi="宋体" w:eastAsia="宋体" w:cs="宋体"/>
                <w:color w:val="auto"/>
                <w:sz w:val="21"/>
                <w:szCs w:val="21"/>
              </w:rPr>
              <w:t>城</w:t>
            </w:r>
            <w:r>
              <w:rPr>
                <w:rFonts w:hint="eastAsia" w:ascii="宋体" w:hAnsi="宋体" w:eastAsia="宋体" w:cs="宋体"/>
                <w:color w:val="auto"/>
                <w:sz w:val="21"/>
                <w:szCs w:val="21"/>
                <w:lang w:val="en-US" w:eastAsia="zh-CN"/>
              </w:rPr>
              <w:t>乡</w:t>
            </w:r>
            <w:r>
              <w:rPr>
                <w:rFonts w:hint="eastAsia" w:ascii="宋体" w:hAnsi="宋体" w:eastAsia="宋体" w:cs="宋体"/>
                <w:color w:val="000000"/>
                <w:sz w:val="21"/>
                <w:szCs w:val="21"/>
              </w:rPr>
              <w:t>居民基本医疗保险的参保人员，包括新生儿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承保地域范围</w:t>
            </w:r>
          </w:p>
        </w:tc>
        <w:tc>
          <w:tcPr>
            <w:tcW w:w="6940" w:type="dxa"/>
            <w:tcBorders>
              <w:tl2br w:val="nil"/>
              <w:tr2bl w:val="nil"/>
            </w:tcBorders>
            <w:vAlign w:val="center"/>
          </w:tcPr>
          <w:p>
            <w:pPr>
              <w:spacing w:line="240" w:lineRule="auto"/>
              <w:jc w:val="lef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准格尔旗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保险期限</w:t>
            </w:r>
          </w:p>
        </w:tc>
        <w:tc>
          <w:tcPr>
            <w:tcW w:w="6940" w:type="dxa"/>
            <w:tcBorders>
              <w:tl2br w:val="nil"/>
              <w:tr2bl w:val="nil"/>
            </w:tcBorders>
            <w:vAlign w:val="center"/>
          </w:tcPr>
          <w:p>
            <w:pPr>
              <w:pStyle w:val="61"/>
              <w:tabs>
                <w:tab w:val="clear" w:pos="2160"/>
                <w:tab w:val="clear" w:pos="2520"/>
                <w:tab w:val="clear" w:pos="2880"/>
                <w:tab w:val="clear" w:pos="3240"/>
              </w:tabs>
              <w:spacing w:line="240" w:lineRule="auto"/>
              <w:jc w:val="left"/>
              <w:rPr>
                <w:rFonts w:hint="eastAsia" w:ascii="宋体" w:hAnsi="宋体" w:eastAsia="宋体" w:cs="宋体"/>
                <w:color w:val="000000"/>
                <w:kern w:val="2"/>
                <w:sz w:val="21"/>
                <w:szCs w:val="21"/>
                <w:lang w:eastAsia="zh-CN"/>
              </w:rPr>
            </w:pPr>
            <w:r>
              <w:rPr>
                <w:rFonts w:hint="eastAsia" w:ascii="宋体" w:hAnsi="宋体" w:eastAsia="宋体" w:cs="宋体"/>
                <w:color w:val="000000"/>
                <w:kern w:val="2"/>
                <w:sz w:val="21"/>
                <w:szCs w:val="21"/>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保险费</w:t>
            </w:r>
          </w:p>
        </w:tc>
        <w:tc>
          <w:tcPr>
            <w:tcW w:w="6940" w:type="dxa"/>
            <w:tcBorders>
              <w:tl2br w:val="nil"/>
              <w:tr2bl w:val="nil"/>
            </w:tcBorders>
            <w:vAlign w:val="center"/>
          </w:tcPr>
          <w:p>
            <w:pPr>
              <w:pStyle w:val="61"/>
              <w:tabs>
                <w:tab w:val="clear" w:pos="2160"/>
                <w:tab w:val="clear" w:pos="2520"/>
                <w:tab w:val="clear" w:pos="2880"/>
                <w:tab w:val="clear" w:pos="3240"/>
              </w:tabs>
              <w:spacing w:line="240" w:lineRule="auto"/>
              <w:jc w:val="left"/>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eastAsia="zh-CN"/>
              </w:rPr>
              <w:t>最高</w:t>
            </w:r>
            <w:r>
              <w:rPr>
                <w:rFonts w:hint="eastAsia" w:ascii="宋体" w:hAnsi="宋体" w:eastAsia="宋体" w:cs="宋体"/>
                <w:color w:val="auto"/>
                <w:kern w:val="2"/>
                <w:sz w:val="21"/>
                <w:szCs w:val="21"/>
                <w:lang w:val="en-US" w:eastAsia="zh-CN"/>
              </w:rPr>
              <w:t>27</w:t>
            </w:r>
            <w:r>
              <w:rPr>
                <w:rFonts w:hint="eastAsia" w:ascii="宋体" w:hAnsi="宋体" w:eastAsia="宋体" w:cs="宋体"/>
                <w:color w:val="auto"/>
                <w:kern w:val="2"/>
                <w:sz w:val="21"/>
                <w:szCs w:val="21"/>
                <w:lang w:eastAsia="zh-CN"/>
              </w:rPr>
              <w:t>元/人·年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投保方式</w:t>
            </w:r>
          </w:p>
        </w:tc>
        <w:tc>
          <w:tcPr>
            <w:tcW w:w="6940" w:type="dxa"/>
            <w:tcBorders>
              <w:tl2br w:val="nil"/>
              <w:tr2bl w:val="nil"/>
            </w:tcBorders>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投保人统一投保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承保方式</w:t>
            </w:r>
          </w:p>
        </w:tc>
        <w:tc>
          <w:tcPr>
            <w:tcW w:w="6940" w:type="dxa"/>
            <w:tcBorders>
              <w:tl2br w:val="nil"/>
              <w:tr2bl w:val="nil"/>
            </w:tcBorders>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统保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保险条款</w:t>
            </w:r>
          </w:p>
        </w:tc>
        <w:tc>
          <w:tcPr>
            <w:tcW w:w="6940" w:type="dxa"/>
            <w:tcBorders>
              <w:tl2br w:val="nil"/>
              <w:tr2bl w:val="nil"/>
            </w:tcBorders>
            <w:vAlign w:val="center"/>
          </w:tcPr>
          <w:p>
            <w:pPr>
              <w:spacing w:line="240"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XXX保险公司</w:t>
            </w:r>
            <w:r>
              <w:rPr>
                <w:rFonts w:hint="eastAsia" w:ascii="宋体" w:hAnsi="宋体" w:eastAsia="宋体" w:cs="宋体"/>
                <w:color w:val="000000"/>
                <w:sz w:val="21"/>
                <w:szCs w:val="21"/>
                <w:lang w:eastAsia="zh-CN"/>
              </w:rPr>
              <w:t>无责意外伤害</w:t>
            </w:r>
            <w:r>
              <w:rPr>
                <w:rFonts w:hint="eastAsia" w:ascii="宋体" w:hAnsi="宋体" w:eastAsia="宋体" w:cs="宋体"/>
                <w:color w:val="000000"/>
                <w:sz w:val="21"/>
                <w:szCs w:val="21"/>
              </w:rPr>
              <w:t>医疗保险条款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条款报备</w:t>
            </w:r>
          </w:p>
        </w:tc>
        <w:tc>
          <w:tcPr>
            <w:tcW w:w="6940" w:type="dxa"/>
            <w:tcBorders>
              <w:tl2br w:val="nil"/>
              <w:tr2bl w:val="nil"/>
            </w:tcBorders>
            <w:vAlign w:val="center"/>
          </w:tcPr>
          <w:p>
            <w:pPr>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rPr>
              <w:t>中选人在收到《中选通知书》后10日内，按照保监会的要求对承保险种的条款进行报备。相关责任及费用由投标人自行承担。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800" w:type="dxa"/>
            <w:tcBorders>
              <w:tl2br w:val="nil"/>
              <w:tr2bl w:val="nil"/>
            </w:tcBorders>
            <w:vAlign w:val="center"/>
          </w:tcPr>
          <w:p>
            <w:pPr>
              <w:spacing w:line="24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 xml:space="preserve"> 司法管辖</w:t>
            </w:r>
          </w:p>
        </w:tc>
        <w:tc>
          <w:tcPr>
            <w:tcW w:w="6940" w:type="dxa"/>
            <w:tcBorders>
              <w:tl2br w:val="nil"/>
              <w:tr2bl w:val="nil"/>
            </w:tcBorders>
            <w:vAlign w:val="center"/>
          </w:tcPr>
          <w:p>
            <w:pPr>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中国（港、澳、台除外）</w:t>
            </w:r>
          </w:p>
        </w:tc>
      </w:tr>
    </w:tbl>
    <w:p>
      <w:pPr>
        <w:pStyle w:val="22"/>
        <w:spacing w:after="0"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备注：如遇保险条款与上述明细及特别约定不一致的情况，以上述明细、附加条款及特别约定为准。</w:t>
      </w:r>
    </w:p>
    <w:p>
      <w:pPr>
        <w:spacing w:afterLines="50" w:line="360" w:lineRule="auto"/>
        <w:ind w:right="57" w:firstLine="570"/>
        <w:rPr>
          <w:rFonts w:hint="eastAsia" w:ascii="宋体" w:hAnsi="宋体" w:eastAsia="宋体" w:cs="宋体"/>
          <w:b/>
          <w:color w:val="000000"/>
          <w:sz w:val="28"/>
          <w:szCs w:val="28"/>
        </w:rPr>
      </w:pPr>
      <w:r>
        <w:rPr>
          <w:rFonts w:hint="eastAsia" w:ascii="宋体" w:hAnsi="宋体" w:eastAsia="宋体" w:cs="宋体"/>
          <w:b/>
          <w:color w:val="000000"/>
          <w:sz w:val="28"/>
          <w:szCs w:val="28"/>
          <w:lang w:eastAsia="zh-CN"/>
        </w:rPr>
        <w:t>（</w:t>
      </w:r>
      <w:r>
        <w:rPr>
          <w:rFonts w:hint="eastAsia" w:ascii="宋体" w:hAnsi="宋体" w:eastAsia="宋体" w:cs="宋体"/>
          <w:b/>
          <w:color w:val="000000"/>
          <w:sz w:val="28"/>
          <w:szCs w:val="28"/>
        </w:rPr>
        <w:t>二</w:t>
      </w:r>
      <w:r>
        <w:rPr>
          <w:rFonts w:hint="eastAsia" w:ascii="宋体" w:hAnsi="宋体" w:eastAsia="宋体" w:cs="宋体"/>
          <w:b/>
          <w:color w:val="000000"/>
          <w:sz w:val="28"/>
          <w:szCs w:val="28"/>
          <w:lang w:eastAsia="zh-CN"/>
        </w:rPr>
        <w:t>）</w:t>
      </w:r>
      <w:r>
        <w:rPr>
          <w:rFonts w:hint="eastAsia" w:ascii="宋体" w:hAnsi="宋体" w:eastAsia="宋体" w:cs="宋体"/>
          <w:b/>
          <w:color w:val="000000"/>
          <w:sz w:val="28"/>
          <w:szCs w:val="28"/>
        </w:rPr>
        <w:t>保险方案</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bCs/>
          <w:color w:val="000000"/>
          <w:sz w:val="28"/>
          <w:szCs w:val="28"/>
        </w:rPr>
        <w:t>参</w:t>
      </w:r>
      <w:r>
        <w:rPr>
          <w:rFonts w:hint="eastAsia" w:ascii="宋体" w:hAnsi="宋体" w:eastAsia="宋体" w:cs="宋体"/>
          <w:bCs/>
          <w:color w:val="000000"/>
          <w:sz w:val="28"/>
          <w:szCs w:val="28"/>
          <w:lang w:eastAsia="zh-CN"/>
        </w:rPr>
        <w:t>保</w:t>
      </w:r>
      <w:r>
        <w:rPr>
          <w:rFonts w:hint="eastAsia" w:ascii="宋体" w:hAnsi="宋体" w:eastAsia="宋体" w:cs="宋体"/>
          <w:bCs/>
          <w:color w:val="000000"/>
          <w:sz w:val="28"/>
          <w:szCs w:val="28"/>
        </w:rPr>
        <w:t>人员无责意外伤害的医疗费用在</w:t>
      </w:r>
      <w:r>
        <w:rPr>
          <w:rFonts w:hint="eastAsia" w:ascii="宋体" w:hAnsi="宋体" w:eastAsia="宋体" w:cs="宋体"/>
          <w:color w:val="000000"/>
          <w:sz w:val="28"/>
          <w:szCs w:val="28"/>
        </w:rPr>
        <w:t>符合</w:t>
      </w:r>
      <w:r>
        <w:rPr>
          <w:rFonts w:hint="eastAsia" w:ascii="宋体" w:hAnsi="宋体" w:eastAsia="宋体" w:cs="宋体"/>
          <w:color w:val="000000"/>
          <w:sz w:val="28"/>
          <w:szCs w:val="28"/>
          <w:lang w:val="en-US" w:eastAsia="zh-CN"/>
        </w:rPr>
        <w:t>当地当年</w:t>
      </w:r>
      <w:r>
        <w:rPr>
          <w:rFonts w:hint="eastAsia" w:ascii="宋体" w:hAnsi="宋体"/>
          <w:color w:val="C00000"/>
          <w:sz w:val="28"/>
          <w:szCs w:val="28"/>
          <w:lang w:val="en-US" w:eastAsia="zh-CN"/>
        </w:rPr>
        <w:t>药品目录、诊疗目录、材料目录</w:t>
      </w:r>
      <w:r>
        <w:rPr>
          <w:rFonts w:hint="eastAsia" w:ascii="宋体" w:hAnsi="宋体" w:eastAsia="宋体" w:cs="宋体"/>
          <w:color w:val="000000"/>
          <w:sz w:val="28"/>
          <w:szCs w:val="28"/>
        </w:rPr>
        <w:t>规定</w:t>
      </w:r>
      <w:r>
        <w:rPr>
          <w:rFonts w:hint="eastAsia" w:ascii="宋体" w:hAnsi="宋体" w:eastAsia="宋体" w:cs="宋体"/>
          <w:color w:val="000000"/>
          <w:sz w:val="28"/>
          <w:szCs w:val="28"/>
          <w:lang w:val="en-US" w:eastAsia="zh-CN"/>
        </w:rPr>
        <w:t>的</w:t>
      </w:r>
      <w:r>
        <w:rPr>
          <w:rFonts w:hint="eastAsia" w:ascii="宋体" w:hAnsi="宋体" w:eastAsia="宋体" w:cs="宋体"/>
          <w:color w:val="000000"/>
          <w:sz w:val="28"/>
          <w:szCs w:val="28"/>
        </w:rPr>
        <w:t>报销范围内进行赔偿合理费用</w:t>
      </w:r>
      <w:r>
        <w:rPr>
          <w:rFonts w:hint="eastAsia" w:ascii="宋体" w:hAnsi="宋体" w:eastAsia="宋体" w:cs="宋体"/>
          <w:color w:val="000000"/>
          <w:sz w:val="28"/>
          <w:szCs w:val="28"/>
          <w:lang w:eastAsia="zh-CN"/>
        </w:rPr>
        <w:t>。</w:t>
      </w:r>
      <w:r>
        <w:rPr>
          <w:rFonts w:hint="eastAsia" w:ascii="宋体" w:hAnsi="宋体" w:eastAsia="宋体" w:cs="宋体"/>
          <w:bCs/>
          <w:color w:val="000000"/>
          <w:sz w:val="28"/>
          <w:szCs w:val="28"/>
          <w:lang w:eastAsia="zh-CN"/>
        </w:rPr>
        <w:t>学生、儿童不设起付线，</w:t>
      </w:r>
      <w:r>
        <w:rPr>
          <w:rFonts w:hint="eastAsia" w:ascii="宋体" w:hAnsi="宋体" w:eastAsia="宋体" w:cs="宋体"/>
          <w:bCs/>
          <w:color w:val="000000"/>
          <w:sz w:val="28"/>
          <w:szCs w:val="28"/>
          <w:lang w:val="en-US" w:eastAsia="zh-CN"/>
        </w:rPr>
        <w:t>门诊、住院</w:t>
      </w:r>
      <w:r>
        <w:rPr>
          <w:rFonts w:hint="eastAsia" w:ascii="宋体" w:hAnsi="宋体" w:eastAsia="宋体" w:cs="宋体"/>
          <w:bCs/>
          <w:color w:val="000000"/>
          <w:sz w:val="28"/>
          <w:szCs w:val="28"/>
        </w:rPr>
        <w:t>医疗费用赔偿比例为</w:t>
      </w:r>
      <w:r>
        <w:rPr>
          <w:rFonts w:hint="eastAsia" w:ascii="宋体" w:hAnsi="宋体" w:eastAsia="宋体" w:cs="宋体"/>
          <w:bCs/>
          <w:color w:val="000000"/>
          <w:sz w:val="28"/>
          <w:szCs w:val="28"/>
          <w:lang w:val="en-US" w:eastAsia="zh-CN"/>
        </w:rPr>
        <w:t>80</w:t>
      </w:r>
      <w:r>
        <w:rPr>
          <w:rFonts w:hint="eastAsia" w:ascii="宋体" w:hAnsi="宋体" w:eastAsia="宋体" w:cs="宋体"/>
          <w:bCs/>
          <w:color w:val="000000"/>
          <w:sz w:val="28"/>
          <w:szCs w:val="28"/>
        </w:rPr>
        <w:t>%</w:t>
      </w:r>
      <w:r>
        <w:rPr>
          <w:rFonts w:hint="eastAsia" w:ascii="宋体" w:hAnsi="宋体" w:eastAsia="宋体" w:cs="宋体"/>
          <w:bCs/>
          <w:color w:val="000000"/>
          <w:sz w:val="28"/>
          <w:szCs w:val="28"/>
          <w:lang w:eastAsia="zh-CN"/>
        </w:rPr>
        <w:t>，成年居民的起付线和支付比例为：市内苏木乡镇卫生院、社区卫生服务中心为</w:t>
      </w:r>
      <w:r>
        <w:rPr>
          <w:rFonts w:hint="eastAsia" w:ascii="宋体" w:hAnsi="宋体" w:eastAsia="宋体" w:cs="宋体"/>
          <w:bCs/>
          <w:color w:val="000000"/>
          <w:sz w:val="28"/>
          <w:szCs w:val="28"/>
          <w:lang w:val="en-US" w:eastAsia="zh-CN"/>
        </w:rPr>
        <w:t>200元和90%；市内二级以下医院（含二级）为400元和80%；市内三级医院为600元和70%；市外医院800元和68%，同一年度内多次住院的，起付线依次降低200元，但最低不得低于200元，封顶线为23万元。发生无责意外伤害首诊治疗及由意外伤害造成的保险期后半年内的后续治疗费用由保险公司负担。参保人员如在保险有效期内未结束治疗，跨年度住院的参保人员，由承保单位按照上述标准赔付。出现无责意外伤害事故且经过医疗机构诊治死亡的学生、儿童，保险公司给与学生、儿童15000元身故责任赔偿金。</w:t>
      </w:r>
    </w:p>
    <w:p>
      <w:pPr>
        <w:spacing w:line="360" w:lineRule="auto"/>
        <w:rPr>
          <w:rFonts w:hint="eastAsia" w:ascii="宋体" w:hAnsi="宋体" w:eastAsia="宋体" w:cs="宋体"/>
          <w:color w:val="000000"/>
          <w:sz w:val="28"/>
          <w:szCs w:val="28"/>
        </w:rPr>
      </w:pPr>
      <w:r>
        <w:rPr>
          <w:rFonts w:hint="eastAsia" w:ascii="宋体" w:hAnsi="宋体" w:eastAsia="宋体" w:cs="宋体"/>
          <w:bCs/>
          <w:color w:val="000000"/>
          <w:sz w:val="28"/>
          <w:szCs w:val="28"/>
          <w:lang w:val="en-US" w:eastAsia="zh-CN"/>
        </w:rPr>
        <w:t xml:space="preserve">    </w:t>
      </w:r>
      <w:r>
        <w:rPr>
          <w:rFonts w:hint="eastAsia" w:ascii="宋体" w:hAnsi="宋体" w:eastAsia="宋体" w:cs="宋体"/>
          <w:bCs/>
          <w:color w:val="000000"/>
          <w:sz w:val="28"/>
          <w:szCs w:val="28"/>
        </w:rPr>
        <w:t>发生群体性事故（一次性事故死亡3人及以上）每次事故死亡赔偿限额30万元，全年累计死亡赔偿限额60万元</w:t>
      </w:r>
      <w:r>
        <w:rPr>
          <w:rFonts w:hint="eastAsia" w:ascii="宋体" w:hAnsi="宋体" w:eastAsia="宋体" w:cs="宋体"/>
          <w:bCs/>
          <w:color w:val="000000"/>
          <w:sz w:val="28"/>
          <w:szCs w:val="28"/>
          <w:lang w:eastAsia="zh-CN"/>
        </w:rPr>
        <w:t>。</w:t>
      </w:r>
    </w:p>
    <w:p>
      <w:pPr>
        <w:spacing w:afterLines="50" w:line="360" w:lineRule="auto"/>
        <w:ind w:right="57" w:firstLine="570"/>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eastAsia="zh-CN"/>
        </w:rPr>
        <w:t>（三）资金盈亏结算</w:t>
      </w:r>
    </w:p>
    <w:p>
      <w:pPr>
        <w:spacing w:line="360" w:lineRule="auto"/>
        <w:ind w:firstLine="560" w:firstLineChars="200"/>
        <w:rPr>
          <w:rFonts w:hint="eastAsia" w:ascii="宋体" w:hAnsi="宋体" w:eastAsia="宋体" w:cs="宋体"/>
          <w:color w:val="FF0000"/>
          <w:sz w:val="28"/>
          <w:szCs w:val="28"/>
        </w:rPr>
      </w:pPr>
      <w:r>
        <w:rPr>
          <w:rFonts w:hint="eastAsia" w:ascii="宋体" w:hAnsi="宋体" w:eastAsia="宋体" w:cs="宋体"/>
          <w:color w:val="000000"/>
          <w:sz w:val="28"/>
          <w:szCs w:val="28"/>
        </w:rPr>
        <w:t>为有利于城镇居民</w:t>
      </w:r>
      <w:r>
        <w:rPr>
          <w:rFonts w:hint="eastAsia" w:ascii="宋体" w:hAnsi="宋体" w:eastAsia="宋体" w:cs="宋体"/>
          <w:color w:val="000000"/>
          <w:sz w:val="28"/>
          <w:szCs w:val="28"/>
          <w:lang w:eastAsia="zh-CN"/>
        </w:rPr>
        <w:t>无责意外伤害</w:t>
      </w:r>
      <w:r>
        <w:rPr>
          <w:rFonts w:hint="eastAsia" w:ascii="宋体" w:hAnsi="宋体" w:eastAsia="宋体" w:cs="宋体"/>
          <w:color w:val="000000"/>
          <w:sz w:val="28"/>
          <w:szCs w:val="28"/>
        </w:rPr>
        <w:t>保险长期稳定运行，切实保障参保居民实际受益水平，建立超额结余及政策性亏损的动态调整机制。保险公司的</w:t>
      </w:r>
      <w:r>
        <w:rPr>
          <w:rFonts w:hint="eastAsia" w:ascii="宋体" w:hAnsi="宋体" w:eastAsia="宋体" w:cs="宋体"/>
          <w:color w:val="000000"/>
          <w:sz w:val="28"/>
          <w:szCs w:val="28"/>
          <w:lang w:eastAsia="zh-CN"/>
        </w:rPr>
        <w:t>无责意外</w:t>
      </w:r>
      <w:r>
        <w:rPr>
          <w:rFonts w:hint="eastAsia" w:ascii="宋体" w:hAnsi="宋体" w:eastAsia="宋体" w:cs="宋体"/>
          <w:color w:val="000000"/>
          <w:sz w:val="28"/>
          <w:szCs w:val="28"/>
        </w:rPr>
        <w:t>保险盈利率不超过总保费的5%，超出部分全部返还基金；</w:t>
      </w:r>
      <w:r>
        <w:rPr>
          <w:rFonts w:hint="eastAsia" w:ascii="宋体" w:hAnsi="宋体" w:eastAsia="宋体" w:cs="宋体"/>
          <w:color w:val="000000"/>
          <w:sz w:val="28"/>
          <w:szCs w:val="28"/>
          <w:lang w:eastAsia="zh-CN"/>
        </w:rPr>
        <w:t>无责意外</w:t>
      </w:r>
      <w:r>
        <w:rPr>
          <w:rFonts w:hint="eastAsia" w:ascii="宋体" w:hAnsi="宋体" w:eastAsia="宋体" w:cs="宋体"/>
          <w:color w:val="000000"/>
          <w:sz w:val="28"/>
          <w:szCs w:val="28"/>
        </w:rPr>
        <w:t>保险资金当年亏损在总保费10%以内的，由保险公司承担，超过10%的</w:t>
      </w:r>
      <w:r>
        <w:rPr>
          <w:rFonts w:hint="eastAsia" w:ascii="宋体" w:hAnsi="宋体" w:eastAsia="宋体" w:cs="宋体"/>
          <w:color w:val="000000"/>
          <w:sz w:val="28"/>
          <w:szCs w:val="28"/>
          <w:lang w:val="en-US" w:eastAsia="zh-CN"/>
        </w:rPr>
        <w:t>部分</w:t>
      </w:r>
      <w:r>
        <w:rPr>
          <w:rFonts w:hint="eastAsia" w:ascii="宋体" w:hAnsi="宋体" w:eastAsia="宋体" w:cs="宋体"/>
          <w:color w:val="000000"/>
          <w:sz w:val="28"/>
          <w:szCs w:val="28"/>
        </w:rPr>
        <w:t>，由保险公司</w:t>
      </w:r>
      <w:r>
        <w:rPr>
          <w:rFonts w:hint="eastAsia" w:ascii="宋体" w:hAnsi="宋体" w:eastAsia="宋体" w:cs="宋体"/>
          <w:color w:val="000000"/>
          <w:sz w:val="28"/>
          <w:szCs w:val="28"/>
          <w:lang w:eastAsia="zh-CN"/>
        </w:rPr>
        <w:t>承担</w:t>
      </w:r>
      <w:r>
        <w:rPr>
          <w:rFonts w:hint="eastAsia" w:ascii="宋体" w:hAnsi="宋体" w:eastAsia="宋体" w:cs="宋体"/>
          <w:color w:val="000000"/>
          <w:sz w:val="28"/>
          <w:szCs w:val="28"/>
          <w:lang w:val="en-US" w:eastAsia="zh-CN"/>
        </w:rPr>
        <w:t>50%和准格尔旗</w:t>
      </w:r>
      <w:r>
        <w:rPr>
          <w:rFonts w:hint="eastAsia" w:ascii="宋体" w:hAnsi="宋体" w:eastAsia="宋体" w:cs="宋体"/>
          <w:color w:val="000000"/>
          <w:sz w:val="28"/>
          <w:szCs w:val="28"/>
        </w:rPr>
        <w:t>城</w:t>
      </w:r>
      <w:r>
        <w:rPr>
          <w:rFonts w:hint="eastAsia" w:ascii="宋体" w:hAnsi="宋体" w:eastAsia="宋体" w:cs="宋体"/>
          <w:color w:val="000000"/>
          <w:sz w:val="28"/>
          <w:szCs w:val="28"/>
          <w:lang w:val="en-US" w:eastAsia="zh-CN"/>
        </w:rPr>
        <w:t>乡</w:t>
      </w:r>
      <w:r>
        <w:rPr>
          <w:rFonts w:hint="eastAsia" w:ascii="宋体" w:hAnsi="宋体" w:eastAsia="宋体" w:cs="宋体"/>
          <w:color w:val="000000"/>
          <w:sz w:val="28"/>
          <w:szCs w:val="28"/>
        </w:rPr>
        <w:t>居民基本医疗保险基金</w:t>
      </w:r>
      <w:r>
        <w:rPr>
          <w:rFonts w:hint="eastAsia" w:ascii="宋体" w:hAnsi="宋体" w:eastAsia="宋体" w:cs="宋体"/>
          <w:color w:val="000000"/>
          <w:sz w:val="28"/>
          <w:szCs w:val="28"/>
          <w:lang w:eastAsia="zh-CN"/>
        </w:rPr>
        <w:t>承担</w:t>
      </w:r>
      <w:r>
        <w:rPr>
          <w:rFonts w:hint="eastAsia" w:ascii="宋体" w:hAnsi="宋体" w:eastAsia="宋体" w:cs="宋体"/>
          <w:color w:val="000000"/>
          <w:sz w:val="28"/>
          <w:szCs w:val="28"/>
          <w:lang w:val="en-US" w:eastAsia="zh-CN"/>
        </w:rPr>
        <w:t>5</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w:t>
      </w:r>
    </w:p>
    <w:p>
      <w:pPr>
        <w:spacing w:afterLines="50" w:line="360" w:lineRule="auto"/>
        <w:ind w:right="57" w:firstLine="570"/>
        <w:rPr>
          <w:rFonts w:hint="eastAsia" w:ascii="宋体" w:hAnsi="宋体" w:eastAsia="宋体" w:cs="宋体"/>
          <w:b/>
          <w:color w:val="000000"/>
          <w:sz w:val="28"/>
          <w:szCs w:val="28"/>
          <w:lang w:eastAsia="zh-CN"/>
        </w:rPr>
      </w:pPr>
      <w:bookmarkStart w:id="14" w:name="_Toc24239"/>
      <w:r>
        <w:rPr>
          <w:rFonts w:hint="eastAsia" w:ascii="宋体" w:hAnsi="宋体" w:eastAsia="宋体" w:cs="宋体"/>
          <w:b/>
          <w:color w:val="000000"/>
          <w:sz w:val="28"/>
          <w:szCs w:val="28"/>
          <w:lang w:eastAsia="zh-CN"/>
        </w:rPr>
        <w:t>（四）服务指标要求</w:t>
      </w:r>
      <w:bookmarkEnd w:id="14"/>
    </w:p>
    <w:p>
      <w:pPr>
        <w:spacing w:line="5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以下事项及约定适用于</w:t>
      </w:r>
      <w:r>
        <w:rPr>
          <w:rFonts w:hint="eastAsia" w:ascii="宋体" w:hAnsi="宋体" w:eastAsia="宋体" w:cs="宋体"/>
          <w:bCs/>
          <w:color w:val="000000"/>
          <w:sz w:val="28"/>
          <w:szCs w:val="28"/>
          <w:lang w:val="en-US" w:eastAsia="zh-CN"/>
        </w:rPr>
        <w:t>准格尔旗</w:t>
      </w:r>
      <w:r>
        <w:rPr>
          <w:rFonts w:hint="eastAsia" w:ascii="宋体" w:hAnsi="宋体" w:eastAsia="宋体" w:cs="宋体"/>
          <w:bCs/>
          <w:color w:val="000000"/>
          <w:sz w:val="28"/>
          <w:szCs w:val="28"/>
          <w:lang w:eastAsia="zh-CN"/>
        </w:rPr>
        <w:t>医疗保险资金管理</w:t>
      </w:r>
      <w:r>
        <w:rPr>
          <w:rFonts w:hint="eastAsia" w:ascii="宋体" w:hAnsi="宋体" w:eastAsia="宋体" w:cs="宋体"/>
          <w:bCs/>
          <w:color w:val="000000"/>
          <w:sz w:val="28"/>
          <w:szCs w:val="28"/>
        </w:rPr>
        <w:t>局</w:t>
      </w:r>
      <w:r>
        <w:rPr>
          <w:rFonts w:hint="eastAsia" w:ascii="宋体" w:hAnsi="宋体" w:eastAsia="宋体" w:cs="宋体"/>
          <w:color w:val="000000"/>
          <w:sz w:val="28"/>
          <w:szCs w:val="28"/>
        </w:rPr>
        <w:t>对全</w:t>
      </w:r>
      <w:r>
        <w:rPr>
          <w:rFonts w:hint="eastAsia" w:ascii="宋体" w:hAnsi="宋体" w:eastAsia="宋体" w:cs="宋体"/>
          <w:color w:val="000000"/>
          <w:sz w:val="28"/>
          <w:szCs w:val="28"/>
          <w:lang w:val="en-US" w:eastAsia="zh-CN"/>
        </w:rPr>
        <w:t>旗</w:t>
      </w:r>
      <w:r>
        <w:rPr>
          <w:rFonts w:hint="eastAsia" w:ascii="宋体" w:hAnsi="宋体" w:eastAsia="宋体" w:cs="宋体"/>
          <w:color w:val="000000"/>
          <w:sz w:val="28"/>
          <w:szCs w:val="28"/>
        </w:rPr>
        <w:t>参保人员所统一投保的</w:t>
      </w:r>
      <w:r>
        <w:rPr>
          <w:rFonts w:hint="eastAsia" w:ascii="宋体" w:hAnsi="宋体" w:eastAsia="宋体" w:cs="宋体"/>
          <w:color w:val="000000"/>
          <w:sz w:val="28"/>
          <w:szCs w:val="28"/>
          <w:lang w:eastAsia="zh-CN"/>
        </w:rPr>
        <w:t>无责意外伤害</w:t>
      </w:r>
      <w:r>
        <w:rPr>
          <w:rFonts w:hint="eastAsia" w:ascii="宋体" w:hAnsi="宋体" w:eastAsia="宋体" w:cs="宋体"/>
          <w:color w:val="000000"/>
          <w:sz w:val="28"/>
          <w:szCs w:val="28"/>
        </w:rPr>
        <w:t>保险：</w:t>
      </w:r>
    </w:p>
    <w:p>
      <w:pPr>
        <w:pStyle w:val="4"/>
        <w:numPr>
          <w:ilvl w:val="0"/>
          <w:numId w:val="0"/>
        </w:numPr>
        <w:spacing w:before="0" w:after="0" w:line="540" w:lineRule="exact"/>
        <w:ind w:leftChars="0"/>
        <w:rPr>
          <w:rFonts w:hint="eastAsia" w:ascii="宋体" w:hAnsi="宋体" w:eastAsia="宋体" w:cs="宋体"/>
          <w:color w:val="000000"/>
          <w:sz w:val="28"/>
          <w:szCs w:val="28"/>
        </w:rPr>
      </w:pPr>
      <w:bookmarkStart w:id="15" w:name="_Toc323829389"/>
      <w:bookmarkEnd w:id="15"/>
      <w:bookmarkStart w:id="16" w:name="_Toc323829397"/>
      <w:bookmarkEnd w:id="16"/>
      <w:bookmarkStart w:id="17" w:name="_Toc323829405"/>
      <w:bookmarkEnd w:id="17"/>
      <w:bookmarkStart w:id="18" w:name="_Toc323829320"/>
      <w:bookmarkEnd w:id="18"/>
      <w:bookmarkStart w:id="19" w:name="_Toc323829402"/>
      <w:bookmarkEnd w:id="19"/>
      <w:bookmarkStart w:id="20" w:name="_Toc323829321"/>
      <w:bookmarkEnd w:id="20"/>
      <w:bookmarkStart w:id="21" w:name="_Toc323829403"/>
      <w:bookmarkEnd w:id="21"/>
      <w:bookmarkStart w:id="22" w:name="_Toc323829401"/>
      <w:bookmarkEnd w:id="22"/>
      <w:bookmarkStart w:id="23" w:name="_Toc323829322"/>
      <w:bookmarkEnd w:id="23"/>
      <w:bookmarkStart w:id="24" w:name="_Toc323829319"/>
      <w:bookmarkEnd w:id="24"/>
      <w:bookmarkStart w:id="25" w:name="_Toc323829356"/>
      <w:bookmarkEnd w:id="25"/>
      <w:bookmarkStart w:id="26" w:name="_Toc323829400"/>
      <w:bookmarkEnd w:id="26"/>
      <w:bookmarkStart w:id="27" w:name="_Toc323829355"/>
      <w:bookmarkEnd w:id="27"/>
      <w:bookmarkStart w:id="28" w:name="_Toc323829399"/>
      <w:bookmarkEnd w:id="28"/>
      <w:bookmarkStart w:id="29" w:name="_Toc323829381"/>
      <w:bookmarkEnd w:id="29"/>
      <w:bookmarkStart w:id="30" w:name="_Toc323829398"/>
      <w:bookmarkEnd w:id="30"/>
      <w:bookmarkStart w:id="31" w:name="_Toc323829404"/>
      <w:bookmarkEnd w:id="31"/>
      <w:bookmarkStart w:id="32" w:name="_Toc335984357"/>
      <w:bookmarkStart w:id="33" w:name="_Toc223014814"/>
      <w:bookmarkStart w:id="34" w:name="_Toc222917450"/>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建立保险服务团队</w:t>
      </w:r>
      <w:bookmarkEnd w:id="32"/>
    </w:p>
    <w:p>
      <w:pPr>
        <w:spacing w:line="54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保险公司应成立专项服务小组（包括现场服务小组），并设立本保险项目客户服务专线，提供24小时受理报案服务及保险理赔咨询服务。</w:t>
      </w:r>
    </w:p>
    <w:p>
      <w:pPr>
        <w:pStyle w:val="4"/>
        <w:numPr>
          <w:ilvl w:val="0"/>
          <w:numId w:val="0"/>
        </w:numPr>
        <w:spacing w:before="0" w:after="0" w:line="52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专项服务小组</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保险公司应设立项目专项服务小组（不少于3人），负责完成</w:t>
      </w:r>
      <w:r>
        <w:rPr>
          <w:rFonts w:hint="eastAsia" w:ascii="宋体" w:hAnsi="宋体" w:eastAsia="宋体" w:cs="宋体"/>
          <w:color w:val="000000"/>
          <w:sz w:val="28"/>
          <w:szCs w:val="28"/>
          <w:lang w:eastAsia="zh-CN"/>
        </w:rPr>
        <w:t>无责意外伤害</w:t>
      </w:r>
      <w:r>
        <w:rPr>
          <w:rFonts w:hint="eastAsia" w:ascii="宋体" w:hAnsi="宋体" w:eastAsia="宋体" w:cs="宋体"/>
          <w:color w:val="000000"/>
          <w:sz w:val="28"/>
          <w:szCs w:val="28"/>
        </w:rPr>
        <w:t>保险待遇支付工作。中标的保险公司利用在全国各地设有机构的优势，为全</w:t>
      </w:r>
      <w:r>
        <w:rPr>
          <w:rFonts w:hint="eastAsia" w:ascii="宋体" w:hAnsi="宋体" w:eastAsia="宋体" w:cs="宋体"/>
          <w:color w:val="000000"/>
          <w:sz w:val="28"/>
          <w:szCs w:val="28"/>
          <w:lang w:val="en-US" w:eastAsia="zh-CN"/>
        </w:rPr>
        <w:t>旗</w:t>
      </w:r>
      <w:r>
        <w:rPr>
          <w:rFonts w:hint="eastAsia" w:ascii="宋体" w:hAnsi="宋体" w:eastAsia="宋体" w:cs="宋体"/>
          <w:color w:val="000000"/>
          <w:sz w:val="28"/>
          <w:szCs w:val="28"/>
        </w:rPr>
        <w:t>城</w:t>
      </w:r>
      <w:r>
        <w:rPr>
          <w:rFonts w:hint="eastAsia" w:ascii="宋体" w:hAnsi="宋体" w:eastAsia="宋体" w:cs="宋体"/>
          <w:color w:val="000000"/>
          <w:sz w:val="28"/>
          <w:szCs w:val="28"/>
          <w:lang w:val="en-US" w:eastAsia="zh-CN"/>
        </w:rPr>
        <w:t>乡</w:t>
      </w:r>
      <w:r>
        <w:rPr>
          <w:rFonts w:hint="eastAsia" w:ascii="宋体" w:hAnsi="宋体" w:eastAsia="宋体" w:cs="宋体"/>
          <w:color w:val="000000"/>
          <w:sz w:val="28"/>
          <w:szCs w:val="28"/>
        </w:rPr>
        <w:t>居民参保人员异地就医提供监管平台，并承担</w:t>
      </w:r>
      <w:r>
        <w:rPr>
          <w:rFonts w:hint="eastAsia" w:ascii="宋体" w:hAnsi="宋体" w:eastAsia="宋体" w:cs="宋体"/>
          <w:color w:val="000000"/>
          <w:sz w:val="28"/>
          <w:szCs w:val="28"/>
          <w:lang w:val="en-US" w:eastAsia="zh-CN"/>
        </w:rPr>
        <w:t>此项工作所产生的</w:t>
      </w:r>
      <w:r>
        <w:rPr>
          <w:rFonts w:hint="eastAsia" w:ascii="宋体" w:hAnsi="宋体" w:eastAsia="宋体" w:cs="宋体"/>
          <w:color w:val="000000"/>
          <w:sz w:val="28"/>
          <w:szCs w:val="28"/>
        </w:rPr>
        <w:t>相关费用。签订合作协议后，在3个工作日内专项服务小组人员携带办公设备进驻服务驻点和各经办机构窗口，及时满足投标人以及被保险人提出的业务服务需求。合作期满后，保险公司将专项服务小组人员和办公设备一并撤回。</w:t>
      </w:r>
      <w:r>
        <w:rPr>
          <w:rFonts w:hint="eastAsia" w:ascii="宋体" w:hAnsi="宋体" w:eastAsia="宋体" w:cs="宋体"/>
          <w:color w:val="000000"/>
          <w:sz w:val="28"/>
          <w:szCs w:val="28"/>
          <w:lang w:val="en-US" w:eastAsia="zh-CN"/>
        </w:rPr>
        <w:t>理赔时限：接收资料3个月内完成赔付。</w:t>
      </w:r>
    </w:p>
    <w:p>
      <w:pPr>
        <w:pStyle w:val="4"/>
        <w:numPr>
          <w:ilvl w:val="0"/>
          <w:numId w:val="0"/>
        </w:numPr>
        <w:spacing w:before="0" w:after="0" w:line="52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人员变动及时通知</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如果保险公司服务小组成员由于工作原因调动离岗，保险公司应提前10个工作日书面通知医保经办机构；同时，告知接替人员的联系方式；接替人员应在最短时间内熟悉情况，进入工作状态。</w:t>
      </w:r>
    </w:p>
    <w:p>
      <w:pPr>
        <w:spacing w:line="520" w:lineRule="exact"/>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如果投保人对保险公司上述服务人员的服务不满意的，保险公司应及时予以更换。</w:t>
      </w:r>
    </w:p>
    <w:p>
      <w:pPr>
        <w:pStyle w:val="4"/>
        <w:numPr>
          <w:ilvl w:val="0"/>
          <w:numId w:val="0"/>
        </w:numPr>
        <w:spacing w:before="0" w:after="0" w:line="52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理赔争议解决方式</w:t>
      </w:r>
    </w:p>
    <w:p>
      <w:pPr>
        <w:adjustRightInd w:val="0"/>
        <w:snapToGrid w:val="0"/>
        <w:spacing w:line="540" w:lineRule="exac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当保险索赔发生争议时，</w:t>
      </w:r>
      <w:bookmarkEnd w:id="33"/>
      <w:bookmarkEnd w:id="34"/>
      <w:bookmarkStart w:id="35" w:name="_Toc335984359"/>
      <w:r>
        <w:rPr>
          <w:rFonts w:hint="eastAsia" w:ascii="宋体" w:hAnsi="宋体" w:eastAsia="宋体" w:cs="宋体"/>
          <w:color w:val="000000"/>
          <w:sz w:val="28"/>
          <w:szCs w:val="28"/>
        </w:rPr>
        <w:t>由合同双方协商处理，协商无果的向</w:t>
      </w:r>
      <w:r>
        <w:rPr>
          <w:rFonts w:hint="eastAsia" w:ascii="宋体" w:hAnsi="宋体" w:eastAsia="宋体" w:cs="宋体"/>
          <w:color w:val="000000"/>
          <w:sz w:val="28"/>
          <w:szCs w:val="28"/>
          <w:lang w:val="en-US" w:eastAsia="zh-CN"/>
        </w:rPr>
        <w:t>准格尔旗</w:t>
      </w:r>
      <w:r>
        <w:rPr>
          <w:rFonts w:hint="eastAsia" w:ascii="宋体" w:hAnsi="宋体" w:eastAsia="宋体" w:cs="宋体"/>
          <w:color w:val="000000"/>
          <w:sz w:val="28"/>
          <w:szCs w:val="28"/>
        </w:rPr>
        <w:t>仲裁委员会申请仲裁。对合规医疗费用的确认有争议的，以</w:t>
      </w:r>
      <w:r>
        <w:rPr>
          <w:rFonts w:hint="eastAsia" w:ascii="宋体" w:hAnsi="宋体" w:eastAsia="宋体" w:cs="宋体"/>
          <w:color w:val="000000"/>
          <w:sz w:val="28"/>
          <w:szCs w:val="28"/>
          <w:lang w:val="en-US" w:eastAsia="zh-CN"/>
        </w:rPr>
        <w:t>医保局</w:t>
      </w:r>
      <w:r>
        <w:rPr>
          <w:rFonts w:hint="eastAsia" w:ascii="宋体" w:hAnsi="宋体" w:eastAsia="宋体" w:cs="宋体"/>
          <w:color w:val="000000"/>
          <w:sz w:val="28"/>
          <w:szCs w:val="28"/>
        </w:rPr>
        <w:t>审定为准。</w:t>
      </w:r>
    </w:p>
    <w:p>
      <w:pPr>
        <w:pStyle w:val="4"/>
        <w:spacing w:before="0" w:after="0" w:line="520" w:lineRule="exact"/>
        <w:rPr>
          <w:rFonts w:hint="eastAsia" w:ascii="宋体" w:hAnsi="宋体" w:eastAsia="宋体" w:cs="宋体"/>
          <w:color w:val="000000"/>
          <w:sz w:val="28"/>
          <w:szCs w:val="28"/>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日常服务</w:t>
      </w:r>
      <w:bookmarkEnd w:id="35"/>
    </w:p>
    <w:p>
      <w:pPr>
        <w:pStyle w:val="4"/>
        <w:numPr>
          <w:ilvl w:val="0"/>
          <w:numId w:val="0"/>
        </w:numPr>
        <w:spacing w:before="0" w:after="0" w:line="52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建立联席会议制度</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为保证项目的顺利执行，保险公司应根据投保人和被保险人的要求，参加</w:t>
      </w:r>
      <w:r>
        <w:rPr>
          <w:rFonts w:hint="eastAsia" w:ascii="宋体" w:hAnsi="宋体" w:eastAsia="宋体" w:cs="宋体"/>
          <w:bCs/>
          <w:color w:val="000000"/>
          <w:sz w:val="28"/>
          <w:szCs w:val="28"/>
          <w:lang w:val="en-US" w:eastAsia="zh-CN"/>
        </w:rPr>
        <w:t>准格尔旗</w:t>
      </w:r>
      <w:r>
        <w:rPr>
          <w:rFonts w:hint="eastAsia" w:ascii="宋体" w:hAnsi="宋体" w:eastAsia="宋体" w:cs="宋体"/>
          <w:bCs/>
          <w:color w:val="000000"/>
          <w:sz w:val="28"/>
          <w:szCs w:val="28"/>
        </w:rPr>
        <w:t>医疗保险资金管理局</w:t>
      </w:r>
      <w:r>
        <w:rPr>
          <w:rFonts w:hint="eastAsia" w:ascii="宋体" w:hAnsi="宋体" w:eastAsia="宋体" w:cs="宋体"/>
          <w:color w:val="000000"/>
          <w:sz w:val="28"/>
          <w:szCs w:val="28"/>
        </w:rPr>
        <w:t>组织召开的保险联席会议，通报保险理赔与服务情况，并就有关问题进行沟通与协商，保持良好的合作关系。</w:t>
      </w:r>
    </w:p>
    <w:p>
      <w:pPr>
        <w:pStyle w:val="4"/>
        <w:numPr>
          <w:ilvl w:val="0"/>
          <w:numId w:val="0"/>
        </w:numPr>
        <w:spacing w:before="0" w:after="0" w:line="52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定期提供理赔统计报表</w:t>
      </w:r>
    </w:p>
    <w:p>
      <w:pPr>
        <w:spacing w:line="52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保险公司专项服务小组于每月、每季度、每年度结束后</w:t>
      </w:r>
      <w:r>
        <w:rPr>
          <w:rFonts w:hint="eastAsia" w:ascii="宋体" w:hAnsi="宋体" w:eastAsia="宋体" w:cs="宋体"/>
          <w:color w:val="000000"/>
          <w:sz w:val="28"/>
          <w:szCs w:val="28"/>
          <w:lang w:val="en-US" w:eastAsia="zh-CN"/>
        </w:rPr>
        <w:t>准格尔旗</w:t>
      </w:r>
      <w:r>
        <w:rPr>
          <w:rFonts w:hint="eastAsia" w:ascii="宋体" w:hAnsi="宋体" w:eastAsia="宋体" w:cs="宋体"/>
          <w:bCs/>
          <w:color w:val="000000"/>
          <w:sz w:val="28"/>
          <w:szCs w:val="28"/>
        </w:rPr>
        <w:t>医疗保险资金管理局</w:t>
      </w:r>
      <w:r>
        <w:rPr>
          <w:rFonts w:hint="eastAsia" w:ascii="宋体" w:hAnsi="宋体" w:eastAsia="宋体" w:cs="宋体"/>
          <w:color w:val="000000"/>
          <w:sz w:val="28"/>
          <w:szCs w:val="28"/>
        </w:rPr>
        <w:t>提供理赔统计报表，报表应包括保险事故发生的时间、地点、事故发生原因、赔付项目和赔款等与赔案处理有关的信息。</w:t>
      </w:r>
    </w:p>
    <w:p>
      <w:pPr>
        <w:pStyle w:val="4"/>
        <w:numPr>
          <w:ilvl w:val="0"/>
          <w:numId w:val="0"/>
        </w:numPr>
        <w:spacing w:before="0" w:after="0" w:line="520" w:lineRule="exact"/>
        <w:ind w:leftChars="0"/>
        <w:rPr>
          <w:rFonts w:hint="eastAsia" w:ascii="宋体" w:hAnsi="宋体" w:eastAsia="宋体" w:cs="宋体"/>
          <w:color w:val="000000"/>
          <w:sz w:val="28"/>
          <w:szCs w:val="28"/>
        </w:rPr>
      </w:pPr>
      <w:bookmarkStart w:id="36" w:name="_Toc335984360"/>
      <w:r>
        <w:rPr>
          <w:rFonts w:hint="eastAsia" w:ascii="宋体" w:hAnsi="宋体" w:cs="宋体"/>
          <w:color w:val="000000"/>
          <w:sz w:val="28"/>
          <w:szCs w:val="28"/>
          <w:lang w:val="en-US" w:eastAsia="zh-CN"/>
        </w:rPr>
        <w:t>3.</w:t>
      </w:r>
      <w:r>
        <w:rPr>
          <w:rFonts w:hint="eastAsia" w:ascii="宋体" w:hAnsi="宋体" w:eastAsia="宋体" w:cs="宋体"/>
          <w:color w:val="000000"/>
          <w:sz w:val="28"/>
          <w:szCs w:val="28"/>
        </w:rPr>
        <w:t>建立投诉制度</w:t>
      </w:r>
      <w:bookmarkEnd w:id="36"/>
    </w:p>
    <w:p>
      <w:pPr>
        <w:pStyle w:val="4"/>
        <w:numPr>
          <w:ilvl w:val="0"/>
          <w:numId w:val="0"/>
        </w:numPr>
        <w:spacing w:before="0" w:after="0" w:line="520" w:lineRule="exact"/>
        <w:ind w:leftChars="0"/>
        <w:rPr>
          <w:rFonts w:hint="eastAsia" w:ascii="宋体" w:hAnsi="宋体" w:eastAsia="宋体" w:cs="宋体"/>
          <w:color w:val="000000"/>
          <w:sz w:val="28"/>
          <w:szCs w:val="28"/>
        </w:rPr>
      </w:pP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投诉处理</w:t>
      </w:r>
    </w:p>
    <w:p>
      <w:pPr>
        <w:tabs>
          <w:tab w:val="left" w:pos="993"/>
        </w:tabs>
        <w:spacing w:line="520" w:lineRule="exact"/>
        <w:ind w:firstLine="544" w:firstLineChars="200"/>
        <w:rPr>
          <w:rFonts w:hint="eastAsia" w:ascii="宋体" w:hAnsi="宋体" w:eastAsia="宋体" w:cs="宋体"/>
          <w:color w:val="000000"/>
          <w:spacing w:val="-4"/>
          <w:sz w:val="28"/>
          <w:szCs w:val="28"/>
        </w:rPr>
      </w:pPr>
      <w:r>
        <w:rPr>
          <w:rFonts w:hint="eastAsia" w:ascii="宋体" w:hAnsi="宋体" w:eastAsia="宋体" w:cs="宋体"/>
          <w:color w:val="000000"/>
          <w:spacing w:val="-4"/>
          <w:sz w:val="28"/>
          <w:szCs w:val="28"/>
        </w:rPr>
        <w:t>如保险公司未有效履行约定的各项规定而受到被保险人投诉，</w:t>
      </w:r>
      <w:r>
        <w:rPr>
          <w:rFonts w:hint="eastAsia" w:ascii="宋体" w:hAnsi="宋体" w:eastAsia="宋体" w:cs="宋体"/>
          <w:bCs/>
          <w:color w:val="000000"/>
          <w:spacing w:val="-4"/>
          <w:sz w:val="28"/>
          <w:szCs w:val="28"/>
          <w:lang w:val="en-US" w:eastAsia="zh-CN"/>
        </w:rPr>
        <w:t>准格尔旗</w:t>
      </w:r>
      <w:r>
        <w:rPr>
          <w:rFonts w:hint="eastAsia" w:ascii="宋体" w:hAnsi="宋体" w:eastAsia="宋体" w:cs="宋体"/>
          <w:bCs/>
          <w:color w:val="000000"/>
          <w:sz w:val="28"/>
          <w:szCs w:val="28"/>
        </w:rPr>
        <w:t>医疗保险资金管理局</w:t>
      </w:r>
      <w:r>
        <w:rPr>
          <w:rFonts w:hint="eastAsia" w:ascii="宋体" w:hAnsi="宋体" w:eastAsia="宋体" w:cs="宋体"/>
          <w:color w:val="000000"/>
          <w:spacing w:val="-4"/>
          <w:sz w:val="28"/>
          <w:szCs w:val="28"/>
        </w:rPr>
        <w:t>促办无效的，由被保险人、</w:t>
      </w:r>
      <w:r>
        <w:rPr>
          <w:rFonts w:hint="eastAsia" w:ascii="宋体" w:hAnsi="宋体" w:eastAsia="宋体" w:cs="宋体"/>
          <w:bCs/>
          <w:color w:val="000000"/>
          <w:spacing w:val="-4"/>
          <w:sz w:val="28"/>
          <w:szCs w:val="28"/>
          <w:lang w:val="en-US" w:eastAsia="zh-CN"/>
        </w:rPr>
        <w:t>准格尔旗</w:t>
      </w:r>
      <w:r>
        <w:rPr>
          <w:rFonts w:hint="eastAsia" w:ascii="宋体" w:hAnsi="宋体" w:eastAsia="宋体" w:cs="宋体"/>
          <w:bCs/>
          <w:color w:val="000000"/>
          <w:spacing w:val="-4"/>
          <w:sz w:val="28"/>
          <w:szCs w:val="28"/>
        </w:rPr>
        <w:t>医疗保险资金管理局双</w:t>
      </w:r>
      <w:r>
        <w:rPr>
          <w:rFonts w:hint="eastAsia" w:ascii="宋体" w:hAnsi="宋体" w:eastAsia="宋体" w:cs="宋体"/>
          <w:color w:val="000000"/>
          <w:spacing w:val="-4"/>
          <w:sz w:val="28"/>
          <w:szCs w:val="28"/>
        </w:rPr>
        <w:t>方共同确认后采取如下处理办法：</w:t>
      </w:r>
    </w:p>
    <w:p>
      <w:pPr>
        <w:tabs>
          <w:tab w:val="left" w:pos="1080"/>
          <w:tab w:val="left" w:pos="1561"/>
        </w:tabs>
        <w:snapToGrid w:val="0"/>
        <w:spacing w:line="520" w:lineRule="exact"/>
        <w:ind w:firstLine="544" w:firstLineChars="200"/>
        <w:jc w:val="left"/>
        <w:rPr>
          <w:rFonts w:hint="eastAsia" w:ascii="宋体" w:hAnsi="宋体" w:eastAsia="宋体" w:cs="宋体"/>
          <w:color w:val="000000"/>
          <w:spacing w:val="-4"/>
          <w:sz w:val="28"/>
          <w:szCs w:val="28"/>
        </w:rPr>
      </w:pPr>
      <w:r>
        <w:rPr>
          <w:rFonts w:hint="eastAsia" w:ascii="宋体" w:hAnsi="宋体" w:eastAsia="宋体" w:cs="宋体"/>
          <w:color w:val="000000"/>
          <w:spacing w:val="-4"/>
          <w:sz w:val="28"/>
          <w:szCs w:val="28"/>
        </w:rPr>
        <w:t>（1）第一次确定为有效投诉，警告被投诉的保险公司并责令改正；</w:t>
      </w:r>
    </w:p>
    <w:p>
      <w:pPr>
        <w:tabs>
          <w:tab w:val="left" w:pos="1080"/>
          <w:tab w:val="left" w:pos="1561"/>
        </w:tabs>
        <w:snapToGrid w:val="0"/>
        <w:spacing w:line="5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（2）第二次确定为有效投诉，通报批评被投诉的保险公司并责令改正；</w:t>
      </w:r>
    </w:p>
    <w:p>
      <w:pPr>
        <w:tabs>
          <w:tab w:val="left" w:pos="1080"/>
          <w:tab w:val="left" w:pos="1561"/>
        </w:tabs>
        <w:snapToGrid w:val="0"/>
        <w:spacing w:line="5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（3）保险公司发生超过3次（含3次）以上的有效投诉的，保险公司项目领导小组应更换该公司专项服务小组组长和组员。</w:t>
      </w:r>
    </w:p>
    <w:p>
      <w:pPr>
        <w:tabs>
          <w:tab w:val="left" w:pos="1080"/>
          <w:tab w:val="left" w:pos="1561"/>
        </w:tabs>
        <w:snapToGrid w:val="0"/>
        <w:spacing w:line="52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（4）累计出现六次及以上有效投诉的，取消保险公司参与此项目的承保资格。</w:t>
      </w:r>
    </w:p>
    <w:p>
      <w:pPr>
        <w:spacing w:line="520" w:lineRule="exact"/>
        <w:rPr>
          <w:rFonts w:hint="eastAsia" w:ascii="宋体" w:hAnsi="宋体" w:eastAsia="宋体" w:cs="宋体"/>
          <w:b/>
          <w:color w:val="000000"/>
          <w:sz w:val="28"/>
          <w:szCs w:val="28"/>
        </w:rPr>
      </w:pPr>
      <w:r>
        <w:rPr>
          <w:rFonts w:hint="eastAsia" w:ascii="宋体" w:hAnsi="宋体" w:eastAsia="宋体" w:cs="宋体"/>
          <w:b/>
          <w:color w:val="000000"/>
          <w:sz w:val="28"/>
          <w:szCs w:val="28"/>
        </w:rPr>
        <w:t>注：有效投诉定义：</w:t>
      </w:r>
    </w:p>
    <w:p>
      <w:pPr>
        <w:widowControl w:val="0"/>
        <w:tabs>
          <w:tab w:val="left" w:pos="1080"/>
          <w:tab w:val="left" w:pos="1561"/>
        </w:tabs>
        <w:wordWrap/>
        <w:adjustRightInd/>
        <w:snapToGrid w:val="0"/>
        <w:spacing w:before="0" w:after="0" w:line="360" w:lineRule="auto"/>
        <w:ind w:left="0" w:leftChars="0" w:right="0" w:firstLine="560" w:firstLineChars="200"/>
        <w:jc w:val="left"/>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（1）超过服务时效投诉：对于超过保险合同中约定的各项时限要求的，经被保险人提出证据(例如电子邮件、快递签收时间等)的，记为有效投诉；如任何一项时限拖延超过3个月的，则投诉次数作加倍处理；</w:t>
      </w:r>
    </w:p>
    <w:p>
      <w:pPr>
        <w:widowControl w:val="0"/>
        <w:tabs>
          <w:tab w:val="left" w:pos="1080"/>
          <w:tab w:val="left" w:pos="1561"/>
        </w:tabs>
        <w:wordWrap/>
        <w:adjustRightInd/>
        <w:snapToGrid w:val="0"/>
        <w:spacing w:before="0" w:after="0" w:line="360" w:lineRule="auto"/>
        <w:ind w:left="0" w:leftChars="0" w:right="0" w:firstLine="560" w:firstLineChars="200"/>
        <w:jc w:val="left"/>
        <w:textAlignment w:val="auto"/>
        <w:outlineLvl w:val="9"/>
        <w:rPr>
          <w:rFonts w:hint="eastAsia" w:ascii="宋体" w:hAnsi="宋体" w:eastAsia="宋体" w:cs="宋体"/>
          <w:color w:val="000000"/>
          <w:sz w:val="28"/>
          <w:szCs w:val="28"/>
        </w:rPr>
      </w:pPr>
      <w:r>
        <w:rPr>
          <w:rFonts w:hint="eastAsia" w:ascii="宋体" w:hAnsi="宋体" w:eastAsia="宋体" w:cs="宋体"/>
          <w:color w:val="000000"/>
          <w:sz w:val="28"/>
          <w:szCs w:val="28"/>
        </w:rPr>
        <w:t>（2）服务态度投诉：对于保险人因服务态度提起的投诉，如与事实相符，记为有效投诉。</w:t>
      </w:r>
    </w:p>
    <w:p>
      <w:pPr>
        <w:widowControl w:val="0"/>
        <w:wordWrap/>
        <w:adjustRightInd/>
        <w:spacing w:before="0" w:after="0" w:line="360" w:lineRule="auto"/>
        <w:ind w:right="0"/>
        <w:textAlignment w:val="auto"/>
        <w:outlineLvl w:val="9"/>
        <w:rPr>
          <w:rFonts w:hint="eastAsia" w:ascii="宋体" w:hAnsi="宋体" w:eastAsia="宋体" w:cs="宋体"/>
          <w:color w:val="000000"/>
          <w:spacing w:val="-12"/>
          <w:sz w:val="28"/>
          <w:szCs w:val="28"/>
        </w:rPr>
      </w:pPr>
      <w:r>
        <w:rPr>
          <w:rFonts w:hint="eastAsia" w:ascii="宋体" w:hAnsi="宋体" w:eastAsia="宋体" w:cs="宋体"/>
          <w:color w:val="000000"/>
          <w:spacing w:val="-12"/>
          <w:sz w:val="28"/>
          <w:szCs w:val="28"/>
          <w:lang w:val="en-US" w:eastAsia="zh-CN"/>
        </w:rPr>
        <w:t xml:space="preserve">     （3）</w:t>
      </w:r>
      <w:r>
        <w:rPr>
          <w:rFonts w:hint="eastAsia" w:ascii="宋体" w:hAnsi="宋体" w:eastAsia="宋体" w:cs="宋体"/>
          <w:color w:val="000000"/>
          <w:spacing w:val="-12"/>
          <w:sz w:val="28"/>
          <w:szCs w:val="28"/>
        </w:rPr>
        <w:t>项目领导小组或专项服务小组应设立专门的投诉受理热线电话。</w:t>
      </w:r>
    </w:p>
    <w:p>
      <w:pPr>
        <w:widowControl w:val="0"/>
        <w:wordWrap/>
        <w:adjustRightInd/>
        <w:snapToGrid/>
        <w:spacing w:before="0" w:after="0" w:line="360" w:lineRule="auto"/>
        <w:ind w:left="0" w:leftChars="0" w:right="0" w:firstLine="562" w:firstLineChars="200"/>
        <w:jc w:val="left"/>
        <w:textAlignment w:val="auto"/>
        <w:outlineLvl w:val="9"/>
        <w:rPr>
          <w:rFonts w:hint="eastAsia" w:ascii="宋体" w:hAnsi="宋体" w:eastAsia="宋体" w:cs="宋体"/>
          <w:b/>
          <w:bCs/>
          <w:color w:val="auto"/>
          <w:sz w:val="28"/>
          <w:szCs w:val="28"/>
          <w:lang w:eastAsia="zh-CN"/>
        </w:rPr>
      </w:pPr>
      <w:r>
        <w:rPr>
          <w:rFonts w:hint="eastAsia" w:ascii="宋体" w:hAnsi="宋体" w:cs="宋体"/>
          <w:b/>
          <w:bCs/>
          <w:color w:val="auto"/>
          <w:sz w:val="28"/>
          <w:szCs w:val="28"/>
          <w:lang w:eastAsia="zh-CN"/>
        </w:rPr>
        <w:t>保障方案：</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bCs/>
          <w:color w:val="000000"/>
          <w:sz w:val="28"/>
          <w:szCs w:val="28"/>
        </w:rPr>
        <w:t>参</w:t>
      </w:r>
      <w:r>
        <w:rPr>
          <w:rFonts w:hint="eastAsia" w:ascii="宋体" w:hAnsi="宋体" w:eastAsia="宋体" w:cs="宋体"/>
          <w:bCs/>
          <w:color w:val="000000"/>
          <w:sz w:val="28"/>
          <w:szCs w:val="28"/>
          <w:lang w:eastAsia="zh-CN"/>
        </w:rPr>
        <w:t>保</w:t>
      </w:r>
      <w:r>
        <w:rPr>
          <w:rFonts w:hint="eastAsia" w:ascii="宋体" w:hAnsi="宋体" w:eastAsia="宋体" w:cs="宋体"/>
          <w:bCs/>
          <w:color w:val="000000"/>
          <w:sz w:val="28"/>
          <w:szCs w:val="28"/>
        </w:rPr>
        <w:t>人员无责意外伤害的医疗费用在</w:t>
      </w:r>
      <w:r>
        <w:rPr>
          <w:rFonts w:hint="eastAsia" w:ascii="宋体" w:hAnsi="宋体" w:eastAsia="宋体" w:cs="宋体"/>
          <w:color w:val="000000"/>
          <w:sz w:val="28"/>
          <w:szCs w:val="28"/>
        </w:rPr>
        <w:t>符合</w:t>
      </w:r>
      <w:r>
        <w:rPr>
          <w:rFonts w:hint="eastAsia" w:ascii="宋体" w:hAnsi="宋体" w:eastAsia="宋体" w:cs="宋体"/>
          <w:color w:val="000000"/>
          <w:sz w:val="28"/>
          <w:szCs w:val="28"/>
          <w:lang w:val="en-US" w:eastAsia="zh-CN"/>
        </w:rPr>
        <w:t>当地当年</w:t>
      </w:r>
      <w:r>
        <w:rPr>
          <w:rFonts w:hint="eastAsia" w:ascii="宋体" w:hAnsi="宋体"/>
          <w:color w:val="C00000"/>
          <w:sz w:val="28"/>
          <w:szCs w:val="28"/>
          <w:lang w:val="en-US" w:eastAsia="zh-CN"/>
        </w:rPr>
        <w:t>药品目录、诊疗目录、材料目录</w:t>
      </w:r>
      <w:r>
        <w:rPr>
          <w:rFonts w:hint="eastAsia" w:ascii="宋体" w:hAnsi="宋体" w:eastAsia="宋体" w:cs="宋体"/>
          <w:color w:val="000000"/>
          <w:sz w:val="28"/>
          <w:szCs w:val="28"/>
        </w:rPr>
        <w:t>规定</w:t>
      </w:r>
      <w:r>
        <w:rPr>
          <w:rFonts w:hint="eastAsia" w:ascii="宋体" w:hAnsi="宋体" w:eastAsia="宋体" w:cs="宋体"/>
          <w:color w:val="000000"/>
          <w:sz w:val="28"/>
          <w:szCs w:val="28"/>
          <w:lang w:val="en-US" w:eastAsia="zh-CN"/>
        </w:rPr>
        <w:t>的</w:t>
      </w:r>
      <w:r>
        <w:rPr>
          <w:rFonts w:hint="eastAsia" w:ascii="宋体" w:hAnsi="宋体" w:eastAsia="宋体" w:cs="宋体"/>
          <w:color w:val="000000"/>
          <w:sz w:val="28"/>
          <w:szCs w:val="28"/>
        </w:rPr>
        <w:t>报销范围内进行赔偿合理费用</w:t>
      </w:r>
      <w:r>
        <w:rPr>
          <w:rFonts w:hint="eastAsia" w:ascii="宋体" w:hAnsi="宋体" w:eastAsia="宋体" w:cs="宋体"/>
          <w:color w:val="000000"/>
          <w:sz w:val="28"/>
          <w:szCs w:val="28"/>
          <w:lang w:eastAsia="zh-CN"/>
        </w:rPr>
        <w:t>。</w:t>
      </w:r>
      <w:r>
        <w:rPr>
          <w:rFonts w:hint="eastAsia" w:ascii="宋体" w:hAnsi="宋体" w:eastAsia="宋体" w:cs="宋体"/>
          <w:bCs/>
          <w:color w:val="000000"/>
          <w:sz w:val="28"/>
          <w:szCs w:val="28"/>
          <w:lang w:eastAsia="zh-CN"/>
        </w:rPr>
        <w:t>学生、儿童不设起付线，</w:t>
      </w:r>
      <w:r>
        <w:rPr>
          <w:rFonts w:hint="eastAsia" w:ascii="宋体" w:hAnsi="宋体" w:eastAsia="宋体" w:cs="宋体"/>
          <w:bCs/>
          <w:color w:val="000000"/>
          <w:sz w:val="28"/>
          <w:szCs w:val="28"/>
          <w:lang w:val="en-US" w:eastAsia="zh-CN"/>
        </w:rPr>
        <w:t>门诊、住院</w:t>
      </w:r>
      <w:r>
        <w:rPr>
          <w:rFonts w:hint="eastAsia" w:ascii="宋体" w:hAnsi="宋体" w:eastAsia="宋体" w:cs="宋体"/>
          <w:bCs/>
          <w:color w:val="000000"/>
          <w:sz w:val="28"/>
          <w:szCs w:val="28"/>
        </w:rPr>
        <w:t>医疗费用赔偿比例为</w:t>
      </w:r>
      <w:r>
        <w:rPr>
          <w:rFonts w:hint="eastAsia" w:ascii="宋体" w:hAnsi="宋体" w:eastAsia="宋体" w:cs="宋体"/>
          <w:bCs/>
          <w:color w:val="000000"/>
          <w:sz w:val="28"/>
          <w:szCs w:val="28"/>
          <w:lang w:val="en-US" w:eastAsia="zh-CN"/>
        </w:rPr>
        <w:t>80</w:t>
      </w:r>
      <w:r>
        <w:rPr>
          <w:rFonts w:hint="eastAsia" w:ascii="宋体" w:hAnsi="宋体" w:eastAsia="宋体" w:cs="宋体"/>
          <w:bCs/>
          <w:color w:val="000000"/>
          <w:sz w:val="28"/>
          <w:szCs w:val="28"/>
        </w:rPr>
        <w:t>%</w:t>
      </w:r>
      <w:r>
        <w:rPr>
          <w:rFonts w:hint="eastAsia" w:ascii="宋体" w:hAnsi="宋体" w:eastAsia="宋体" w:cs="宋体"/>
          <w:bCs/>
          <w:color w:val="000000"/>
          <w:sz w:val="28"/>
          <w:szCs w:val="28"/>
          <w:lang w:eastAsia="zh-CN"/>
        </w:rPr>
        <w:t>，成年居民的起付线和支付比例为：市内苏木乡镇卫生院、社区卫生服务中心为</w:t>
      </w:r>
      <w:r>
        <w:rPr>
          <w:rFonts w:hint="eastAsia" w:ascii="宋体" w:hAnsi="宋体" w:eastAsia="宋体" w:cs="宋体"/>
          <w:bCs/>
          <w:color w:val="000000"/>
          <w:sz w:val="28"/>
          <w:szCs w:val="28"/>
          <w:lang w:val="en-US" w:eastAsia="zh-CN"/>
        </w:rPr>
        <w:t>200元和90%；市内二级以下医院（含二级）为400元和80%；市内三级医院为600元和70%；市外医院800元和68%，同一年度内多次住院的，起付线依次降低200元，但最低不得低于200元，封顶线为23万元。发生无责意外伤害首诊治疗及由意外伤害造成的保险期后半年内的后续治疗费用由保险公司负担。参保人员如在保险有效期内未结束治疗，跨年度住院的参保人员，由承保单位按照上述标准赔付。出现无责意外伤害事故且经过医疗机构诊治死亡的学生、儿童，保险公司给与学生、儿童15000元身故责任赔偿金。</w:t>
      </w:r>
    </w:p>
    <w:p>
      <w:pPr>
        <w:spacing w:line="360" w:lineRule="auto"/>
        <w:rPr>
          <w:rFonts w:hint="eastAsia" w:ascii="宋体" w:hAnsi="宋体" w:eastAsia="宋体" w:cs="宋体"/>
          <w:color w:val="000000"/>
          <w:sz w:val="28"/>
          <w:szCs w:val="28"/>
        </w:rPr>
      </w:pPr>
      <w:r>
        <w:rPr>
          <w:rFonts w:hint="eastAsia" w:ascii="宋体" w:hAnsi="宋体" w:eastAsia="宋体" w:cs="宋体"/>
          <w:bCs/>
          <w:color w:val="000000"/>
          <w:sz w:val="28"/>
          <w:szCs w:val="28"/>
          <w:lang w:val="en-US" w:eastAsia="zh-CN"/>
        </w:rPr>
        <w:t xml:space="preserve">    </w:t>
      </w:r>
      <w:r>
        <w:rPr>
          <w:rFonts w:hint="eastAsia" w:ascii="宋体" w:hAnsi="宋体" w:eastAsia="宋体" w:cs="宋体"/>
          <w:bCs/>
          <w:color w:val="000000"/>
          <w:sz w:val="28"/>
          <w:szCs w:val="28"/>
        </w:rPr>
        <w:t>发生群体性事故（一次性事故死亡3人及以上）每次事故死亡赔偿限额30万元，全年累计死亡赔偿限额60万元</w:t>
      </w:r>
      <w:r>
        <w:rPr>
          <w:rFonts w:hint="eastAsia" w:ascii="宋体" w:hAnsi="宋体" w:eastAsia="宋体" w:cs="宋体"/>
          <w:bCs/>
          <w:color w:val="000000"/>
          <w:sz w:val="28"/>
          <w:szCs w:val="28"/>
          <w:lang w:eastAsia="zh-CN"/>
        </w:rPr>
        <w:t>。</w:t>
      </w:r>
    </w:p>
    <w:p>
      <w:pPr>
        <w:pStyle w:val="15"/>
        <w:adjustRightInd w:val="0"/>
        <w:snapToGrid w:val="0"/>
        <w:spacing w:line="360" w:lineRule="auto"/>
        <w:ind w:firstLine="560" w:firstLineChars="200"/>
        <w:rPr>
          <w:rFonts w:hint="eastAsia" w:hAnsi="宋体" w:cs="Times New Roman"/>
          <w:kern w:val="2"/>
          <w:sz w:val="28"/>
          <w:szCs w:val="28"/>
          <w:lang w:val="en-US" w:eastAsia="zh-CN" w:bidi="ar-SA"/>
        </w:rPr>
      </w:pPr>
      <w:r>
        <w:rPr>
          <w:rFonts w:hint="eastAsia" w:hAnsi="宋体" w:cs="Times New Roman"/>
          <w:kern w:val="2"/>
          <w:sz w:val="28"/>
          <w:szCs w:val="28"/>
          <w:lang w:val="en-US" w:eastAsia="zh-CN" w:bidi="ar-SA"/>
        </w:rPr>
        <w:t>响应此条件得15分，不响应此条件不得分。</w:t>
      </w:r>
    </w:p>
    <w:p>
      <w:pPr>
        <w:spacing w:line="360" w:lineRule="auto"/>
        <w:rPr>
          <w:rFonts w:ascii="宋体" w:hAnsi="宋体"/>
          <w:color w:val="auto"/>
          <w:sz w:val="28"/>
          <w:szCs w:val="28"/>
        </w:rPr>
        <w:sectPr>
          <w:footerReference r:id="rId4" w:type="first"/>
          <w:footerReference r:id="rId3" w:type="default"/>
          <w:pgSz w:w="11906" w:h="16838"/>
          <w:pgMar w:top="1021" w:right="1418" w:bottom="964" w:left="1418" w:header="851" w:footer="992" w:gutter="0"/>
          <w:pgBorders>
            <w:top w:val="none" w:sz="0" w:space="0"/>
            <w:left w:val="none" w:sz="0" w:space="0"/>
            <w:bottom w:val="none" w:sz="0" w:space="0"/>
            <w:right w:val="none" w:sz="0" w:space="0"/>
          </w:pgBorders>
          <w:pgNumType w:fmt="decimal" w:start="1"/>
          <w:cols w:space="720" w:num="1"/>
          <w:titlePg/>
          <w:docGrid w:linePitch="312" w:charSpace="0"/>
        </w:sectPr>
      </w:pPr>
    </w:p>
    <w:p>
      <w:pPr>
        <w:keepNext w:val="0"/>
        <w:keepLines w:val="0"/>
        <w:pageBreakBefore w:val="0"/>
        <w:widowControl w:val="0"/>
        <w:kinsoku/>
        <w:wordWrap/>
        <w:overflowPunct/>
        <w:topLinePunct w:val="0"/>
        <w:autoSpaceDE/>
        <w:autoSpaceDN/>
        <w:bidi w:val="0"/>
        <w:adjustRightInd/>
        <w:spacing w:before="0" w:beforeLines="0" w:after="0" w:afterLines="0" w:line="360" w:lineRule="auto"/>
        <w:ind w:right="0" w:rightChars="0"/>
        <w:textAlignment w:val="auto"/>
        <w:outlineLvl w:val="9"/>
        <w:rPr>
          <w:rFonts w:hint="eastAsia" w:ascii="宋体" w:hAnsi="宋体" w:eastAsia="宋体" w:cs="宋体"/>
          <w:color w:val="000000"/>
          <w:spacing w:val="-12"/>
          <w:sz w:val="28"/>
          <w:szCs w:val="28"/>
        </w:rPr>
      </w:pPr>
    </w:p>
    <w:p>
      <w:pPr>
        <w:numPr>
          <w:ilvl w:val="0"/>
          <w:numId w:val="0"/>
        </w:numPr>
        <w:spacing w:line="360" w:lineRule="auto"/>
        <w:jc w:val="left"/>
        <w:rPr>
          <w:rFonts w:hint="eastAsia" w:hAnsi="宋体"/>
          <w:b/>
          <w:sz w:val="24"/>
          <w:szCs w:val="24"/>
        </w:rPr>
      </w:pPr>
    </w:p>
    <w:p>
      <w:pPr>
        <w:spacing w:line="360" w:lineRule="auto"/>
        <w:jc w:val="left"/>
        <w:rPr>
          <w:rFonts w:ascii="宋体" w:hAnsi="宋体"/>
          <w:b/>
          <w:sz w:val="24"/>
          <w:szCs w:val="24"/>
        </w:rPr>
      </w:pPr>
      <w:r>
        <w:rPr>
          <w:rFonts w:hint="eastAsia" w:ascii="宋体" w:hAnsi="宋体"/>
          <w:b/>
          <w:sz w:val="24"/>
          <w:szCs w:val="24"/>
        </w:rPr>
        <w:t>1.项目概况：</w:t>
      </w:r>
    </w:p>
    <w:tbl>
      <w:tblPr>
        <w:tblStyle w:val="33"/>
        <w:tblW w:w="9628" w:type="dxa"/>
        <w:tblInd w:w="0" w:type="dxa"/>
        <w:tblLayout w:type="fixed"/>
        <w:tblCellMar>
          <w:top w:w="0" w:type="dxa"/>
          <w:left w:w="108" w:type="dxa"/>
          <w:bottom w:w="0" w:type="dxa"/>
          <w:right w:w="108" w:type="dxa"/>
        </w:tblCellMar>
      </w:tblPr>
      <w:tblGrid>
        <w:gridCol w:w="816"/>
        <w:gridCol w:w="1560"/>
        <w:gridCol w:w="2126"/>
        <w:gridCol w:w="3143"/>
        <w:gridCol w:w="961"/>
        <w:gridCol w:w="1022"/>
      </w:tblGrid>
      <w:tr>
        <w:tblPrEx>
          <w:tblLayout w:type="fixed"/>
          <w:tblCellMar>
            <w:top w:w="0" w:type="dxa"/>
            <w:left w:w="108" w:type="dxa"/>
            <w:bottom w:w="0" w:type="dxa"/>
            <w:right w:w="108" w:type="dxa"/>
          </w:tblCellMar>
        </w:tblPrEx>
        <w:trPr>
          <w:trHeight w:val="755" w:hRule="atLeast"/>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sz w:val="24"/>
                <w:szCs w:val="24"/>
                <w:lang w:val="en-US" w:eastAsia="zh-CN"/>
              </w:rPr>
              <w:t xml:space="preserve"> </w:t>
            </w:r>
            <w:r>
              <w:rPr>
                <w:rFonts w:hint="eastAsia" w:ascii="宋体" w:hAnsi="宋体"/>
                <w:kern w:val="0"/>
                <w:sz w:val="24"/>
                <w:szCs w:val="24"/>
              </w:rPr>
              <w:t>服务性质</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12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31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96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429" w:hRule="atLeast"/>
        </w:trPr>
        <w:tc>
          <w:tcPr>
            <w:tcW w:w="81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1560"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12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961" w:type="dxa"/>
            <w:tcBorders>
              <w:top w:val="nil"/>
              <w:left w:val="single" w:color="auto" w:sz="4" w:space="0"/>
              <w:bottom w:val="single" w:color="auto" w:sz="4" w:space="0"/>
            </w:tcBorders>
            <w:vAlign w:val="center"/>
          </w:tcPr>
          <w:p>
            <w:pPr>
              <w:widowControl/>
              <w:spacing w:line="360" w:lineRule="auto"/>
              <w:jc w:val="center"/>
              <w:rPr>
                <w:rFonts w:ascii="宋体" w:hAnsi="宋体" w:cs="宋体"/>
                <w:kern w:val="0"/>
                <w:sz w:val="24"/>
                <w:szCs w:val="24"/>
              </w:rPr>
            </w:pPr>
          </w:p>
        </w:tc>
        <w:tc>
          <w:tcPr>
            <w:tcW w:w="102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79" w:hRule="atLeast"/>
        </w:trPr>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3143"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详见附表2</w:t>
            </w:r>
          </w:p>
        </w:tc>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p>
        </w:tc>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2" w:firstLineChars="201"/>
              <w:jc w:val="center"/>
              <w:rPr>
                <w:rFonts w:ascii="宋体" w:hAnsi="宋体"/>
                <w:kern w:val="0"/>
                <w:sz w:val="24"/>
                <w:szCs w:val="24"/>
              </w:rPr>
            </w:pPr>
          </w:p>
        </w:tc>
      </w:tr>
      <w:tr>
        <w:tblPrEx>
          <w:tblLayout w:type="fixed"/>
          <w:tblCellMar>
            <w:top w:w="0" w:type="dxa"/>
            <w:left w:w="108" w:type="dxa"/>
            <w:bottom w:w="0" w:type="dxa"/>
            <w:right w:w="108" w:type="dxa"/>
          </w:tblCellMar>
        </w:tblPrEx>
        <w:trPr>
          <w:trHeight w:val="358" w:hRule="atLeast"/>
        </w:trPr>
        <w:tc>
          <w:tcPr>
            <w:tcW w:w="9628"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注：“参数性质”标“</w:t>
            </w:r>
            <w:r>
              <w:rPr>
                <w:rFonts w:hint="eastAsia" w:ascii="宋体" w:hAnsi="宋体"/>
                <w:kern w:val="0"/>
                <w:sz w:val="24"/>
                <w:szCs w:val="24"/>
              </w:rPr>
              <w:t>△</w:t>
            </w:r>
            <w:r>
              <w:rPr>
                <w:rFonts w:hint="eastAsia" w:ascii="宋体" w:hAnsi="宋体" w:cs="宋体"/>
                <w:kern w:val="0"/>
                <w:sz w:val="24"/>
                <w:szCs w:val="24"/>
              </w:rPr>
              <w:t>”表示此设备为本次服务的核心内容。</w:t>
            </w:r>
          </w:p>
        </w:tc>
      </w:tr>
    </w:tbl>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33"/>
        <w:tblW w:w="9628" w:type="dxa"/>
        <w:tblInd w:w="0" w:type="dxa"/>
        <w:tblLayout w:type="fixed"/>
        <w:tblCellMar>
          <w:top w:w="0" w:type="dxa"/>
          <w:left w:w="108" w:type="dxa"/>
          <w:bottom w:w="0" w:type="dxa"/>
          <w:right w:w="108" w:type="dxa"/>
        </w:tblCellMar>
      </w:tblPr>
      <w:tblGrid>
        <w:gridCol w:w="1228"/>
        <w:gridCol w:w="1148"/>
        <w:gridCol w:w="3543"/>
        <w:gridCol w:w="3709"/>
      </w:tblGrid>
      <w:tr>
        <w:tblPrEx>
          <w:tblLayout w:type="fixed"/>
          <w:tblCellMar>
            <w:top w:w="0" w:type="dxa"/>
            <w:left w:w="108" w:type="dxa"/>
            <w:bottom w:w="0" w:type="dxa"/>
            <w:right w:w="108" w:type="dxa"/>
          </w:tblCellMar>
        </w:tblPrEx>
        <w:trPr>
          <w:trHeight w:val="640"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33"/>
        <w:tblW w:w="9628" w:type="dxa"/>
        <w:tblInd w:w="0" w:type="dxa"/>
        <w:tblLayout w:type="fixed"/>
        <w:tblCellMar>
          <w:top w:w="0" w:type="dxa"/>
          <w:left w:w="108" w:type="dxa"/>
          <w:bottom w:w="0" w:type="dxa"/>
          <w:right w:w="108" w:type="dxa"/>
        </w:tblCellMar>
      </w:tblPr>
      <w:tblGrid>
        <w:gridCol w:w="1228"/>
        <w:gridCol w:w="1148"/>
        <w:gridCol w:w="3543"/>
        <w:gridCol w:w="3709"/>
      </w:tblGrid>
      <w:tr>
        <w:tblPrEx>
          <w:tblLayout w:type="fixed"/>
          <w:tblCellMar>
            <w:top w:w="0" w:type="dxa"/>
            <w:left w:w="108" w:type="dxa"/>
            <w:bottom w:w="0" w:type="dxa"/>
            <w:right w:w="108" w:type="dxa"/>
          </w:tblCellMar>
        </w:tblPrEx>
        <w:trPr>
          <w:trHeight w:val="737"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w:t>
            </w:r>
          </w:p>
        </w:tc>
      </w:tr>
      <w:tr>
        <w:tblPrEx>
          <w:tblLayout w:type="fixed"/>
          <w:tblCellMar>
            <w:top w:w="0" w:type="dxa"/>
            <w:left w:w="108" w:type="dxa"/>
            <w:bottom w:w="0" w:type="dxa"/>
            <w:right w:w="108" w:type="dxa"/>
          </w:tblCellMar>
        </w:tblPrEx>
        <w:trPr>
          <w:trHeight w:val="39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349" w:hRule="atLeast"/>
        </w:trPr>
        <w:tc>
          <w:tcPr>
            <w:tcW w:w="122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 w:val="24"/>
                <w:szCs w:val="24"/>
                <w:lang w:bidi="lo-LA"/>
              </w:rPr>
            </w:pPr>
          </w:p>
        </w:tc>
        <w:tc>
          <w:tcPr>
            <w:tcW w:w="114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3543"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c>
          <w:tcPr>
            <w:tcW w:w="3709"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p>
        </w:tc>
      </w:tr>
      <w:tr>
        <w:tblPrEx>
          <w:tblLayout w:type="fixed"/>
          <w:tblCellMar>
            <w:top w:w="0" w:type="dxa"/>
            <w:left w:w="108" w:type="dxa"/>
            <w:bottom w:w="0" w:type="dxa"/>
            <w:right w:w="108" w:type="dxa"/>
          </w:tblCellMar>
        </w:tblPrEx>
        <w:trPr>
          <w:trHeight w:val="508" w:hRule="atLeast"/>
        </w:trPr>
        <w:tc>
          <w:tcPr>
            <w:tcW w:w="96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注：1.“参数性质”标“*”表示此要求为主要服务指标。</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2.投标人应当按照“其他要求”的内容提供截图或演示。</w:t>
            </w:r>
          </w:p>
        </w:tc>
      </w:tr>
    </w:tbl>
    <w:p>
      <w:pPr>
        <w:spacing w:line="360" w:lineRule="auto"/>
        <w:ind w:right="57"/>
        <w:rPr>
          <w:rFonts w:ascii="宋体" w:hAnsi="宋体"/>
          <w:sz w:val="24"/>
          <w:szCs w:val="24"/>
        </w:rPr>
      </w:pPr>
      <w:r>
        <w:rPr>
          <w:rFonts w:ascii="宋体" w:hAnsi="宋体"/>
          <w:sz w:val="24"/>
          <w:szCs w:val="24"/>
        </w:rPr>
        <w:br w:type="page"/>
      </w:r>
    </w:p>
    <w:p>
      <w:pPr>
        <w:jc w:val="center"/>
        <w:outlineLvl w:val="0"/>
        <w:rPr>
          <w:rFonts w:ascii="宋体" w:hAnsi="宋体"/>
          <w:b/>
          <w:bCs/>
          <w:kern w:val="44"/>
          <w:sz w:val="24"/>
          <w:szCs w:val="24"/>
          <w:lang w:val="zh-CN"/>
        </w:rPr>
      </w:pPr>
      <w:bookmarkStart w:id="37" w:name="_Toc497408627"/>
      <w:r>
        <w:rPr>
          <w:rFonts w:hint="eastAsia" w:ascii="宋体" w:hAnsi="宋体"/>
          <w:b/>
          <w:bCs/>
          <w:kern w:val="44"/>
          <w:sz w:val="24"/>
          <w:szCs w:val="24"/>
          <w:lang w:val="zh-CN"/>
        </w:rPr>
        <w:t>第五章 投标人资格证明及相关文件要求</w:t>
      </w:r>
      <w:bookmarkEnd w:id="37"/>
    </w:p>
    <w:p>
      <w:pPr>
        <w:spacing w:line="360" w:lineRule="auto"/>
        <w:jc w:val="center"/>
        <w:rPr>
          <w:rFonts w:ascii="宋体" w:hAnsi="宋体"/>
          <w:b/>
          <w:bCs/>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投标人应提交证明其有资格参加投标和中标后有能力履行合同的文件，并作为其投标文件的一部分，所有文件</w:t>
      </w:r>
      <w:r>
        <w:rPr>
          <w:rFonts w:hint="eastAsia" w:ascii="宋体" w:hAnsi="宋体" w:cs="宋体"/>
          <w:sz w:val="24"/>
          <w:szCs w:val="24"/>
        </w:rPr>
        <w:t>必须真实可靠、不得伪造，否则将按相关规定予以处罚。资质证明文件及其它文件</w:t>
      </w:r>
      <w:r>
        <w:rPr>
          <w:rFonts w:hint="eastAsia" w:ascii="宋体" w:hAnsi="宋体" w:cs="宋体"/>
          <w:kern w:val="0"/>
          <w:sz w:val="24"/>
          <w:szCs w:val="24"/>
        </w:rPr>
        <w:t>应包括：</w:t>
      </w:r>
    </w:p>
    <w:p>
      <w:pPr>
        <w:spacing w:line="360" w:lineRule="auto"/>
        <w:rPr>
          <w:rFonts w:ascii="宋体" w:hAnsi="宋体" w:cs="宋体"/>
          <w:sz w:val="24"/>
          <w:szCs w:val="24"/>
        </w:rPr>
      </w:pPr>
      <w:r>
        <w:rPr>
          <w:rFonts w:hint="eastAsia" w:ascii="宋体" w:hAnsi="宋体" w:cs="宋体"/>
          <w:b/>
          <w:sz w:val="24"/>
          <w:szCs w:val="24"/>
        </w:rPr>
        <w:t>一.投标人的资格性证明文件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法人营业执照副本（三证合一）；</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．财务状况报告，应附经会计师事务所出具的财务审计报告或其基本开户银行出具的资信证明；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．投标人依法缴纳税收证明（以税务机关提供的纳税凭据或银行入账单为准）；</w:t>
      </w:r>
      <w:r>
        <w:rPr>
          <w:rFonts w:hint="eastAsia" w:ascii="宋体" w:hAnsi="宋体" w:cs="宋体"/>
          <w:sz w:val="24"/>
          <w:szCs w:val="24"/>
          <w:lang w:eastAsia="zh-CN"/>
        </w:rPr>
        <w:t>原件</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．投标人为企业员工缴纳社保资金的凭据（以社保机构出具的专用收据或社会保险缴纳清单为准）；</w:t>
      </w:r>
      <w:r>
        <w:rPr>
          <w:rFonts w:hint="eastAsia" w:ascii="宋体" w:hAnsi="宋体" w:cs="宋体"/>
          <w:sz w:val="24"/>
          <w:szCs w:val="24"/>
          <w:lang w:eastAsia="zh-CN"/>
        </w:rPr>
        <w:t>原件</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．投标人参加政府采购前</w:t>
      </w:r>
      <w:r>
        <w:rPr>
          <w:rFonts w:hint="eastAsia" w:ascii="宋体" w:hAnsi="宋体" w:cs="宋体"/>
          <w:kern w:val="0"/>
          <w:sz w:val="24"/>
          <w:szCs w:val="24"/>
        </w:rPr>
        <w:t>三年内在经营活动中没有重大违法记录书面声明；</w:t>
      </w:r>
    </w:p>
    <w:p>
      <w:pPr>
        <w:spacing w:line="360" w:lineRule="auto"/>
        <w:ind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投标人</w:t>
      </w:r>
      <w:r>
        <w:rPr>
          <w:rFonts w:hint="eastAsia" w:ascii="宋体" w:hAnsi="宋体"/>
          <w:sz w:val="24"/>
          <w:szCs w:val="24"/>
        </w:rPr>
        <w:t>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8. 招标文件对投标人的其他资格要求。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以上文件除要求提供“原件”以外，均应在投标文件中提供复印件并加盖投标人公章，未提供或提供的文件过期、失效的，均为无效投标。</w:t>
      </w:r>
    </w:p>
    <w:p>
      <w:pPr>
        <w:spacing w:line="360" w:lineRule="auto"/>
        <w:rPr>
          <w:rFonts w:ascii="宋体" w:hAnsi="宋体"/>
          <w:sz w:val="24"/>
          <w:szCs w:val="24"/>
        </w:rPr>
      </w:pPr>
      <w:r>
        <w:rPr>
          <w:rFonts w:hint="eastAsia" w:ascii="宋体" w:hAnsi="宋体"/>
          <w:sz w:val="24"/>
          <w:szCs w:val="24"/>
        </w:rPr>
        <w:t>二.</w:t>
      </w:r>
      <w:r>
        <w:rPr>
          <w:rFonts w:hint="eastAsia" w:ascii="宋体" w:hAnsi="宋体"/>
          <w:b/>
          <w:sz w:val="24"/>
          <w:szCs w:val="24"/>
        </w:rPr>
        <w:t>投标人应提供的其它材料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能够真实反映投标人业绩的有效证明材料，如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投标人的质量管理体系认证证书、环境认证证书等；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3. </w:t>
      </w:r>
      <w:r>
        <w:rPr>
          <w:rFonts w:ascii="宋体" w:hAnsi="宋体"/>
          <w:kern w:val="0"/>
          <w:sz w:val="24"/>
          <w:szCs w:val="24"/>
        </w:rPr>
        <w:t>投标人认为需要提供的证明文件及资料。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在投标文件中</w:t>
      </w:r>
      <w:r>
        <w:rPr>
          <w:rFonts w:ascii="宋体" w:hAnsi="宋体"/>
          <w:sz w:val="24"/>
          <w:szCs w:val="24"/>
        </w:rPr>
        <w:t>提供复印件并加盖投标人公章</w:t>
      </w:r>
      <w:r>
        <w:rPr>
          <w:rFonts w:hint="eastAsia" w:ascii="宋体" w:hAnsi="宋体"/>
          <w:sz w:val="24"/>
          <w:szCs w:val="24"/>
        </w:rPr>
        <w:t>；</w:t>
      </w:r>
      <w:r>
        <w:rPr>
          <w:rFonts w:ascii="宋体" w:hAnsi="宋体"/>
          <w:sz w:val="24"/>
          <w:szCs w:val="24"/>
        </w:rPr>
        <w:t>除在本招标文件中明确规定不提供为无效投标外，其余均供评委在评审时参考</w:t>
      </w:r>
      <w:r>
        <w:rPr>
          <w:rFonts w:hint="eastAsia" w:ascii="宋体" w:hAnsi="宋体"/>
          <w:sz w:val="24"/>
          <w:szCs w:val="24"/>
        </w:rPr>
        <w:t>。</w:t>
      </w:r>
    </w:p>
    <w:p>
      <w:pPr>
        <w:outlineLvl w:val="0"/>
        <w:rPr>
          <w:rFonts w:ascii="宋体" w:hAnsi="宋体"/>
          <w:sz w:val="24"/>
          <w:szCs w:val="24"/>
        </w:rPr>
      </w:pPr>
      <w:r>
        <w:rPr>
          <w:rFonts w:ascii="宋体" w:hAnsi="宋体"/>
          <w:sz w:val="24"/>
          <w:szCs w:val="24"/>
        </w:rPr>
        <w:br w:type="page"/>
      </w:r>
    </w:p>
    <w:p>
      <w:pPr>
        <w:spacing w:line="360" w:lineRule="auto"/>
        <w:jc w:val="center"/>
        <w:outlineLvl w:val="0"/>
        <w:rPr>
          <w:rFonts w:ascii="宋体" w:hAnsi="宋体"/>
          <w:b/>
          <w:bCs/>
          <w:kern w:val="44"/>
          <w:sz w:val="24"/>
          <w:szCs w:val="24"/>
          <w:lang w:val="zh-CN"/>
        </w:rPr>
      </w:pPr>
      <w:bookmarkStart w:id="38" w:name="_Toc497408628"/>
      <w:r>
        <w:rPr>
          <w:rFonts w:hint="eastAsia" w:ascii="宋体" w:hAnsi="宋体"/>
          <w:b/>
          <w:bCs/>
          <w:kern w:val="44"/>
          <w:sz w:val="24"/>
          <w:szCs w:val="24"/>
          <w:lang w:val="zh-CN"/>
        </w:rPr>
        <w:t>第六章 评标办法（综合评分法）</w:t>
      </w:r>
      <w:bookmarkEnd w:id="38"/>
    </w:p>
    <w:p>
      <w:pPr>
        <w:spacing w:line="360" w:lineRule="auto"/>
        <w:jc w:val="center"/>
        <w:rPr>
          <w:rFonts w:ascii="宋体" w:hAnsi="宋体"/>
          <w:b/>
          <w:bCs/>
          <w:kern w:val="44"/>
          <w:sz w:val="24"/>
          <w:szCs w:val="24"/>
          <w:lang w:val="zh-CN"/>
        </w:rPr>
      </w:pPr>
    </w:p>
    <w:p>
      <w:pPr>
        <w:spacing w:line="360" w:lineRule="auto"/>
        <w:ind w:firstLine="482" w:firstLineChars="200"/>
        <w:rPr>
          <w:rFonts w:ascii="宋体" w:hAnsi="宋体"/>
          <w:b/>
          <w:sz w:val="24"/>
          <w:szCs w:val="24"/>
        </w:rPr>
      </w:pPr>
      <w:r>
        <w:rPr>
          <w:rFonts w:hint="eastAsia" w:ascii="宋体" w:hAnsi="宋体" w:cs="黑体"/>
          <w:b/>
          <w:sz w:val="24"/>
          <w:szCs w:val="24"/>
        </w:rPr>
        <w:t>一.</w:t>
      </w:r>
      <w:r>
        <w:rPr>
          <w:rFonts w:ascii="宋体" w:hAnsi="宋体"/>
          <w:b/>
          <w:sz w:val="24"/>
          <w:szCs w:val="24"/>
        </w:rPr>
        <w:t xml:space="preserve"> </w:t>
      </w:r>
      <w:r>
        <w:rPr>
          <w:rFonts w:hint="eastAsia" w:ascii="宋体" w:hAnsi="宋体" w:cs="黑体"/>
          <w:b/>
          <w:sz w:val="24"/>
          <w:szCs w:val="24"/>
        </w:rPr>
        <w:t>评标原则</w:t>
      </w:r>
    </w:p>
    <w:p>
      <w:pPr>
        <w:spacing w:line="360" w:lineRule="auto"/>
        <w:ind w:firstLine="482" w:firstLineChars="201"/>
        <w:rPr>
          <w:rFonts w:ascii="宋体" w:hAnsi="宋体"/>
          <w:sz w:val="24"/>
          <w:szCs w:val="24"/>
        </w:rPr>
      </w:pPr>
      <w:r>
        <w:rPr>
          <w:rFonts w:hint="eastAsia" w:ascii="宋体" w:hAnsi="宋体" w:cs="宋体"/>
          <w:sz w:val="24"/>
          <w:szCs w:val="24"/>
        </w:rPr>
        <w:t>评标活动遵循公开、公平、公正、择优的原则进行。评标委员会将综合分析投标人的各项指标，而不以单项指标的优劣评选出预中标人。</w:t>
      </w:r>
    </w:p>
    <w:p>
      <w:pPr>
        <w:spacing w:line="360" w:lineRule="auto"/>
        <w:ind w:firstLine="484" w:firstLineChars="201"/>
        <w:rPr>
          <w:rFonts w:ascii="宋体" w:hAnsi="宋体"/>
          <w:b/>
          <w:sz w:val="24"/>
          <w:szCs w:val="24"/>
        </w:rPr>
      </w:pPr>
      <w:r>
        <w:rPr>
          <w:rFonts w:hint="eastAsia" w:ascii="宋体" w:hAnsi="宋体" w:cs="黑体"/>
          <w:b/>
          <w:sz w:val="24"/>
          <w:szCs w:val="24"/>
        </w:rPr>
        <w:t>二.</w:t>
      </w:r>
      <w:r>
        <w:rPr>
          <w:rFonts w:hint="eastAsia" w:ascii="宋体" w:hAnsi="宋体" w:cs="宋体"/>
          <w:b/>
          <w:sz w:val="24"/>
          <w:szCs w:val="24"/>
        </w:rPr>
        <w:t>评标办法</w:t>
      </w:r>
    </w:p>
    <w:p>
      <w:pPr>
        <w:widowControl/>
        <w:spacing w:line="360" w:lineRule="auto"/>
        <w:ind w:firstLine="482" w:firstLineChars="201"/>
        <w:rPr>
          <w:rFonts w:ascii="宋体" w:hAnsi="宋体" w:cs="宋体"/>
          <w:sz w:val="24"/>
          <w:szCs w:val="24"/>
        </w:rPr>
      </w:pPr>
      <w:r>
        <w:rPr>
          <w:rFonts w:hint="eastAsia" w:ascii="宋体" w:hAnsi="宋体" w:cs="宋体"/>
          <w:sz w:val="24"/>
          <w:szCs w:val="24"/>
        </w:rPr>
        <w:t>（一）综合评分法评标</w:t>
      </w:r>
      <w:r>
        <w:rPr>
          <w:rFonts w:ascii="宋体" w:hAnsi="宋体" w:cs="宋体"/>
          <w:sz w:val="24"/>
          <w:szCs w:val="24"/>
        </w:rPr>
        <w:t>,</w:t>
      </w:r>
      <w:r>
        <w:rPr>
          <w:rFonts w:hint="eastAsia" w:ascii="宋体" w:hAnsi="宋体" w:cs="宋体"/>
          <w:sz w:val="24"/>
          <w:szCs w:val="24"/>
        </w:rPr>
        <w:t>即在投标文件满足招标文件全部实质性要求，且按照评审因素的量化指标评审得分最高的投标人为中标人的评标方法。（最低报价不是中标的唯一依据。）</w:t>
      </w:r>
    </w:p>
    <w:p>
      <w:pPr>
        <w:widowControl/>
        <w:spacing w:line="360" w:lineRule="auto"/>
        <w:ind w:firstLine="482" w:firstLineChars="201"/>
        <w:rPr>
          <w:rFonts w:ascii="宋体" w:hAnsi="宋体"/>
          <w:sz w:val="24"/>
          <w:szCs w:val="24"/>
        </w:rPr>
      </w:pPr>
      <w:r>
        <w:rPr>
          <w:rFonts w:hint="eastAsia" w:ascii="宋体" w:hAnsi="宋体" w:cs="宋体"/>
          <w:sz w:val="24"/>
          <w:szCs w:val="24"/>
        </w:rPr>
        <w:t>（二）具体评审工作按照以下步骤进行。</w:t>
      </w:r>
    </w:p>
    <w:p>
      <w:pPr>
        <w:widowControl/>
        <w:spacing w:line="360" w:lineRule="auto"/>
        <w:ind w:firstLine="482" w:firstLineChars="201"/>
        <w:rPr>
          <w:rFonts w:ascii="宋体" w:hAnsi="宋体" w:cs="宋体"/>
          <w:kern w:val="0"/>
          <w:sz w:val="24"/>
          <w:szCs w:val="24"/>
        </w:rPr>
      </w:pPr>
      <w:r>
        <w:rPr>
          <w:rFonts w:ascii="宋体" w:hAnsi="宋体" w:cs="宋体"/>
          <w:sz w:val="24"/>
          <w:szCs w:val="24"/>
        </w:rPr>
        <w:t>1</w:t>
      </w:r>
      <w:r>
        <w:rPr>
          <w:rFonts w:hint="eastAsia" w:ascii="宋体" w:hAnsi="宋体" w:cs="宋体"/>
          <w:sz w:val="24"/>
          <w:szCs w:val="24"/>
        </w:rPr>
        <w:t>.</w:t>
      </w:r>
      <w:r>
        <w:rPr>
          <w:rFonts w:hint="eastAsia" w:ascii="宋体" w:hAnsi="宋体" w:cs="宋体"/>
          <w:kern w:val="0"/>
          <w:sz w:val="24"/>
          <w:szCs w:val="24"/>
        </w:rPr>
        <w:t>初审。初审分为资格性检查和符合性检查。</w:t>
      </w:r>
      <w:r>
        <w:rPr>
          <w:rFonts w:hint="eastAsia" w:ascii="宋体" w:hAnsi="宋体" w:cs="宋体"/>
          <w:b/>
          <w:kern w:val="0"/>
          <w:sz w:val="24"/>
          <w:szCs w:val="24"/>
        </w:rPr>
        <w:t>（详见后附表一初审表）</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资格性检查。依据法律法规和招标文件的规定，对投标文件中的资格证明、投标保证金等进行审查，以确定投标投标人是否具备投标资格。</w:t>
      </w:r>
    </w:p>
    <w:p>
      <w:pPr>
        <w:widowControl/>
        <w:spacing w:line="360" w:lineRule="auto"/>
        <w:ind w:firstLine="482" w:firstLineChars="201"/>
        <w:rPr>
          <w:rFonts w:ascii="宋体" w:hAnsi="宋体" w:cs="宋体"/>
          <w:kern w:val="0"/>
          <w:sz w:val="24"/>
          <w:szCs w:val="24"/>
        </w:rPr>
      </w:pPr>
      <w:r>
        <w:rPr>
          <w:rFonts w:hint="eastAsia" w:ascii="宋体" w:hAnsi="宋体" w:cs="宋体"/>
          <w:kern w:val="0"/>
          <w:sz w:val="24"/>
          <w:szCs w:val="24"/>
        </w:rPr>
        <w:t>符合性检查。依据招标文件的规定，从投标文件的有效性、完整性和对招标文件的响应程度进行审查，以确定是否对招标文件的实质性要求作出响应。</w:t>
      </w:r>
    </w:p>
    <w:p>
      <w:pPr>
        <w:widowControl/>
        <w:spacing w:line="360" w:lineRule="auto"/>
        <w:ind w:firstLine="482" w:firstLineChars="201"/>
        <w:rPr>
          <w:rFonts w:ascii="宋体" w:hAnsi="宋体" w:cs="宋体"/>
          <w:sz w:val="24"/>
          <w:szCs w:val="24"/>
        </w:rPr>
      </w:pPr>
      <w:r>
        <w:rPr>
          <w:rFonts w:hint="eastAsia" w:ascii="宋体" w:hAnsi="宋体" w:cs="宋体"/>
          <w:kern w:val="0"/>
          <w:sz w:val="24"/>
          <w:szCs w:val="24"/>
        </w:rPr>
        <w:t>评审结果为“通过”或“未通过”，未通过资格性检查、符合性检查的投标单位按无</w:t>
      </w:r>
      <w:r>
        <w:rPr>
          <w:rFonts w:hint="eastAsia" w:ascii="宋体" w:hAnsi="宋体" w:cs="宋体"/>
          <w:sz w:val="24"/>
          <w:szCs w:val="24"/>
        </w:rPr>
        <w:t>效投标处理。</w:t>
      </w:r>
    </w:p>
    <w:p>
      <w:pPr>
        <w:spacing w:line="360" w:lineRule="auto"/>
        <w:ind w:firstLine="480" w:firstLineChars="200"/>
        <w:rPr>
          <w:rFonts w:ascii="宋体" w:hAnsi="宋体" w:cs="宋体"/>
          <w:sz w:val="24"/>
          <w:szCs w:val="24"/>
        </w:rPr>
      </w:pPr>
      <w:r>
        <w:rPr>
          <w:rFonts w:hint="eastAsia" w:ascii="宋体" w:hAnsi="宋体" w:cs="宋体"/>
          <w:sz w:val="24"/>
          <w:szCs w:val="24"/>
        </w:rPr>
        <w:t>2.详细评审。分为投标报价、商务部分、技术部分。</w:t>
      </w:r>
      <w:r>
        <w:rPr>
          <w:rFonts w:hint="eastAsia" w:ascii="宋体" w:hAnsi="宋体" w:cs="宋体"/>
          <w:b/>
          <w:sz w:val="24"/>
          <w:szCs w:val="24"/>
        </w:rPr>
        <w:t>（详见后附表二详细评审表）</w:t>
      </w:r>
    </w:p>
    <w:p>
      <w:pPr>
        <w:widowControl/>
        <w:spacing w:line="360" w:lineRule="auto"/>
        <w:ind w:firstLine="482" w:firstLineChars="201"/>
        <w:rPr>
          <w:rFonts w:ascii="宋体" w:hAnsi="宋体"/>
          <w:sz w:val="24"/>
          <w:szCs w:val="24"/>
        </w:rPr>
      </w:pPr>
      <w:r>
        <w:rPr>
          <w:rFonts w:hint="eastAsia" w:ascii="宋体"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2" w:firstLineChars="201"/>
        <w:rPr>
          <w:rFonts w:ascii="宋体" w:hAnsi="宋体" w:cs="宋体"/>
          <w:sz w:val="24"/>
          <w:szCs w:val="24"/>
        </w:rPr>
      </w:pPr>
      <w:r>
        <w:rPr>
          <w:rFonts w:hint="eastAsia" w:ascii="宋体" w:hAnsi="宋体"/>
          <w:sz w:val="24"/>
          <w:szCs w:val="24"/>
        </w:rPr>
        <w:t>3．</w:t>
      </w:r>
      <w:r>
        <w:rPr>
          <w:rFonts w:hint="eastAsia" w:ascii="宋体" w:hAnsi="宋体" w:cs="宋体"/>
          <w:sz w:val="24"/>
          <w:szCs w:val="24"/>
        </w:rPr>
        <w:t>评标结果按评审后得分由高到低顺序排列。得分相同的，按投标报价由低到高顺序排列。得分且投标报价相同的，</w:t>
      </w:r>
      <w:r>
        <w:rPr>
          <w:rFonts w:hint="eastAsia" w:ascii="宋体" w:hAnsi="宋体"/>
          <w:sz w:val="24"/>
          <w:szCs w:val="24"/>
        </w:rPr>
        <w:t>不发达地区和少数民族地区</w:t>
      </w:r>
      <w:r>
        <w:rPr>
          <w:rFonts w:ascii="宋体" w:hAnsi="宋体" w:cs="Arial"/>
          <w:sz w:val="24"/>
          <w:szCs w:val="24"/>
        </w:rPr>
        <w:t>企业</w:t>
      </w:r>
      <w:r>
        <w:rPr>
          <w:rFonts w:hint="eastAsia" w:ascii="宋体" w:hAnsi="宋体"/>
          <w:sz w:val="24"/>
          <w:szCs w:val="24"/>
        </w:rPr>
        <w:t>优先，同等条件下按服务方案的优劣顺序排列。</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58"/>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hAns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33"/>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非联合体投标人</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39" w:name="OLE_LINK1"/>
      <w:bookmarkStart w:id="40" w:name="OLE_LINK9"/>
      <w:r>
        <w:rPr>
          <w:rFonts w:hint="eastAsia" w:ascii="宋体" w:hAnsi="宋体"/>
          <w:sz w:val="24"/>
          <w:szCs w:val="24"/>
        </w:rPr>
        <w:t>本项所称货物不包括使用大型企业注册商标的货物。</w:t>
      </w:r>
      <w:bookmarkEnd w:id="39"/>
      <w:bookmarkEnd w:id="40"/>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投标人填写的《中小企业声明函》为判定标准；监狱企业须投标人提供由监狱管理局、戒毒管理局（含新疆生产建设兵团）出具的属于监狱企业的证明文件为判定标准；残疾人福利性单位以投标人填写的</w:t>
      </w:r>
      <w:bookmarkStart w:id="41" w:name="OLE_LINK14"/>
      <w:bookmarkStart w:id="42" w:name="OLE_LINK13"/>
      <w:r>
        <w:rPr>
          <w:rFonts w:hint="eastAsia" w:ascii="宋体" w:hAnsi="宋体"/>
          <w:sz w:val="24"/>
          <w:szCs w:val="24"/>
        </w:rPr>
        <w:t>《残疾人福利性单位声明函》</w:t>
      </w:r>
      <w:bookmarkEnd w:id="41"/>
      <w:bookmarkEnd w:id="42"/>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（3）提供投标人的《中小企业声明函》、《残疾人福利性单位声明函》（格式后附，不可修改），未提供、未盖章的不予价格扣除。</w:t>
      </w:r>
    </w:p>
    <w:p>
      <w:pPr>
        <w:spacing w:line="360" w:lineRule="auto"/>
        <w:ind w:firstLine="480" w:firstLineChars="200"/>
        <w:rPr>
          <w:rFonts w:ascii="宋体" w:hAnsi="宋体"/>
          <w:sz w:val="24"/>
          <w:szCs w:val="24"/>
        </w:rPr>
      </w:pPr>
      <w:r>
        <w:rPr>
          <w:rFonts w:hint="eastAsia" w:ascii="宋体" w:hAnsi="宋体"/>
          <w:sz w:val="24"/>
          <w:szCs w:val="24"/>
        </w:rPr>
        <w:t>（4）提供声明函不实或在政府采购活动中有违法违规行为的，取消其中标资格，并严格按照相关法律法规处理。</w:t>
      </w:r>
    </w:p>
    <w:p>
      <w:pPr>
        <w:spacing w:line="360" w:lineRule="auto"/>
        <w:ind w:firstLine="600" w:firstLineChars="250"/>
        <w:rPr>
          <w:rFonts w:ascii="宋体" w:hAnsi="宋体" w:cs="宋体"/>
          <w:b/>
          <w:kern w:val="0"/>
          <w:sz w:val="24"/>
          <w:szCs w:val="24"/>
        </w:rPr>
      </w:pPr>
      <w:r>
        <w:rPr>
          <w:rFonts w:ascii="宋体" w:hAnsi="宋体"/>
          <w:sz w:val="24"/>
          <w:szCs w:val="24"/>
        </w:rPr>
        <w:br w:type="page"/>
      </w:r>
      <w:r>
        <w:rPr>
          <w:rFonts w:hint="eastAsia" w:ascii="宋体" w:hAnsi="宋体" w:cs="宋体"/>
          <w:b/>
          <w:kern w:val="0"/>
          <w:sz w:val="24"/>
          <w:szCs w:val="24"/>
        </w:rPr>
        <w:t>表一初审表：</w:t>
      </w:r>
    </w:p>
    <w:tbl>
      <w:tblPr>
        <w:tblStyle w:val="3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457" w:type="dxa"/>
            <w:vMerge w:val="continue"/>
            <w:tcBorders>
              <w:left w:val="single" w:color="auto" w:sz="4" w:space="0"/>
              <w:right w:val="single" w:color="auto" w:sz="4" w:space="0"/>
            </w:tcBorders>
            <w:vAlign w:val="center"/>
          </w:tcPr>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1.投标人是法人的审查会计师事务所出具的近一年度</w:t>
            </w:r>
            <w:r>
              <w:rPr>
                <w:rFonts w:hint="eastAsia" w:ascii="宋体" w:hAnsi="宋体"/>
                <w:sz w:val="24"/>
                <w:szCs w:val="24"/>
                <w:lang w:eastAsia="zh-CN"/>
              </w:rPr>
              <w:t>（</w:t>
            </w:r>
            <w:r>
              <w:rPr>
                <w:rFonts w:hint="eastAsia" w:ascii="宋体" w:hAnsi="宋体"/>
                <w:sz w:val="24"/>
                <w:szCs w:val="24"/>
                <w:lang w:val="en-US" w:eastAsia="zh-CN"/>
              </w:rPr>
              <w:t>2017年度</w:t>
            </w:r>
            <w:r>
              <w:rPr>
                <w:rFonts w:hint="eastAsia" w:ascii="宋体" w:hAnsi="宋体"/>
                <w:sz w:val="24"/>
                <w:szCs w:val="24"/>
                <w:lang w:eastAsia="zh-CN"/>
              </w:rPr>
              <w:t>）</w:t>
            </w:r>
            <w:r>
              <w:rPr>
                <w:rFonts w:hint="eastAsia" w:ascii="宋体" w:hAnsi="宋体"/>
                <w:sz w:val="24"/>
                <w:szCs w:val="24"/>
              </w:rPr>
              <w:t>财务审计报告或基本开户银行近一年内出具的资信证明。</w:t>
            </w:r>
          </w:p>
          <w:p>
            <w:pPr>
              <w:jc w:val="left"/>
              <w:rPr>
                <w:rFonts w:ascii="宋体" w:hAnsi="宋体"/>
                <w:sz w:val="24"/>
                <w:szCs w:val="24"/>
              </w:rPr>
            </w:pPr>
            <w:r>
              <w:rPr>
                <w:rFonts w:hint="eastAsia" w:ascii="宋体" w:hAnsi="宋体"/>
                <w:sz w:val="24"/>
                <w:szCs w:val="24"/>
              </w:rPr>
              <w:t>2.投标人是部分其他组织或自然人的，审查银行近一年</w:t>
            </w:r>
            <w:r>
              <w:rPr>
                <w:rFonts w:hint="eastAsia" w:ascii="宋体" w:hAnsi="宋体"/>
                <w:sz w:val="24"/>
                <w:szCs w:val="24"/>
                <w:lang w:eastAsia="zh-CN"/>
              </w:rPr>
              <w:t>（</w:t>
            </w:r>
            <w:r>
              <w:rPr>
                <w:rFonts w:hint="eastAsia" w:ascii="宋体" w:hAnsi="宋体"/>
                <w:sz w:val="24"/>
                <w:szCs w:val="24"/>
                <w:lang w:val="en-US" w:eastAsia="zh-CN"/>
              </w:rPr>
              <w:t>2017年</w:t>
            </w:r>
            <w:r>
              <w:rPr>
                <w:rFonts w:hint="eastAsia" w:ascii="宋体" w:hAnsi="宋体"/>
                <w:sz w:val="24"/>
                <w:szCs w:val="24"/>
                <w:lang w:eastAsia="zh-CN"/>
              </w:rPr>
              <w:t>）</w:t>
            </w:r>
            <w:r>
              <w:rPr>
                <w:rFonts w:hint="eastAsia" w:ascii="宋体" w:hAnsi="宋体"/>
                <w:sz w:val="24"/>
                <w:szCs w:val="24"/>
              </w:rPr>
              <w:t>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1.提供递交投标文件截止之日前六个月内（至少一个月）的良好缴纳税收的相关凭据。（以税务机关提供的纳税凭据或银行入账单为准）</w:t>
            </w:r>
            <w:r>
              <w:rPr>
                <w:rFonts w:hint="eastAsia" w:ascii="宋体" w:hAnsi="宋体" w:cs="宋体"/>
                <w:sz w:val="24"/>
                <w:szCs w:val="24"/>
                <w:lang w:eastAsia="zh-CN"/>
              </w:rPr>
              <w:t>原件</w:t>
            </w:r>
          </w:p>
          <w:p>
            <w:pPr>
              <w:jc w:val="left"/>
              <w:rPr>
                <w:rFonts w:ascii="宋体" w:hAnsi="宋体" w:cs="宋体"/>
                <w:sz w:val="24"/>
                <w:szCs w:val="24"/>
              </w:rPr>
            </w:pPr>
            <w:r>
              <w:rPr>
                <w:rFonts w:hint="eastAsia" w:ascii="宋体" w:hAnsi="宋体" w:cs="宋体"/>
                <w:sz w:val="24"/>
                <w:szCs w:val="24"/>
              </w:rPr>
              <w:t>2.提供递交投标文件截止之日前六个月内（至少一个月）缴纳社会保险的凭证。（以社保机构出具的专用收据或社会保险缴纳清单为准）</w:t>
            </w:r>
            <w:r>
              <w:rPr>
                <w:rFonts w:hint="eastAsia" w:ascii="宋体" w:hAnsi="宋体" w:cs="宋体"/>
                <w:sz w:val="24"/>
                <w:szCs w:val="24"/>
                <w:lang w:eastAsia="zh-CN"/>
              </w:rPr>
              <w:t>原件</w:t>
            </w:r>
          </w:p>
          <w:p>
            <w:pPr>
              <w:jc w:val="left"/>
              <w:rPr>
                <w:rFonts w:ascii="宋体" w:hAnsi="宋体"/>
                <w:sz w:val="24"/>
                <w:szCs w:val="24"/>
              </w:rPr>
            </w:pPr>
            <w:r>
              <w:rPr>
                <w:rFonts w:hint="eastAsia" w:ascii="宋体" w:hAnsi="宋体" w:cs="宋体"/>
                <w:sz w:val="24"/>
                <w:szCs w:val="24"/>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1.审查“参加本采购活动前3年内”投标人书面声明函；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检察机关出具的无行贿犯罪记录证明</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审查有效的《检查机关行贿犯罪查询结果告知函》。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szCs w:val="24"/>
                <w:lang w:eastAsia="zh-CN"/>
              </w:rPr>
            </w:pPr>
            <w:r>
              <w:rPr>
                <w:rFonts w:hint="eastAsia" w:ascii="宋体" w:hAnsi="宋体"/>
                <w:sz w:val="24"/>
                <w:szCs w:val="24"/>
                <w:lang w:val="en-US" w:eastAsia="zh-CN"/>
              </w:rPr>
              <w:t xml:space="preserve"> 具有经保监会批准经营意外保险的商业保险机构的独立法人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附加条件</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本项目不接受联合体投标。（如要求联合体投标，符合本招标文件对联合体投标的相关要求）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bl>
    <w:p>
      <w:pPr>
        <w:spacing w:line="360" w:lineRule="auto"/>
        <w:ind w:firstLine="600" w:firstLineChars="250"/>
        <w:rPr>
          <w:rFonts w:ascii="宋体" w:hAnsi="宋体"/>
          <w:sz w:val="24"/>
          <w:szCs w:val="24"/>
        </w:rPr>
      </w:pPr>
      <w:r>
        <w:rPr>
          <w:rFonts w:ascii="宋体" w:hAnsi="宋体"/>
          <w:sz w:val="24"/>
          <w:szCs w:val="24"/>
        </w:rPr>
        <w:br w:type="page"/>
      </w:r>
    </w:p>
    <w:p>
      <w:pPr>
        <w:spacing w:line="360" w:lineRule="auto"/>
        <w:rPr>
          <w:rFonts w:ascii="宋体" w:hAnsi="宋体" w:cs="宋体"/>
          <w:b/>
          <w:kern w:val="0"/>
          <w:sz w:val="24"/>
          <w:szCs w:val="24"/>
        </w:rPr>
      </w:pPr>
      <w:r>
        <w:rPr>
          <w:rFonts w:hint="eastAsia" w:ascii="宋体" w:hAnsi="宋体" w:cs="宋体"/>
          <w:b/>
          <w:kern w:val="0"/>
          <w:sz w:val="24"/>
          <w:szCs w:val="24"/>
        </w:rPr>
        <w:t>表二详细评审表：</w:t>
      </w:r>
    </w:p>
    <w:tbl>
      <w:tblPr>
        <w:tblStyle w:val="3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913"/>
        <w:gridCol w:w="6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35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评审因素</w:t>
            </w:r>
          </w:p>
        </w:tc>
        <w:tc>
          <w:tcPr>
            <w:tcW w:w="611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351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分值构成</w:t>
            </w:r>
          </w:p>
        </w:tc>
        <w:tc>
          <w:tcPr>
            <w:tcW w:w="611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 xml:space="preserve">1、报价得分 </w:t>
            </w:r>
            <w:r>
              <w:rPr>
                <w:rFonts w:hint="eastAsia" w:ascii="宋体" w:hAnsi="宋体"/>
                <w:sz w:val="24"/>
                <w:szCs w:val="24"/>
                <w:lang w:val="en-US" w:eastAsia="zh-CN"/>
              </w:rPr>
              <w:t>10</w:t>
            </w:r>
            <w:r>
              <w:rPr>
                <w:rFonts w:hint="eastAsia" w:ascii="宋体" w:hAnsi="宋体"/>
                <w:sz w:val="24"/>
                <w:szCs w:val="24"/>
              </w:rPr>
              <w:t xml:space="preserve">分 </w:t>
            </w:r>
          </w:p>
          <w:p>
            <w:pPr>
              <w:spacing w:line="320" w:lineRule="exact"/>
              <w:rPr>
                <w:rFonts w:ascii="宋体" w:hAnsi="宋体"/>
                <w:sz w:val="24"/>
                <w:szCs w:val="24"/>
              </w:rPr>
            </w:pPr>
            <w:r>
              <w:rPr>
                <w:rFonts w:hint="eastAsia" w:ascii="宋体" w:hAnsi="宋体"/>
                <w:sz w:val="24"/>
                <w:szCs w:val="24"/>
              </w:rPr>
              <w:t xml:space="preserve">2、商务部分 </w:t>
            </w:r>
            <w:r>
              <w:rPr>
                <w:rFonts w:hint="eastAsia" w:ascii="宋体" w:hAnsi="宋体"/>
                <w:sz w:val="24"/>
                <w:szCs w:val="24"/>
                <w:lang w:val="en-US" w:eastAsia="zh-CN"/>
              </w:rPr>
              <w:t>3</w:t>
            </w:r>
            <w:bookmarkStart w:id="57" w:name="_GoBack"/>
            <w:bookmarkEnd w:id="57"/>
            <w:r>
              <w:rPr>
                <w:rFonts w:hint="eastAsia" w:ascii="宋体" w:hAnsi="宋体"/>
                <w:sz w:val="24"/>
                <w:szCs w:val="24"/>
                <w:lang w:val="en-US" w:eastAsia="zh-CN"/>
              </w:rPr>
              <w:t>0</w:t>
            </w:r>
            <w:r>
              <w:rPr>
                <w:rFonts w:hint="eastAsia" w:ascii="宋体" w:hAnsi="宋体"/>
                <w:sz w:val="24"/>
                <w:szCs w:val="24"/>
              </w:rPr>
              <w:t>分</w:t>
            </w:r>
          </w:p>
          <w:p>
            <w:pPr>
              <w:spacing w:line="320" w:lineRule="exact"/>
              <w:rPr>
                <w:rFonts w:ascii="宋体" w:hAnsi="宋体"/>
                <w:sz w:val="24"/>
                <w:szCs w:val="24"/>
              </w:rPr>
            </w:pPr>
            <w:r>
              <w:rPr>
                <w:rFonts w:hint="eastAsia" w:ascii="宋体" w:hAnsi="宋体"/>
                <w:sz w:val="24"/>
                <w:szCs w:val="24"/>
              </w:rPr>
              <w:t xml:space="preserve">3、技术部分 </w:t>
            </w:r>
            <w:r>
              <w:rPr>
                <w:rFonts w:hint="eastAsia" w:ascii="宋体" w:hAnsi="宋体"/>
                <w:sz w:val="24"/>
                <w:szCs w:val="24"/>
                <w:lang w:val="en-US" w:eastAsia="zh-CN"/>
              </w:rPr>
              <w:t>60</w:t>
            </w:r>
            <w:r>
              <w:rPr>
                <w:rFonts w:hint="eastAsia" w:ascii="宋体" w:hAnsi="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投标报价</w:t>
            </w:r>
          </w:p>
        </w:tc>
        <w:tc>
          <w:tcPr>
            <w:tcW w:w="2913"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评标基准价确定方法</w:t>
            </w:r>
          </w:p>
        </w:tc>
        <w:tc>
          <w:tcPr>
            <w:tcW w:w="611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szCs w:val="24"/>
              </w:rPr>
            </w:pPr>
            <w:r>
              <w:rPr>
                <w:rFonts w:hint="eastAsia" w:ascii="宋体" w:hAnsi="宋体"/>
                <w:sz w:val="24"/>
                <w:szCs w:val="24"/>
              </w:rPr>
              <w:t>满足招标文件要求通过初步评审的且投标报价最低的为评标基准价。符合小型、微型企业等规定进行价格调整的，以调整后的价格计算评标基准价和投标报价。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7"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sz w:val="24"/>
                <w:szCs w:val="24"/>
              </w:rPr>
            </w:pPr>
            <w:r>
              <w:rPr>
                <w:rFonts w:hint="eastAsia" w:ascii="宋体" w:hAnsi="宋体"/>
                <w:sz w:val="24"/>
                <w:szCs w:val="24"/>
              </w:rPr>
              <w:t>投标报价得分（</w:t>
            </w:r>
            <w:r>
              <w:rPr>
                <w:rFonts w:hint="eastAsia" w:ascii="宋体" w:hAnsi="宋体"/>
                <w:sz w:val="24"/>
                <w:szCs w:val="24"/>
                <w:lang w:val="en-US" w:eastAsia="zh-CN"/>
              </w:rPr>
              <w:t>1</w:t>
            </w:r>
            <w:r>
              <w:rPr>
                <w:rFonts w:hint="eastAsia" w:ascii="宋体" w:hAnsi="宋体"/>
                <w:sz w:val="24"/>
                <w:szCs w:val="24"/>
              </w:rPr>
              <w:t>0分）</w:t>
            </w:r>
          </w:p>
        </w:tc>
        <w:tc>
          <w:tcPr>
            <w:tcW w:w="61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宋体" w:hAnsi="宋体"/>
                <w:sz w:val="24"/>
                <w:szCs w:val="24"/>
              </w:rPr>
            </w:pPr>
            <w:r>
              <w:rPr>
                <w:rFonts w:hint="eastAsia" w:ascii="宋体" w:hAnsi="宋体"/>
                <w:sz w:val="24"/>
                <w:szCs w:val="24"/>
              </w:rPr>
              <w:t>投标报价得分＝（评标基准价/投标报价）×</w:t>
            </w:r>
            <w:r>
              <w:rPr>
                <w:rFonts w:hint="eastAsia" w:ascii="宋体" w:hAnsi="宋体"/>
                <w:sz w:val="24"/>
                <w:szCs w:val="24"/>
                <w:lang w:val="en-US" w:eastAsia="zh-CN"/>
              </w:rPr>
              <w:t>1</w:t>
            </w:r>
            <w:r>
              <w:rPr>
                <w:rFonts w:hint="eastAsia" w:ascii="宋体" w:hAnsi="宋体"/>
                <w:sz w:val="24"/>
                <w:szCs w:val="24"/>
              </w:rPr>
              <w:t>0</w:t>
            </w:r>
            <w:r>
              <w:rPr>
                <w:rFonts w:hint="eastAsia" w:ascii="宋体" w:hAnsi="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597" w:type="dxa"/>
            <w:vMerge w:val="continue"/>
            <w:tcBorders>
              <w:left w:val="single" w:color="auto" w:sz="4" w:space="0"/>
              <w:right w:val="single" w:color="auto" w:sz="4" w:space="0"/>
            </w:tcBorders>
            <w:vAlign w:val="center"/>
          </w:tcPr>
          <w:p>
            <w:pPr>
              <w:widowControl/>
              <w:rPr>
                <w:rFonts w:ascii="宋体" w:hAnsi="宋体"/>
                <w:sz w:val="24"/>
                <w:szCs w:val="24"/>
              </w:rPr>
            </w:pPr>
          </w:p>
        </w:tc>
        <w:tc>
          <w:tcPr>
            <w:tcW w:w="2913" w:type="dxa"/>
            <w:tcBorders>
              <w:top w:val="single" w:color="auto" w:sz="4" w:space="0"/>
              <w:left w:val="single" w:color="auto" w:sz="4" w:space="0"/>
              <w:right w:val="single" w:color="auto" w:sz="4" w:space="0"/>
            </w:tcBorders>
            <w:vAlign w:val="center"/>
          </w:tcPr>
          <w:p>
            <w:pPr>
              <w:spacing w:line="360" w:lineRule="exact"/>
              <w:jc w:val="center"/>
              <w:rPr>
                <w:rFonts w:ascii="宋体" w:hAnsi="宋体"/>
                <w:sz w:val="24"/>
                <w:szCs w:val="24"/>
              </w:rPr>
            </w:pPr>
            <w:r>
              <w:rPr>
                <w:rFonts w:hint="eastAsia" w:hAnsi="宋体" w:cs="Times New Roman"/>
                <w:kern w:val="2"/>
                <w:sz w:val="28"/>
                <w:szCs w:val="28"/>
                <w:lang w:val="en-US" w:eastAsia="zh-CN" w:bidi="ar-SA"/>
              </w:rPr>
              <w:t>①承保经验（10分）</w:t>
            </w:r>
          </w:p>
        </w:tc>
        <w:tc>
          <w:tcPr>
            <w:tcW w:w="6118" w:type="dxa"/>
            <w:tcBorders>
              <w:top w:val="single" w:color="auto" w:sz="4" w:space="0"/>
              <w:left w:val="single" w:color="auto" w:sz="4" w:space="0"/>
              <w:right w:val="single" w:color="auto" w:sz="4" w:space="0"/>
            </w:tcBorders>
            <w:vAlign w:val="center"/>
          </w:tcPr>
          <w:p>
            <w:pPr>
              <w:pStyle w:val="15"/>
              <w:adjustRightInd w:val="0"/>
              <w:snapToGrid w:val="0"/>
              <w:spacing w:line="360" w:lineRule="auto"/>
              <w:ind w:firstLine="560" w:firstLineChars="200"/>
              <w:rPr>
                <w:rFonts w:hint="eastAsia" w:hAnsi="宋体" w:cs="Times New Roman"/>
                <w:color w:val="FF00FF"/>
                <w:kern w:val="2"/>
                <w:sz w:val="28"/>
                <w:szCs w:val="28"/>
                <w:lang w:val="en-US" w:eastAsia="zh-CN" w:bidi="ar-SA"/>
              </w:rPr>
            </w:pPr>
            <w:r>
              <w:rPr>
                <w:rFonts w:hint="eastAsia" w:hAnsi="宋体" w:cs="Times New Roman"/>
                <w:color w:val="FF00FF"/>
                <w:kern w:val="2"/>
                <w:sz w:val="28"/>
                <w:szCs w:val="28"/>
                <w:lang w:val="en-US" w:eastAsia="zh-CN" w:bidi="ar-SA"/>
              </w:rPr>
              <w:t>在内蒙古旗区有开展无责意外伤害保险相关经验每年每一旗区得1分。（投标人需提供保单原件或复印件盖投保单位公章）</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597" w:type="dxa"/>
            <w:vMerge w:val="continue"/>
            <w:tcBorders>
              <w:left w:val="single" w:color="auto" w:sz="4" w:space="0"/>
              <w:right w:val="single" w:color="auto" w:sz="4" w:space="0"/>
            </w:tcBorders>
            <w:vAlign w:val="center"/>
          </w:tcPr>
          <w:p>
            <w:pPr>
              <w:widowControl/>
              <w:rPr>
                <w:rFonts w:ascii="宋体" w:hAnsi="宋体"/>
                <w:sz w:val="24"/>
                <w:szCs w:val="24"/>
              </w:rPr>
            </w:pPr>
          </w:p>
        </w:tc>
        <w:tc>
          <w:tcPr>
            <w:tcW w:w="29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szCs w:val="24"/>
              </w:rPr>
            </w:pPr>
            <w:r>
              <w:rPr>
                <w:rFonts w:hint="eastAsia" w:hAnsi="宋体" w:cs="Times New Roman"/>
                <w:color w:val="0000FF"/>
                <w:kern w:val="2"/>
                <w:sz w:val="28"/>
                <w:szCs w:val="28"/>
                <w:lang w:val="en-US" w:eastAsia="zh-CN" w:bidi="ar-SA"/>
              </w:rPr>
              <w:t xml:space="preserve"> </w:t>
            </w:r>
            <w:r>
              <w:rPr>
                <w:rFonts w:hint="eastAsia" w:hAnsi="宋体" w:cs="Times New Roman"/>
                <w:kern w:val="2"/>
                <w:sz w:val="28"/>
                <w:szCs w:val="28"/>
                <w:lang w:val="en-US" w:eastAsia="zh-CN" w:bidi="ar-SA"/>
              </w:rPr>
              <w:t>②偿付能力（20分）</w:t>
            </w:r>
          </w:p>
        </w:tc>
        <w:tc>
          <w:tcPr>
            <w:tcW w:w="6118" w:type="dxa"/>
            <w:tcBorders>
              <w:top w:val="single" w:color="auto" w:sz="4" w:space="0"/>
              <w:left w:val="single" w:color="auto" w:sz="4" w:space="0"/>
              <w:bottom w:val="single" w:color="auto" w:sz="4" w:space="0"/>
              <w:right w:val="single" w:color="auto" w:sz="4" w:space="0"/>
            </w:tcBorders>
            <w:vAlign w:val="center"/>
          </w:tcPr>
          <w:p>
            <w:pPr>
              <w:pStyle w:val="15"/>
              <w:adjustRightInd w:val="0"/>
              <w:snapToGrid w:val="0"/>
              <w:spacing w:line="360" w:lineRule="auto"/>
              <w:ind w:firstLine="560" w:firstLineChars="200"/>
              <w:rPr>
                <w:rFonts w:hint="eastAsia" w:hAnsi="宋体" w:cs="Times New Roman"/>
                <w:kern w:val="2"/>
                <w:sz w:val="28"/>
                <w:szCs w:val="28"/>
                <w:lang w:val="en-US" w:eastAsia="zh-CN" w:bidi="ar-SA"/>
              </w:rPr>
            </w:pPr>
            <w:r>
              <w:rPr>
                <w:rFonts w:hint="eastAsia" w:hAnsi="宋体" w:cs="Times New Roman"/>
                <w:kern w:val="2"/>
                <w:sz w:val="28"/>
                <w:szCs w:val="28"/>
                <w:lang w:val="en-US" w:eastAsia="zh-CN" w:bidi="ar-SA"/>
              </w:rPr>
              <w:t>近三年保险企业法人综合偿付能力充足率大于200%的，得20分。（一年未达到，扣</w:t>
            </w:r>
            <w:r>
              <w:rPr>
                <w:rFonts w:hint="eastAsia" w:hAnsi="宋体" w:cs="Times New Roman"/>
                <w:color w:val="FF0000"/>
                <w:kern w:val="2"/>
                <w:sz w:val="28"/>
                <w:szCs w:val="28"/>
                <w:lang w:val="en-US" w:eastAsia="zh-CN" w:bidi="ar-SA"/>
              </w:rPr>
              <w:t>7</w:t>
            </w:r>
            <w:r>
              <w:rPr>
                <w:rFonts w:hint="eastAsia" w:hAnsi="宋体" w:cs="Times New Roman"/>
                <w:kern w:val="2"/>
                <w:sz w:val="28"/>
                <w:szCs w:val="28"/>
                <w:lang w:val="en-US" w:eastAsia="zh-CN" w:bidi="ar-SA"/>
              </w:rPr>
              <w:t>分；两年均未达到，扣</w:t>
            </w:r>
            <w:r>
              <w:rPr>
                <w:rFonts w:hint="eastAsia" w:hAnsi="宋体" w:cs="Times New Roman"/>
                <w:color w:val="FF0000"/>
                <w:kern w:val="2"/>
                <w:sz w:val="28"/>
                <w:szCs w:val="28"/>
                <w:lang w:val="en-US" w:eastAsia="zh-CN" w:bidi="ar-SA"/>
              </w:rPr>
              <w:t>13</w:t>
            </w:r>
            <w:r>
              <w:rPr>
                <w:rFonts w:hint="eastAsia" w:hAnsi="宋体" w:cs="Times New Roman"/>
                <w:kern w:val="2"/>
                <w:sz w:val="28"/>
                <w:szCs w:val="28"/>
                <w:lang w:val="en-US" w:eastAsia="zh-CN" w:bidi="ar-SA"/>
              </w:rPr>
              <w:t>分；三年未达到，不得分）</w:t>
            </w:r>
          </w:p>
          <w:p>
            <w:pPr>
              <w:widowControl/>
              <w:ind w:firstLine="1200" w:firstLineChars="50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597" w:type="dxa"/>
            <w:vMerge w:val="restart"/>
            <w:tcBorders>
              <w:left w:val="single" w:color="auto" w:sz="4" w:space="0"/>
              <w:right w:val="single" w:color="auto" w:sz="4" w:space="0"/>
            </w:tcBorders>
            <w:vAlign w:val="center"/>
          </w:tcPr>
          <w:p>
            <w:pPr>
              <w:rPr>
                <w:rFonts w:ascii="宋体" w:hAnsi="宋体"/>
                <w:sz w:val="24"/>
                <w:szCs w:val="24"/>
              </w:rPr>
            </w:pPr>
            <w:r>
              <w:rPr>
                <w:rFonts w:hint="eastAsia" w:ascii="宋体" w:hAnsi="宋体"/>
                <w:sz w:val="24"/>
                <w:szCs w:val="24"/>
              </w:rPr>
              <w:t>技术部分</w:t>
            </w:r>
          </w:p>
        </w:tc>
        <w:tc>
          <w:tcPr>
            <w:tcW w:w="2913" w:type="dxa"/>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hint="eastAsia" w:hAnsi="宋体" w:cs="Times New Roman"/>
                <w:kern w:val="2"/>
                <w:sz w:val="28"/>
                <w:szCs w:val="28"/>
                <w:lang w:val="en-US" w:eastAsia="zh-CN" w:bidi="ar-SA"/>
              </w:rPr>
              <w:t>①保障方案（15分））</w:t>
            </w:r>
          </w:p>
        </w:tc>
        <w:tc>
          <w:tcPr>
            <w:tcW w:w="6118" w:type="dxa"/>
            <w:tcBorders>
              <w:top w:val="single" w:color="auto" w:sz="4" w:space="0"/>
              <w:left w:val="single" w:color="auto" w:sz="4" w:space="0"/>
              <w:right w:val="single" w:color="auto" w:sz="4" w:space="0"/>
            </w:tcBorders>
            <w:vAlign w:val="center"/>
          </w:tcPr>
          <w:p>
            <w:pPr>
              <w:rPr>
                <w:rFonts w:ascii="宋体" w:hAnsi="宋体"/>
                <w:sz w:val="24"/>
                <w:szCs w:val="24"/>
              </w:rPr>
            </w:pPr>
            <w:r>
              <w:rPr>
                <w:rFonts w:hint="eastAsia" w:hAnsi="宋体" w:cs="Times New Roman"/>
                <w:kern w:val="2"/>
                <w:sz w:val="28"/>
                <w:szCs w:val="28"/>
                <w:lang w:val="en-US" w:eastAsia="zh-CN" w:bidi="ar-SA"/>
              </w:rPr>
              <w:t>响应此条件得15分，不响应此条件不得分</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jc w:val="center"/>
        </w:trPr>
        <w:tc>
          <w:tcPr>
            <w:tcW w:w="597" w:type="dxa"/>
            <w:vMerge w:val="continue"/>
            <w:tcBorders>
              <w:left w:val="single" w:color="auto" w:sz="4" w:space="0"/>
              <w:right w:val="single" w:color="auto" w:sz="4" w:space="0"/>
            </w:tcBorders>
            <w:vAlign w:val="center"/>
          </w:tcPr>
          <w:p>
            <w:pPr>
              <w:rPr>
                <w:rFonts w:ascii="宋体" w:hAnsi="宋体"/>
                <w:sz w:val="24"/>
                <w:szCs w:val="24"/>
              </w:rPr>
            </w:pPr>
          </w:p>
        </w:tc>
        <w:tc>
          <w:tcPr>
            <w:tcW w:w="2913" w:type="dxa"/>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hint="eastAsia" w:hAnsi="宋体" w:cs="Times New Roman"/>
                <w:kern w:val="2"/>
                <w:sz w:val="28"/>
                <w:szCs w:val="28"/>
                <w:lang w:val="en-US" w:eastAsia="zh-CN" w:bidi="ar-SA"/>
              </w:rPr>
              <w:t xml:space="preserve"> 服务能力（10分）</w:t>
            </w:r>
          </w:p>
        </w:tc>
        <w:tc>
          <w:tcPr>
            <w:tcW w:w="6118" w:type="dxa"/>
            <w:tcBorders>
              <w:top w:val="single" w:color="auto" w:sz="4" w:space="0"/>
              <w:left w:val="single" w:color="auto" w:sz="4" w:space="0"/>
              <w:right w:val="single" w:color="auto" w:sz="4" w:space="0"/>
            </w:tcBorders>
            <w:vAlign w:val="center"/>
          </w:tcPr>
          <w:p>
            <w:pPr>
              <w:pStyle w:val="15"/>
              <w:adjustRightInd w:val="0"/>
              <w:snapToGrid w:val="0"/>
              <w:spacing w:line="360" w:lineRule="auto"/>
              <w:ind w:firstLine="560" w:firstLineChars="200"/>
              <w:rPr>
                <w:rFonts w:hint="eastAsia" w:hAnsi="宋体" w:cs="Times New Roman"/>
                <w:color w:val="FF00FF"/>
                <w:kern w:val="2"/>
                <w:sz w:val="28"/>
                <w:szCs w:val="28"/>
                <w:lang w:val="en-US" w:eastAsia="zh-CN" w:bidi="ar-SA"/>
              </w:rPr>
            </w:pPr>
            <w:r>
              <w:rPr>
                <w:rFonts w:hint="eastAsia" w:hAnsi="宋体" w:cs="Times New Roman"/>
                <w:color w:val="FF00FF"/>
                <w:kern w:val="2"/>
                <w:sz w:val="28"/>
                <w:szCs w:val="28"/>
                <w:lang w:val="en-US" w:eastAsia="zh-CN" w:bidi="ar-SA"/>
              </w:rPr>
              <w:t>投标人所属公司在准格尔旗范围内有分支机构，有一家得2分，满分10分。（提供分支机构相关的资质证明）</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3" w:hRule="atLeast"/>
          <w:jc w:val="center"/>
        </w:trPr>
        <w:tc>
          <w:tcPr>
            <w:tcW w:w="597" w:type="dxa"/>
            <w:vMerge w:val="continue"/>
            <w:tcBorders>
              <w:left w:val="single" w:color="auto" w:sz="4" w:space="0"/>
              <w:right w:val="single" w:color="auto" w:sz="4" w:space="0"/>
            </w:tcBorders>
            <w:vAlign w:val="center"/>
          </w:tcPr>
          <w:p>
            <w:pPr>
              <w:rPr>
                <w:rFonts w:ascii="宋体" w:hAnsi="宋体"/>
                <w:sz w:val="24"/>
                <w:szCs w:val="24"/>
              </w:rPr>
            </w:pPr>
          </w:p>
        </w:tc>
        <w:tc>
          <w:tcPr>
            <w:tcW w:w="2913" w:type="dxa"/>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hint="eastAsia" w:hAnsi="宋体" w:cs="Times New Roman"/>
                <w:kern w:val="2"/>
                <w:sz w:val="28"/>
                <w:szCs w:val="28"/>
                <w:lang w:val="en-US" w:eastAsia="zh-CN" w:bidi="ar-SA"/>
              </w:rPr>
              <w:t>服务方案（15分）</w:t>
            </w:r>
          </w:p>
        </w:tc>
        <w:tc>
          <w:tcPr>
            <w:tcW w:w="6118" w:type="dxa"/>
            <w:tcBorders>
              <w:top w:val="single" w:color="auto" w:sz="4" w:space="0"/>
              <w:left w:val="single" w:color="auto" w:sz="4" w:space="0"/>
              <w:right w:val="single" w:color="auto" w:sz="4" w:space="0"/>
            </w:tcBorders>
            <w:vAlign w:val="center"/>
          </w:tcPr>
          <w:p>
            <w:pPr>
              <w:pStyle w:val="15"/>
              <w:adjustRightInd w:val="0"/>
              <w:snapToGrid w:val="0"/>
              <w:spacing w:line="360" w:lineRule="auto"/>
              <w:ind w:firstLine="560" w:firstLineChars="200"/>
              <w:rPr>
                <w:rFonts w:hint="eastAsia" w:hAnsi="宋体" w:cs="Times New Roman"/>
                <w:kern w:val="2"/>
                <w:sz w:val="28"/>
                <w:szCs w:val="28"/>
                <w:lang w:val="en-US" w:eastAsia="zh-CN" w:bidi="ar-SA"/>
              </w:rPr>
            </w:pPr>
            <w:r>
              <w:rPr>
                <w:rFonts w:hint="eastAsia" w:hAnsi="宋体" w:cs="Times New Roman"/>
                <w:kern w:val="2"/>
                <w:sz w:val="28"/>
                <w:szCs w:val="28"/>
                <w:lang w:val="en-US" w:eastAsia="zh-CN" w:bidi="ar-SA"/>
              </w:rPr>
              <w:t>提供明确的包括但不限于理赔流程、出险通知、索赔单证、理赔结论出具方式、咨询受理、投诉处理等，依据提供的合理完善程度。好得15-11分，较好得10-6分，一般得5-0分。</w:t>
            </w:r>
          </w:p>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8" w:hRule="atLeast"/>
          <w:jc w:val="center"/>
        </w:trPr>
        <w:tc>
          <w:tcPr>
            <w:tcW w:w="597" w:type="dxa"/>
            <w:vMerge w:val="continue"/>
            <w:tcBorders>
              <w:left w:val="single" w:color="auto" w:sz="4" w:space="0"/>
              <w:right w:val="single" w:color="auto" w:sz="4" w:space="0"/>
            </w:tcBorders>
            <w:vAlign w:val="center"/>
          </w:tcPr>
          <w:p>
            <w:pPr>
              <w:rPr>
                <w:rFonts w:ascii="宋体" w:hAnsi="宋体"/>
                <w:sz w:val="24"/>
                <w:szCs w:val="24"/>
              </w:rPr>
            </w:pPr>
          </w:p>
        </w:tc>
        <w:tc>
          <w:tcPr>
            <w:tcW w:w="2913" w:type="dxa"/>
            <w:tcBorders>
              <w:top w:val="single" w:color="auto" w:sz="4" w:space="0"/>
              <w:left w:val="single" w:color="auto" w:sz="4" w:space="0"/>
              <w:right w:val="single" w:color="auto" w:sz="4" w:space="0"/>
            </w:tcBorders>
            <w:vAlign w:val="center"/>
          </w:tcPr>
          <w:p>
            <w:pPr>
              <w:jc w:val="center"/>
              <w:rPr>
                <w:rFonts w:ascii="宋体" w:hAnsi="宋体"/>
                <w:sz w:val="24"/>
                <w:szCs w:val="24"/>
              </w:rPr>
            </w:pPr>
            <w:r>
              <w:rPr>
                <w:rFonts w:hint="eastAsia" w:hAnsi="宋体" w:cs="Times New Roman"/>
                <w:kern w:val="2"/>
                <w:sz w:val="28"/>
                <w:szCs w:val="28"/>
                <w:lang w:val="en-US" w:eastAsia="zh-CN" w:bidi="ar-SA"/>
              </w:rPr>
              <w:t>服务承诺（20分）</w:t>
            </w:r>
          </w:p>
        </w:tc>
        <w:tc>
          <w:tcPr>
            <w:tcW w:w="6118" w:type="dxa"/>
            <w:tcBorders>
              <w:top w:val="single" w:color="auto" w:sz="4" w:space="0"/>
              <w:left w:val="single" w:color="auto" w:sz="4" w:space="0"/>
              <w:right w:val="single" w:color="auto" w:sz="4" w:space="0"/>
            </w:tcBorders>
            <w:vAlign w:val="center"/>
          </w:tcPr>
          <w:p>
            <w:pPr>
              <w:pStyle w:val="15"/>
              <w:adjustRightInd w:val="0"/>
              <w:snapToGrid w:val="0"/>
              <w:spacing w:line="360" w:lineRule="auto"/>
              <w:ind w:firstLine="560" w:firstLineChars="200"/>
              <w:rPr>
                <w:rFonts w:hint="eastAsia" w:hAnsi="宋体" w:cs="Times New Roman"/>
                <w:color w:val="FF00FF"/>
                <w:kern w:val="2"/>
                <w:sz w:val="28"/>
                <w:szCs w:val="28"/>
                <w:lang w:val="en-US" w:eastAsia="zh-CN" w:bidi="ar-SA"/>
              </w:rPr>
            </w:pPr>
            <w:r>
              <w:rPr>
                <w:rFonts w:hint="eastAsia" w:hAnsi="宋体" w:cs="Times New Roman"/>
                <w:color w:val="FF00FF"/>
                <w:kern w:val="2"/>
                <w:sz w:val="28"/>
                <w:szCs w:val="28"/>
                <w:lang w:val="en-US" w:eastAsia="zh-CN" w:bidi="ar-SA"/>
              </w:rPr>
              <w:t>承诺理赔服务时效、建立联系机制、提供报告，依据提供情况得分。</w:t>
            </w:r>
          </w:p>
          <w:p>
            <w:pPr>
              <w:rPr>
                <w:rFonts w:ascii="宋体" w:hAnsi="宋体"/>
                <w:sz w:val="24"/>
                <w:szCs w:val="24"/>
              </w:rPr>
            </w:pPr>
          </w:p>
        </w:tc>
      </w:tr>
    </w:tbl>
    <w:p>
      <w:pPr>
        <w:widowControl/>
        <w:spacing w:line="360" w:lineRule="auto"/>
        <w:jc w:val="left"/>
        <w:rPr>
          <w:rFonts w:ascii="宋体" w:hAnsi="宋体"/>
          <w:sz w:val="24"/>
          <w:szCs w:val="24"/>
        </w:rPr>
      </w:pPr>
      <w:r>
        <w:rPr>
          <w:rFonts w:ascii="宋体" w:hAnsi="宋体"/>
          <w:sz w:val="24"/>
          <w:szCs w:val="24"/>
        </w:rPr>
        <w:br w:type="page"/>
      </w:r>
    </w:p>
    <w:p>
      <w:pPr>
        <w:pStyle w:val="2"/>
        <w:keepNext w:val="0"/>
        <w:keepLines w:val="0"/>
        <w:spacing w:line="360" w:lineRule="auto"/>
        <w:rPr>
          <w:rFonts w:ascii="宋体" w:hAnsi="宋体"/>
          <w:sz w:val="24"/>
          <w:szCs w:val="24"/>
        </w:rPr>
      </w:pPr>
      <w:bookmarkStart w:id="43" w:name="_Toc497408629"/>
      <w:r>
        <w:rPr>
          <w:rFonts w:hint="eastAsia" w:ascii="宋体" w:hAnsi="宋体"/>
          <w:sz w:val="24"/>
          <w:szCs w:val="24"/>
        </w:rPr>
        <w:t>第七章 投标文件格式与要求</w:t>
      </w:r>
      <w:bookmarkEnd w:id="43"/>
    </w:p>
    <w:p>
      <w:pPr>
        <w:rPr>
          <w:sz w:val="24"/>
          <w:szCs w:val="24"/>
          <w:lang w:val="zh-CN"/>
        </w:rPr>
      </w:pPr>
    </w:p>
    <w:p>
      <w:pPr>
        <w:ind w:firstLine="720" w:firstLineChars="300"/>
        <w:rPr>
          <w:sz w:val="24"/>
          <w:szCs w:val="24"/>
          <w:lang w:val="zh-CN"/>
        </w:rPr>
      </w:pPr>
      <w:r>
        <w:rPr>
          <w:rFonts w:hint="eastAsia"/>
          <w:sz w:val="24"/>
          <w:szCs w:val="24"/>
          <w:lang w:val="zh-CN"/>
        </w:rPr>
        <w:t>投标人提供投标文件应当按照以下格式及要求进行编制，且应不少于以下内容。</w:t>
      </w:r>
    </w:p>
    <w:p>
      <w:pPr>
        <w:spacing w:line="360" w:lineRule="auto"/>
        <w:rPr>
          <w:rFonts w:ascii="宋体" w:hAnsi="宋体"/>
          <w:b/>
          <w:bCs/>
          <w:kern w:val="0"/>
          <w:sz w:val="24"/>
          <w:szCs w:val="24"/>
          <w:lang w:val="zh-CN"/>
        </w:rPr>
      </w:pPr>
      <w:r>
        <w:rPr>
          <w:rFonts w:ascii="宋体" w:hAnsi="宋体"/>
          <w:b/>
          <w:bCs/>
          <w:kern w:val="0"/>
          <w:sz w:val="24"/>
          <w:szCs w:val="24"/>
          <w:lang w:val="zh-CN"/>
        </w:rPr>
        <w:br w:type="page"/>
      </w:r>
    </w:p>
    <w:p>
      <w:pPr>
        <w:spacing w:line="360" w:lineRule="auto"/>
        <w:jc w:val="left"/>
        <w:rPr>
          <w:rFonts w:ascii="宋体" w:hAnsi="宋体"/>
          <w:bCs/>
          <w:kern w:val="0"/>
          <w:sz w:val="24"/>
          <w:szCs w:val="24"/>
          <w:lang w:val="zh-CN"/>
        </w:rPr>
      </w:pPr>
      <w:r>
        <w:rPr>
          <w:rFonts w:hint="eastAsia" w:ascii="宋体" w:hAnsi="宋体"/>
          <w:b/>
          <w:bCs/>
          <w:kern w:val="0"/>
          <w:sz w:val="24"/>
          <w:szCs w:val="24"/>
          <w:lang w:val="zh-CN"/>
        </w:rPr>
        <w:t>格式一</w:t>
      </w:r>
      <w:r>
        <w:rPr>
          <w:rFonts w:hint="eastAsia" w:ascii="宋体" w:hAnsi="宋体"/>
          <w:bCs/>
          <w:kern w:val="0"/>
          <w:sz w:val="24"/>
          <w:szCs w:val="24"/>
          <w:lang w:val="zh-CN"/>
        </w:rPr>
        <w:t>：</w:t>
      </w: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宋体" w:hAnsi="宋体" w:cs="宋体"/>
          <w:b/>
          <w:bCs/>
          <w:sz w:val="36"/>
          <w:szCs w:val="36"/>
        </w:rPr>
      </w:pPr>
    </w:p>
    <w:p>
      <w:pPr>
        <w:spacing w:line="360" w:lineRule="auto"/>
        <w:ind w:firstLine="726" w:firstLineChars="201"/>
        <w:jc w:val="center"/>
        <w:rPr>
          <w:rFonts w:asciiTheme="minorEastAsia" w:hAnsiTheme="minorEastAsia" w:eastAsiaTheme="minorEastAsia"/>
          <w:b/>
          <w:bCs/>
          <w:sz w:val="36"/>
          <w:szCs w:val="36"/>
        </w:rPr>
      </w:pPr>
      <w:r>
        <w:rPr>
          <w:rFonts w:hint="eastAsia" w:cs="宋体" w:asciiTheme="minorEastAsia" w:hAnsiTheme="minorEastAsia" w:eastAsiaTheme="minorEastAsia"/>
          <w:b/>
          <w:bCs/>
          <w:sz w:val="36"/>
          <w:szCs w:val="36"/>
        </w:rPr>
        <w:t>投标文件封面</w:t>
      </w:r>
    </w:p>
    <w:p>
      <w:pPr>
        <w:spacing w:line="360" w:lineRule="auto"/>
        <w:ind w:firstLine="1049" w:firstLineChars="201"/>
        <w:jc w:val="center"/>
        <w:rPr>
          <w:rFonts w:asciiTheme="minorEastAsia" w:hAnsiTheme="minorEastAsia" w:eastAsiaTheme="minorEastAsia"/>
          <w:b/>
          <w:bCs/>
          <w:sz w:val="52"/>
          <w:szCs w:val="52"/>
        </w:rPr>
      </w:pP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（项目名称）</w:t>
      </w:r>
    </w:p>
    <w:p>
      <w:pPr>
        <w:spacing w:line="360" w:lineRule="auto"/>
        <w:ind w:firstLine="1049" w:firstLineChars="201"/>
        <w:jc w:val="center"/>
        <w:rPr>
          <w:rFonts w:asciiTheme="minorEastAsia" w:hAnsiTheme="minorEastAsia" w:eastAsiaTheme="minorEastAsia"/>
          <w:b/>
          <w:bCs/>
          <w:kern w:val="0"/>
          <w:sz w:val="52"/>
          <w:szCs w:val="52"/>
        </w:rPr>
      </w:pPr>
      <w:r>
        <w:rPr>
          <w:rFonts w:hint="eastAsia" w:cs="宋体" w:asciiTheme="minorEastAsia" w:hAnsiTheme="minorEastAsia" w:eastAsiaTheme="minorEastAsia"/>
          <w:b/>
          <w:bCs/>
          <w:kern w:val="0"/>
          <w:sz w:val="52"/>
          <w:szCs w:val="52"/>
        </w:rPr>
        <w:t>投标文件</w:t>
      </w:r>
    </w:p>
    <w:p>
      <w:pPr>
        <w:spacing w:line="360" w:lineRule="auto"/>
        <w:ind w:firstLine="723" w:firstLineChars="201"/>
        <w:jc w:val="center"/>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（正本</w:t>
      </w:r>
      <w:r>
        <w:rPr>
          <w:rFonts w:cs="楷体_GB2312" w:asciiTheme="minorEastAsia" w:hAnsiTheme="minorEastAsia" w:eastAsiaTheme="minorEastAsia"/>
          <w:sz w:val="36"/>
          <w:szCs w:val="36"/>
        </w:rPr>
        <w:t>/</w:t>
      </w:r>
      <w:r>
        <w:rPr>
          <w:rFonts w:hint="eastAsia" w:cs="楷体_GB2312" w:asciiTheme="minorEastAsia" w:hAnsiTheme="minorEastAsia" w:eastAsiaTheme="minorEastAsia"/>
          <w:sz w:val="36"/>
          <w:szCs w:val="36"/>
        </w:rPr>
        <w:t>副本）</w:t>
      </w:r>
    </w:p>
    <w:p>
      <w:pPr>
        <w:spacing w:line="360" w:lineRule="auto"/>
        <w:ind w:firstLine="723" w:firstLineChars="201"/>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项目编号：</w:t>
      </w:r>
    </w:p>
    <w:p>
      <w:pPr>
        <w:spacing w:line="360" w:lineRule="auto"/>
        <w:ind w:firstLine="723" w:firstLineChars="201"/>
        <w:rPr>
          <w:rFonts w:asciiTheme="minorEastAsia" w:hAnsiTheme="minorEastAsia" w:eastAsiaTheme="minorEastAsia"/>
          <w:b/>
          <w:bCs/>
          <w:kern w:val="0"/>
          <w:sz w:val="36"/>
          <w:szCs w:val="36"/>
        </w:rPr>
      </w:pPr>
      <w:r>
        <w:rPr>
          <w:rFonts w:hint="eastAsia" w:cs="楷体_GB2312" w:asciiTheme="minorEastAsia" w:hAnsiTheme="minorEastAsia" w:eastAsiaTheme="minorEastAsia"/>
          <w:sz w:val="36"/>
          <w:szCs w:val="36"/>
        </w:rPr>
        <w:t>包</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号：</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第</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包</w:t>
      </w:r>
      <w:r>
        <w:rPr>
          <w:rFonts w:hint="eastAsia" w:cs="方正楷体简体" w:asciiTheme="minorEastAsia" w:hAnsiTheme="minorEastAsia" w:eastAsiaTheme="minorEastAsia"/>
          <w:szCs w:val="28"/>
        </w:rPr>
        <w:t>（</w:t>
      </w:r>
      <w:r>
        <w:rPr>
          <w:rFonts w:hint="eastAsia" w:cs="宋体" w:asciiTheme="minorEastAsia" w:hAnsiTheme="minorEastAsia" w:eastAsiaTheme="minorEastAsia"/>
          <w:kern w:val="0"/>
          <w:szCs w:val="28"/>
        </w:rPr>
        <w:t>若项目分包时使用）</w:t>
      </w:r>
    </w:p>
    <w:p>
      <w:pPr>
        <w:spacing w:line="360" w:lineRule="auto"/>
        <w:rPr>
          <w:rFonts w:asciiTheme="minorEastAsia" w:hAnsiTheme="minorEastAsia" w:eastAsiaTheme="minorEastAsia"/>
          <w:kern w:val="0"/>
          <w:szCs w:val="28"/>
        </w:rPr>
      </w:pPr>
    </w:p>
    <w:p>
      <w:pPr>
        <w:spacing w:line="360" w:lineRule="auto"/>
        <w:rPr>
          <w:rFonts w:asciiTheme="minorEastAsia" w:hAnsiTheme="minorEastAsia" w:eastAsiaTheme="minorEastAsia"/>
          <w:kern w:val="0"/>
          <w:szCs w:val="28"/>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（投标人名称）</w:t>
      </w: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p>
    <w:p>
      <w:pPr>
        <w:spacing w:line="360" w:lineRule="auto"/>
        <w:ind w:firstLine="723" w:firstLineChars="201"/>
        <w:jc w:val="center"/>
        <w:rPr>
          <w:rFonts w:asciiTheme="minorEastAsia" w:hAnsiTheme="minorEastAsia" w:eastAsiaTheme="minorEastAsia"/>
          <w:sz w:val="36"/>
          <w:szCs w:val="36"/>
        </w:rPr>
      </w:pPr>
      <w:r>
        <w:rPr>
          <w:rFonts w:hint="eastAsia" w:cs="楷体_GB2312" w:asciiTheme="minorEastAsia" w:hAnsiTheme="minorEastAsia" w:eastAsiaTheme="minorEastAsia"/>
          <w:sz w:val="36"/>
          <w:szCs w:val="36"/>
        </w:rPr>
        <w:t>年</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月</w:t>
      </w:r>
      <w:r>
        <w:rPr>
          <w:rFonts w:cs="楷体_GB2312" w:asciiTheme="minorEastAsia" w:hAnsiTheme="minorEastAsia" w:eastAsiaTheme="minorEastAsia"/>
          <w:sz w:val="36"/>
          <w:szCs w:val="36"/>
        </w:rPr>
        <w:t xml:space="preserve">  </w:t>
      </w:r>
      <w:r>
        <w:rPr>
          <w:rFonts w:hint="eastAsia" w:cs="楷体_GB2312" w:asciiTheme="minorEastAsia" w:hAnsiTheme="minorEastAsia" w:eastAsiaTheme="minorEastAsia"/>
          <w:sz w:val="36"/>
          <w:szCs w:val="36"/>
        </w:rPr>
        <w:t>日</w:t>
      </w:r>
    </w:p>
    <w:p>
      <w:pPr>
        <w:spacing w:line="360" w:lineRule="auto"/>
        <w:rPr>
          <w:rFonts w:ascii="宋体" w:hAnsi="宋体"/>
          <w:b/>
          <w:sz w:val="24"/>
          <w:szCs w:val="24"/>
        </w:rPr>
      </w:pPr>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投标文件目录</w:t>
      </w:r>
    </w:p>
    <w:p>
      <w:pPr>
        <w:spacing w:line="360" w:lineRule="auto"/>
        <w:rPr>
          <w:rFonts w:ascii="宋体" w:hAnsi="宋体"/>
          <w:sz w:val="24"/>
          <w:szCs w:val="24"/>
        </w:rPr>
      </w:pPr>
      <w:r>
        <w:rPr>
          <w:rFonts w:hint="eastAsia" w:ascii="宋体" w:hAnsi="宋体"/>
          <w:sz w:val="24"/>
          <w:szCs w:val="24"/>
        </w:rPr>
        <w:t>一.投标承诺书………………………………………………………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十三.投标人业绩情况表…………………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十四.投标人基本情况表……………………………………………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十六.缴纳增值税、营业税或企业所得税的凭据</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十七.缴纳社会保险的凭据………………………………………</w:t>
      </w:r>
      <w:r>
        <w:rPr>
          <w:rFonts w:ascii="宋体" w:hAnsi="宋体"/>
          <w:sz w:val="24"/>
          <w:szCs w:val="24"/>
        </w:rPr>
        <w:t>…………</w:t>
      </w:r>
      <w:r>
        <w:rPr>
          <w:rFonts w:hint="eastAsia" w:ascii="宋体" w:hAnsi="宋体"/>
          <w:sz w:val="24"/>
          <w:szCs w:val="24"/>
        </w:rPr>
        <w:t>…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十九.《检察机关行贿犯罪档案查询结果告知函》……………………</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二十.政府采购政策情况表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二十一.中小企业声明函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二十二.残疾人福利性单位声明函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二十三.各类证明材料…………………………………………………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44"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44"/>
      <w:r>
        <w:rPr>
          <w:rFonts w:hint="eastAsia" w:ascii="宋体" w:hAnsi="宋体"/>
          <w:b/>
          <w:sz w:val="24"/>
          <w:szCs w:val="24"/>
        </w:rPr>
        <w:t xml:space="preserve">  </w:t>
      </w:r>
    </w:p>
    <w:p>
      <w:pPr>
        <w:spacing w:line="360" w:lineRule="auto"/>
        <w:ind w:firstLine="3960" w:firstLineChars="1650"/>
        <w:jc w:val="left"/>
        <w:rPr>
          <w:rFonts w:ascii="宋体" w:hAnsi="宋体"/>
          <w:sz w:val="24"/>
          <w:szCs w:val="24"/>
        </w:rPr>
      </w:pPr>
      <w:r>
        <w:rPr>
          <w:rFonts w:hint="eastAsia" w:ascii="宋体" w:hAnsi="宋体"/>
          <w:sz w:val="24"/>
          <w:szCs w:val="24"/>
        </w:rPr>
        <w:t>投标承诺书</w:t>
      </w:r>
    </w:p>
    <w:p>
      <w:pPr>
        <w:spacing w:line="360" w:lineRule="auto"/>
        <w:rPr>
          <w:rFonts w:ascii="宋体" w:hAnsi="宋体"/>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）招标文件要求，经我方</w:t>
      </w:r>
      <w:r>
        <w:rPr>
          <w:rFonts w:hint="eastAsia" w:ascii="宋体" w:hAnsi="宋体"/>
          <w:sz w:val="24"/>
          <w:szCs w:val="24"/>
          <w:u w:val="single"/>
        </w:rPr>
        <w:t>（投标人名称）</w:t>
      </w:r>
      <w:r>
        <w:rPr>
          <w:rFonts w:hint="eastAsia" w:ascii="宋体" w:hAnsi="宋体"/>
          <w:sz w:val="24"/>
          <w:szCs w:val="24"/>
        </w:rPr>
        <w:t>认真研究投标须知、合同条款、服务要求、资质要求和其它有关要求后，我方愿按上述合同条款、服务要求、资质要求进行投标。我方完全接受本次招标文件规定的所有要求，并承诺在中标后执行招标文件、投标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我方同意所递交的投标文件在“投标须知”规定的投标有效期内有效，在此期间内我方的投标如能中标，我方将受此约束。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我方郑重声明：所提供的投标文件内容全部真实有效。如经查实承诺的内容事项存在虚假，我公司愿意接受提供虚假材料谋取中标追究法律责任。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可能另外要求的与其投标有关的任何数据或资料。除非另外达成协议并生效，否则，中标通知书和本投标文件将构成约束双方合同的组成部分。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（4）不按照招标文件要求提交履约保证金；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（5）要求修改、补充和撤销投标文件的实质性内容；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（6）要求更改招标文件和中标结果公告的实质性内容；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（7）法律法规和招标文件规定的其他情形。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投标人开户银行：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投标人法人授权代表签字：（加盖公章）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r>
        <w:rPr>
          <w:rFonts w:hint="eastAsia" w:ascii="宋体" w:hAnsi="宋体"/>
          <w:sz w:val="24"/>
          <w:szCs w:val="24"/>
        </w:rPr>
        <w:t xml:space="preserve">                   </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15"/>
        <w:spacing w:line="360" w:lineRule="auto"/>
        <w:ind w:left="57" w:right="57" w:firstLine="57"/>
        <w:rPr>
          <w:rFonts w:hAnsi="宋体"/>
          <w:bCs/>
          <w:sz w:val="24"/>
          <w:szCs w:val="24"/>
        </w:rPr>
      </w:pPr>
    </w:p>
    <w:p>
      <w:pPr>
        <w:pStyle w:val="15"/>
        <w:spacing w:line="360" w:lineRule="auto"/>
        <w:ind w:left="57" w:right="57" w:firstLine="57"/>
        <w:rPr>
          <w:rFonts w:hAnsi="宋体"/>
          <w:sz w:val="24"/>
          <w:szCs w:val="24"/>
        </w:rPr>
      </w:pPr>
      <w:r>
        <w:rPr>
          <w:rFonts w:hint="eastAsia" w:hAnsi="宋体"/>
          <w:sz w:val="24"/>
          <w:szCs w:val="24"/>
        </w:rPr>
        <w:t>投标人名称（加盖公章）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3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49"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49" w:type="dxa"/>
            <w:vMerge w:val="restart"/>
            <w:vAlign w:val="center"/>
          </w:tcPr>
          <w:p>
            <w:pPr>
              <w:spacing w:line="360" w:lineRule="auto"/>
              <w:ind w:left="57" w:right="57" w:firstLine="57"/>
              <w:jc w:val="center"/>
              <w:rPr>
                <w:rFonts w:ascii="宋体" w:hAnsi="宋体"/>
                <w:sz w:val="24"/>
                <w:szCs w:val="24"/>
              </w:rPr>
            </w:pPr>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49"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2．价格应按照“投标人须知”的要求报价。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》中所填写内容与投标文件中内容不一致的，以开标一览表为准。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3"/>
        <w:keepNext w:val="0"/>
        <w:keepLines w:val="0"/>
        <w:spacing w:line="360" w:lineRule="auto"/>
        <w:rPr>
          <w:rFonts w:ascii="宋体" w:hAnsi="宋体" w:eastAsia="宋体"/>
          <w:sz w:val="24"/>
          <w:szCs w:val="24"/>
        </w:rPr>
      </w:pPr>
      <w:bookmarkStart w:id="45" w:name="_Toc482026549"/>
      <w:r>
        <w:rPr>
          <w:rFonts w:ascii="宋体" w:hAnsi="宋体" w:eastAsia="宋体"/>
          <w:sz w:val="24"/>
          <w:szCs w:val="24"/>
        </w:rPr>
        <w:br w:type="page"/>
      </w:r>
    </w:p>
    <w:bookmarkEnd w:id="45"/>
    <w:p>
      <w:pPr>
        <w:spacing w:line="360" w:lineRule="auto"/>
        <w:rPr>
          <w:rFonts w:asciiTheme="minorEastAsia" w:hAnsiTheme="minorEastAsia" w:eastAsiaTheme="minorEastAsia"/>
          <w:b/>
          <w:sz w:val="24"/>
          <w:szCs w:val="24"/>
        </w:rPr>
      </w:pPr>
      <w:bookmarkStart w:id="46"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（投标人名称）的法定代表人。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注：本身份证明需由投标人加盖单位公章。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34"/>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投标人：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b/>
          <w:sz w:val="24"/>
          <w:szCs w:val="24"/>
        </w:rPr>
      </w:pPr>
      <w:r>
        <w:rPr>
          <w:rFonts w:asciiTheme="minorEastAsia" w:hAnsiTheme="minorEastAsia" w:eastAsiaTheme="minorEastAsia"/>
          <w:b/>
          <w:sz w:val="24"/>
          <w:szCs w:val="24"/>
        </w:rPr>
        <w:br w:type="page"/>
      </w:r>
    </w:p>
    <w:p>
      <w:pPr>
        <w:spacing w:line="360" w:lineRule="auto"/>
        <w:jc w:val="left"/>
        <w:rPr>
          <w:rFonts w:asciiTheme="minorEastAsia" w:hAnsiTheme="minorEastAsia" w:eastAsiaTheme="minorEastAsia"/>
          <w:b/>
          <w:sz w:val="24"/>
          <w:szCs w:val="24"/>
        </w:rPr>
      </w:pPr>
      <w:bookmarkStart w:id="47" w:name="_Toc496001220"/>
      <w:r>
        <w:rPr>
          <w:rFonts w:hint="eastAsia" w:asciiTheme="minorEastAsia" w:hAnsiTheme="minorEastAsia" w:eastAsiaTheme="minorEastAsia"/>
          <w:b/>
          <w:sz w:val="24"/>
          <w:szCs w:val="24"/>
        </w:rPr>
        <w:t>格式七：</w:t>
      </w:r>
      <w:bookmarkEnd w:id="47"/>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（投标人名称）的法定代表人，现委托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交、撤回、修改招标项目投标文件、签订合同和处理有关事宜，其法律后果由我方承担。委托期限：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注：本授权委托书需由投标人加盖单位公章并由其法定代表人和委托代理人签字。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15"/>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投标人应在此提供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联合体各成员将严格按照招标文件、投标文件和合同的要求全面履行义务，并向招标人承担连带责任。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34"/>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ind w:firstLine="120" w:firstLineChars="50"/>
        <w:rPr>
          <w:rFonts w:ascii="宋体" w:hAnsi="宋体"/>
          <w:sz w:val="24"/>
          <w:szCs w:val="24"/>
          <w:lang w:val="zh-CN"/>
        </w:rPr>
      </w:pPr>
      <w:r>
        <w:rPr>
          <w:rFonts w:hint="eastAsia" w:ascii="宋体" w:hAnsi="宋体"/>
          <w:sz w:val="24"/>
          <w:szCs w:val="24"/>
          <w:lang w:val="zh-CN"/>
        </w:rPr>
        <w:t>注：投标人在本表后附人员证书等复印件。</w:t>
      </w:r>
    </w:p>
    <w:p>
      <w:pPr>
        <w:rPr>
          <w:lang w:val="zh-CN"/>
        </w:rPr>
      </w:pPr>
    </w:p>
    <w:p>
      <w:pPr>
        <w:widowControl/>
        <w:jc w:val="left"/>
        <w:rPr>
          <w:lang w:val="zh-CN"/>
        </w:rPr>
      </w:pPr>
      <w:r>
        <w:rPr>
          <w:lang w:val="zh-CN"/>
        </w:rPr>
        <w:br w:type="page"/>
      </w:r>
    </w:p>
    <w:p>
      <w:pPr>
        <w:adjustRightInd w:val="0"/>
        <w:snapToGrid w:val="0"/>
        <w:spacing w:line="360" w:lineRule="auto"/>
        <w:jc w:val="left"/>
        <w:rPr>
          <w:rFonts w:hAnsi="宋体"/>
          <w:b/>
          <w:bCs/>
          <w:sz w:val="24"/>
          <w:szCs w:val="24"/>
        </w:rPr>
      </w:pPr>
      <w:r>
        <w:rPr>
          <w:rFonts w:hint="eastAsia" w:hAnsi="宋体"/>
          <w:b/>
          <w:bCs/>
          <w:sz w:val="24"/>
          <w:szCs w:val="24"/>
        </w:rPr>
        <w:t>格式十一：</w:t>
      </w:r>
      <w:bookmarkEnd w:id="46"/>
      <w:r>
        <w:rPr>
          <w:rFonts w:hint="eastAsia" w:hAnsi="宋体"/>
          <w:b/>
          <w:bCs/>
          <w:sz w:val="24"/>
          <w:szCs w:val="24"/>
        </w:rPr>
        <w:t xml:space="preserve"> </w:t>
      </w:r>
    </w:p>
    <w:p>
      <w:pPr>
        <w:adjustRightInd w:val="0"/>
        <w:snapToGrid w:val="0"/>
        <w:spacing w:line="360" w:lineRule="auto"/>
        <w:ind w:firstLine="3960" w:firstLineChars="1650"/>
        <w:jc w:val="left"/>
        <w:rPr>
          <w:rFonts w:ascii="宋体" w:hAnsi="宋体" w:cs="Courier New"/>
          <w:kern w:val="0"/>
          <w:sz w:val="24"/>
          <w:szCs w:val="24"/>
        </w:rPr>
      </w:pPr>
      <w:r>
        <w:rPr>
          <w:rFonts w:hint="eastAsia" w:ascii="宋体" w:hAnsi="宋体" w:cs="Courier New"/>
          <w:kern w:val="0"/>
          <w:sz w:val="24"/>
          <w:szCs w:val="24"/>
        </w:rPr>
        <w:t>分项报价明细表</w:t>
      </w:r>
    </w:p>
    <w:tbl>
      <w:tblPr>
        <w:tblStyle w:val="3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2"/>
        <w:gridCol w:w="2010"/>
        <w:gridCol w:w="1920"/>
        <w:gridCol w:w="1498"/>
        <w:gridCol w:w="1227"/>
        <w:gridCol w:w="1415"/>
        <w:gridCol w:w="7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92"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2010" w:type="dxa"/>
            <w:tcBorders>
              <w:top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服务项目</w:t>
            </w:r>
          </w:p>
        </w:tc>
        <w:tc>
          <w:tcPr>
            <w:tcW w:w="1920" w:type="dxa"/>
            <w:tcBorders>
              <w:top w:val="single" w:color="auto" w:sz="4" w:space="0"/>
            </w:tcBorders>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主要服务内容</w:t>
            </w:r>
          </w:p>
        </w:tc>
        <w:tc>
          <w:tcPr>
            <w:tcW w:w="1498"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227"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15"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766"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1</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2</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3</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ascii="宋体" w:hAnsi="宋体" w:cs="Courier New"/>
                <w:kern w:val="0"/>
                <w:sz w:val="24"/>
                <w:szCs w:val="24"/>
              </w:rPr>
              <w:t>4</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w:t>
            </w:r>
          </w:p>
        </w:tc>
        <w:tc>
          <w:tcPr>
            <w:tcW w:w="2010" w:type="dxa"/>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92" w:type="dxa"/>
            <w:tcBorders>
              <w:bottom w:val="single" w:color="auto" w:sz="4" w:space="0"/>
            </w:tcBorders>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合计</w:t>
            </w:r>
          </w:p>
        </w:tc>
        <w:tc>
          <w:tcPr>
            <w:tcW w:w="2010"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kern w:val="0"/>
                <w:sz w:val="24"/>
                <w:szCs w:val="24"/>
              </w:rPr>
            </w:pPr>
          </w:p>
        </w:tc>
        <w:tc>
          <w:tcPr>
            <w:tcW w:w="1920" w:type="dxa"/>
            <w:tcBorders>
              <w:bottom w:val="single" w:color="auto" w:sz="4" w:space="0"/>
            </w:tcBorders>
          </w:tcPr>
          <w:p>
            <w:pPr>
              <w:adjustRightInd w:val="0"/>
              <w:snapToGrid w:val="0"/>
              <w:spacing w:line="360" w:lineRule="auto"/>
              <w:ind w:firstLine="482" w:firstLineChars="201"/>
              <w:jc w:val="center"/>
              <w:rPr>
                <w:rFonts w:ascii="宋体" w:hAnsi="宋体" w:cs="Courier New"/>
                <w:kern w:val="0"/>
                <w:sz w:val="24"/>
                <w:szCs w:val="24"/>
              </w:rPr>
            </w:pPr>
          </w:p>
        </w:tc>
        <w:tc>
          <w:tcPr>
            <w:tcW w:w="1498"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227"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1415"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c>
          <w:tcPr>
            <w:tcW w:w="766"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kern w:val="0"/>
                <w:sz w:val="24"/>
                <w:szCs w:val="24"/>
              </w:rPr>
            </w:pPr>
          </w:p>
        </w:tc>
      </w:tr>
    </w:tbl>
    <w:p>
      <w:pPr>
        <w:adjustRightInd w:val="0"/>
        <w:snapToGrid w:val="0"/>
        <w:spacing w:line="360" w:lineRule="auto"/>
        <w:ind w:firstLine="3960" w:firstLineChars="1650"/>
        <w:jc w:val="left"/>
        <w:rPr>
          <w:rFonts w:ascii="宋体" w:hAnsi="宋体" w:cs="Courier New"/>
          <w:kern w:val="0"/>
          <w:sz w:val="24"/>
          <w:szCs w:val="24"/>
        </w:rPr>
      </w:pPr>
    </w:p>
    <w:p>
      <w:pPr>
        <w:numPr>
          <w:ilvl w:val="0"/>
          <w:numId w:val="3"/>
        </w:numPr>
        <w:suppressAutoHyphens/>
        <w:spacing w:line="360" w:lineRule="auto"/>
        <w:rPr>
          <w:rFonts w:ascii="宋体" w:hAnsi="宋体"/>
          <w:sz w:val="21"/>
          <w:szCs w:val="21"/>
          <w:lang w:val="en-GB"/>
        </w:rPr>
      </w:pPr>
      <w:r>
        <w:rPr>
          <w:rFonts w:hint="eastAsia" w:ascii="宋体" w:hAnsi="宋体"/>
          <w:sz w:val="21"/>
          <w:szCs w:val="21"/>
        </w:rPr>
        <w:t>注：</w:t>
      </w:r>
    </w:p>
    <w:p>
      <w:pPr>
        <w:numPr>
          <w:ilvl w:val="0"/>
          <w:numId w:val="3"/>
        </w:numPr>
        <w:suppressAutoHyphens/>
        <w:spacing w:line="360" w:lineRule="auto"/>
        <w:rPr>
          <w:rFonts w:ascii="宋体" w:hAnsi="宋体"/>
          <w:sz w:val="21"/>
          <w:szCs w:val="21"/>
          <w:lang w:val="en-GB"/>
        </w:rPr>
      </w:pPr>
      <w:r>
        <w:rPr>
          <w:rFonts w:hint="eastAsia" w:ascii="宋体" w:hAnsi="宋体"/>
          <w:sz w:val="21"/>
          <w:szCs w:val="21"/>
          <w:lang w:val="en-GB"/>
        </w:rPr>
        <w:t>（1）以上内容必须全部填写；</w:t>
      </w:r>
    </w:p>
    <w:p>
      <w:pPr>
        <w:numPr>
          <w:ilvl w:val="0"/>
          <w:numId w:val="3"/>
        </w:numPr>
        <w:suppressAutoHyphens/>
        <w:spacing w:line="360" w:lineRule="auto"/>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3"/>
        </w:numPr>
        <w:suppressAutoHyphens/>
        <w:spacing w:line="360" w:lineRule="auto"/>
        <w:rPr>
          <w:rFonts w:ascii="宋体" w:hAnsi="宋体"/>
          <w:sz w:val="21"/>
          <w:szCs w:val="21"/>
          <w:lang w:val="en-GB"/>
        </w:rPr>
      </w:pPr>
      <w:r>
        <w:rPr>
          <w:rFonts w:hint="eastAsia"/>
          <w:snapToGrid w:val="0"/>
          <w:sz w:val="21"/>
        </w:rPr>
        <w:t>（3）根据合同或本表未列明的其它可能产生的费用应由投标人支付、负责；</w:t>
      </w:r>
    </w:p>
    <w:p>
      <w:pPr>
        <w:numPr>
          <w:ilvl w:val="0"/>
          <w:numId w:val="3"/>
        </w:numPr>
        <w:suppressAutoHyphens/>
        <w:spacing w:line="360" w:lineRule="auto"/>
        <w:rPr>
          <w:snapToGrid w:val="0"/>
          <w:sz w:val="21"/>
        </w:rPr>
      </w:pPr>
      <w:r>
        <w:rPr>
          <w:rFonts w:hint="eastAsia"/>
          <w:snapToGrid w:val="0"/>
          <w:sz w:val="21"/>
        </w:rPr>
        <w:t>（4）此表将随中标公告一并公示，请投标人认真填写；</w:t>
      </w:r>
    </w:p>
    <w:p>
      <w:pPr>
        <w:suppressAutoHyphens/>
        <w:snapToGrid w:val="0"/>
        <w:spacing w:line="360" w:lineRule="auto"/>
        <w:rPr>
          <w:rFonts w:ascii="宋体" w:hAnsi="宋体" w:cs="宋体"/>
          <w:sz w:val="21"/>
          <w:szCs w:val="21"/>
        </w:rPr>
      </w:pPr>
    </w:p>
    <w:p>
      <w:pPr>
        <w:numPr>
          <w:ilvl w:val="0"/>
          <w:numId w:val="3"/>
        </w:numPr>
        <w:suppressAutoHyphens/>
        <w:snapToGrid w:val="0"/>
        <w:spacing w:line="360" w:lineRule="auto"/>
        <w:rPr>
          <w:rFonts w:ascii="宋体" w:hAnsi="宋体" w:cs="宋体"/>
          <w:sz w:val="21"/>
          <w:szCs w:val="21"/>
        </w:rPr>
      </w:pPr>
      <w:r>
        <w:rPr>
          <w:rFonts w:hint="eastAsia" w:ascii="宋体" w:hAnsi="宋体" w:cs="宋体"/>
          <w:sz w:val="21"/>
          <w:szCs w:val="21"/>
        </w:rPr>
        <w:t xml:space="preserve">                                      投标人名称（盖章）：</w:t>
      </w:r>
      <w:r>
        <w:rPr>
          <w:rFonts w:hint="eastAsia" w:ascii="宋体" w:hAnsi="宋体" w:cs="宋体"/>
          <w:sz w:val="21"/>
          <w:szCs w:val="21"/>
          <w:u w:val="single"/>
        </w:rPr>
        <w:t xml:space="preserve">                        </w:t>
      </w:r>
    </w:p>
    <w:p>
      <w:pPr>
        <w:numPr>
          <w:ilvl w:val="0"/>
          <w:numId w:val="3"/>
        </w:numPr>
        <w:suppressAutoHyphens/>
        <w:spacing w:line="360" w:lineRule="auto"/>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3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5"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3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3" w:type="dxa"/>
            <w:vAlign w:val="center"/>
          </w:tcPr>
          <w:p>
            <w:pPr>
              <w:spacing w:line="360" w:lineRule="auto"/>
              <w:jc w:val="center"/>
              <w:rPr>
                <w:rFonts w:ascii="宋体" w:hAnsi="宋体"/>
                <w:sz w:val="24"/>
                <w:szCs w:val="24"/>
              </w:rPr>
            </w:pPr>
            <w:r>
              <w:rPr>
                <w:rFonts w:hint="eastAsia" w:ascii="宋体" w:hAnsi="宋体"/>
                <w:sz w:val="24"/>
                <w:szCs w:val="24"/>
              </w:rPr>
              <w:t>招标文件要求服务要求及标准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投标人提供服务指标</w:t>
            </w:r>
          </w:p>
        </w:tc>
        <w:tc>
          <w:tcPr>
            <w:tcW w:w="1294"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投标人应按照本招标文件第四章“服务需求一览表”中的要求，将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逐一列出，以证明投标人对招标文件要求的服务内容做出实质性响应。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投标人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b/>
          <w:sz w:val="24"/>
          <w:szCs w:val="24"/>
        </w:rPr>
      </w:pPr>
      <w:r>
        <w:rPr>
          <w:rFonts w:ascii="宋体" w:hAnsi="宋体"/>
          <w:b/>
          <w:sz w:val="24"/>
          <w:szCs w:val="24"/>
        </w:rPr>
        <w:br w:type="page"/>
      </w:r>
    </w:p>
    <w:p>
      <w:pPr>
        <w:spacing w:line="480" w:lineRule="exact"/>
        <w:rPr>
          <w:b/>
          <w:sz w:val="24"/>
        </w:rPr>
      </w:pPr>
      <w:r>
        <w:rPr>
          <w:rFonts w:hint="eastAsia"/>
          <w:b/>
          <w:sz w:val="24"/>
        </w:rPr>
        <w:t>格式十三：</w:t>
      </w:r>
    </w:p>
    <w:p>
      <w:pPr>
        <w:spacing w:line="480" w:lineRule="exact"/>
        <w:ind w:firstLine="3479" w:firstLineChars="1650"/>
        <w:rPr>
          <w:rFonts w:ascii="宋体" w:hAnsi="Courier New"/>
          <w:b/>
          <w:snapToGrid w:val="0"/>
          <w:kern w:val="0"/>
          <w:sz w:val="21"/>
          <w:szCs w:val="21"/>
        </w:rPr>
      </w:pPr>
      <w:r>
        <w:rPr>
          <w:rFonts w:hint="eastAsia" w:ascii="宋体" w:hAnsi="Courier New"/>
          <w:b/>
          <w:snapToGrid w:val="0"/>
          <w:kern w:val="0"/>
          <w:sz w:val="21"/>
          <w:szCs w:val="21"/>
        </w:rPr>
        <w:t>项目服务方案（</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（由投标人自行编制）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33"/>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招标文件商务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投标人响应的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0"/>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50"/>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rPr>
        <w:t>投标人业绩情况表</w:t>
      </w:r>
    </w:p>
    <w:tbl>
      <w:tblPr>
        <w:tblStyle w:val="3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注：投标人根据上述业绩情况后附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投标人基本情况表</w:t>
      </w:r>
    </w:p>
    <w:tbl>
      <w:tblPr>
        <w:tblStyle w:val="33"/>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投标人名称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及招标公告中投标人资质要求的其他资质证明等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投标人是企业（包括合伙企业），要提供在工商部门注册的有效“企业法人营业执照”或“营业执照”；如投标人是事业单位，要提供有效的“事业单位法人证书”；投标人是非企业专业服务机构的，如律师事务所，会计师事务所要提供执业许可证等证明文件；如投标人是个体工商户，要提供有效的“个体工商户营业执照”；如投标人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按照本招标文件第六章资格性审查的要求，提供投标人的财务审计报告或资信证明。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ind w:firstLine="360" w:firstLineChars="150"/>
        <w:rPr>
          <w:rFonts w:ascii="宋体" w:hAnsi="宋体"/>
          <w:sz w:val="24"/>
          <w:szCs w:val="24"/>
        </w:rPr>
      </w:pPr>
      <w:bookmarkStart w:id="48" w:name="_Toc438655702"/>
      <w:bookmarkStart w:id="49" w:name="_Toc438714732"/>
      <w:bookmarkStart w:id="50" w:name="_Toc482026556"/>
      <w:r>
        <w:rPr>
          <w:rFonts w:hint="eastAsia" w:ascii="宋体" w:hAnsi="宋体"/>
          <w:sz w:val="24"/>
          <w:szCs w:val="24"/>
        </w:rPr>
        <w:t>1.提供投标人财务审计报告的，须提供会计师事务所出具的经审计的财务报告。</w:t>
      </w:r>
    </w:p>
    <w:p>
      <w:pPr>
        <w:ind w:firstLine="360" w:firstLineChars="150"/>
        <w:rPr>
          <w:rFonts w:ascii="宋体" w:hAnsi="宋体"/>
          <w:sz w:val="24"/>
          <w:szCs w:val="24"/>
        </w:rPr>
      </w:pPr>
      <w:r>
        <w:rPr>
          <w:rFonts w:hint="eastAsia" w:ascii="宋体" w:hAnsi="宋体"/>
          <w:sz w:val="24"/>
          <w:szCs w:val="24"/>
        </w:rPr>
        <w:t>2.提供投标人银行资信证明的，同时提供基本开户银行的开户许可证。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48"/>
      <w:bookmarkEnd w:id="49"/>
      <w:bookmarkEnd w:id="50"/>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cs="宋体"/>
          <w:sz w:val="24"/>
          <w:szCs w:val="24"/>
        </w:rPr>
      </w:pPr>
      <w:bookmarkStart w:id="51" w:name="_Toc482026557"/>
      <w:bookmarkStart w:id="52" w:name="_Toc438655703"/>
      <w:bookmarkStart w:id="53" w:name="_Toc438714733"/>
      <w:r>
        <w:rPr>
          <w:rFonts w:hint="eastAsia" w:ascii="宋体" w:hAnsi="宋体"/>
          <w:sz w:val="24"/>
          <w:szCs w:val="24"/>
        </w:rPr>
        <w:t>提供递交投标文件截止之日前六个月内（至少一个月）的良好缴纳税收的相关凭据。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51"/>
      <w:bookmarkEnd w:id="52"/>
      <w:bookmarkEnd w:id="53"/>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spacing w:line="360" w:lineRule="auto"/>
        <w:ind w:firstLine="480" w:firstLineChars="200"/>
        <w:rPr>
          <w:rFonts w:ascii="宋体" w:hAnsi="宋体"/>
          <w:sz w:val="24"/>
          <w:szCs w:val="24"/>
        </w:rPr>
      </w:pPr>
      <w:r>
        <w:rPr>
          <w:rFonts w:hint="eastAsia" w:ascii="宋体" w:hAnsi="宋体"/>
          <w:sz w:val="24"/>
          <w:szCs w:val="24"/>
        </w:rPr>
        <w:t>提供递交投标文件截止之日前六个月内（至少一个月）缴纳社会保险的凭证。（以社保机构出具的专用收据或社会保险缴纳清单为准）</w:t>
      </w:r>
    </w:p>
    <w:p>
      <w:pPr>
        <w:ind w:firstLine="480" w:firstLineChars="200"/>
        <w:rPr>
          <w:sz w:val="24"/>
          <w:szCs w:val="24"/>
        </w:rPr>
      </w:pPr>
      <w:r>
        <w:rPr>
          <w:sz w:val="24"/>
          <w:szCs w:val="24"/>
        </w:rPr>
        <w:br w:type="page"/>
      </w:r>
    </w:p>
    <w:p>
      <w:pPr>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鄂尔多斯市准格尔旗公共资源交易中心</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31"/>
          <w:rFonts w:hint="eastAsia" w:ascii="宋体" w:hAnsi="宋体" w:cs="宋体"/>
          <w:color w:val="auto"/>
          <w:kern w:val="0"/>
          <w:sz w:val="24"/>
          <w:szCs w:val="24"/>
        </w:rPr>
        <w:t>www.creditchina.gov.cn</w:t>
      </w:r>
      <w:r>
        <w:rPr>
          <w:rStyle w:val="31"/>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31"/>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投标人名称（公章）：</w:t>
      </w:r>
      <w:r>
        <w:rPr>
          <w:rFonts w:hint="eastAsia" w:ascii="宋体" w:hAnsi="宋体"/>
          <w:sz w:val="24"/>
          <w:szCs w:val="24"/>
          <w:u w:val="single"/>
        </w:rPr>
        <w:t xml:space="preserve">                        </w:t>
      </w:r>
    </w:p>
    <w:p>
      <w:pPr>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rPr>
          <w:rFonts w:ascii="宋体" w:hAnsi="宋体"/>
          <w:b/>
          <w:bCs/>
          <w:kern w:val="0"/>
          <w:sz w:val="24"/>
          <w:szCs w:val="24"/>
          <w:lang w:val="zh-CN"/>
        </w:rPr>
      </w:pPr>
    </w:p>
    <w:p>
      <w:pPr>
        <w:autoSpaceDE w:val="0"/>
        <w:autoSpaceDN w:val="0"/>
        <w:spacing w:line="360" w:lineRule="auto"/>
        <w:ind w:firstLine="2168" w:firstLineChars="900"/>
        <w:rPr>
          <w:rFonts w:ascii="宋体" w:hAnsi="宋体"/>
          <w:b/>
          <w:bCs/>
          <w:kern w:val="0"/>
          <w:sz w:val="24"/>
          <w:szCs w:val="24"/>
          <w:lang w:val="zh-CN"/>
        </w:rPr>
      </w:pPr>
      <w:r>
        <w:rPr>
          <w:rFonts w:hint="eastAsia" w:ascii="宋体" w:hAnsi="宋体"/>
          <w:b/>
          <w:bCs/>
          <w:kern w:val="0"/>
          <w:sz w:val="24"/>
          <w:szCs w:val="24"/>
          <w:lang w:val="zh-CN"/>
        </w:rPr>
        <w:t>《检察机关行贿犯罪档案查询结果告知函》</w:t>
      </w:r>
    </w:p>
    <w:p>
      <w:pPr>
        <w:autoSpaceDE w:val="0"/>
        <w:autoSpaceDN w:val="0"/>
        <w:spacing w:line="360" w:lineRule="auto"/>
        <w:ind w:firstLine="2168" w:firstLineChars="900"/>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格式二十二：</w:t>
      </w:r>
    </w:p>
    <w:p>
      <w:pPr>
        <w:autoSpaceDE w:val="0"/>
        <w:autoSpaceDN w:val="0"/>
        <w:spacing w:line="360" w:lineRule="auto"/>
        <w:jc w:val="center"/>
        <w:rPr>
          <w:rFonts w:ascii="宋体" w:hAnsi="宋体"/>
          <w:b/>
          <w:bCs/>
          <w:kern w:val="0"/>
          <w:sz w:val="24"/>
          <w:szCs w:val="24"/>
          <w:lang w:val="zh-CN"/>
        </w:rPr>
      </w:pPr>
      <w:r>
        <w:rPr>
          <w:rFonts w:hint="eastAsia" w:ascii="宋体" w:hAnsi="宋体"/>
          <w:b/>
          <w:sz w:val="21"/>
          <w:szCs w:val="21"/>
        </w:rPr>
        <w:t>政府采购政策情况表</w:t>
      </w:r>
    </w:p>
    <w:tbl>
      <w:tblPr>
        <w:tblStyle w:val="33"/>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59"/>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59"/>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9"/>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r>
        <w:rPr>
          <w:rFonts w:hint="eastAsia"/>
          <w:sz w:val="24"/>
        </w:rPr>
        <w:t>填报要求：</w:t>
      </w:r>
      <w:r>
        <w:rPr>
          <w:rFonts w:hint="eastAsia" w:ascii="宋体" w:hAnsi="宋体" w:cs="宋体"/>
          <w:kern w:val="0"/>
          <w:sz w:val="24"/>
        </w:rPr>
        <w:t>如属所列情形的，请在括号内打“√”</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54" w:name="OLE_LINK5"/>
      <w:bookmarkStart w:id="55" w:name="OLE_LINK2"/>
      <w:r>
        <w:rPr>
          <w:rFonts w:hint="eastAsia" w:ascii="宋体" w:hAnsi="宋体" w:cs="宋体"/>
          <w:kern w:val="0"/>
          <w:sz w:val="24"/>
          <w:szCs w:val="24"/>
        </w:rPr>
        <w:t>______（请填写：中型、小型、微型）企业</w:t>
      </w:r>
      <w:bookmarkEnd w:id="54"/>
      <w:bookmarkEnd w:id="55"/>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ascii="宋体" w:hAnsi="宋体"/>
          <w:b/>
          <w:sz w:val="24"/>
          <w:szCs w:val="24"/>
          <w:lang w:val="zh-CN"/>
        </w:rPr>
      </w:pPr>
      <w:r>
        <w:rPr>
          <w:rFonts w:hint="eastAsia" w:ascii="宋体" w:hAnsi="宋体"/>
          <w:b/>
          <w:bCs/>
          <w:kern w:val="0"/>
          <w:sz w:val="24"/>
          <w:szCs w:val="24"/>
          <w:lang w:val="zh-CN"/>
        </w:rPr>
        <w:t>格式二十五：</w:t>
      </w:r>
      <w:r>
        <w:rPr>
          <w:rFonts w:ascii="宋体" w:hAnsi="宋体"/>
          <w:bCs/>
          <w:kern w:val="0"/>
          <w:sz w:val="24"/>
          <w:szCs w:val="24"/>
          <w:lang w:val="zh-CN"/>
        </w:rPr>
        <w:br w:type="textWrapping"/>
      </w:r>
      <w:r>
        <w:rPr>
          <w:rFonts w:hint="eastAsia" w:ascii="宋体" w:hAnsi="宋体"/>
          <w:b/>
          <w:sz w:val="24"/>
          <w:szCs w:val="24"/>
        </w:rPr>
        <w:t>各类</w:t>
      </w:r>
      <w:r>
        <w:rPr>
          <w:rFonts w:hint="eastAsia" w:ascii="宋体" w:hAnsi="宋体"/>
          <w:b/>
          <w:sz w:val="24"/>
          <w:szCs w:val="24"/>
          <w:lang w:val="zh-CN"/>
        </w:rPr>
        <w:t>证明材料</w:t>
      </w:r>
    </w:p>
    <w:p>
      <w:pPr>
        <w:spacing w:line="360" w:lineRule="auto"/>
        <w:rPr>
          <w:rFonts w:ascii="宋体" w:hAnsi="宋体"/>
          <w:sz w:val="24"/>
          <w:szCs w:val="24"/>
        </w:rPr>
      </w:pPr>
      <w:r>
        <w:rPr>
          <w:rFonts w:hint="eastAsia" w:ascii="宋体" w:hAnsi="宋体"/>
          <w:sz w:val="24"/>
          <w:szCs w:val="24"/>
        </w:rPr>
        <w:t>1.招标文件要求提供的其他资料。</w:t>
      </w:r>
    </w:p>
    <w:p>
      <w:pPr>
        <w:spacing w:line="360" w:lineRule="auto"/>
        <w:rPr>
          <w:rFonts w:ascii="宋体" w:hAnsi="宋体"/>
          <w:sz w:val="24"/>
          <w:szCs w:val="24"/>
        </w:rPr>
      </w:pPr>
      <w:r>
        <w:rPr>
          <w:rFonts w:hint="eastAsia" w:ascii="宋体" w:hAnsi="宋体"/>
          <w:sz w:val="24"/>
          <w:szCs w:val="24"/>
        </w:rPr>
        <w:t>2.投标人认为需提供的其他资料。</w:t>
      </w:r>
    </w:p>
    <w:p>
      <w:pPr>
        <w:pStyle w:val="3"/>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spacing w:line="360" w:lineRule="auto"/>
        <w:ind w:firstLine="4216" w:firstLineChars="1750"/>
        <w:outlineLvl w:val="0"/>
        <w:rPr>
          <w:rFonts w:ascii="宋体" w:hAnsi="宋体"/>
          <w:b/>
          <w:sz w:val="24"/>
          <w:szCs w:val="24"/>
          <w:lang w:val="zh-CN"/>
        </w:rPr>
      </w:pPr>
      <w:bookmarkStart w:id="56" w:name="_Toc497408630"/>
      <w:r>
        <w:rPr>
          <w:rFonts w:hint="eastAsia" w:ascii="宋体" w:hAnsi="宋体"/>
          <w:b/>
          <w:sz w:val="24"/>
          <w:szCs w:val="24"/>
          <w:lang w:val="zh-CN"/>
        </w:rPr>
        <w:t>温馨提示</w:t>
      </w:r>
      <w:bookmarkEnd w:id="56"/>
    </w:p>
    <w:p>
      <w:pPr>
        <w:spacing w:line="360" w:lineRule="auto"/>
        <w:rPr>
          <w:rFonts w:ascii="宋体" w:hAnsi="宋体"/>
          <w:b/>
          <w:sz w:val="24"/>
          <w:szCs w:val="24"/>
          <w:lang w:val="zh-CN"/>
        </w:rPr>
      </w:pPr>
      <w:r>
        <w:rPr>
          <w:rFonts w:hint="eastAsia" w:ascii="宋体" w:hAnsi="宋体"/>
          <w:b/>
          <w:sz w:val="24"/>
          <w:szCs w:val="24"/>
          <w:lang w:val="zh-CN"/>
        </w:rPr>
        <w:t>各位投标人:</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请在编制投标文件前请认真阅读并理解招标文件。现就容易导致废标或无效投标的条款特别提示如下：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及时查看投标项目的相关信息公告，如招标公告、变更公告、废标公告等。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认真填写报名信息，在提交投标文件截止时间前核对保证金缴纳情况，若报名成功、保证金缴纳之后，如保证金状态仍显示“未缴纳”，请及时与我单位联系。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注意投标文件的密封、装订及签署、盖章，如项目分包，投标文件务必分包、分别编制。</w:t>
      </w:r>
    </w:p>
    <w:p>
      <w:pPr>
        <w:tabs>
          <w:tab w:val="left" w:pos="851"/>
        </w:tabs>
        <w:spacing w:line="360" w:lineRule="auto"/>
        <w:rPr>
          <w:rFonts w:ascii="宋体" w:hAnsi="宋体"/>
          <w:sz w:val="24"/>
          <w:szCs w:val="24"/>
        </w:rPr>
      </w:pPr>
      <w:r>
        <w:rPr>
          <w:rFonts w:hint="eastAsia" w:ascii="宋体" w:hAnsi="宋体"/>
          <w:sz w:val="24"/>
          <w:szCs w:val="24"/>
        </w:rPr>
        <w:t>4. 按照招标文件规定的时间、地点，提前到达并提交投标文件。</w:t>
      </w:r>
    </w:p>
    <w:p>
      <w:pPr>
        <w:tabs>
          <w:tab w:val="left" w:pos="851"/>
        </w:tabs>
        <w:spacing w:line="360" w:lineRule="auto"/>
        <w:rPr>
          <w:rFonts w:ascii="宋体" w:hAnsi="宋体"/>
          <w:sz w:val="24"/>
          <w:szCs w:val="24"/>
        </w:rPr>
      </w:pPr>
      <w:r>
        <w:rPr>
          <w:rFonts w:hint="eastAsia" w:ascii="宋体" w:hAnsi="宋体"/>
          <w:sz w:val="24"/>
          <w:szCs w:val="24"/>
        </w:rPr>
        <w:t>5. 注意投标文件中相关证明材料的完整性及有效期限。（特别注意：财务审计报告或资信证明、社保、纳税的相关证明材料）</w:t>
      </w:r>
    </w:p>
    <w:p>
      <w:pPr>
        <w:tabs>
          <w:tab w:val="left" w:pos="851"/>
        </w:tabs>
        <w:spacing w:line="360" w:lineRule="auto"/>
        <w:rPr>
          <w:rFonts w:ascii="宋体" w:hAnsi="宋体"/>
          <w:sz w:val="24"/>
          <w:szCs w:val="24"/>
        </w:rPr>
      </w:pPr>
    </w:p>
    <w:p>
      <w:pPr>
        <w:spacing w:line="360" w:lineRule="auto"/>
        <w:ind w:firstLine="480" w:firstLineChars="200"/>
        <w:rPr>
          <w:sz w:val="24"/>
          <w:szCs w:val="24"/>
        </w:rPr>
      </w:pPr>
      <w:r>
        <w:rPr>
          <w:rFonts w:hint="eastAsia" w:ascii="宋体" w:hAnsi="宋体"/>
          <w:sz w:val="24"/>
          <w:szCs w:val="24"/>
        </w:rPr>
        <w:t>请各投标人严格遵守《中华人民共和国政府采购法》及其条例，如出现违法、违规行为，将承担响应法律责任</w:t>
      </w:r>
    </w:p>
    <w:p>
      <w:pPr>
        <w:ind w:firstLine="480" w:firstLineChars="200"/>
        <w:rPr>
          <w:sz w:val="24"/>
          <w:szCs w:val="24"/>
        </w:rPr>
      </w:pPr>
    </w:p>
    <w:sectPr>
      <w:headerReference r:id="rId7" w:type="first"/>
      <w:footerReference r:id="rId10" w:type="first"/>
      <w:headerReference r:id="rId5" w:type="default"/>
      <w:footerReference r:id="rId8" w:type="default"/>
      <w:headerReference r:id="rId6" w:type="even"/>
      <w:footerReference r:id="rId9" w:type="even"/>
      <w:pgSz w:w="11906" w:h="16838"/>
      <w:pgMar w:top="737" w:right="1247" w:bottom="737" w:left="1247"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
    <w:altName w:val="宋体"/>
    <w:panose1 w:val="00000000000000000000"/>
    <w:charset w:val="86"/>
    <w:family w:val="modern"/>
    <w:pitch w:val="default"/>
    <w:sig w:usb0="00000000" w:usb1="00000000" w:usb2="00000010" w:usb3="00000000" w:csb0="00040000" w:csb1="00000000"/>
  </w:font>
  <w:font w:name="華康中楷體">
    <w:altName w:val="Arial Unicode MS"/>
    <w:panose1 w:val="00000000000000000000"/>
    <w:charset w:val="88"/>
    <w:family w:val="modern"/>
    <w:pitch w:val="default"/>
    <w:sig w:usb0="00000000" w:usb1="00000000" w:usb2="00000010" w:usb3="00000000" w:csb0="001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rPr>
        <w:rStyle w:val="28"/>
        <w:rFonts w:ascii="宋体" w:hAnsi="宋体"/>
        <w:bCs/>
        <w:sz w:val="21"/>
      </w:rPr>
    </w:pPr>
    <w:r>
      <w:rPr>
        <w:rFonts w:ascii="Times New Roman" w:hAnsi="Times New Roman" w:eastAsia="宋体" w:cs="Times New Roman"/>
        <w:kern w:val="2"/>
        <w:sz w:val="21"/>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l1uVLQAAAABQEAAA8A&#10;AAAAAAAAAQAgAAAAIgAAAGRycy9kb3ducmV2LnhtbFBLAQIUABQAAAAIAIdO4kB1TNK1rQEAAEcD&#10;AAAOAAAAAAAAAAEAIAAAAB8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rect>
          </w:pict>
        </mc:Fallback>
      </mc:AlternateContent>
    </w:r>
  </w:p>
  <w:p>
    <w:pPr>
      <w:pStyle w:val="17"/>
      <w:ind w:right="360"/>
      <w:rPr>
        <w:rStyle w:val="28"/>
      </w:rPr>
    </w:pPr>
  </w:p>
  <w:p>
    <w:pPr>
      <w:pStyle w:val="17"/>
      <w:framePr w:wrap="around" w:vAnchor="text" w:hAnchor="margin" w:xAlign="center" w:y="1"/>
      <w:ind w:right="360"/>
      <w:rPr>
        <w:rStyle w:val="28"/>
        <w:rFonts w:ascii="宋体" w:hAnsi="宋体"/>
        <w:bCs/>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hint="eastAsia"/>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IA0/kasAQAARwMA&#10;AA4AAAAAAAAAAQAgAAAAHw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010743"/>
      <w:docPartObj>
        <w:docPartGallery w:val="autotext"/>
      </w:docPartObj>
    </w:sdtPr>
    <w:sdtContent>
      <w:p>
        <w:pPr>
          <w:pStyle w:val="17"/>
          <w:jc w:val="center"/>
        </w:pPr>
        <w:r>
          <w:fldChar w:fldCharType="begin"/>
        </w:r>
        <w:r>
          <w:instrText xml:space="preserve">PAGE   \* MERGEFORMAT</w:instrText>
        </w:r>
        <w:r>
          <w:fldChar w:fldCharType="separate"/>
        </w:r>
        <w:r>
          <w:rPr>
            <w:lang w:val="zh-CN"/>
          </w:rPr>
          <w:t>28</w:t>
        </w:r>
        <w:r>
          <w:fldChar w:fldCharType="end"/>
        </w:r>
      </w:p>
    </w:sdtContent>
  </w:sdt>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1">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2">
    <w:nsid w:val="5AD9488E"/>
    <w:multiLevelType w:val="singleLevel"/>
    <w:tmpl w:val="5AD9488E"/>
    <w:lvl w:ilvl="0" w:tentative="0">
      <w:start w:val="2"/>
      <w:numFmt w:val="chineseCounting"/>
      <w:lvlText w:val="%1."/>
      <w:lvlJc w:val="left"/>
      <w:pPr>
        <w:tabs>
          <w:tab w:val="left" w:pos="312"/>
        </w:tabs>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01"/>
    <w:rsid w:val="000019B5"/>
    <w:rsid w:val="00001E33"/>
    <w:rsid w:val="000037F2"/>
    <w:rsid w:val="00005FCE"/>
    <w:rsid w:val="000064F9"/>
    <w:rsid w:val="000070C0"/>
    <w:rsid w:val="000120FC"/>
    <w:rsid w:val="000124B7"/>
    <w:rsid w:val="00015A02"/>
    <w:rsid w:val="00015B44"/>
    <w:rsid w:val="00016625"/>
    <w:rsid w:val="00021C1D"/>
    <w:rsid w:val="00022CDF"/>
    <w:rsid w:val="00024348"/>
    <w:rsid w:val="00024DB1"/>
    <w:rsid w:val="000275BE"/>
    <w:rsid w:val="00030745"/>
    <w:rsid w:val="0003153C"/>
    <w:rsid w:val="0003167E"/>
    <w:rsid w:val="00032217"/>
    <w:rsid w:val="00032340"/>
    <w:rsid w:val="00032A72"/>
    <w:rsid w:val="00032C24"/>
    <w:rsid w:val="00032F2B"/>
    <w:rsid w:val="00035A5E"/>
    <w:rsid w:val="00035AB0"/>
    <w:rsid w:val="00040326"/>
    <w:rsid w:val="00040454"/>
    <w:rsid w:val="0004101F"/>
    <w:rsid w:val="0004149A"/>
    <w:rsid w:val="00042767"/>
    <w:rsid w:val="00043181"/>
    <w:rsid w:val="00044995"/>
    <w:rsid w:val="00044B0F"/>
    <w:rsid w:val="00050B48"/>
    <w:rsid w:val="000521B0"/>
    <w:rsid w:val="000545A4"/>
    <w:rsid w:val="0005504F"/>
    <w:rsid w:val="000551DC"/>
    <w:rsid w:val="000554EC"/>
    <w:rsid w:val="000558A5"/>
    <w:rsid w:val="00060357"/>
    <w:rsid w:val="00060549"/>
    <w:rsid w:val="00062218"/>
    <w:rsid w:val="000629DD"/>
    <w:rsid w:val="00063168"/>
    <w:rsid w:val="0006359A"/>
    <w:rsid w:val="00067542"/>
    <w:rsid w:val="0006757D"/>
    <w:rsid w:val="00071A78"/>
    <w:rsid w:val="000750A4"/>
    <w:rsid w:val="00076D91"/>
    <w:rsid w:val="000779FC"/>
    <w:rsid w:val="00077EEC"/>
    <w:rsid w:val="00080DBF"/>
    <w:rsid w:val="00082D2C"/>
    <w:rsid w:val="00083CDD"/>
    <w:rsid w:val="00085B49"/>
    <w:rsid w:val="00086144"/>
    <w:rsid w:val="00086FD7"/>
    <w:rsid w:val="00087037"/>
    <w:rsid w:val="000876AB"/>
    <w:rsid w:val="0008773A"/>
    <w:rsid w:val="00087B0F"/>
    <w:rsid w:val="000900FC"/>
    <w:rsid w:val="00090186"/>
    <w:rsid w:val="00090F39"/>
    <w:rsid w:val="00091D78"/>
    <w:rsid w:val="0009262E"/>
    <w:rsid w:val="000944D7"/>
    <w:rsid w:val="00096C31"/>
    <w:rsid w:val="000971DF"/>
    <w:rsid w:val="0009744B"/>
    <w:rsid w:val="000A0964"/>
    <w:rsid w:val="000A0F1D"/>
    <w:rsid w:val="000A132A"/>
    <w:rsid w:val="000A1428"/>
    <w:rsid w:val="000A3313"/>
    <w:rsid w:val="000A5AB3"/>
    <w:rsid w:val="000A6071"/>
    <w:rsid w:val="000B04B1"/>
    <w:rsid w:val="000B18EE"/>
    <w:rsid w:val="000B1DD4"/>
    <w:rsid w:val="000B2D92"/>
    <w:rsid w:val="000B4FD6"/>
    <w:rsid w:val="000B5551"/>
    <w:rsid w:val="000B57D8"/>
    <w:rsid w:val="000B7161"/>
    <w:rsid w:val="000C1341"/>
    <w:rsid w:val="000C19EE"/>
    <w:rsid w:val="000C3A16"/>
    <w:rsid w:val="000C3E86"/>
    <w:rsid w:val="000C5C82"/>
    <w:rsid w:val="000C612E"/>
    <w:rsid w:val="000C6D84"/>
    <w:rsid w:val="000D02AA"/>
    <w:rsid w:val="000D0A17"/>
    <w:rsid w:val="000D17C6"/>
    <w:rsid w:val="000D2F97"/>
    <w:rsid w:val="000D515C"/>
    <w:rsid w:val="000D5C01"/>
    <w:rsid w:val="000D7A79"/>
    <w:rsid w:val="000E148A"/>
    <w:rsid w:val="000E15BD"/>
    <w:rsid w:val="000E550B"/>
    <w:rsid w:val="000E6319"/>
    <w:rsid w:val="000F082D"/>
    <w:rsid w:val="000F333E"/>
    <w:rsid w:val="000F422E"/>
    <w:rsid w:val="000F64BB"/>
    <w:rsid w:val="000F6D0F"/>
    <w:rsid w:val="001016F2"/>
    <w:rsid w:val="00102A61"/>
    <w:rsid w:val="00103E0C"/>
    <w:rsid w:val="00104530"/>
    <w:rsid w:val="001066A5"/>
    <w:rsid w:val="0010792E"/>
    <w:rsid w:val="001117FE"/>
    <w:rsid w:val="00111FA5"/>
    <w:rsid w:val="00113804"/>
    <w:rsid w:val="0011515C"/>
    <w:rsid w:val="00115C17"/>
    <w:rsid w:val="00117038"/>
    <w:rsid w:val="00117F1A"/>
    <w:rsid w:val="00120A63"/>
    <w:rsid w:val="001246B6"/>
    <w:rsid w:val="001247E2"/>
    <w:rsid w:val="00124F0B"/>
    <w:rsid w:val="00126F44"/>
    <w:rsid w:val="00127E2F"/>
    <w:rsid w:val="00130354"/>
    <w:rsid w:val="00131C8E"/>
    <w:rsid w:val="00132AC3"/>
    <w:rsid w:val="00132C99"/>
    <w:rsid w:val="00134349"/>
    <w:rsid w:val="00136DFA"/>
    <w:rsid w:val="00141011"/>
    <w:rsid w:val="00141C9F"/>
    <w:rsid w:val="00142373"/>
    <w:rsid w:val="00143ACD"/>
    <w:rsid w:val="00143F98"/>
    <w:rsid w:val="0014459C"/>
    <w:rsid w:val="00146DBB"/>
    <w:rsid w:val="00147FB1"/>
    <w:rsid w:val="00152DE7"/>
    <w:rsid w:val="00154774"/>
    <w:rsid w:val="00155388"/>
    <w:rsid w:val="00156723"/>
    <w:rsid w:val="00156A89"/>
    <w:rsid w:val="00157C1F"/>
    <w:rsid w:val="00160171"/>
    <w:rsid w:val="00160B53"/>
    <w:rsid w:val="00160C4C"/>
    <w:rsid w:val="00161123"/>
    <w:rsid w:val="001611B8"/>
    <w:rsid w:val="00161331"/>
    <w:rsid w:val="00161CC8"/>
    <w:rsid w:val="00162B44"/>
    <w:rsid w:val="00162F4A"/>
    <w:rsid w:val="00165EB9"/>
    <w:rsid w:val="00166437"/>
    <w:rsid w:val="001669A9"/>
    <w:rsid w:val="0016725C"/>
    <w:rsid w:val="00170333"/>
    <w:rsid w:val="00171AA8"/>
    <w:rsid w:val="001721FE"/>
    <w:rsid w:val="001740A1"/>
    <w:rsid w:val="00176355"/>
    <w:rsid w:val="00177528"/>
    <w:rsid w:val="00180D8E"/>
    <w:rsid w:val="0018304A"/>
    <w:rsid w:val="00183D05"/>
    <w:rsid w:val="00183F40"/>
    <w:rsid w:val="00186AFA"/>
    <w:rsid w:val="00190BA3"/>
    <w:rsid w:val="00194A15"/>
    <w:rsid w:val="001A0A5F"/>
    <w:rsid w:val="001A0B92"/>
    <w:rsid w:val="001A22C1"/>
    <w:rsid w:val="001A3186"/>
    <w:rsid w:val="001A3257"/>
    <w:rsid w:val="001A45B1"/>
    <w:rsid w:val="001A4ADD"/>
    <w:rsid w:val="001A5910"/>
    <w:rsid w:val="001A6850"/>
    <w:rsid w:val="001A69EF"/>
    <w:rsid w:val="001B2547"/>
    <w:rsid w:val="001B631D"/>
    <w:rsid w:val="001C4C6E"/>
    <w:rsid w:val="001C66C5"/>
    <w:rsid w:val="001C7085"/>
    <w:rsid w:val="001C780A"/>
    <w:rsid w:val="001C7988"/>
    <w:rsid w:val="001D1224"/>
    <w:rsid w:val="001D128E"/>
    <w:rsid w:val="001D44B5"/>
    <w:rsid w:val="001D470F"/>
    <w:rsid w:val="001D4D0F"/>
    <w:rsid w:val="001D7C35"/>
    <w:rsid w:val="001E0168"/>
    <w:rsid w:val="001E146C"/>
    <w:rsid w:val="001E15CD"/>
    <w:rsid w:val="001E2F8C"/>
    <w:rsid w:val="001E3E6E"/>
    <w:rsid w:val="001E6B2B"/>
    <w:rsid w:val="001F0A48"/>
    <w:rsid w:val="001F29E7"/>
    <w:rsid w:val="001F3324"/>
    <w:rsid w:val="001F38E6"/>
    <w:rsid w:val="001F3A9C"/>
    <w:rsid w:val="001F3CF4"/>
    <w:rsid w:val="001F46E4"/>
    <w:rsid w:val="001F50D5"/>
    <w:rsid w:val="00200C69"/>
    <w:rsid w:val="002024F8"/>
    <w:rsid w:val="00203A97"/>
    <w:rsid w:val="00203C57"/>
    <w:rsid w:val="00204D35"/>
    <w:rsid w:val="00205A07"/>
    <w:rsid w:val="0021286A"/>
    <w:rsid w:val="002128E1"/>
    <w:rsid w:val="002138E0"/>
    <w:rsid w:val="002141C4"/>
    <w:rsid w:val="0021704B"/>
    <w:rsid w:val="00217885"/>
    <w:rsid w:val="00217F36"/>
    <w:rsid w:val="00220C2D"/>
    <w:rsid w:val="002216D2"/>
    <w:rsid w:val="002244B3"/>
    <w:rsid w:val="00224F93"/>
    <w:rsid w:val="002309C7"/>
    <w:rsid w:val="002349C2"/>
    <w:rsid w:val="002359DD"/>
    <w:rsid w:val="00236BF6"/>
    <w:rsid w:val="00236FE0"/>
    <w:rsid w:val="00246923"/>
    <w:rsid w:val="00247981"/>
    <w:rsid w:val="00247D3C"/>
    <w:rsid w:val="002520A9"/>
    <w:rsid w:val="002523A4"/>
    <w:rsid w:val="00252A85"/>
    <w:rsid w:val="00252E75"/>
    <w:rsid w:val="002531F7"/>
    <w:rsid w:val="00257636"/>
    <w:rsid w:val="00257B91"/>
    <w:rsid w:val="002618B9"/>
    <w:rsid w:val="00262286"/>
    <w:rsid w:val="00267255"/>
    <w:rsid w:val="002677C5"/>
    <w:rsid w:val="0026789F"/>
    <w:rsid w:val="002706A8"/>
    <w:rsid w:val="00271A81"/>
    <w:rsid w:val="00274A75"/>
    <w:rsid w:val="002758D1"/>
    <w:rsid w:val="00275B60"/>
    <w:rsid w:val="00276325"/>
    <w:rsid w:val="00276D08"/>
    <w:rsid w:val="00277A59"/>
    <w:rsid w:val="00280DF6"/>
    <w:rsid w:val="002813D5"/>
    <w:rsid w:val="00283220"/>
    <w:rsid w:val="002833E4"/>
    <w:rsid w:val="002847EC"/>
    <w:rsid w:val="00285F7D"/>
    <w:rsid w:val="00286176"/>
    <w:rsid w:val="002900C6"/>
    <w:rsid w:val="00290210"/>
    <w:rsid w:val="00290AF1"/>
    <w:rsid w:val="00290EA5"/>
    <w:rsid w:val="002911F3"/>
    <w:rsid w:val="002917CB"/>
    <w:rsid w:val="00291B09"/>
    <w:rsid w:val="0029262E"/>
    <w:rsid w:val="00292903"/>
    <w:rsid w:val="00293351"/>
    <w:rsid w:val="00294C80"/>
    <w:rsid w:val="002954F1"/>
    <w:rsid w:val="0029579F"/>
    <w:rsid w:val="00297645"/>
    <w:rsid w:val="002A033D"/>
    <w:rsid w:val="002A1E57"/>
    <w:rsid w:val="002A3538"/>
    <w:rsid w:val="002A3B12"/>
    <w:rsid w:val="002A3C54"/>
    <w:rsid w:val="002A40A7"/>
    <w:rsid w:val="002A5FA3"/>
    <w:rsid w:val="002B07D2"/>
    <w:rsid w:val="002B086D"/>
    <w:rsid w:val="002B46C2"/>
    <w:rsid w:val="002B5D5C"/>
    <w:rsid w:val="002B6555"/>
    <w:rsid w:val="002B6ACB"/>
    <w:rsid w:val="002C065F"/>
    <w:rsid w:val="002C0752"/>
    <w:rsid w:val="002C1118"/>
    <w:rsid w:val="002C179F"/>
    <w:rsid w:val="002C1AB6"/>
    <w:rsid w:val="002C2541"/>
    <w:rsid w:val="002C582E"/>
    <w:rsid w:val="002C5CB7"/>
    <w:rsid w:val="002C5EBE"/>
    <w:rsid w:val="002C7284"/>
    <w:rsid w:val="002C72B3"/>
    <w:rsid w:val="002D274A"/>
    <w:rsid w:val="002D2ABF"/>
    <w:rsid w:val="002D3025"/>
    <w:rsid w:val="002D3A79"/>
    <w:rsid w:val="002D3B81"/>
    <w:rsid w:val="002D4130"/>
    <w:rsid w:val="002D5A33"/>
    <w:rsid w:val="002D5B54"/>
    <w:rsid w:val="002D6C15"/>
    <w:rsid w:val="002E0705"/>
    <w:rsid w:val="002E38DF"/>
    <w:rsid w:val="002E3D50"/>
    <w:rsid w:val="002E5B05"/>
    <w:rsid w:val="002E5B7A"/>
    <w:rsid w:val="002E5EAB"/>
    <w:rsid w:val="002E5EDD"/>
    <w:rsid w:val="002E6E32"/>
    <w:rsid w:val="002E7061"/>
    <w:rsid w:val="002E7AC9"/>
    <w:rsid w:val="002F0432"/>
    <w:rsid w:val="002F14A2"/>
    <w:rsid w:val="002F4D72"/>
    <w:rsid w:val="002F4ECE"/>
    <w:rsid w:val="002F5648"/>
    <w:rsid w:val="002F692A"/>
    <w:rsid w:val="002F6F9E"/>
    <w:rsid w:val="002F7057"/>
    <w:rsid w:val="002F7ADE"/>
    <w:rsid w:val="002F7E87"/>
    <w:rsid w:val="003028A1"/>
    <w:rsid w:val="00305086"/>
    <w:rsid w:val="0030511C"/>
    <w:rsid w:val="00305EF3"/>
    <w:rsid w:val="00307C6D"/>
    <w:rsid w:val="0031146F"/>
    <w:rsid w:val="0031539A"/>
    <w:rsid w:val="003166E1"/>
    <w:rsid w:val="003175DD"/>
    <w:rsid w:val="00317A60"/>
    <w:rsid w:val="0032346F"/>
    <w:rsid w:val="003252DF"/>
    <w:rsid w:val="00330FBC"/>
    <w:rsid w:val="00331EF4"/>
    <w:rsid w:val="0033413C"/>
    <w:rsid w:val="0034009B"/>
    <w:rsid w:val="00340152"/>
    <w:rsid w:val="00343DE1"/>
    <w:rsid w:val="00344E0C"/>
    <w:rsid w:val="003453A3"/>
    <w:rsid w:val="003456D5"/>
    <w:rsid w:val="00346797"/>
    <w:rsid w:val="0034721B"/>
    <w:rsid w:val="00350415"/>
    <w:rsid w:val="00351A42"/>
    <w:rsid w:val="00352FD4"/>
    <w:rsid w:val="00354113"/>
    <w:rsid w:val="00354D79"/>
    <w:rsid w:val="00355D59"/>
    <w:rsid w:val="003562A9"/>
    <w:rsid w:val="0035724C"/>
    <w:rsid w:val="00357BB1"/>
    <w:rsid w:val="00357FA8"/>
    <w:rsid w:val="003601BC"/>
    <w:rsid w:val="003605DA"/>
    <w:rsid w:val="00360873"/>
    <w:rsid w:val="003611ED"/>
    <w:rsid w:val="00361AFB"/>
    <w:rsid w:val="00361E13"/>
    <w:rsid w:val="003620B6"/>
    <w:rsid w:val="00363A25"/>
    <w:rsid w:val="00363FBE"/>
    <w:rsid w:val="0036589D"/>
    <w:rsid w:val="00366FF7"/>
    <w:rsid w:val="00367583"/>
    <w:rsid w:val="00372CDD"/>
    <w:rsid w:val="00373BBE"/>
    <w:rsid w:val="00374800"/>
    <w:rsid w:val="003753C5"/>
    <w:rsid w:val="0037604A"/>
    <w:rsid w:val="0037796F"/>
    <w:rsid w:val="003850C1"/>
    <w:rsid w:val="00385BEA"/>
    <w:rsid w:val="00386C41"/>
    <w:rsid w:val="00386F2E"/>
    <w:rsid w:val="003874AF"/>
    <w:rsid w:val="00387C9F"/>
    <w:rsid w:val="00391691"/>
    <w:rsid w:val="00394488"/>
    <w:rsid w:val="00394EAE"/>
    <w:rsid w:val="0039586D"/>
    <w:rsid w:val="00396A34"/>
    <w:rsid w:val="003973DC"/>
    <w:rsid w:val="0039754F"/>
    <w:rsid w:val="003978E6"/>
    <w:rsid w:val="003A0038"/>
    <w:rsid w:val="003A059F"/>
    <w:rsid w:val="003A231E"/>
    <w:rsid w:val="003A585F"/>
    <w:rsid w:val="003A6029"/>
    <w:rsid w:val="003A60CE"/>
    <w:rsid w:val="003A68ED"/>
    <w:rsid w:val="003A7970"/>
    <w:rsid w:val="003A7FDC"/>
    <w:rsid w:val="003B135F"/>
    <w:rsid w:val="003B5C3F"/>
    <w:rsid w:val="003C4C9F"/>
    <w:rsid w:val="003C57A9"/>
    <w:rsid w:val="003C62D0"/>
    <w:rsid w:val="003C6BAD"/>
    <w:rsid w:val="003C719D"/>
    <w:rsid w:val="003D175D"/>
    <w:rsid w:val="003D1807"/>
    <w:rsid w:val="003D198A"/>
    <w:rsid w:val="003D1FCF"/>
    <w:rsid w:val="003D305F"/>
    <w:rsid w:val="003D3113"/>
    <w:rsid w:val="003D3190"/>
    <w:rsid w:val="003D5B83"/>
    <w:rsid w:val="003D7194"/>
    <w:rsid w:val="003D73A0"/>
    <w:rsid w:val="003E303A"/>
    <w:rsid w:val="003E309A"/>
    <w:rsid w:val="003E3399"/>
    <w:rsid w:val="003E4CA7"/>
    <w:rsid w:val="003E53CD"/>
    <w:rsid w:val="003E61FE"/>
    <w:rsid w:val="003E6776"/>
    <w:rsid w:val="003E6B9C"/>
    <w:rsid w:val="003E7A65"/>
    <w:rsid w:val="003F1BED"/>
    <w:rsid w:val="003F1EF2"/>
    <w:rsid w:val="003F43DD"/>
    <w:rsid w:val="003F6293"/>
    <w:rsid w:val="0040058C"/>
    <w:rsid w:val="004010B1"/>
    <w:rsid w:val="0040126E"/>
    <w:rsid w:val="004023C0"/>
    <w:rsid w:val="00404152"/>
    <w:rsid w:val="00406E46"/>
    <w:rsid w:val="0040743F"/>
    <w:rsid w:val="004115E2"/>
    <w:rsid w:val="004117C1"/>
    <w:rsid w:val="00411877"/>
    <w:rsid w:val="004127CA"/>
    <w:rsid w:val="004135DF"/>
    <w:rsid w:val="0041368A"/>
    <w:rsid w:val="00414241"/>
    <w:rsid w:val="00414662"/>
    <w:rsid w:val="00414951"/>
    <w:rsid w:val="00415305"/>
    <w:rsid w:val="00416BA2"/>
    <w:rsid w:val="00417D84"/>
    <w:rsid w:val="00420B58"/>
    <w:rsid w:val="004223BB"/>
    <w:rsid w:val="004230C7"/>
    <w:rsid w:val="00425C9D"/>
    <w:rsid w:val="00425DB7"/>
    <w:rsid w:val="004261E5"/>
    <w:rsid w:val="00426A2D"/>
    <w:rsid w:val="00431F27"/>
    <w:rsid w:val="00432AB7"/>
    <w:rsid w:val="00432F40"/>
    <w:rsid w:val="00433011"/>
    <w:rsid w:val="00434065"/>
    <w:rsid w:val="004340DD"/>
    <w:rsid w:val="004352F5"/>
    <w:rsid w:val="00435D31"/>
    <w:rsid w:val="00435D5B"/>
    <w:rsid w:val="004374BE"/>
    <w:rsid w:val="00440E33"/>
    <w:rsid w:val="00441C6D"/>
    <w:rsid w:val="00441CA8"/>
    <w:rsid w:val="00442FB1"/>
    <w:rsid w:val="004431F8"/>
    <w:rsid w:val="00443247"/>
    <w:rsid w:val="0044364D"/>
    <w:rsid w:val="00445BD5"/>
    <w:rsid w:val="0044637C"/>
    <w:rsid w:val="00446442"/>
    <w:rsid w:val="00447670"/>
    <w:rsid w:val="00447B3B"/>
    <w:rsid w:val="00452F0B"/>
    <w:rsid w:val="00454B9D"/>
    <w:rsid w:val="00454BA2"/>
    <w:rsid w:val="00456764"/>
    <w:rsid w:val="004575B1"/>
    <w:rsid w:val="00461B30"/>
    <w:rsid w:val="00461F1F"/>
    <w:rsid w:val="0046293D"/>
    <w:rsid w:val="0046308F"/>
    <w:rsid w:val="00463A69"/>
    <w:rsid w:val="00473067"/>
    <w:rsid w:val="004755C8"/>
    <w:rsid w:val="004771B0"/>
    <w:rsid w:val="00477F94"/>
    <w:rsid w:val="00481182"/>
    <w:rsid w:val="0048197A"/>
    <w:rsid w:val="00481B1C"/>
    <w:rsid w:val="004825C2"/>
    <w:rsid w:val="004827A6"/>
    <w:rsid w:val="00482AEC"/>
    <w:rsid w:val="00482DE0"/>
    <w:rsid w:val="00483816"/>
    <w:rsid w:val="004857AE"/>
    <w:rsid w:val="00486BCF"/>
    <w:rsid w:val="0049094E"/>
    <w:rsid w:val="00491598"/>
    <w:rsid w:val="00493B4C"/>
    <w:rsid w:val="00493C31"/>
    <w:rsid w:val="0049481A"/>
    <w:rsid w:val="004A17D2"/>
    <w:rsid w:val="004A2179"/>
    <w:rsid w:val="004A32E9"/>
    <w:rsid w:val="004A6F4D"/>
    <w:rsid w:val="004A7401"/>
    <w:rsid w:val="004B1CE0"/>
    <w:rsid w:val="004B22B2"/>
    <w:rsid w:val="004B365F"/>
    <w:rsid w:val="004B565B"/>
    <w:rsid w:val="004B6BB2"/>
    <w:rsid w:val="004C28F6"/>
    <w:rsid w:val="004C362D"/>
    <w:rsid w:val="004C4646"/>
    <w:rsid w:val="004C4D09"/>
    <w:rsid w:val="004C4F15"/>
    <w:rsid w:val="004C6544"/>
    <w:rsid w:val="004C658C"/>
    <w:rsid w:val="004C6E43"/>
    <w:rsid w:val="004C759F"/>
    <w:rsid w:val="004C76F9"/>
    <w:rsid w:val="004D011C"/>
    <w:rsid w:val="004D01A9"/>
    <w:rsid w:val="004D0B02"/>
    <w:rsid w:val="004D1A36"/>
    <w:rsid w:val="004D2924"/>
    <w:rsid w:val="004D2C93"/>
    <w:rsid w:val="004D3DB3"/>
    <w:rsid w:val="004D57AF"/>
    <w:rsid w:val="004D5A44"/>
    <w:rsid w:val="004D6BA9"/>
    <w:rsid w:val="004E0D0E"/>
    <w:rsid w:val="004E19E1"/>
    <w:rsid w:val="004E37D1"/>
    <w:rsid w:val="004E3BE0"/>
    <w:rsid w:val="004F1447"/>
    <w:rsid w:val="004F73E9"/>
    <w:rsid w:val="00500436"/>
    <w:rsid w:val="00500D74"/>
    <w:rsid w:val="0050117C"/>
    <w:rsid w:val="005049B8"/>
    <w:rsid w:val="005055B0"/>
    <w:rsid w:val="005064F0"/>
    <w:rsid w:val="005109E3"/>
    <w:rsid w:val="00510CE7"/>
    <w:rsid w:val="00511267"/>
    <w:rsid w:val="00511FC6"/>
    <w:rsid w:val="00517A47"/>
    <w:rsid w:val="00517F41"/>
    <w:rsid w:val="005202B9"/>
    <w:rsid w:val="0052071C"/>
    <w:rsid w:val="00520A53"/>
    <w:rsid w:val="005214EC"/>
    <w:rsid w:val="0052378F"/>
    <w:rsid w:val="00523827"/>
    <w:rsid w:val="00523AF4"/>
    <w:rsid w:val="00525B1D"/>
    <w:rsid w:val="0052688C"/>
    <w:rsid w:val="005269E2"/>
    <w:rsid w:val="005275B1"/>
    <w:rsid w:val="00530AA4"/>
    <w:rsid w:val="00531038"/>
    <w:rsid w:val="005323F9"/>
    <w:rsid w:val="00532CEC"/>
    <w:rsid w:val="005351EA"/>
    <w:rsid w:val="0053557A"/>
    <w:rsid w:val="00535BD1"/>
    <w:rsid w:val="00536ACA"/>
    <w:rsid w:val="00536CC2"/>
    <w:rsid w:val="0053771F"/>
    <w:rsid w:val="00540583"/>
    <w:rsid w:val="00541140"/>
    <w:rsid w:val="00541B23"/>
    <w:rsid w:val="00542B4D"/>
    <w:rsid w:val="005441BD"/>
    <w:rsid w:val="00544F6C"/>
    <w:rsid w:val="00545552"/>
    <w:rsid w:val="00552AF4"/>
    <w:rsid w:val="00552C27"/>
    <w:rsid w:val="00554FCE"/>
    <w:rsid w:val="00555D85"/>
    <w:rsid w:val="00556CAB"/>
    <w:rsid w:val="00557212"/>
    <w:rsid w:val="005611C9"/>
    <w:rsid w:val="005655C3"/>
    <w:rsid w:val="0056676F"/>
    <w:rsid w:val="00566FEB"/>
    <w:rsid w:val="00567130"/>
    <w:rsid w:val="00570A65"/>
    <w:rsid w:val="00571223"/>
    <w:rsid w:val="00572B98"/>
    <w:rsid w:val="00575115"/>
    <w:rsid w:val="0057590C"/>
    <w:rsid w:val="00575C09"/>
    <w:rsid w:val="005771EF"/>
    <w:rsid w:val="00577D22"/>
    <w:rsid w:val="00581016"/>
    <w:rsid w:val="00584B37"/>
    <w:rsid w:val="00585EC9"/>
    <w:rsid w:val="00586746"/>
    <w:rsid w:val="00586DFE"/>
    <w:rsid w:val="00587E08"/>
    <w:rsid w:val="005937B4"/>
    <w:rsid w:val="00594ECC"/>
    <w:rsid w:val="00595358"/>
    <w:rsid w:val="00595AC9"/>
    <w:rsid w:val="0059662E"/>
    <w:rsid w:val="00596711"/>
    <w:rsid w:val="0059698F"/>
    <w:rsid w:val="00597732"/>
    <w:rsid w:val="005A30D6"/>
    <w:rsid w:val="005A3AD9"/>
    <w:rsid w:val="005A5BF4"/>
    <w:rsid w:val="005A63BF"/>
    <w:rsid w:val="005A75B9"/>
    <w:rsid w:val="005B275E"/>
    <w:rsid w:val="005B346C"/>
    <w:rsid w:val="005B37A7"/>
    <w:rsid w:val="005B37DC"/>
    <w:rsid w:val="005B72CA"/>
    <w:rsid w:val="005B7C5D"/>
    <w:rsid w:val="005C02F2"/>
    <w:rsid w:val="005C0AAB"/>
    <w:rsid w:val="005C1201"/>
    <w:rsid w:val="005C24D1"/>
    <w:rsid w:val="005C46EF"/>
    <w:rsid w:val="005C70A7"/>
    <w:rsid w:val="005C7788"/>
    <w:rsid w:val="005C7795"/>
    <w:rsid w:val="005D1575"/>
    <w:rsid w:val="005D18E5"/>
    <w:rsid w:val="005D20F2"/>
    <w:rsid w:val="005D32FF"/>
    <w:rsid w:val="005D3ABE"/>
    <w:rsid w:val="005D450D"/>
    <w:rsid w:val="005D49D6"/>
    <w:rsid w:val="005D7B0E"/>
    <w:rsid w:val="005E0C34"/>
    <w:rsid w:val="005E1B00"/>
    <w:rsid w:val="005E1E22"/>
    <w:rsid w:val="005E28DB"/>
    <w:rsid w:val="005E31CC"/>
    <w:rsid w:val="005E36AE"/>
    <w:rsid w:val="005E3EC1"/>
    <w:rsid w:val="005E4F1E"/>
    <w:rsid w:val="005E6A35"/>
    <w:rsid w:val="005E7B84"/>
    <w:rsid w:val="005F01D8"/>
    <w:rsid w:val="005F04AE"/>
    <w:rsid w:val="005F1AFD"/>
    <w:rsid w:val="005F221E"/>
    <w:rsid w:val="005F26AF"/>
    <w:rsid w:val="005F461F"/>
    <w:rsid w:val="005F4751"/>
    <w:rsid w:val="005F5051"/>
    <w:rsid w:val="005F5965"/>
    <w:rsid w:val="005F62DF"/>
    <w:rsid w:val="005F639F"/>
    <w:rsid w:val="005F6C1D"/>
    <w:rsid w:val="005F6C97"/>
    <w:rsid w:val="005F72B5"/>
    <w:rsid w:val="006033B9"/>
    <w:rsid w:val="00603405"/>
    <w:rsid w:val="0061529A"/>
    <w:rsid w:val="00615A8D"/>
    <w:rsid w:val="00616936"/>
    <w:rsid w:val="00616A52"/>
    <w:rsid w:val="00620490"/>
    <w:rsid w:val="00620B2E"/>
    <w:rsid w:val="00622B32"/>
    <w:rsid w:val="00624825"/>
    <w:rsid w:val="00624BAD"/>
    <w:rsid w:val="00625939"/>
    <w:rsid w:val="00633E76"/>
    <w:rsid w:val="00635B60"/>
    <w:rsid w:val="006370B3"/>
    <w:rsid w:val="00637903"/>
    <w:rsid w:val="00637E93"/>
    <w:rsid w:val="00637F2E"/>
    <w:rsid w:val="00641217"/>
    <w:rsid w:val="00645BC8"/>
    <w:rsid w:val="00647829"/>
    <w:rsid w:val="0064782F"/>
    <w:rsid w:val="00650FB0"/>
    <w:rsid w:val="0065161B"/>
    <w:rsid w:val="006530CE"/>
    <w:rsid w:val="0065564E"/>
    <w:rsid w:val="0065785E"/>
    <w:rsid w:val="00657D10"/>
    <w:rsid w:val="00657D1A"/>
    <w:rsid w:val="00661376"/>
    <w:rsid w:val="006615E5"/>
    <w:rsid w:val="00663483"/>
    <w:rsid w:val="00663B6F"/>
    <w:rsid w:val="00663B9C"/>
    <w:rsid w:val="00663DD3"/>
    <w:rsid w:val="0066477C"/>
    <w:rsid w:val="00666A3E"/>
    <w:rsid w:val="006674D8"/>
    <w:rsid w:val="00670FAA"/>
    <w:rsid w:val="006718B0"/>
    <w:rsid w:val="006719FE"/>
    <w:rsid w:val="00671B47"/>
    <w:rsid w:val="006725D2"/>
    <w:rsid w:val="00673EB8"/>
    <w:rsid w:val="0067569A"/>
    <w:rsid w:val="006770D0"/>
    <w:rsid w:val="006820F4"/>
    <w:rsid w:val="00683D35"/>
    <w:rsid w:val="00685872"/>
    <w:rsid w:val="00685E21"/>
    <w:rsid w:val="006869C4"/>
    <w:rsid w:val="0068719C"/>
    <w:rsid w:val="0068753D"/>
    <w:rsid w:val="00687D18"/>
    <w:rsid w:val="0069019B"/>
    <w:rsid w:val="00693E39"/>
    <w:rsid w:val="00694C2F"/>
    <w:rsid w:val="006974C8"/>
    <w:rsid w:val="00697B24"/>
    <w:rsid w:val="00697EA9"/>
    <w:rsid w:val="006A06EE"/>
    <w:rsid w:val="006A25CE"/>
    <w:rsid w:val="006A2CE2"/>
    <w:rsid w:val="006A3281"/>
    <w:rsid w:val="006A4BA2"/>
    <w:rsid w:val="006A78BD"/>
    <w:rsid w:val="006A7FBB"/>
    <w:rsid w:val="006B0E96"/>
    <w:rsid w:val="006B1ADB"/>
    <w:rsid w:val="006B1C83"/>
    <w:rsid w:val="006B3C71"/>
    <w:rsid w:val="006B4351"/>
    <w:rsid w:val="006C0C8A"/>
    <w:rsid w:val="006C227A"/>
    <w:rsid w:val="006C344B"/>
    <w:rsid w:val="006C3D88"/>
    <w:rsid w:val="006C4292"/>
    <w:rsid w:val="006D30BE"/>
    <w:rsid w:val="006D567A"/>
    <w:rsid w:val="006D58D2"/>
    <w:rsid w:val="006D5943"/>
    <w:rsid w:val="006D7490"/>
    <w:rsid w:val="006E010B"/>
    <w:rsid w:val="006E16A8"/>
    <w:rsid w:val="006E382F"/>
    <w:rsid w:val="006E6765"/>
    <w:rsid w:val="006E6953"/>
    <w:rsid w:val="006E77F4"/>
    <w:rsid w:val="006F1AAC"/>
    <w:rsid w:val="006F2097"/>
    <w:rsid w:val="006F27F2"/>
    <w:rsid w:val="006F344D"/>
    <w:rsid w:val="006F5052"/>
    <w:rsid w:val="006F5776"/>
    <w:rsid w:val="006F63B1"/>
    <w:rsid w:val="006F7539"/>
    <w:rsid w:val="00700CD9"/>
    <w:rsid w:val="00701BA9"/>
    <w:rsid w:val="00701EF4"/>
    <w:rsid w:val="00701FF5"/>
    <w:rsid w:val="007020B5"/>
    <w:rsid w:val="007029E6"/>
    <w:rsid w:val="00702AB7"/>
    <w:rsid w:val="007055F3"/>
    <w:rsid w:val="00706DA6"/>
    <w:rsid w:val="007071EB"/>
    <w:rsid w:val="00710463"/>
    <w:rsid w:val="00710837"/>
    <w:rsid w:val="00710B71"/>
    <w:rsid w:val="00713350"/>
    <w:rsid w:val="00714859"/>
    <w:rsid w:val="00714F92"/>
    <w:rsid w:val="00717FD3"/>
    <w:rsid w:val="00720C41"/>
    <w:rsid w:val="00721FD7"/>
    <w:rsid w:val="00722FBA"/>
    <w:rsid w:val="0072313F"/>
    <w:rsid w:val="00724F07"/>
    <w:rsid w:val="0072792D"/>
    <w:rsid w:val="00727F36"/>
    <w:rsid w:val="0073012D"/>
    <w:rsid w:val="00732742"/>
    <w:rsid w:val="00732B47"/>
    <w:rsid w:val="0073370C"/>
    <w:rsid w:val="00733A3B"/>
    <w:rsid w:val="007426F3"/>
    <w:rsid w:val="00742762"/>
    <w:rsid w:val="00744479"/>
    <w:rsid w:val="007444F9"/>
    <w:rsid w:val="00744FCC"/>
    <w:rsid w:val="0075190A"/>
    <w:rsid w:val="00752753"/>
    <w:rsid w:val="00752854"/>
    <w:rsid w:val="00753180"/>
    <w:rsid w:val="00754E54"/>
    <w:rsid w:val="00755E9B"/>
    <w:rsid w:val="007577DB"/>
    <w:rsid w:val="00757E08"/>
    <w:rsid w:val="00761B4D"/>
    <w:rsid w:val="007667D9"/>
    <w:rsid w:val="00766ADF"/>
    <w:rsid w:val="00772676"/>
    <w:rsid w:val="007726C3"/>
    <w:rsid w:val="00773CE2"/>
    <w:rsid w:val="00773D9F"/>
    <w:rsid w:val="00774571"/>
    <w:rsid w:val="00780E8E"/>
    <w:rsid w:val="007812FA"/>
    <w:rsid w:val="0078207C"/>
    <w:rsid w:val="00782676"/>
    <w:rsid w:val="007830D7"/>
    <w:rsid w:val="00784142"/>
    <w:rsid w:val="0078499E"/>
    <w:rsid w:val="0078591F"/>
    <w:rsid w:val="0078611D"/>
    <w:rsid w:val="0078682A"/>
    <w:rsid w:val="00786E7B"/>
    <w:rsid w:val="00787879"/>
    <w:rsid w:val="00791867"/>
    <w:rsid w:val="007919E4"/>
    <w:rsid w:val="0079216A"/>
    <w:rsid w:val="00792D96"/>
    <w:rsid w:val="00793656"/>
    <w:rsid w:val="00794032"/>
    <w:rsid w:val="00795189"/>
    <w:rsid w:val="007969EF"/>
    <w:rsid w:val="007A0737"/>
    <w:rsid w:val="007A1182"/>
    <w:rsid w:val="007A341B"/>
    <w:rsid w:val="007A5951"/>
    <w:rsid w:val="007A6419"/>
    <w:rsid w:val="007A7335"/>
    <w:rsid w:val="007A7863"/>
    <w:rsid w:val="007B06C6"/>
    <w:rsid w:val="007B16B5"/>
    <w:rsid w:val="007B4372"/>
    <w:rsid w:val="007B50EE"/>
    <w:rsid w:val="007B79A8"/>
    <w:rsid w:val="007C0FB3"/>
    <w:rsid w:val="007C17CD"/>
    <w:rsid w:val="007C17F7"/>
    <w:rsid w:val="007C1873"/>
    <w:rsid w:val="007C1EAB"/>
    <w:rsid w:val="007C3E96"/>
    <w:rsid w:val="007C43EF"/>
    <w:rsid w:val="007C4F12"/>
    <w:rsid w:val="007C6D29"/>
    <w:rsid w:val="007C6DE3"/>
    <w:rsid w:val="007C7D9A"/>
    <w:rsid w:val="007D0240"/>
    <w:rsid w:val="007D064F"/>
    <w:rsid w:val="007D06D2"/>
    <w:rsid w:val="007D1ACE"/>
    <w:rsid w:val="007D2830"/>
    <w:rsid w:val="007D4070"/>
    <w:rsid w:val="007D4AB8"/>
    <w:rsid w:val="007D4CC7"/>
    <w:rsid w:val="007D4FF0"/>
    <w:rsid w:val="007D6050"/>
    <w:rsid w:val="007E1654"/>
    <w:rsid w:val="007E1922"/>
    <w:rsid w:val="007E4109"/>
    <w:rsid w:val="007E6083"/>
    <w:rsid w:val="007E6348"/>
    <w:rsid w:val="007E7BC7"/>
    <w:rsid w:val="007E7F1E"/>
    <w:rsid w:val="007F26FA"/>
    <w:rsid w:val="007F425A"/>
    <w:rsid w:val="007F5F08"/>
    <w:rsid w:val="007F5FD5"/>
    <w:rsid w:val="007F6127"/>
    <w:rsid w:val="007F6812"/>
    <w:rsid w:val="007F6974"/>
    <w:rsid w:val="007F6F6A"/>
    <w:rsid w:val="007F7A75"/>
    <w:rsid w:val="00803208"/>
    <w:rsid w:val="00807358"/>
    <w:rsid w:val="00810769"/>
    <w:rsid w:val="00813037"/>
    <w:rsid w:val="0081336F"/>
    <w:rsid w:val="008151FE"/>
    <w:rsid w:val="008160B8"/>
    <w:rsid w:val="008209C0"/>
    <w:rsid w:val="0082268F"/>
    <w:rsid w:val="008237E0"/>
    <w:rsid w:val="00823D48"/>
    <w:rsid w:val="008244AF"/>
    <w:rsid w:val="00825E02"/>
    <w:rsid w:val="00825F3D"/>
    <w:rsid w:val="008261CD"/>
    <w:rsid w:val="00826AF9"/>
    <w:rsid w:val="00827211"/>
    <w:rsid w:val="00827C96"/>
    <w:rsid w:val="008314C9"/>
    <w:rsid w:val="00831F79"/>
    <w:rsid w:val="00833423"/>
    <w:rsid w:val="00833704"/>
    <w:rsid w:val="008342B6"/>
    <w:rsid w:val="0083503B"/>
    <w:rsid w:val="0083719D"/>
    <w:rsid w:val="008372F3"/>
    <w:rsid w:val="00837C3F"/>
    <w:rsid w:val="00840E26"/>
    <w:rsid w:val="00841F9C"/>
    <w:rsid w:val="00842A8E"/>
    <w:rsid w:val="00844F0C"/>
    <w:rsid w:val="00845391"/>
    <w:rsid w:val="00846755"/>
    <w:rsid w:val="00847B72"/>
    <w:rsid w:val="00852B2F"/>
    <w:rsid w:val="00853159"/>
    <w:rsid w:val="00855499"/>
    <w:rsid w:val="0085576F"/>
    <w:rsid w:val="008557AA"/>
    <w:rsid w:val="00855F4C"/>
    <w:rsid w:val="00856A51"/>
    <w:rsid w:val="00857D31"/>
    <w:rsid w:val="00860870"/>
    <w:rsid w:val="0086264D"/>
    <w:rsid w:val="00862DFA"/>
    <w:rsid w:val="00863D3F"/>
    <w:rsid w:val="008640A9"/>
    <w:rsid w:val="00864A68"/>
    <w:rsid w:val="0086561A"/>
    <w:rsid w:val="00867A66"/>
    <w:rsid w:val="00867D40"/>
    <w:rsid w:val="00870E20"/>
    <w:rsid w:val="00871360"/>
    <w:rsid w:val="008714CE"/>
    <w:rsid w:val="00872F54"/>
    <w:rsid w:val="00874F1E"/>
    <w:rsid w:val="00874F94"/>
    <w:rsid w:val="008759F2"/>
    <w:rsid w:val="00876D6E"/>
    <w:rsid w:val="0088080F"/>
    <w:rsid w:val="00881C7A"/>
    <w:rsid w:val="00881CC4"/>
    <w:rsid w:val="008820EB"/>
    <w:rsid w:val="0088395D"/>
    <w:rsid w:val="0088652E"/>
    <w:rsid w:val="00887695"/>
    <w:rsid w:val="00887B1A"/>
    <w:rsid w:val="00890105"/>
    <w:rsid w:val="008920CE"/>
    <w:rsid w:val="00895CE7"/>
    <w:rsid w:val="008A090F"/>
    <w:rsid w:val="008A3DD5"/>
    <w:rsid w:val="008A3F3D"/>
    <w:rsid w:val="008B2560"/>
    <w:rsid w:val="008B4F77"/>
    <w:rsid w:val="008B58CB"/>
    <w:rsid w:val="008B6131"/>
    <w:rsid w:val="008B773A"/>
    <w:rsid w:val="008B7839"/>
    <w:rsid w:val="008B7C2B"/>
    <w:rsid w:val="008C0BB8"/>
    <w:rsid w:val="008C141C"/>
    <w:rsid w:val="008C2460"/>
    <w:rsid w:val="008C2C58"/>
    <w:rsid w:val="008C4E19"/>
    <w:rsid w:val="008C61E1"/>
    <w:rsid w:val="008C7CCE"/>
    <w:rsid w:val="008D03BD"/>
    <w:rsid w:val="008D1CB0"/>
    <w:rsid w:val="008D2B65"/>
    <w:rsid w:val="008D3244"/>
    <w:rsid w:val="008D4B46"/>
    <w:rsid w:val="008D51C7"/>
    <w:rsid w:val="008D6598"/>
    <w:rsid w:val="008D6D39"/>
    <w:rsid w:val="008D6E21"/>
    <w:rsid w:val="008D7F22"/>
    <w:rsid w:val="008E1103"/>
    <w:rsid w:val="008E1839"/>
    <w:rsid w:val="008E3AA7"/>
    <w:rsid w:val="008E3D32"/>
    <w:rsid w:val="008E4FA5"/>
    <w:rsid w:val="008E5FD0"/>
    <w:rsid w:val="008E64B5"/>
    <w:rsid w:val="008F1E56"/>
    <w:rsid w:val="008F23DD"/>
    <w:rsid w:val="008F2E32"/>
    <w:rsid w:val="008F6418"/>
    <w:rsid w:val="008F66DE"/>
    <w:rsid w:val="008F7C65"/>
    <w:rsid w:val="00900237"/>
    <w:rsid w:val="009023CD"/>
    <w:rsid w:val="00903251"/>
    <w:rsid w:val="009035CB"/>
    <w:rsid w:val="00904D56"/>
    <w:rsid w:val="00904F9C"/>
    <w:rsid w:val="00907078"/>
    <w:rsid w:val="00907B49"/>
    <w:rsid w:val="009101B9"/>
    <w:rsid w:val="0091105D"/>
    <w:rsid w:val="009132A8"/>
    <w:rsid w:val="00913BC2"/>
    <w:rsid w:val="00913F0D"/>
    <w:rsid w:val="009149DE"/>
    <w:rsid w:val="0091581B"/>
    <w:rsid w:val="009169B4"/>
    <w:rsid w:val="0091754C"/>
    <w:rsid w:val="009175DE"/>
    <w:rsid w:val="00920046"/>
    <w:rsid w:val="00920A46"/>
    <w:rsid w:val="00923416"/>
    <w:rsid w:val="00923F9C"/>
    <w:rsid w:val="00924D6A"/>
    <w:rsid w:val="00925DCD"/>
    <w:rsid w:val="00925EC5"/>
    <w:rsid w:val="00927B96"/>
    <w:rsid w:val="009303B7"/>
    <w:rsid w:val="0093237F"/>
    <w:rsid w:val="00934288"/>
    <w:rsid w:val="009364E3"/>
    <w:rsid w:val="00936C9E"/>
    <w:rsid w:val="0093717B"/>
    <w:rsid w:val="00943FF4"/>
    <w:rsid w:val="00945EC2"/>
    <w:rsid w:val="009464E6"/>
    <w:rsid w:val="00947E3D"/>
    <w:rsid w:val="0095029C"/>
    <w:rsid w:val="00950A42"/>
    <w:rsid w:val="009510CA"/>
    <w:rsid w:val="00951B41"/>
    <w:rsid w:val="00953BAA"/>
    <w:rsid w:val="00954B1F"/>
    <w:rsid w:val="00954CD1"/>
    <w:rsid w:val="00955AC8"/>
    <w:rsid w:val="00957FDA"/>
    <w:rsid w:val="00964157"/>
    <w:rsid w:val="009654D6"/>
    <w:rsid w:val="0097254D"/>
    <w:rsid w:val="00972E53"/>
    <w:rsid w:val="00974D6B"/>
    <w:rsid w:val="00975CFC"/>
    <w:rsid w:val="00977590"/>
    <w:rsid w:val="00977707"/>
    <w:rsid w:val="00977DF3"/>
    <w:rsid w:val="0098116C"/>
    <w:rsid w:val="009836C4"/>
    <w:rsid w:val="009854E2"/>
    <w:rsid w:val="00986A6C"/>
    <w:rsid w:val="00987331"/>
    <w:rsid w:val="00990A4E"/>
    <w:rsid w:val="00991782"/>
    <w:rsid w:val="00991D87"/>
    <w:rsid w:val="009920D9"/>
    <w:rsid w:val="009939F1"/>
    <w:rsid w:val="00994A54"/>
    <w:rsid w:val="009964D9"/>
    <w:rsid w:val="00996755"/>
    <w:rsid w:val="00997359"/>
    <w:rsid w:val="009A0BCB"/>
    <w:rsid w:val="009A53E3"/>
    <w:rsid w:val="009B5D5A"/>
    <w:rsid w:val="009C2E57"/>
    <w:rsid w:val="009C401C"/>
    <w:rsid w:val="009C4254"/>
    <w:rsid w:val="009D1A5A"/>
    <w:rsid w:val="009D2091"/>
    <w:rsid w:val="009D37AC"/>
    <w:rsid w:val="009D3EA9"/>
    <w:rsid w:val="009D4DAB"/>
    <w:rsid w:val="009D54CB"/>
    <w:rsid w:val="009D799E"/>
    <w:rsid w:val="009E0628"/>
    <w:rsid w:val="009E1506"/>
    <w:rsid w:val="009E17E6"/>
    <w:rsid w:val="009E2521"/>
    <w:rsid w:val="009E29BB"/>
    <w:rsid w:val="009E391F"/>
    <w:rsid w:val="009E4F61"/>
    <w:rsid w:val="009E55D8"/>
    <w:rsid w:val="009E6BCD"/>
    <w:rsid w:val="009F074C"/>
    <w:rsid w:val="009F204C"/>
    <w:rsid w:val="009F301D"/>
    <w:rsid w:val="009F31F8"/>
    <w:rsid w:val="009F354C"/>
    <w:rsid w:val="009F3DB8"/>
    <w:rsid w:val="009F4F17"/>
    <w:rsid w:val="009F5564"/>
    <w:rsid w:val="009F7C18"/>
    <w:rsid w:val="00A00403"/>
    <w:rsid w:val="00A031CD"/>
    <w:rsid w:val="00A03B8F"/>
    <w:rsid w:val="00A04AB7"/>
    <w:rsid w:val="00A04C3A"/>
    <w:rsid w:val="00A04F9A"/>
    <w:rsid w:val="00A05DF3"/>
    <w:rsid w:val="00A10757"/>
    <w:rsid w:val="00A10B3D"/>
    <w:rsid w:val="00A13C8B"/>
    <w:rsid w:val="00A150F0"/>
    <w:rsid w:val="00A153E9"/>
    <w:rsid w:val="00A177BC"/>
    <w:rsid w:val="00A17933"/>
    <w:rsid w:val="00A2176D"/>
    <w:rsid w:val="00A21819"/>
    <w:rsid w:val="00A22C5E"/>
    <w:rsid w:val="00A277B8"/>
    <w:rsid w:val="00A27998"/>
    <w:rsid w:val="00A312E4"/>
    <w:rsid w:val="00A32952"/>
    <w:rsid w:val="00A342F7"/>
    <w:rsid w:val="00A34CA2"/>
    <w:rsid w:val="00A3579C"/>
    <w:rsid w:val="00A35E73"/>
    <w:rsid w:val="00A3653F"/>
    <w:rsid w:val="00A36877"/>
    <w:rsid w:val="00A37132"/>
    <w:rsid w:val="00A376DE"/>
    <w:rsid w:val="00A40D9C"/>
    <w:rsid w:val="00A41B11"/>
    <w:rsid w:val="00A43596"/>
    <w:rsid w:val="00A4479C"/>
    <w:rsid w:val="00A463C5"/>
    <w:rsid w:val="00A46519"/>
    <w:rsid w:val="00A467CB"/>
    <w:rsid w:val="00A46D2F"/>
    <w:rsid w:val="00A472B6"/>
    <w:rsid w:val="00A50FDE"/>
    <w:rsid w:val="00A524BA"/>
    <w:rsid w:val="00A5339C"/>
    <w:rsid w:val="00A5438D"/>
    <w:rsid w:val="00A54921"/>
    <w:rsid w:val="00A553D4"/>
    <w:rsid w:val="00A5679A"/>
    <w:rsid w:val="00A569E6"/>
    <w:rsid w:val="00A57307"/>
    <w:rsid w:val="00A57517"/>
    <w:rsid w:val="00A579B0"/>
    <w:rsid w:val="00A57FBF"/>
    <w:rsid w:val="00A6030F"/>
    <w:rsid w:val="00A6233D"/>
    <w:rsid w:val="00A639B9"/>
    <w:rsid w:val="00A67AED"/>
    <w:rsid w:val="00A70302"/>
    <w:rsid w:val="00A70F46"/>
    <w:rsid w:val="00A7112C"/>
    <w:rsid w:val="00A71C5A"/>
    <w:rsid w:val="00A744A6"/>
    <w:rsid w:val="00A75A4D"/>
    <w:rsid w:val="00A770AD"/>
    <w:rsid w:val="00A847DE"/>
    <w:rsid w:val="00A84B75"/>
    <w:rsid w:val="00A8522A"/>
    <w:rsid w:val="00A85806"/>
    <w:rsid w:val="00A90680"/>
    <w:rsid w:val="00A90976"/>
    <w:rsid w:val="00A90D02"/>
    <w:rsid w:val="00A938B6"/>
    <w:rsid w:val="00A93EE5"/>
    <w:rsid w:val="00AA02D4"/>
    <w:rsid w:val="00AA1B71"/>
    <w:rsid w:val="00AA2404"/>
    <w:rsid w:val="00AA31B0"/>
    <w:rsid w:val="00AA4062"/>
    <w:rsid w:val="00AA56A4"/>
    <w:rsid w:val="00AB019D"/>
    <w:rsid w:val="00AB59B5"/>
    <w:rsid w:val="00AB5DED"/>
    <w:rsid w:val="00AB6FD5"/>
    <w:rsid w:val="00AC08EC"/>
    <w:rsid w:val="00AC1C33"/>
    <w:rsid w:val="00AC445C"/>
    <w:rsid w:val="00AC5CD4"/>
    <w:rsid w:val="00AC7611"/>
    <w:rsid w:val="00AD0654"/>
    <w:rsid w:val="00AD0D4D"/>
    <w:rsid w:val="00AD2B93"/>
    <w:rsid w:val="00AD3D67"/>
    <w:rsid w:val="00AD497A"/>
    <w:rsid w:val="00AD5BBB"/>
    <w:rsid w:val="00AD6104"/>
    <w:rsid w:val="00AD63F6"/>
    <w:rsid w:val="00AD7033"/>
    <w:rsid w:val="00AD7399"/>
    <w:rsid w:val="00AE40B3"/>
    <w:rsid w:val="00AE4E5E"/>
    <w:rsid w:val="00AE731A"/>
    <w:rsid w:val="00AE7FD2"/>
    <w:rsid w:val="00AF0EC5"/>
    <w:rsid w:val="00AF15E2"/>
    <w:rsid w:val="00AF1E0E"/>
    <w:rsid w:val="00AF23DE"/>
    <w:rsid w:val="00AF2CA1"/>
    <w:rsid w:val="00AF3A3E"/>
    <w:rsid w:val="00AF45AC"/>
    <w:rsid w:val="00AF594A"/>
    <w:rsid w:val="00B01D77"/>
    <w:rsid w:val="00B035D1"/>
    <w:rsid w:val="00B06E77"/>
    <w:rsid w:val="00B07498"/>
    <w:rsid w:val="00B075FF"/>
    <w:rsid w:val="00B10A94"/>
    <w:rsid w:val="00B1130E"/>
    <w:rsid w:val="00B1143D"/>
    <w:rsid w:val="00B11984"/>
    <w:rsid w:val="00B11D81"/>
    <w:rsid w:val="00B1296E"/>
    <w:rsid w:val="00B12A12"/>
    <w:rsid w:val="00B12C31"/>
    <w:rsid w:val="00B1362E"/>
    <w:rsid w:val="00B143BE"/>
    <w:rsid w:val="00B15F39"/>
    <w:rsid w:val="00B16ACB"/>
    <w:rsid w:val="00B1742A"/>
    <w:rsid w:val="00B17806"/>
    <w:rsid w:val="00B204A1"/>
    <w:rsid w:val="00B21F10"/>
    <w:rsid w:val="00B22517"/>
    <w:rsid w:val="00B2713A"/>
    <w:rsid w:val="00B27C5F"/>
    <w:rsid w:val="00B31F5D"/>
    <w:rsid w:val="00B32CDD"/>
    <w:rsid w:val="00B33034"/>
    <w:rsid w:val="00B33BD3"/>
    <w:rsid w:val="00B33C74"/>
    <w:rsid w:val="00B34FEA"/>
    <w:rsid w:val="00B401C4"/>
    <w:rsid w:val="00B402A9"/>
    <w:rsid w:val="00B41184"/>
    <w:rsid w:val="00B4234F"/>
    <w:rsid w:val="00B423FA"/>
    <w:rsid w:val="00B4289E"/>
    <w:rsid w:val="00B434A7"/>
    <w:rsid w:val="00B44434"/>
    <w:rsid w:val="00B452D0"/>
    <w:rsid w:val="00B46FB3"/>
    <w:rsid w:val="00B51B8B"/>
    <w:rsid w:val="00B51D74"/>
    <w:rsid w:val="00B54ADE"/>
    <w:rsid w:val="00B55C34"/>
    <w:rsid w:val="00B56F75"/>
    <w:rsid w:val="00B57F03"/>
    <w:rsid w:val="00B619EA"/>
    <w:rsid w:val="00B61A7F"/>
    <w:rsid w:val="00B63244"/>
    <w:rsid w:val="00B636AC"/>
    <w:rsid w:val="00B64C82"/>
    <w:rsid w:val="00B65A95"/>
    <w:rsid w:val="00B66062"/>
    <w:rsid w:val="00B66D42"/>
    <w:rsid w:val="00B66E41"/>
    <w:rsid w:val="00B712A6"/>
    <w:rsid w:val="00B721FD"/>
    <w:rsid w:val="00B72804"/>
    <w:rsid w:val="00B7294E"/>
    <w:rsid w:val="00B72BAF"/>
    <w:rsid w:val="00B73AB7"/>
    <w:rsid w:val="00B74AEE"/>
    <w:rsid w:val="00B75348"/>
    <w:rsid w:val="00B762DB"/>
    <w:rsid w:val="00B76FD5"/>
    <w:rsid w:val="00B777AD"/>
    <w:rsid w:val="00B81725"/>
    <w:rsid w:val="00B82DAE"/>
    <w:rsid w:val="00B83520"/>
    <w:rsid w:val="00B8568D"/>
    <w:rsid w:val="00B8697F"/>
    <w:rsid w:val="00B86BC8"/>
    <w:rsid w:val="00B941A6"/>
    <w:rsid w:val="00B95A1E"/>
    <w:rsid w:val="00B97AC6"/>
    <w:rsid w:val="00BA4166"/>
    <w:rsid w:val="00BA55A8"/>
    <w:rsid w:val="00BA6AF0"/>
    <w:rsid w:val="00BA74C6"/>
    <w:rsid w:val="00BB1479"/>
    <w:rsid w:val="00BB1844"/>
    <w:rsid w:val="00BB1D5E"/>
    <w:rsid w:val="00BB3DB9"/>
    <w:rsid w:val="00BB407C"/>
    <w:rsid w:val="00BB4686"/>
    <w:rsid w:val="00BB4B11"/>
    <w:rsid w:val="00BB7E3F"/>
    <w:rsid w:val="00BC0488"/>
    <w:rsid w:val="00BC1EC4"/>
    <w:rsid w:val="00BC256F"/>
    <w:rsid w:val="00BC3506"/>
    <w:rsid w:val="00BC356E"/>
    <w:rsid w:val="00BC362E"/>
    <w:rsid w:val="00BC671A"/>
    <w:rsid w:val="00BC7718"/>
    <w:rsid w:val="00BC7CB0"/>
    <w:rsid w:val="00BD404C"/>
    <w:rsid w:val="00BD4981"/>
    <w:rsid w:val="00BD5066"/>
    <w:rsid w:val="00BD7D7A"/>
    <w:rsid w:val="00BE0D1F"/>
    <w:rsid w:val="00BE2A8C"/>
    <w:rsid w:val="00BE328A"/>
    <w:rsid w:val="00BE371B"/>
    <w:rsid w:val="00BE3FD8"/>
    <w:rsid w:val="00BE64FC"/>
    <w:rsid w:val="00BE7999"/>
    <w:rsid w:val="00BF16B5"/>
    <w:rsid w:val="00BF2325"/>
    <w:rsid w:val="00BF31CC"/>
    <w:rsid w:val="00BF379A"/>
    <w:rsid w:val="00BF5677"/>
    <w:rsid w:val="00BF6A75"/>
    <w:rsid w:val="00BF7B2E"/>
    <w:rsid w:val="00C025F2"/>
    <w:rsid w:val="00C06133"/>
    <w:rsid w:val="00C06595"/>
    <w:rsid w:val="00C10324"/>
    <w:rsid w:val="00C1035C"/>
    <w:rsid w:val="00C105D7"/>
    <w:rsid w:val="00C107EE"/>
    <w:rsid w:val="00C10D3B"/>
    <w:rsid w:val="00C11493"/>
    <w:rsid w:val="00C1357B"/>
    <w:rsid w:val="00C14B78"/>
    <w:rsid w:val="00C20838"/>
    <w:rsid w:val="00C2217B"/>
    <w:rsid w:val="00C223CD"/>
    <w:rsid w:val="00C22DF6"/>
    <w:rsid w:val="00C23E02"/>
    <w:rsid w:val="00C24386"/>
    <w:rsid w:val="00C25776"/>
    <w:rsid w:val="00C27AE9"/>
    <w:rsid w:val="00C27E3E"/>
    <w:rsid w:val="00C30542"/>
    <w:rsid w:val="00C30E72"/>
    <w:rsid w:val="00C325DA"/>
    <w:rsid w:val="00C3556B"/>
    <w:rsid w:val="00C3609F"/>
    <w:rsid w:val="00C36118"/>
    <w:rsid w:val="00C36337"/>
    <w:rsid w:val="00C3696F"/>
    <w:rsid w:val="00C37D9B"/>
    <w:rsid w:val="00C413E4"/>
    <w:rsid w:val="00C41917"/>
    <w:rsid w:val="00C426E9"/>
    <w:rsid w:val="00C4548B"/>
    <w:rsid w:val="00C50596"/>
    <w:rsid w:val="00C51ABB"/>
    <w:rsid w:val="00C53BB6"/>
    <w:rsid w:val="00C561F7"/>
    <w:rsid w:val="00C564D7"/>
    <w:rsid w:val="00C57BDD"/>
    <w:rsid w:val="00C60605"/>
    <w:rsid w:val="00C60D33"/>
    <w:rsid w:val="00C61528"/>
    <w:rsid w:val="00C61E6E"/>
    <w:rsid w:val="00C64F93"/>
    <w:rsid w:val="00C66124"/>
    <w:rsid w:val="00C667AE"/>
    <w:rsid w:val="00C70C7A"/>
    <w:rsid w:val="00C73054"/>
    <w:rsid w:val="00C733D3"/>
    <w:rsid w:val="00C7527E"/>
    <w:rsid w:val="00C7685A"/>
    <w:rsid w:val="00C76C70"/>
    <w:rsid w:val="00C80D9D"/>
    <w:rsid w:val="00C8171B"/>
    <w:rsid w:val="00C854C5"/>
    <w:rsid w:val="00C90015"/>
    <w:rsid w:val="00C90333"/>
    <w:rsid w:val="00C90685"/>
    <w:rsid w:val="00C90A41"/>
    <w:rsid w:val="00C93B88"/>
    <w:rsid w:val="00C94EE5"/>
    <w:rsid w:val="00C95166"/>
    <w:rsid w:val="00C95827"/>
    <w:rsid w:val="00CA08FD"/>
    <w:rsid w:val="00CA11E5"/>
    <w:rsid w:val="00CA172D"/>
    <w:rsid w:val="00CA2E53"/>
    <w:rsid w:val="00CA335D"/>
    <w:rsid w:val="00CA57E6"/>
    <w:rsid w:val="00CA58E1"/>
    <w:rsid w:val="00CA5ADB"/>
    <w:rsid w:val="00CA68E7"/>
    <w:rsid w:val="00CB44BE"/>
    <w:rsid w:val="00CB46FA"/>
    <w:rsid w:val="00CB513A"/>
    <w:rsid w:val="00CB53F8"/>
    <w:rsid w:val="00CB6C02"/>
    <w:rsid w:val="00CC0C98"/>
    <w:rsid w:val="00CC1280"/>
    <w:rsid w:val="00CC32D8"/>
    <w:rsid w:val="00CC3A13"/>
    <w:rsid w:val="00CC3A49"/>
    <w:rsid w:val="00CC42E5"/>
    <w:rsid w:val="00CC4D5E"/>
    <w:rsid w:val="00CC5132"/>
    <w:rsid w:val="00CC6071"/>
    <w:rsid w:val="00CC7248"/>
    <w:rsid w:val="00CD0605"/>
    <w:rsid w:val="00CD22F9"/>
    <w:rsid w:val="00CD2825"/>
    <w:rsid w:val="00CD343A"/>
    <w:rsid w:val="00CD462C"/>
    <w:rsid w:val="00CD48EE"/>
    <w:rsid w:val="00CD5687"/>
    <w:rsid w:val="00CD6EC2"/>
    <w:rsid w:val="00CD75C7"/>
    <w:rsid w:val="00CD7DE1"/>
    <w:rsid w:val="00CE19FA"/>
    <w:rsid w:val="00CE1B16"/>
    <w:rsid w:val="00CE1E0A"/>
    <w:rsid w:val="00CE24FB"/>
    <w:rsid w:val="00CE4163"/>
    <w:rsid w:val="00CE75AC"/>
    <w:rsid w:val="00CF0668"/>
    <w:rsid w:val="00CF1ABC"/>
    <w:rsid w:val="00CF21D8"/>
    <w:rsid w:val="00CF32FA"/>
    <w:rsid w:val="00CF3AA6"/>
    <w:rsid w:val="00CF3B7F"/>
    <w:rsid w:val="00CF4FC4"/>
    <w:rsid w:val="00CF5117"/>
    <w:rsid w:val="00CF5ECB"/>
    <w:rsid w:val="00CF6383"/>
    <w:rsid w:val="00CF653E"/>
    <w:rsid w:val="00CF6F9E"/>
    <w:rsid w:val="00CF7BE0"/>
    <w:rsid w:val="00D013FD"/>
    <w:rsid w:val="00D02798"/>
    <w:rsid w:val="00D02BE8"/>
    <w:rsid w:val="00D02E5D"/>
    <w:rsid w:val="00D04195"/>
    <w:rsid w:val="00D046D6"/>
    <w:rsid w:val="00D05CEF"/>
    <w:rsid w:val="00D10303"/>
    <w:rsid w:val="00D12282"/>
    <w:rsid w:val="00D13446"/>
    <w:rsid w:val="00D13817"/>
    <w:rsid w:val="00D13A24"/>
    <w:rsid w:val="00D153A8"/>
    <w:rsid w:val="00D15A4A"/>
    <w:rsid w:val="00D201DA"/>
    <w:rsid w:val="00D215CB"/>
    <w:rsid w:val="00D21E2B"/>
    <w:rsid w:val="00D22056"/>
    <w:rsid w:val="00D220E2"/>
    <w:rsid w:val="00D222A1"/>
    <w:rsid w:val="00D243A5"/>
    <w:rsid w:val="00D2526B"/>
    <w:rsid w:val="00D25D9C"/>
    <w:rsid w:val="00D25E82"/>
    <w:rsid w:val="00D264BE"/>
    <w:rsid w:val="00D2726D"/>
    <w:rsid w:val="00D274DC"/>
    <w:rsid w:val="00D30BF3"/>
    <w:rsid w:val="00D31203"/>
    <w:rsid w:val="00D31B6C"/>
    <w:rsid w:val="00D33F5B"/>
    <w:rsid w:val="00D35C0D"/>
    <w:rsid w:val="00D35D00"/>
    <w:rsid w:val="00D36231"/>
    <w:rsid w:val="00D3768D"/>
    <w:rsid w:val="00D37A5C"/>
    <w:rsid w:val="00D4093A"/>
    <w:rsid w:val="00D4167C"/>
    <w:rsid w:val="00D426BF"/>
    <w:rsid w:val="00D4281E"/>
    <w:rsid w:val="00D42BC6"/>
    <w:rsid w:val="00D4525A"/>
    <w:rsid w:val="00D506E9"/>
    <w:rsid w:val="00D519D1"/>
    <w:rsid w:val="00D52E6C"/>
    <w:rsid w:val="00D53047"/>
    <w:rsid w:val="00D53FA8"/>
    <w:rsid w:val="00D5774E"/>
    <w:rsid w:val="00D60913"/>
    <w:rsid w:val="00D62D47"/>
    <w:rsid w:val="00D64FD0"/>
    <w:rsid w:val="00D66013"/>
    <w:rsid w:val="00D67284"/>
    <w:rsid w:val="00D67679"/>
    <w:rsid w:val="00D67C8B"/>
    <w:rsid w:val="00D70AA6"/>
    <w:rsid w:val="00D7189B"/>
    <w:rsid w:val="00D72E41"/>
    <w:rsid w:val="00D740A7"/>
    <w:rsid w:val="00D7468E"/>
    <w:rsid w:val="00D74E38"/>
    <w:rsid w:val="00D7522F"/>
    <w:rsid w:val="00D758EC"/>
    <w:rsid w:val="00D773D8"/>
    <w:rsid w:val="00D77699"/>
    <w:rsid w:val="00D77A17"/>
    <w:rsid w:val="00D77B3F"/>
    <w:rsid w:val="00D80224"/>
    <w:rsid w:val="00D80277"/>
    <w:rsid w:val="00D82A8B"/>
    <w:rsid w:val="00D83AF5"/>
    <w:rsid w:val="00D84F53"/>
    <w:rsid w:val="00D85920"/>
    <w:rsid w:val="00D85D82"/>
    <w:rsid w:val="00D85FAA"/>
    <w:rsid w:val="00D865BB"/>
    <w:rsid w:val="00D877C3"/>
    <w:rsid w:val="00D9048A"/>
    <w:rsid w:val="00D92142"/>
    <w:rsid w:val="00D95D5D"/>
    <w:rsid w:val="00DA1FCB"/>
    <w:rsid w:val="00DA397E"/>
    <w:rsid w:val="00DA4E92"/>
    <w:rsid w:val="00DA602B"/>
    <w:rsid w:val="00DA6C48"/>
    <w:rsid w:val="00DB1BF7"/>
    <w:rsid w:val="00DB1EE0"/>
    <w:rsid w:val="00DB5509"/>
    <w:rsid w:val="00DB5848"/>
    <w:rsid w:val="00DC1103"/>
    <w:rsid w:val="00DC3A07"/>
    <w:rsid w:val="00DC46B8"/>
    <w:rsid w:val="00DC53EC"/>
    <w:rsid w:val="00DC5610"/>
    <w:rsid w:val="00DC6D9D"/>
    <w:rsid w:val="00DC7CF8"/>
    <w:rsid w:val="00DD0764"/>
    <w:rsid w:val="00DD3477"/>
    <w:rsid w:val="00DD3D93"/>
    <w:rsid w:val="00DD5AAA"/>
    <w:rsid w:val="00DD6928"/>
    <w:rsid w:val="00DE042B"/>
    <w:rsid w:val="00DE0BE2"/>
    <w:rsid w:val="00DE1CF8"/>
    <w:rsid w:val="00DE2DEA"/>
    <w:rsid w:val="00DE4AD2"/>
    <w:rsid w:val="00DE5B7E"/>
    <w:rsid w:val="00DE61A4"/>
    <w:rsid w:val="00DE6E2C"/>
    <w:rsid w:val="00DE74E0"/>
    <w:rsid w:val="00DE75C5"/>
    <w:rsid w:val="00DF002B"/>
    <w:rsid w:val="00DF068D"/>
    <w:rsid w:val="00DF42DE"/>
    <w:rsid w:val="00DF47E7"/>
    <w:rsid w:val="00DF49C8"/>
    <w:rsid w:val="00DF53E5"/>
    <w:rsid w:val="00DF767C"/>
    <w:rsid w:val="00E00781"/>
    <w:rsid w:val="00E01BC1"/>
    <w:rsid w:val="00E01BEC"/>
    <w:rsid w:val="00E026DC"/>
    <w:rsid w:val="00E02E0C"/>
    <w:rsid w:val="00E036B1"/>
    <w:rsid w:val="00E04FDA"/>
    <w:rsid w:val="00E05DFF"/>
    <w:rsid w:val="00E06326"/>
    <w:rsid w:val="00E06C1A"/>
    <w:rsid w:val="00E06F24"/>
    <w:rsid w:val="00E13B0E"/>
    <w:rsid w:val="00E15C59"/>
    <w:rsid w:val="00E16261"/>
    <w:rsid w:val="00E20312"/>
    <w:rsid w:val="00E20403"/>
    <w:rsid w:val="00E209B5"/>
    <w:rsid w:val="00E20DB7"/>
    <w:rsid w:val="00E2232F"/>
    <w:rsid w:val="00E2425E"/>
    <w:rsid w:val="00E26544"/>
    <w:rsid w:val="00E302BE"/>
    <w:rsid w:val="00E3075F"/>
    <w:rsid w:val="00E31F3F"/>
    <w:rsid w:val="00E321C8"/>
    <w:rsid w:val="00E32815"/>
    <w:rsid w:val="00E34628"/>
    <w:rsid w:val="00E40203"/>
    <w:rsid w:val="00E40D44"/>
    <w:rsid w:val="00E40D51"/>
    <w:rsid w:val="00E4194C"/>
    <w:rsid w:val="00E41A31"/>
    <w:rsid w:val="00E443DE"/>
    <w:rsid w:val="00E46A38"/>
    <w:rsid w:val="00E52314"/>
    <w:rsid w:val="00E52942"/>
    <w:rsid w:val="00E52AE4"/>
    <w:rsid w:val="00E54541"/>
    <w:rsid w:val="00E57D14"/>
    <w:rsid w:val="00E611A0"/>
    <w:rsid w:val="00E638CF"/>
    <w:rsid w:val="00E64DBF"/>
    <w:rsid w:val="00E66D37"/>
    <w:rsid w:val="00E67310"/>
    <w:rsid w:val="00E71663"/>
    <w:rsid w:val="00E72050"/>
    <w:rsid w:val="00E7366F"/>
    <w:rsid w:val="00E74A9C"/>
    <w:rsid w:val="00E74B88"/>
    <w:rsid w:val="00E74CD6"/>
    <w:rsid w:val="00E751D0"/>
    <w:rsid w:val="00E81147"/>
    <w:rsid w:val="00E8218C"/>
    <w:rsid w:val="00E8244F"/>
    <w:rsid w:val="00E8295B"/>
    <w:rsid w:val="00E83A0B"/>
    <w:rsid w:val="00E83B6C"/>
    <w:rsid w:val="00E83C20"/>
    <w:rsid w:val="00E87BF0"/>
    <w:rsid w:val="00E91FB2"/>
    <w:rsid w:val="00E9217E"/>
    <w:rsid w:val="00E93B3E"/>
    <w:rsid w:val="00E93C4D"/>
    <w:rsid w:val="00E93F42"/>
    <w:rsid w:val="00E94E99"/>
    <w:rsid w:val="00E951F2"/>
    <w:rsid w:val="00E9604D"/>
    <w:rsid w:val="00E966AC"/>
    <w:rsid w:val="00E96B0E"/>
    <w:rsid w:val="00E96F9A"/>
    <w:rsid w:val="00E97B7D"/>
    <w:rsid w:val="00EA076E"/>
    <w:rsid w:val="00EA16B2"/>
    <w:rsid w:val="00EA3CB8"/>
    <w:rsid w:val="00EA44F7"/>
    <w:rsid w:val="00EA4914"/>
    <w:rsid w:val="00EA7E87"/>
    <w:rsid w:val="00EB0871"/>
    <w:rsid w:val="00EB0B22"/>
    <w:rsid w:val="00EB1045"/>
    <w:rsid w:val="00EB18D5"/>
    <w:rsid w:val="00EB1ADC"/>
    <w:rsid w:val="00EB36C9"/>
    <w:rsid w:val="00EB6A35"/>
    <w:rsid w:val="00EB6FF5"/>
    <w:rsid w:val="00EC27B7"/>
    <w:rsid w:val="00EC30C5"/>
    <w:rsid w:val="00EC47C9"/>
    <w:rsid w:val="00EC61C4"/>
    <w:rsid w:val="00EC6368"/>
    <w:rsid w:val="00EC6461"/>
    <w:rsid w:val="00EC6A69"/>
    <w:rsid w:val="00ED0367"/>
    <w:rsid w:val="00ED1E24"/>
    <w:rsid w:val="00ED261B"/>
    <w:rsid w:val="00ED2A12"/>
    <w:rsid w:val="00ED3ACC"/>
    <w:rsid w:val="00ED4CDC"/>
    <w:rsid w:val="00ED67BD"/>
    <w:rsid w:val="00EE10D5"/>
    <w:rsid w:val="00EE1CC5"/>
    <w:rsid w:val="00EE2154"/>
    <w:rsid w:val="00EE22EE"/>
    <w:rsid w:val="00EE2FF5"/>
    <w:rsid w:val="00EE337A"/>
    <w:rsid w:val="00EE6B97"/>
    <w:rsid w:val="00EE7EB4"/>
    <w:rsid w:val="00EF149F"/>
    <w:rsid w:val="00EF1C5E"/>
    <w:rsid w:val="00EF1D9D"/>
    <w:rsid w:val="00EF38D9"/>
    <w:rsid w:val="00EF439F"/>
    <w:rsid w:val="00EF52FD"/>
    <w:rsid w:val="00EF731B"/>
    <w:rsid w:val="00EF7E88"/>
    <w:rsid w:val="00F023B2"/>
    <w:rsid w:val="00F025D4"/>
    <w:rsid w:val="00F037F8"/>
    <w:rsid w:val="00F03E93"/>
    <w:rsid w:val="00F05B2F"/>
    <w:rsid w:val="00F05F49"/>
    <w:rsid w:val="00F11341"/>
    <w:rsid w:val="00F11819"/>
    <w:rsid w:val="00F12D43"/>
    <w:rsid w:val="00F13062"/>
    <w:rsid w:val="00F1328B"/>
    <w:rsid w:val="00F13E38"/>
    <w:rsid w:val="00F14EC6"/>
    <w:rsid w:val="00F14EF2"/>
    <w:rsid w:val="00F1665D"/>
    <w:rsid w:val="00F17582"/>
    <w:rsid w:val="00F20CD4"/>
    <w:rsid w:val="00F236A0"/>
    <w:rsid w:val="00F26503"/>
    <w:rsid w:val="00F26B75"/>
    <w:rsid w:val="00F277E6"/>
    <w:rsid w:val="00F278D2"/>
    <w:rsid w:val="00F27A22"/>
    <w:rsid w:val="00F31131"/>
    <w:rsid w:val="00F313D5"/>
    <w:rsid w:val="00F31E1E"/>
    <w:rsid w:val="00F348AE"/>
    <w:rsid w:val="00F3543A"/>
    <w:rsid w:val="00F35761"/>
    <w:rsid w:val="00F35C6B"/>
    <w:rsid w:val="00F416FF"/>
    <w:rsid w:val="00F43B30"/>
    <w:rsid w:val="00F442CE"/>
    <w:rsid w:val="00F44352"/>
    <w:rsid w:val="00F44AF7"/>
    <w:rsid w:val="00F44E60"/>
    <w:rsid w:val="00F45E71"/>
    <w:rsid w:val="00F46A1D"/>
    <w:rsid w:val="00F46DA2"/>
    <w:rsid w:val="00F511C1"/>
    <w:rsid w:val="00F52D81"/>
    <w:rsid w:val="00F54D93"/>
    <w:rsid w:val="00F56BC9"/>
    <w:rsid w:val="00F56C79"/>
    <w:rsid w:val="00F57598"/>
    <w:rsid w:val="00F57C43"/>
    <w:rsid w:val="00F61401"/>
    <w:rsid w:val="00F618D9"/>
    <w:rsid w:val="00F6248E"/>
    <w:rsid w:val="00F6271C"/>
    <w:rsid w:val="00F63C33"/>
    <w:rsid w:val="00F63F80"/>
    <w:rsid w:val="00F64437"/>
    <w:rsid w:val="00F64578"/>
    <w:rsid w:val="00F64AF9"/>
    <w:rsid w:val="00F64B41"/>
    <w:rsid w:val="00F64E90"/>
    <w:rsid w:val="00F65392"/>
    <w:rsid w:val="00F65EEF"/>
    <w:rsid w:val="00F664EB"/>
    <w:rsid w:val="00F665F5"/>
    <w:rsid w:val="00F66F60"/>
    <w:rsid w:val="00F70136"/>
    <w:rsid w:val="00F703A6"/>
    <w:rsid w:val="00F70E7C"/>
    <w:rsid w:val="00F70FE2"/>
    <w:rsid w:val="00F7125C"/>
    <w:rsid w:val="00F71348"/>
    <w:rsid w:val="00F724A8"/>
    <w:rsid w:val="00F73151"/>
    <w:rsid w:val="00F737D0"/>
    <w:rsid w:val="00F73DD0"/>
    <w:rsid w:val="00F74504"/>
    <w:rsid w:val="00F765FE"/>
    <w:rsid w:val="00F76F26"/>
    <w:rsid w:val="00F77442"/>
    <w:rsid w:val="00F77737"/>
    <w:rsid w:val="00F82BC4"/>
    <w:rsid w:val="00F8489B"/>
    <w:rsid w:val="00F85BC6"/>
    <w:rsid w:val="00F8666A"/>
    <w:rsid w:val="00F86E63"/>
    <w:rsid w:val="00F90A2B"/>
    <w:rsid w:val="00F93CC9"/>
    <w:rsid w:val="00F964B8"/>
    <w:rsid w:val="00FA0B1C"/>
    <w:rsid w:val="00FA2730"/>
    <w:rsid w:val="00FA477A"/>
    <w:rsid w:val="00FA4E3B"/>
    <w:rsid w:val="00FA5C97"/>
    <w:rsid w:val="00FA6128"/>
    <w:rsid w:val="00FA691C"/>
    <w:rsid w:val="00FA7683"/>
    <w:rsid w:val="00FB380D"/>
    <w:rsid w:val="00FB4A30"/>
    <w:rsid w:val="00FC08BE"/>
    <w:rsid w:val="00FC375D"/>
    <w:rsid w:val="00FC5551"/>
    <w:rsid w:val="00FC5D48"/>
    <w:rsid w:val="00FC751A"/>
    <w:rsid w:val="00FD04FF"/>
    <w:rsid w:val="00FD0A07"/>
    <w:rsid w:val="00FD0F69"/>
    <w:rsid w:val="00FD1490"/>
    <w:rsid w:val="00FD1B78"/>
    <w:rsid w:val="00FD1EF0"/>
    <w:rsid w:val="00FD6052"/>
    <w:rsid w:val="00FD71B1"/>
    <w:rsid w:val="00FE04C4"/>
    <w:rsid w:val="00FE0938"/>
    <w:rsid w:val="00FE1A27"/>
    <w:rsid w:val="00FE22B0"/>
    <w:rsid w:val="00FE2B9B"/>
    <w:rsid w:val="00FE4101"/>
    <w:rsid w:val="00FE6E59"/>
    <w:rsid w:val="00FE6E67"/>
    <w:rsid w:val="00FF1D02"/>
    <w:rsid w:val="00FF2A96"/>
    <w:rsid w:val="00FF306B"/>
    <w:rsid w:val="00FF32AF"/>
    <w:rsid w:val="00FF4262"/>
    <w:rsid w:val="00FF64D3"/>
    <w:rsid w:val="00FF6919"/>
    <w:rsid w:val="00FF71FD"/>
    <w:rsid w:val="036C31EA"/>
    <w:rsid w:val="07326F20"/>
    <w:rsid w:val="0D6C65E3"/>
    <w:rsid w:val="0E022482"/>
    <w:rsid w:val="0E36590E"/>
    <w:rsid w:val="11FB0225"/>
    <w:rsid w:val="17967D55"/>
    <w:rsid w:val="1C352D71"/>
    <w:rsid w:val="1DFD6A7D"/>
    <w:rsid w:val="27294060"/>
    <w:rsid w:val="3000231B"/>
    <w:rsid w:val="33FF2A00"/>
    <w:rsid w:val="37C35DC3"/>
    <w:rsid w:val="3E912C1F"/>
    <w:rsid w:val="41CD544E"/>
    <w:rsid w:val="433565D0"/>
    <w:rsid w:val="5C170DC5"/>
    <w:rsid w:val="60181481"/>
    <w:rsid w:val="60DF6032"/>
    <w:rsid w:val="645E4F34"/>
    <w:rsid w:val="65E802DF"/>
    <w:rsid w:val="6FD711F4"/>
    <w:rsid w:val="73B571D0"/>
    <w:rsid w:val="792923EA"/>
    <w:rsid w:val="7AD61F17"/>
    <w:rsid w:val="7E601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36"/>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37"/>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38"/>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39"/>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40"/>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41"/>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42"/>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43"/>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44"/>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25">
    <w:name w:val="Default Paragraph Font"/>
    <w:link w:val="26"/>
    <w:unhideWhenUsed/>
    <w:qFormat/>
    <w:uiPriority w:val="1"/>
    <w:rPr>
      <w:rFonts w:eastAsia="仿宋_GB2312"/>
      <w:sz w:val="24"/>
      <w:szCs w:val="24"/>
    </w:rPr>
  </w:style>
  <w:style w:type="table" w:default="1" w:styleId="33">
    <w:name w:val="Normal Table"/>
    <w:unhideWhenUsed/>
    <w:qFormat/>
    <w:uiPriority w:val="99"/>
    <w:tblPr>
      <w:tblLayout w:type="fixed"/>
      <w:tblCellMar>
        <w:top w:w="0" w:type="dxa"/>
        <w:left w:w="108" w:type="dxa"/>
        <w:bottom w:w="0" w:type="dxa"/>
        <w:right w:w="108" w:type="dxa"/>
      </w:tblCellMar>
    </w:tblPr>
  </w:style>
  <w:style w:type="paragraph" w:styleId="11">
    <w:name w:val="annotation text"/>
    <w:basedOn w:val="1"/>
    <w:unhideWhenUsed/>
    <w:qFormat/>
    <w:uiPriority w:val="99"/>
    <w:pPr>
      <w:jc w:val="left"/>
    </w:pPr>
  </w:style>
  <w:style w:type="paragraph" w:styleId="12">
    <w:name w:val="Body Text 3"/>
    <w:basedOn w:val="1"/>
    <w:link w:val="52"/>
    <w:qFormat/>
    <w:uiPriority w:val="0"/>
    <w:rPr>
      <w:rFonts w:ascii="黑体" w:hAnsi="Arial" w:eastAsia="黑体"/>
      <w:b/>
      <w:kern w:val="0"/>
    </w:rPr>
  </w:style>
  <w:style w:type="paragraph" w:styleId="13">
    <w:name w:val="Body Text Indent"/>
    <w:basedOn w:val="1"/>
    <w:link w:val="55"/>
    <w:unhideWhenUsed/>
    <w:qFormat/>
    <w:uiPriority w:val="99"/>
    <w:pPr>
      <w:spacing w:after="120"/>
      <w:ind w:left="420" w:leftChars="200"/>
    </w:pPr>
  </w:style>
  <w:style w:type="paragraph" w:styleId="14">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5">
    <w:name w:val="Plain Text"/>
    <w:basedOn w:val="1"/>
    <w:link w:val="47"/>
    <w:qFormat/>
    <w:uiPriority w:val="0"/>
    <w:rPr>
      <w:rFonts w:ascii="宋体" w:hAnsi="Courier New" w:cs="Courier New"/>
      <w:kern w:val="0"/>
      <w:sz w:val="20"/>
      <w:szCs w:val="21"/>
    </w:rPr>
  </w:style>
  <w:style w:type="paragraph" w:styleId="16">
    <w:name w:val="Balloon Text"/>
    <w:basedOn w:val="1"/>
    <w:link w:val="54"/>
    <w:unhideWhenUsed/>
    <w:qFormat/>
    <w:uiPriority w:val="99"/>
    <w:rPr>
      <w:sz w:val="18"/>
      <w:szCs w:val="18"/>
    </w:rPr>
  </w:style>
  <w:style w:type="paragraph" w:styleId="17">
    <w:name w:val="footer"/>
    <w:basedOn w:val="1"/>
    <w:link w:val="57"/>
    <w:unhideWhenUsed/>
    <w:qFormat/>
    <w:uiPriority w:val="99"/>
    <w:pPr>
      <w:tabs>
        <w:tab w:val="center" w:pos="4153"/>
        <w:tab w:val="right" w:pos="8306"/>
      </w:tabs>
      <w:snapToGrid w:val="0"/>
      <w:jc w:val="left"/>
    </w:pPr>
    <w:rPr>
      <w:sz w:val="18"/>
      <w:szCs w:val="18"/>
    </w:rPr>
  </w:style>
  <w:style w:type="paragraph" w:styleId="18">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b/>
      <w:bCs/>
      <w:caps/>
    </w:rPr>
  </w:style>
  <w:style w:type="paragraph" w:styleId="20">
    <w:name w:val="Subtitle"/>
    <w:basedOn w:val="1"/>
    <w:next w:val="1"/>
    <w:link w:val="46"/>
    <w:qFormat/>
    <w:uiPriority w:val="0"/>
    <w:pPr>
      <w:spacing w:before="240" w:after="60" w:line="312" w:lineRule="auto"/>
      <w:jc w:val="center"/>
      <w:outlineLvl w:val="1"/>
    </w:pPr>
    <w:rPr>
      <w:rFonts w:ascii="Cambria" w:hAnsi="Cambria" w:eastAsia="方正楷体简体"/>
      <w:bCs/>
      <w:kern w:val="28"/>
      <w:sz w:val="20"/>
      <w:szCs w:val="32"/>
    </w:rPr>
  </w:style>
  <w:style w:type="paragraph" w:styleId="21">
    <w:name w:val="toc 2"/>
    <w:basedOn w:val="1"/>
    <w:next w:val="1"/>
    <w:qFormat/>
    <w:uiPriority w:val="39"/>
    <w:pPr>
      <w:ind w:left="420" w:leftChars="200"/>
    </w:pPr>
    <w:rPr>
      <w:sz w:val="24"/>
    </w:rPr>
  </w:style>
  <w:style w:type="paragraph" w:styleId="22">
    <w:name w:val="Body Text 2"/>
    <w:basedOn w:val="1"/>
    <w:unhideWhenUsed/>
    <w:qFormat/>
    <w:uiPriority w:val="99"/>
    <w:pPr>
      <w:spacing w:after="120" w:afterLines="0" w:line="480" w:lineRule="auto"/>
    </w:pPr>
  </w:style>
  <w:style w:type="paragraph" w:styleId="2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45"/>
    <w:qFormat/>
    <w:uiPriority w:val="99"/>
    <w:pPr>
      <w:spacing w:before="240" w:after="60"/>
      <w:jc w:val="center"/>
      <w:outlineLvl w:val="0"/>
    </w:pPr>
    <w:rPr>
      <w:rFonts w:ascii="Cambria" w:hAnsi="Cambria" w:eastAsia="方正小标宋简体"/>
      <w:b/>
      <w:bCs/>
      <w:kern w:val="0"/>
      <w:sz w:val="44"/>
      <w:szCs w:val="32"/>
    </w:rPr>
  </w:style>
  <w:style w:type="paragraph" w:customStyle="1" w:styleId="26">
    <w:name w:val=" Char Char12 Char Char"/>
    <w:basedOn w:val="1"/>
    <w:link w:val="25"/>
    <w:qFormat/>
    <w:uiPriority w:val="0"/>
    <w:pPr>
      <w:snapToGrid w:val="0"/>
      <w:spacing w:line="360" w:lineRule="auto"/>
      <w:ind w:firstLine="200" w:firstLineChars="200"/>
    </w:pPr>
    <w:rPr>
      <w:rFonts w:eastAsia="仿宋_GB2312"/>
      <w:sz w:val="24"/>
      <w:szCs w:val="24"/>
    </w:rPr>
  </w:style>
  <w:style w:type="character" w:styleId="27">
    <w:name w:val="Strong"/>
    <w:qFormat/>
    <w:uiPriority w:val="22"/>
    <w:rPr>
      <w:b/>
    </w:rPr>
  </w:style>
  <w:style w:type="character" w:styleId="28">
    <w:name w:val="page number"/>
    <w:basedOn w:val="25"/>
    <w:qFormat/>
    <w:uiPriority w:val="0"/>
  </w:style>
  <w:style w:type="character" w:styleId="29">
    <w:name w:val="FollowedHyperlink"/>
    <w:basedOn w:val="25"/>
    <w:unhideWhenUsed/>
    <w:qFormat/>
    <w:uiPriority w:val="99"/>
    <w:rPr>
      <w:u w:val="none"/>
    </w:rPr>
  </w:style>
  <w:style w:type="character" w:styleId="30">
    <w:name w:val="Emphasis"/>
    <w:qFormat/>
    <w:uiPriority w:val="0"/>
    <w:rPr>
      <w:rFonts w:hint="default" w:ascii="Times New Roman" w:hAnsi="Times New Roman" w:cs="Times New Roman"/>
    </w:rPr>
  </w:style>
  <w:style w:type="character" w:styleId="31">
    <w:name w:val="Hyperlink"/>
    <w:qFormat/>
    <w:uiPriority w:val="99"/>
    <w:rPr>
      <w:color w:val="0000FF"/>
      <w:u w:val="single"/>
    </w:rPr>
  </w:style>
  <w:style w:type="character" w:styleId="32">
    <w:name w:val="annotation reference"/>
    <w:basedOn w:val="25"/>
    <w:unhideWhenUsed/>
    <w:qFormat/>
    <w:uiPriority w:val="99"/>
    <w:rPr>
      <w:sz w:val="21"/>
      <w:szCs w:val="21"/>
    </w:rPr>
  </w:style>
  <w:style w:type="table" w:styleId="34">
    <w:name w:val="Table Grid"/>
    <w:basedOn w:val="3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5">
    <w:name w:val="列出段落1"/>
    <w:basedOn w:val="1"/>
    <w:qFormat/>
    <w:uiPriority w:val="34"/>
    <w:pPr>
      <w:ind w:firstLine="420" w:firstLineChars="200"/>
    </w:pPr>
    <w:rPr>
      <w:rFonts w:ascii="Calibri" w:hAnsi="Calibri"/>
      <w:szCs w:val="22"/>
    </w:rPr>
  </w:style>
  <w:style w:type="character" w:customStyle="1" w:styleId="36">
    <w:name w:val="标题 1 Char"/>
    <w:link w:val="2"/>
    <w:qFormat/>
    <w:uiPriority w:val="0"/>
    <w:rPr>
      <w:rFonts w:ascii="Times New Roman" w:hAnsi="Times New Roman"/>
      <w:b/>
      <w:bCs/>
      <w:kern w:val="44"/>
      <w:sz w:val="36"/>
      <w:szCs w:val="44"/>
      <w:lang w:val="zh-CN" w:eastAsia="zh-CN"/>
    </w:rPr>
  </w:style>
  <w:style w:type="character" w:customStyle="1" w:styleId="37">
    <w:name w:val="标题 2 Char"/>
    <w:link w:val="3"/>
    <w:qFormat/>
    <w:uiPriority w:val="0"/>
    <w:rPr>
      <w:rFonts w:ascii="Arial" w:hAnsi="Arial" w:eastAsia="黑体"/>
      <w:b/>
      <w:bCs/>
      <w:sz w:val="32"/>
      <w:szCs w:val="32"/>
      <w:lang w:val="zh-CN" w:eastAsia="zh-CN"/>
    </w:rPr>
  </w:style>
  <w:style w:type="character" w:customStyle="1" w:styleId="38">
    <w:name w:val="标题 3 Char"/>
    <w:link w:val="4"/>
    <w:qFormat/>
    <w:uiPriority w:val="0"/>
    <w:rPr>
      <w:rFonts w:ascii="Times New Roman" w:hAnsi="Times New Roman"/>
      <w:b/>
      <w:bCs/>
      <w:sz w:val="32"/>
      <w:szCs w:val="32"/>
    </w:rPr>
  </w:style>
  <w:style w:type="character" w:customStyle="1" w:styleId="39">
    <w:name w:val="标题 4 Char"/>
    <w:link w:val="5"/>
    <w:qFormat/>
    <w:uiPriority w:val="0"/>
    <w:rPr>
      <w:rFonts w:ascii="仿宋_GB2312" w:hAnsi="Times New Roman" w:eastAsia="仿宋_GB2312"/>
      <w:sz w:val="28"/>
      <w:szCs w:val="24"/>
    </w:rPr>
  </w:style>
  <w:style w:type="character" w:customStyle="1" w:styleId="40">
    <w:name w:val="标题 5 Char"/>
    <w:link w:val="6"/>
    <w:qFormat/>
    <w:uiPriority w:val="0"/>
    <w:rPr>
      <w:rFonts w:ascii="宋体" w:hAnsi="宋体"/>
      <w:b/>
      <w:kern w:val="21"/>
      <w:sz w:val="28"/>
      <w:lang w:eastAsia="ar-SA"/>
    </w:rPr>
  </w:style>
  <w:style w:type="character" w:customStyle="1" w:styleId="41">
    <w:name w:val="标题 6 Char"/>
    <w:link w:val="7"/>
    <w:qFormat/>
    <w:uiPriority w:val="0"/>
    <w:rPr>
      <w:rFonts w:ascii="Arial" w:hAnsi="Arial" w:eastAsia="黑体"/>
      <w:b/>
      <w:kern w:val="21"/>
      <w:sz w:val="24"/>
      <w:lang w:eastAsia="ar-SA"/>
    </w:rPr>
  </w:style>
  <w:style w:type="character" w:customStyle="1" w:styleId="42">
    <w:name w:val="标题 7 Char"/>
    <w:link w:val="8"/>
    <w:qFormat/>
    <w:uiPriority w:val="0"/>
    <w:rPr>
      <w:rFonts w:ascii="宋体" w:hAnsi="宋体"/>
      <w:b/>
      <w:kern w:val="21"/>
      <w:sz w:val="24"/>
      <w:lang w:eastAsia="ar-SA"/>
    </w:rPr>
  </w:style>
  <w:style w:type="character" w:customStyle="1" w:styleId="43">
    <w:name w:val="标题 8 Char"/>
    <w:link w:val="9"/>
    <w:qFormat/>
    <w:uiPriority w:val="0"/>
    <w:rPr>
      <w:rFonts w:ascii="Arial" w:hAnsi="Arial" w:eastAsia="黑体"/>
      <w:kern w:val="21"/>
      <w:sz w:val="24"/>
      <w:lang w:eastAsia="ar-SA"/>
    </w:rPr>
  </w:style>
  <w:style w:type="character" w:customStyle="1" w:styleId="44">
    <w:name w:val="标题 9 Char"/>
    <w:link w:val="10"/>
    <w:qFormat/>
    <w:uiPriority w:val="0"/>
    <w:rPr>
      <w:rFonts w:ascii="Arial" w:hAnsi="Arial" w:eastAsia="黑体"/>
      <w:kern w:val="21"/>
      <w:sz w:val="21"/>
      <w:lang w:eastAsia="ar-SA"/>
    </w:rPr>
  </w:style>
  <w:style w:type="character" w:customStyle="1" w:styleId="45">
    <w:name w:val="标题 Char"/>
    <w:link w:val="24"/>
    <w:qFormat/>
    <w:uiPriority w:val="99"/>
    <w:rPr>
      <w:rFonts w:ascii="Cambria" w:hAnsi="Cambria" w:eastAsia="方正小标宋简体"/>
      <w:b/>
      <w:bCs/>
      <w:sz w:val="44"/>
      <w:szCs w:val="32"/>
    </w:rPr>
  </w:style>
  <w:style w:type="character" w:customStyle="1" w:styleId="46">
    <w:name w:val="副标题 Char"/>
    <w:link w:val="20"/>
    <w:qFormat/>
    <w:uiPriority w:val="0"/>
    <w:rPr>
      <w:rFonts w:ascii="Cambria" w:hAnsi="Cambria" w:eastAsia="方正楷体简体"/>
      <w:bCs/>
      <w:kern w:val="28"/>
      <w:szCs w:val="32"/>
    </w:rPr>
  </w:style>
  <w:style w:type="character" w:customStyle="1" w:styleId="47">
    <w:name w:val="纯文本 Char"/>
    <w:link w:val="15"/>
    <w:qFormat/>
    <w:uiPriority w:val="0"/>
    <w:rPr>
      <w:rFonts w:ascii="宋体" w:hAnsi="Courier New" w:cs="Courier New"/>
      <w:szCs w:val="21"/>
    </w:rPr>
  </w:style>
  <w:style w:type="paragraph" w:styleId="48">
    <w:name w:val="No Spacing"/>
    <w:link w:val="49"/>
    <w:qFormat/>
    <w:uiPriority w:val="0"/>
    <w:rPr>
      <w:rFonts w:ascii="Calibri" w:hAnsi="Calibri" w:eastAsia="宋体" w:cs="Times New Roman"/>
      <w:sz w:val="22"/>
      <w:lang w:val="en-US" w:eastAsia="zh-CN" w:bidi="ar-SA"/>
    </w:rPr>
  </w:style>
  <w:style w:type="character" w:customStyle="1" w:styleId="49">
    <w:name w:val="无间隔 Char"/>
    <w:link w:val="48"/>
    <w:qFormat/>
    <w:uiPriority w:val="0"/>
    <w:rPr>
      <w:sz w:val="22"/>
    </w:rPr>
  </w:style>
  <w:style w:type="paragraph" w:styleId="50">
    <w:name w:val="List Paragraph"/>
    <w:basedOn w:val="1"/>
    <w:qFormat/>
    <w:uiPriority w:val="34"/>
    <w:pPr>
      <w:ind w:firstLine="420" w:firstLineChars="200"/>
    </w:pPr>
    <w:rPr>
      <w:szCs w:val="21"/>
    </w:rPr>
  </w:style>
  <w:style w:type="paragraph" w:customStyle="1" w:styleId="51">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2">
    <w:name w:val="正文文本 3 Char"/>
    <w:link w:val="12"/>
    <w:qFormat/>
    <w:uiPriority w:val="0"/>
    <w:rPr>
      <w:rFonts w:ascii="黑体" w:hAnsi="Arial" w:eastAsia="黑体"/>
      <w:b/>
      <w:sz w:val="28"/>
    </w:rPr>
  </w:style>
  <w:style w:type="character" w:customStyle="1" w:styleId="53">
    <w:name w:val="正文文本 3 Char1"/>
    <w:basedOn w:val="25"/>
    <w:semiHidden/>
    <w:qFormat/>
    <w:uiPriority w:val="99"/>
    <w:rPr>
      <w:rFonts w:ascii="Times New Roman" w:hAnsi="Times New Roman"/>
      <w:kern w:val="2"/>
      <w:sz w:val="16"/>
      <w:szCs w:val="16"/>
    </w:rPr>
  </w:style>
  <w:style w:type="character" w:customStyle="1" w:styleId="54">
    <w:name w:val="批注框文本 Char"/>
    <w:basedOn w:val="25"/>
    <w:link w:val="16"/>
    <w:semiHidden/>
    <w:qFormat/>
    <w:uiPriority w:val="99"/>
    <w:rPr>
      <w:rFonts w:ascii="Times New Roman" w:hAnsi="Times New Roman"/>
      <w:kern w:val="2"/>
      <w:sz w:val="18"/>
      <w:szCs w:val="18"/>
    </w:rPr>
  </w:style>
  <w:style w:type="character" w:customStyle="1" w:styleId="55">
    <w:name w:val="正文文本缩进 Char"/>
    <w:basedOn w:val="25"/>
    <w:link w:val="13"/>
    <w:semiHidden/>
    <w:qFormat/>
    <w:uiPriority w:val="99"/>
    <w:rPr>
      <w:rFonts w:ascii="Times New Roman" w:hAnsi="Times New Roman"/>
      <w:kern w:val="2"/>
      <w:sz w:val="28"/>
    </w:rPr>
  </w:style>
  <w:style w:type="character" w:customStyle="1" w:styleId="56">
    <w:name w:val="页眉 Char"/>
    <w:basedOn w:val="25"/>
    <w:link w:val="18"/>
    <w:qFormat/>
    <w:uiPriority w:val="99"/>
    <w:rPr>
      <w:rFonts w:ascii="Times New Roman" w:hAnsi="Times New Roman"/>
      <w:kern w:val="2"/>
      <w:sz w:val="18"/>
      <w:szCs w:val="18"/>
    </w:rPr>
  </w:style>
  <w:style w:type="character" w:customStyle="1" w:styleId="57">
    <w:name w:val="页脚 Char"/>
    <w:basedOn w:val="25"/>
    <w:link w:val="17"/>
    <w:qFormat/>
    <w:uiPriority w:val="99"/>
    <w:rPr>
      <w:rFonts w:ascii="Times New Roman" w:hAnsi="Times New Roman"/>
      <w:kern w:val="2"/>
      <w:sz w:val="18"/>
      <w:szCs w:val="18"/>
    </w:rPr>
  </w:style>
  <w:style w:type="paragraph" w:customStyle="1" w:styleId="58">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paragraph" w:customStyle="1" w:styleId="59">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Plain Text"/>
    <w:basedOn w:val="1"/>
    <w:qFormat/>
    <w:uiPriority w:val="0"/>
    <w:rPr>
      <w:rFonts w:ascii="宋体" w:hAnsi="Courier New" w:cs="Courier New"/>
      <w:szCs w:val="21"/>
    </w:rPr>
  </w:style>
  <w:style w:type="paragraph" w:customStyle="1" w:styleId="61">
    <w:name w:val="灿"/>
    <w:basedOn w:val="1"/>
    <w:qFormat/>
    <w:uiPriority w:val="0"/>
    <w:pPr>
      <w:tabs>
        <w:tab w:val="left" w:pos="2160"/>
        <w:tab w:val="left" w:pos="2520"/>
        <w:tab w:val="left" w:pos="2880"/>
        <w:tab w:val="left" w:pos="3240"/>
      </w:tabs>
    </w:pPr>
    <w:rPr>
      <w:rFonts w:ascii="華康中楷體" w:hAnsi="Arial" w:eastAsia="華康中楷體"/>
      <w:snapToGrid w:val="0"/>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3929A2-E98D-4277-8CEB-A46892CE795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4277</Words>
  <Characters>24380</Characters>
  <Lines>203</Lines>
  <Paragraphs>57</Paragraphs>
  <TotalTime>1</TotalTime>
  <ScaleCrop>false</ScaleCrop>
  <LinksUpToDate>false</LinksUpToDate>
  <CharactersWithSpaces>28600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2018-03-21T03:17:00Z</dcterms:created>
  <dc:creator>Administrator</dc:creator>
  <cp:lastModifiedBy>dell</cp:lastModifiedBy>
  <dcterms:modified xsi:type="dcterms:W3CDTF">2018-07-05T02:38:27Z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