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ind w:right="57" w:rightChars="0"/>
        <w:rPr>
          <w:rFonts w:ascii="宋体" w:hAnsi="宋体" w:cs="宋体"/>
          <w:color w:val="auto"/>
          <w:sz w:val="24"/>
          <w:szCs w:val="24"/>
          <w:highlight w:val="none"/>
        </w:rPr>
      </w:pPr>
      <w:r>
        <w:rPr>
          <w:rFonts w:hint="eastAsia" w:ascii="宋体" w:hAnsi="宋体" w:cs="宋体"/>
          <w:color w:val="auto"/>
          <w:sz w:val="24"/>
          <w:szCs w:val="24"/>
          <w:highlight w:val="none"/>
        </w:rPr>
        <w:t>技术要求如下：</w:t>
      </w:r>
    </w:p>
    <w:p>
      <w:pPr>
        <w:spacing w:line="360" w:lineRule="auto"/>
        <w:ind w:right="57"/>
        <w:rPr>
          <w:rFonts w:ascii="宋体" w:hAnsi="宋体" w:cs="宋体"/>
          <w:color w:val="auto"/>
          <w:sz w:val="24"/>
          <w:szCs w:val="24"/>
          <w:highlight w:val="none"/>
        </w:rPr>
      </w:pPr>
      <w:r>
        <w:rPr>
          <w:rFonts w:hint="eastAsia" w:ascii="宋体" w:hAnsi="宋体" w:cs="宋体"/>
          <w:color w:val="auto"/>
          <w:kern w:val="0"/>
          <w:sz w:val="20"/>
          <w:highlight w:val="none"/>
        </w:rPr>
        <w:t xml:space="preserve">  </w:t>
      </w:r>
      <w:r>
        <w:rPr>
          <w:rFonts w:hint="eastAsia" w:ascii="宋体" w:hAnsi="宋体"/>
          <w:color w:val="auto"/>
          <w:sz w:val="21"/>
          <w:szCs w:val="21"/>
          <w:highlight w:val="none"/>
        </w:rPr>
        <w:t xml:space="preserve">  标“</w:t>
      </w:r>
      <w:r>
        <w:rPr>
          <w:rFonts w:hint="eastAsia" w:ascii="宋体" w:hAnsi="宋体" w:eastAsia="宋体" w:cs="宋体"/>
          <w:color w:val="auto"/>
          <w:sz w:val="21"/>
          <w:szCs w:val="21"/>
          <w:highlight w:val="none"/>
        </w:rPr>
        <w:t>★</w:t>
      </w:r>
      <w:r>
        <w:rPr>
          <w:rFonts w:hint="eastAsia" w:ascii="宋体" w:hAnsi="宋体"/>
          <w:color w:val="auto"/>
          <w:sz w:val="21"/>
          <w:szCs w:val="21"/>
          <w:highlight w:val="none"/>
        </w:rPr>
        <w:t>”表示为主要技术参数。</w:t>
      </w:r>
    </w:p>
    <w:p>
      <w:pPr>
        <w:pStyle w:val="3"/>
        <w:rPr>
          <w:color w:val="auto"/>
          <w:highlight w:val="none"/>
        </w:rPr>
      </w:pPr>
      <w:r>
        <w:rPr>
          <w:rFonts w:hint="eastAsia"/>
          <w:color w:val="auto"/>
          <w:highlight w:val="none"/>
        </w:rPr>
        <w:t>环保监管</w:t>
      </w:r>
    </w:p>
    <w:p>
      <w:pPr>
        <w:pStyle w:val="4"/>
        <w:rPr>
          <w:color w:val="auto"/>
          <w:highlight w:val="none"/>
        </w:rPr>
      </w:pPr>
      <w:r>
        <w:rPr>
          <w:rFonts w:hint="eastAsia"/>
          <w:color w:val="auto"/>
          <w:highlight w:val="none"/>
        </w:rPr>
        <w:t>园区环境污染监控网</w:t>
      </w:r>
    </w:p>
    <w:p>
      <w:pPr>
        <w:pStyle w:val="5"/>
        <w:rPr>
          <w:color w:val="auto"/>
          <w:highlight w:val="none"/>
        </w:rPr>
      </w:pPr>
      <w:r>
        <w:rPr>
          <w:rFonts w:hint="eastAsia"/>
          <w:color w:val="auto"/>
          <w:highlight w:val="none"/>
        </w:rPr>
        <w:t>厂界有毒有害气体监测预警系统</w:t>
      </w:r>
    </w:p>
    <w:p>
      <w:pPr>
        <w:pStyle w:val="6"/>
        <w:rPr>
          <w:color w:val="auto"/>
          <w:highlight w:val="none"/>
        </w:rPr>
      </w:pPr>
      <w:r>
        <w:rPr>
          <w:rFonts w:hint="eastAsia"/>
          <w:color w:val="auto"/>
          <w:highlight w:val="none"/>
        </w:rPr>
        <w:t>有毒有害多气体监测仪</w:t>
      </w:r>
    </w:p>
    <w:p>
      <w:pPr>
        <w:pStyle w:val="7"/>
        <w:rPr>
          <w:color w:val="auto"/>
          <w:highlight w:val="none"/>
        </w:rPr>
      </w:pPr>
      <w:r>
        <w:rPr>
          <w:rFonts w:hint="eastAsia"/>
          <w:color w:val="auto"/>
          <w:highlight w:val="none"/>
        </w:rPr>
        <w:t>有毒有害多气体监测仪主机</w:t>
      </w:r>
    </w:p>
    <w:p>
      <w:pPr>
        <w:pStyle w:val="13"/>
        <w:numPr>
          <w:ilvl w:val="0"/>
          <w:numId w:val="2"/>
        </w:numPr>
        <w:ind w:firstLineChars="0"/>
        <w:rPr>
          <w:rFonts w:ascii="宋体" w:hAnsi="宋体"/>
          <w:b/>
          <w:bCs/>
          <w:color w:val="auto"/>
          <w:sz w:val="24"/>
          <w:szCs w:val="18"/>
          <w:highlight w:val="none"/>
        </w:rPr>
      </w:pPr>
      <w:r>
        <w:rPr>
          <w:rFonts w:hint="eastAsia" w:ascii="宋体" w:hAnsi="宋体"/>
          <w:b/>
          <w:bCs/>
          <w:color w:val="auto"/>
          <w:highlight w:val="none"/>
        </w:rPr>
        <w:t>性能要求</w:t>
      </w:r>
      <w:r>
        <w:rPr>
          <w:rFonts w:ascii="宋体" w:hAnsi="宋体"/>
          <w:b/>
          <w:bCs/>
          <w:color w:val="auto"/>
          <w:sz w:val="24"/>
          <w:szCs w:val="18"/>
          <w:highlight w:val="none"/>
        </w:rPr>
        <w:t xml:space="preserve"> </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512"/>
        <w:gridCol w:w="7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bookmarkStart w:id="0" w:name="_Toc483696102"/>
            <w:r>
              <w:rPr>
                <w:rFonts w:hint="eastAsia" w:ascii="宋体" w:hAnsi="宋体"/>
                <w:b/>
                <w:bCs/>
                <w:color w:val="auto"/>
                <w:sz w:val="21"/>
                <w:szCs w:val="21"/>
                <w:highlight w:val="none"/>
              </w:rPr>
              <w:t>序号</w:t>
            </w:r>
            <w:bookmarkEnd w:id="0"/>
          </w:p>
        </w:tc>
        <w:tc>
          <w:tcPr>
            <w:tcW w:w="1512"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气体探测器</w:t>
            </w:r>
          </w:p>
        </w:tc>
        <w:tc>
          <w:tcPr>
            <w:tcW w:w="7323"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512"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类别</w:t>
            </w:r>
          </w:p>
        </w:tc>
        <w:tc>
          <w:tcPr>
            <w:tcW w:w="7323"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采用数字式气体探测器，具有对气体探测器自动识别的能力，可灵活变更检测因子，同时传感器支持热插拔，维护简便快捷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512"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检测原理</w:t>
            </w:r>
          </w:p>
        </w:tc>
        <w:tc>
          <w:tcPr>
            <w:tcW w:w="7323"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支持多种检测原理（ECD、PID等），适用于有毒有害(H2S、</w:t>
            </w:r>
            <w:r>
              <w:rPr>
                <w:rFonts w:ascii="宋体" w:hAnsi="宋体"/>
                <w:color w:val="auto"/>
                <w:sz w:val="21"/>
                <w:szCs w:val="21"/>
                <w:highlight w:val="none"/>
              </w:rPr>
              <w:t>NH3</w:t>
            </w:r>
            <w:r>
              <w:rPr>
                <w:rFonts w:hint="eastAsia" w:ascii="宋体" w:hAnsi="宋体"/>
                <w:color w:val="auto"/>
                <w:sz w:val="21"/>
                <w:szCs w:val="21"/>
                <w:highlight w:val="none"/>
              </w:rPr>
              <w:t>、H</w:t>
            </w:r>
            <w:r>
              <w:rPr>
                <w:rFonts w:ascii="宋体" w:hAnsi="宋体"/>
                <w:color w:val="auto"/>
                <w:sz w:val="21"/>
                <w:szCs w:val="21"/>
                <w:highlight w:val="none"/>
              </w:rPr>
              <w:t>CL</w:t>
            </w:r>
            <w:r>
              <w:rPr>
                <w:rFonts w:hint="eastAsia" w:ascii="宋体" w:hAnsi="宋体"/>
                <w:color w:val="auto"/>
                <w:sz w:val="21"/>
                <w:szCs w:val="21"/>
                <w:highlight w:val="none"/>
              </w:rPr>
              <w:t>、C</w:t>
            </w:r>
            <w:r>
              <w:rPr>
                <w:rFonts w:ascii="宋体" w:hAnsi="宋体"/>
                <w:color w:val="auto"/>
                <w:sz w:val="21"/>
                <w:szCs w:val="21"/>
                <w:highlight w:val="none"/>
              </w:rPr>
              <w:t>L2</w:t>
            </w:r>
            <w:r>
              <w:rPr>
                <w:rFonts w:hint="eastAsia" w:ascii="宋体" w:hAnsi="宋体"/>
                <w:color w:val="auto"/>
                <w:sz w:val="21"/>
                <w:szCs w:val="21"/>
                <w:highlight w:val="none"/>
              </w:rPr>
              <w:t>)及VOC的无组织排放源的在线监测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512"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微型隔膜泵</w:t>
            </w:r>
          </w:p>
        </w:tc>
        <w:tc>
          <w:tcPr>
            <w:tcW w:w="7323"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磁力式，供电电压24VDC，真空度450mbar， EPDM膜片，工作寿命不小于2万小时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512"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传感器</w:t>
            </w:r>
          </w:p>
        </w:tc>
        <w:tc>
          <w:tcPr>
            <w:tcW w:w="7323"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采用精细过滤、恒流采样及自动清洗等预处理技术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512"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温度</w:t>
            </w:r>
          </w:p>
        </w:tc>
        <w:tc>
          <w:tcPr>
            <w:tcW w:w="7323"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整机具备温度自动调节功能，低温自动开启箱体防爆电伴热模块，高温自动启动风扇进行降温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512"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气口</w:t>
            </w:r>
          </w:p>
        </w:tc>
        <w:tc>
          <w:tcPr>
            <w:tcW w:w="7323"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设备检测气体管路分为常规样气和高湿样气两路进气口，可根据样气的湿度情况自动切换检测气路，保障传感器的有效运行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1512"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防水防雷</w:t>
            </w:r>
          </w:p>
        </w:tc>
        <w:tc>
          <w:tcPr>
            <w:tcW w:w="7323"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监测仪采用防水、防雷设计技术，电路检测单元采用隔爆箱体设计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olor w:val="auto"/>
                <w:sz w:val="21"/>
                <w:szCs w:val="21"/>
                <w:highlight w:val="none"/>
              </w:rPr>
              <w:t>8</w:t>
            </w:r>
          </w:p>
        </w:tc>
        <w:tc>
          <w:tcPr>
            <w:tcW w:w="1512"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响应时间</w:t>
            </w:r>
          </w:p>
        </w:tc>
        <w:tc>
          <w:tcPr>
            <w:tcW w:w="7323"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要求VOCs气体的响应时间不得大于20s，H2S气体的响应时间不得大于30s。（提供市级及市级以上质量技术监督检测机构出具的检测报告）</w:t>
            </w:r>
          </w:p>
        </w:tc>
      </w:tr>
    </w:tbl>
    <w:p>
      <w:pPr>
        <w:ind w:firstLine="482"/>
        <w:rPr>
          <w:rFonts w:ascii="宋体" w:hAnsi="宋体"/>
          <w:b/>
          <w:bCs/>
          <w:color w:val="auto"/>
          <w:szCs w:val="28"/>
          <w:highlight w:val="none"/>
        </w:rPr>
      </w:pPr>
      <w:r>
        <w:rPr>
          <w:rFonts w:hint="eastAsia" w:ascii="宋体" w:hAnsi="宋体"/>
          <w:b/>
          <w:bCs/>
          <w:color w:val="auto"/>
          <w:highlight w:val="none"/>
        </w:rPr>
        <w:t>2、技术指标</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2170"/>
        <w:gridCol w:w="6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b/>
                <w:bCs/>
                <w:color w:val="auto"/>
                <w:highlight w:val="none"/>
              </w:rPr>
            </w:pPr>
            <w:r>
              <w:rPr>
                <w:rFonts w:hint="eastAsia" w:ascii="宋体" w:hAnsi="宋体"/>
                <w:b/>
                <w:bCs/>
                <w:color w:val="auto"/>
                <w:sz w:val="21"/>
                <w:szCs w:val="21"/>
                <w:highlight w:val="none"/>
              </w:rPr>
              <w:t>序号</w:t>
            </w:r>
          </w:p>
        </w:tc>
        <w:tc>
          <w:tcPr>
            <w:tcW w:w="2170" w:type="dxa"/>
            <w:tcBorders>
              <w:top w:val="single" w:color="auto" w:sz="4" w:space="0"/>
              <w:left w:val="nil"/>
              <w:bottom w:val="single" w:color="auto" w:sz="4" w:space="0"/>
              <w:right w:val="single" w:color="auto" w:sz="4" w:space="0"/>
            </w:tcBorders>
            <w:shd w:val="clear" w:color="auto" w:fill="FFFFFF"/>
          </w:tcPr>
          <w:p>
            <w:pPr>
              <w:pStyle w:val="14"/>
              <w:jc w:val="center"/>
              <w:rPr>
                <w:rFonts w:ascii="宋体" w:hAnsi="宋体"/>
                <w:b/>
                <w:bCs/>
                <w:color w:val="auto"/>
                <w:highlight w:val="none"/>
              </w:rPr>
            </w:pPr>
            <w:r>
              <w:rPr>
                <w:rFonts w:hint="eastAsia" w:ascii="宋体" w:hAnsi="宋体"/>
                <w:b/>
                <w:bCs/>
                <w:color w:val="auto"/>
                <w:highlight w:val="none"/>
              </w:rPr>
              <w:t>技术指标</w:t>
            </w:r>
          </w:p>
        </w:tc>
        <w:tc>
          <w:tcPr>
            <w:tcW w:w="6303" w:type="dxa"/>
            <w:tcBorders>
              <w:top w:val="single" w:color="auto" w:sz="4" w:space="0"/>
              <w:left w:val="nil"/>
              <w:bottom w:val="single" w:color="auto" w:sz="4" w:space="0"/>
              <w:right w:val="single" w:color="auto" w:sz="4" w:space="0"/>
            </w:tcBorders>
            <w:shd w:val="clear" w:color="auto" w:fill="FFFFFF"/>
          </w:tcPr>
          <w:p>
            <w:pPr>
              <w:pStyle w:val="14"/>
              <w:jc w:val="center"/>
              <w:rPr>
                <w:rFonts w:ascii="宋体" w:hAnsi="宋体"/>
                <w:b/>
                <w:bCs/>
                <w:color w:val="auto"/>
                <w:highlight w:val="none"/>
              </w:rPr>
            </w:pPr>
            <w:r>
              <w:rPr>
                <w:rFonts w:hint="eastAsia" w:ascii="宋体" w:hAnsi="宋体"/>
                <w:b/>
                <w:bCs/>
                <w:color w:val="auto"/>
                <w:highlight w:val="none"/>
              </w:rPr>
              <w:t>规格指标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1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olor w:val="auto"/>
                <w:sz w:val="21"/>
                <w:szCs w:val="21"/>
                <w:highlight w:val="none"/>
              </w:rPr>
              <w:t>测量气体</w:t>
            </w:r>
          </w:p>
        </w:tc>
        <w:tc>
          <w:tcPr>
            <w:tcW w:w="6303"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可测量H2S、</w:t>
            </w:r>
            <w:r>
              <w:rPr>
                <w:rFonts w:ascii="宋体" w:hAnsi="宋体"/>
                <w:color w:val="auto"/>
                <w:sz w:val="21"/>
                <w:szCs w:val="21"/>
                <w:highlight w:val="none"/>
              </w:rPr>
              <w:t>NH3</w:t>
            </w:r>
            <w:r>
              <w:rPr>
                <w:rFonts w:hint="eastAsia" w:ascii="宋体" w:hAnsi="宋体"/>
                <w:color w:val="auto"/>
                <w:sz w:val="21"/>
                <w:szCs w:val="21"/>
                <w:highlight w:val="none"/>
              </w:rPr>
              <w:t>、H</w:t>
            </w:r>
            <w:r>
              <w:rPr>
                <w:rFonts w:ascii="宋体" w:hAnsi="宋体"/>
                <w:color w:val="auto"/>
                <w:sz w:val="21"/>
                <w:szCs w:val="21"/>
                <w:highlight w:val="none"/>
              </w:rPr>
              <w:t>CL</w:t>
            </w:r>
            <w:r>
              <w:rPr>
                <w:rFonts w:hint="eastAsia" w:ascii="宋体" w:hAnsi="宋体"/>
                <w:color w:val="auto"/>
                <w:sz w:val="21"/>
                <w:szCs w:val="21"/>
                <w:highlight w:val="none"/>
              </w:rPr>
              <w:t>、C</w:t>
            </w:r>
            <w:r>
              <w:rPr>
                <w:rFonts w:ascii="宋体" w:hAnsi="宋体"/>
                <w:color w:val="auto"/>
                <w:sz w:val="21"/>
                <w:szCs w:val="21"/>
                <w:highlight w:val="none"/>
              </w:rPr>
              <w:t>L2</w:t>
            </w:r>
            <w:r>
              <w:rPr>
                <w:rFonts w:hint="eastAsia" w:ascii="宋体" w:hAnsi="宋体"/>
                <w:color w:val="auto"/>
                <w:sz w:val="21"/>
                <w:szCs w:val="21"/>
                <w:highlight w:val="none"/>
              </w:rPr>
              <w:t>、VOC。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1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测量原理</w:t>
            </w:r>
          </w:p>
        </w:tc>
        <w:tc>
          <w:tcPr>
            <w:tcW w:w="6303"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传感器法（电化学ECD、光离子PID等）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1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采样方式</w:t>
            </w:r>
          </w:p>
        </w:tc>
        <w:tc>
          <w:tcPr>
            <w:tcW w:w="6303"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泵吸式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1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除湿方式</w:t>
            </w:r>
          </w:p>
        </w:tc>
        <w:tc>
          <w:tcPr>
            <w:tcW w:w="6303"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热电制冷除湿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21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工作电源</w:t>
            </w:r>
          </w:p>
        </w:tc>
        <w:tc>
          <w:tcPr>
            <w:tcW w:w="6303"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220VAC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21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功耗</w:t>
            </w:r>
          </w:p>
        </w:tc>
        <w:tc>
          <w:tcPr>
            <w:tcW w:w="6303"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≤1KW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21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人机界面</w:t>
            </w:r>
          </w:p>
        </w:tc>
        <w:tc>
          <w:tcPr>
            <w:tcW w:w="6303"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LCD显示屏、磁按键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8</w:t>
            </w:r>
          </w:p>
        </w:tc>
        <w:tc>
          <w:tcPr>
            <w:tcW w:w="21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输出接口</w:t>
            </w:r>
          </w:p>
        </w:tc>
        <w:tc>
          <w:tcPr>
            <w:tcW w:w="6303"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4路(4～20) mA、1路RS485、1路GPRS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9</w:t>
            </w:r>
          </w:p>
        </w:tc>
        <w:tc>
          <w:tcPr>
            <w:tcW w:w="21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工作温度</w:t>
            </w:r>
          </w:p>
        </w:tc>
        <w:tc>
          <w:tcPr>
            <w:tcW w:w="6303"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0～5</w:t>
            </w:r>
            <w:r>
              <w:rPr>
                <w:rFonts w:ascii="宋体" w:hAnsi="宋体"/>
                <w:color w:val="auto"/>
                <w:sz w:val="21"/>
                <w:szCs w:val="21"/>
                <w:highlight w:val="none"/>
              </w:rPr>
              <w:t>5</w:t>
            </w:r>
            <w:r>
              <w:rPr>
                <w:rFonts w:hint="eastAsia" w:ascii="宋体" w:hAnsi="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55"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21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防护等级</w:t>
            </w:r>
          </w:p>
        </w:tc>
        <w:tc>
          <w:tcPr>
            <w:tcW w:w="6303"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 xml:space="preserve">IP55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55"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宋体" w:hAnsi="宋体"/>
                <w:color w:val="auto"/>
                <w:sz w:val="21"/>
                <w:szCs w:val="21"/>
                <w:highlight w:val="none"/>
              </w:rPr>
            </w:pPr>
            <w:r>
              <w:rPr>
                <w:rFonts w:hint="eastAsia" w:ascii="宋体" w:hAnsi="宋体"/>
                <w:color w:val="auto"/>
                <w:sz w:val="21"/>
                <w:szCs w:val="21"/>
                <w:highlight w:val="none"/>
              </w:rPr>
              <w:t>11</w:t>
            </w:r>
          </w:p>
        </w:tc>
        <w:tc>
          <w:tcPr>
            <w:tcW w:w="21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安装方式</w:t>
            </w:r>
          </w:p>
        </w:tc>
        <w:tc>
          <w:tcPr>
            <w:tcW w:w="6303"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壁挂或者立杆安装</w:t>
            </w:r>
          </w:p>
        </w:tc>
      </w:tr>
    </w:tbl>
    <w:p>
      <w:pPr>
        <w:pStyle w:val="7"/>
        <w:rPr>
          <w:color w:val="auto"/>
          <w:highlight w:val="none"/>
        </w:rPr>
      </w:pPr>
      <w:r>
        <w:rPr>
          <w:rFonts w:hint="eastAsia"/>
          <w:color w:val="auto"/>
          <w:highlight w:val="none"/>
        </w:rPr>
        <w:t>有毒有害多气体监测仪传感器</w:t>
      </w:r>
    </w:p>
    <w:p>
      <w:pPr>
        <w:ind w:firstLine="482"/>
        <w:rPr>
          <w:rFonts w:ascii="宋体" w:hAnsi="宋体"/>
          <w:b/>
          <w:bCs/>
          <w:color w:val="auto"/>
          <w:szCs w:val="28"/>
          <w:highlight w:val="none"/>
        </w:rPr>
      </w:pPr>
      <w:r>
        <w:rPr>
          <w:rFonts w:hint="eastAsia" w:ascii="宋体" w:hAnsi="宋体"/>
          <w:b/>
          <w:bCs/>
          <w:color w:val="auto"/>
          <w:highlight w:val="none"/>
        </w:rPr>
        <w:t>3、气体探测器检测性能</w:t>
      </w:r>
    </w:p>
    <w:tbl>
      <w:tblPr>
        <w:tblStyle w:val="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549"/>
        <w:gridCol w:w="1928"/>
        <w:gridCol w:w="2086"/>
        <w:gridCol w:w="1597"/>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b/>
                <w:bCs/>
                <w:color w:val="auto"/>
                <w:highlight w:val="none"/>
              </w:rPr>
            </w:pPr>
            <w:r>
              <w:rPr>
                <w:rFonts w:hint="eastAsia" w:ascii="宋体" w:hAnsi="宋体"/>
                <w:b/>
                <w:bCs/>
                <w:color w:val="auto"/>
                <w:sz w:val="21"/>
                <w:szCs w:val="21"/>
                <w:highlight w:val="none"/>
              </w:rPr>
              <w:t>序号</w:t>
            </w:r>
          </w:p>
        </w:tc>
        <w:tc>
          <w:tcPr>
            <w:tcW w:w="1549" w:type="dxa"/>
            <w:tcBorders>
              <w:top w:val="single" w:color="auto" w:sz="4" w:space="0"/>
              <w:left w:val="nil"/>
              <w:bottom w:val="single" w:color="auto" w:sz="4" w:space="0"/>
              <w:right w:val="single" w:color="auto" w:sz="4" w:space="0"/>
            </w:tcBorders>
            <w:shd w:val="clear" w:color="auto" w:fill="FFFFFF"/>
            <w:vAlign w:val="center"/>
          </w:tcPr>
          <w:p>
            <w:pPr>
              <w:pStyle w:val="14"/>
              <w:jc w:val="center"/>
              <w:rPr>
                <w:rFonts w:ascii="宋体" w:hAnsi="宋体"/>
                <w:b/>
                <w:bCs/>
                <w:color w:val="auto"/>
                <w:highlight w:val="none"/>
              </w:rPr>
            </w:pPr>
            <w:r>
              <w:rPr>
                <w:rFonts w:hint="eastAsia" w:ascii="宋体" w:hAnsi="宋体"/>
                <w:b/>
                <w:bCs/>
                <w:color w:val="auto"/>
                <w:highlight w:val="none"/>
              </w:rPr>
              <w:t>气体类型</w:t>
            </w:r>
          </w:p>
        </w:tc>
        <w:tc>
          <w:tcPr>
            <w:tcW w:w="1928" w:type="dxa"/>
            <w:tcBorders>
              <w:top w:val="single" w:color="auto" w:sz="4" w:space="0"/>
              <w:left w:val="nil"/>
              <w:bottom w:val="single" w:color="auto" w:sz="4" w:space="0"/>
              <w:right w:val="single" w:color="auto" w:sz="4" w:space="0"/>
            </w:tcBorders>
            <w:shd w:val="clear" w:color="auto" w:fill="FFFFFF"/>
            <w:vAlign w:val="center"/>
          </w:tcPr>
          <w:p>
            <w:pPr>
              <w:pStyle w:val="14"/>
              <w:jc w:val="center"/>
              <w:rPr>
                <w:rFonts w:ascii="宋体" w:hAnsi="宋体"/>
                <w:b/>
                <w:bCs/>
                <w:color w:val="auto"/>
                <w:highlight w:val="none"/>
              </w:rPr>
            </w:pPr>
            <w:r>
              <w:rPr>
                <w:rFonts w:hint="eastAsia" w:ascii="宋体" w:hAnsi="宋体"/>
                <w:b/>
                <w:bCs/>
                <w:color w:val="auto"/>
                <w:highlight w:val="none"/>
              </w:rPr>
              <w:t>量程</w:t>
            </w:r>
          </w:p>
        </w:tc>
        <w:tc>
          <w:tcPr>
            <w:tcW w:w="2086" w:type="dxa"/>
            <w:tcBorders>
              <w:top w:val="single" w:color="auto" w:sz="4" w:space="0"/>
              <w:left w:val="nil"/>
              <w:bottom w:val="single" w:color="auto" w:sz="4" w:space="0"/>
              <w:right w:val="single" w:color="auto" w:sz="4" w:space="0"/>
            </w:tcBorders>
            <w:shd w:val="clear" w:color="auto" w:fill="FFFFFF"/>
            <w:vAlign w:val="center"/>
          </w:tcPr>
          <w:p>
            <w:pPr>
              <w:pStyle w:val="14"/>
              <w:jc w:val="center"/>
              <w:rPr>
                <w:rFonts w:ascii="宋体" w:hAnsi="宋体"/>
                <w:b/>
                <w:bCs/>
                <w:color w:val="auto"/>
                <w:highlight w:val="none"/>
              </w:rPr>
            </w:pPr>
            <w:r>
              <w:rPr>
                <w:rFonts w:hint="eastAsia" w:ascii="宋体" w:hAnsi="宋体"/>
                <w:b/>
                <w:bCs/>
                <w:color w:val="auto"/>
                <w:highlight w:val="none"/>
              </w:rPr>
              <w:t>检出限</w:t>
            </w:r>
          </w:p>
        </w:tc>
        <w:tc>
          <w:tcPr>
            <w:tcW w:w="1597" w:type="dxa"/>
            <w:tcBorders>
              <w:top w:val="single" w:color="auto" w:sz="4" w:space="0"/>
              <w:left w:val="nil"/>
              <w:bottom w:val="single" w:color="auto" w:sz="4" w:space="0"/>
              <w:right w:val="single" w:color="auto" w:sz="4" w:space="0"/>
            </w:tcBorders>
            <w:shd w:val="clear" w:color="auto" w:fill="FFFFFF"/>
            <w:vAlign w:val="center"/>
          </w:tcPr>
          <w:p>
            <w:pPr>
              <w:pStyle w:val="14"/>
              <w:jc w:val="center"/>
              <w:rPr>
                <w:rFonts w:ascii="宋体" w:hAnsi="宋体"/>
                <w:b/>
                <w:bCs/>
                <w:color w:val="auto"/>
                <w:highlight w:val="none"/>
              </w:rPr>
            </w:pPr>
            <w:r>
              <w:rPr>
                <w:rFonts w:hint="eastAsia" w:ascii="宋体" w:hAnsi="宋体"/>
                <w:b/>
                <w:bCs/>
                <w:color w:val="auto"/>
                <w:highlight w:val="none"/>
              </w:rPr>
              <w:t>检测误差</w:t>
            </w:r>
          </w:p>
        </w:tc>
        <w:tc>
          <w:tcPr>
            <w:tcW w:w="1570" w:type="dxa"/>
            <w:tcBorders>
              <w:top w:val="single" w:color="auto" w:sz="4" w:space="0"/>
              <w:left w:val="nil"/>
              <w:bottom w:val="single" w:color="auto" w:sz="4" w:space="0"/>
              <w:right w:val="single" w:color="auto" w:sz="4" w:space="0"/>
            </w:tcBorders>
            <w:shd w:val="clear" w:color="auto" w:fill="FFFFFF"/>
          </w:tcPr>
          <w:p>
            <w:pPr>
              <w:pStyle w:val="14"/>
              <w:jc w:val="center"/>
              <w:rPr>
                <w:rFonts w:ascii="宋体" w:hAnsi="宋体"/>
                <w:b/>
                <w:bCs/>
                <w:color w:val="auto"/>
                <w:highlight w:val="none"/>
              </w:rPr>
            </w:pPr>
            <w:r>
              <w:rPr>
                <w:rFonts w:hint="eastAsia" w:ascii="宋体" w:hAnsi="宋体"/>
                <w:b/>
                <w:bCs/>
                <w:color w:val="auto"/>
                <w:highlight w:val="none"/>
              </w:rPr>
              <w:t>响应时间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549"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H2S</w:t>
            </w:r>
          </w:p>
        </w:tc>
        <w:tc>
          <w:tcPr>
            <w:tcW w:w="1928"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（0～50）ppm</w:t>
            </w:r>
          </w:p>
        </w:tc>
        <w:tc>
          <w:tcPr>
            <w:tcW w:w="2086"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10ppb</w:t>
            </w:r>
          </w:p>
        </w:tc>
        <w:tc>
          <w:tcPr>
            <w:tcW w:w="1597"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±5%FS</w:t>
            </w:r>
          </w:p>
        </w:tc>
        <w:tc>
          <w:tcPr>
            <w:tcW w:w="15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549"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NH3</w:t>
            </w:r>
          </w:p>
        </w:tc>
        <w:tc>
          <w:tcPr>
            <w:tcW w:w="1928"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（0～100）ppm</w:t>
            </w:r>
          </w:p>
        </w:tc>
        <w:tc>
          <w:tcPr>
            <w:tcW w:w="2086"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10ppb</w:t>
            </w:r>
          </w:p>
        </w:tc>
        <w:tc>
          <w:tcPr>
            <w:tcW w:w="1597"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±5%FS</w:t>
            </w:r>
          </w:p>
        </w:tc>
        <w:tc>
          <w:tcPr>
            <w:tcW w:w="15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120S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549"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HCL</w:t>
            </w:r>
          </w:p>
        </w:tc>
        <w:tc>
          <w:tcPr>
            <w:tcW w:w="1928"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（0～20）ppm</w:t>
            </w:r>
          </w:p>
        </w:tc>
        <w:tc>
          <w:tcPr>
            <w:tcW w:w="2086"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10ppb</w:t>
            </w:r>
          </w:p>
        </w:tc>
        <w:tc>
          <w:tcPr>
            <w:tcW w:w="1597"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±10%FS</w:t>
            </w:r>
          </w:p>
        </w:tc>
        <w:tc>
          <w:tcPr>
            <w:tcW w:w="15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120S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549"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CL2</w:t>
            </w:r>
          </w:p>
        </w:tc>
        <w:tc>
          <w:tcPr>
            <w:tcW w:w="1928"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（0～20）ppm</w:t>
            </w:r>
          </w:p>
        </w:tc>
        <w:tc>
          <w:tcPr>
            <w:tcW w:w="2086"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10ppb</w:t>
            </w:r>
          </w:p>
        </w:tc>
        <w:tc>
          <w:tcPr>
            <w:tcW w:w="1597"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±5%FS</w:t>
            </w:r>
          </w:p>
        </w:tc>
        <w:tc>
          <w:tcPr>
            <w:tcW w:w="15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8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549"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VOC</w:t>
            </w:r>
          </w:p>
        </w:tc>
        <w:tc>
          <w:tcPr>
            <w:tcW w:w="1928"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（0～50）ppm</w:t>
            </w:r>
          </w:p>
        </w:tc>
        <w:tc>
          <w:tcPr>
            <w:tcW w:w="2086"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10ppb</w:t>
            </w:r>
          </w:p>
        </w:tc>
        <w:tc>
          <w:tcPr>
            <w:tcW w:w="1597"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±5%FS</w:t>
            </w:r>
          </w:p>
        </w:tc>
        <w:tc>
          <w:tcPr>
            <w:tcW w:w="15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20S</w:t>
            </w:r>
          </w:p>
        </w:tc>
      </w:tr>
    </w:tbl>
    <w:p>
      <w:pPr>
        <w:pStyle w:val="5"/>
        <w:tabs>
          <w:tab w:val="clear" w:pos="420"/>
        </w:tabs>
        <w:rPr>
          <w:color w:val="auto"/>
          <w:highlight w:val="none"/>
        </w:rPr>
      </w:pPr>
      <w:r>
        <w:rPr>
          <w:rFonts w:hint="eastAsia"/>
          <w:color w:val="auto"/>
          <w:highlight w:val="none"/>
        </w:rPr>
        <w:t>敏感区空气质量超级站</w:t>
      </w:r>
    </w:p>
    <w:p>
      <w:pPr>
        <w:pStyle w:val="4"/>
        <w:rPr>
          <w:color w:val="auto"/>
          <w:highlight w:val="none"/>
        </w:rPr>
      </w:pPr>
      <w:r>
        <w:rPr>
          <w:rFonts w:hint="eastAsia"/>
          <w:color w:val="auto"/>
          <w:highlight w:val="none"/>
        </w:rPr>
        <w:t>配置清单</w:t>
      </w:r>
    </w:p>
    <w:tbl>
      <w:tblPr>
        <w:tblStyle w:val="9"/>
        <w:tblW w:w="13478" w:type="dxa"/>
        <w:tblInd w:w="0" w:type="dxa"/>
        <w:tblLayout w:type="fixed"/>
        <w:tblCellMar>
          <w:top w:w="0" w:type="dxa"/>
          <w:left w:w="108" w:type="dxa"/>
          <w:bottom w:w="0" w:type="dxa"/>
          <w:right w:w="108" w:type="dxa"/>
        </w:tblCellMar>
      </w:tblPr>
      <w:tblGrid>
        <w:gridCol w:w="767"/>
        <w:gridCol w:w="2067"/>
        <w:gridCol w:w="5069"/>
        <w:gridCol w:w="971"/>
        <w:gridCol w:w="754"/>
        <w:gridCol w:w="1925"/>
        <w:gridCol w:w="1925"/>
      </w:tblGrid>
      <w:tr>
        <w:tblPrEx>
          <w:tblCellMar>
            <w:top w:w="0" w:type="dxa"/>
            <w:left w:w="108" w:type="dxa"/>
            <w:bottom w:w="0" w:type="dxa"/>
            <w:right w:w="108" w:type="dxa"/>
          </w:tblCellMar>
        </w:tblPrEx>
        <w:trPr>
          <w:gridAfter w:val="2"/>
          <w:wAfter w:w="3850" w:type="dxa"/>
          <w:trHeight w:val="280" w:hRule="atLeast"/>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kern w:val="0"/>
                <w:sz w:val="21"/>
                <w:szCs w:val="21"/>
                <w:highlight w:val="none"/>
              </w:rPr>
            </w:pPr>
            <w:r>
              <w:rPr>
                <w:rFonts w:hint="eastAsia" w:ascii="宋体" w:hAnsi="宋体"/>
                <w:b/>
                <w:bCs/>
                <w:color w:val="auto"/>
                <w:kern w:val="0"/>
                <w:sz w:val="21"/>
                <w:szCs w:val="21"/>
                <w:highlight w:val="none"/>
              </w:rPr>
              <w:t>序号</w:t>
            </w:r>
          </w:p>
        </w:tc>
        <w:tc>
          <w:tcPr>
            <w:tcW w:w="7136" w:type="dxa"/>
            <w:gridSpan w:val="2"/>
            <w:tcBorders>
              <w:top w:val="single" w:color="auto" w:sz="4" w:space="0"/>
              <w:left w:val="nil"/>
              <w:bottom w:val="single" w:color="000000" w:sz="4" w:space="0"/>
              <w:right w:val="single" w:color="000000" w:sz="4" w:space="0"/>
            </w:tcBorders>
            <w:vAlign w:val="center"/>
          </w:tcPr>
          <w:p>
            <w:pPr>
              <w:jc w:val="center"/>
              <w:rPr>
                <w:rFonts w:ascii="宋体" w:hAnsi="宋体"/>
                <w:b/>
                <w:bCs/>
                <w:color w:val="auto"/>
                <w:kern w:val="0"/>
                <w:sz w:val="21"/>
                <w:szCs w:val="21"/>
                <w:highlight w:val="none"/>
              </w:rPr>
            </w:pPr>
            <w:r>
              <w:rPr>
                <w:rFonts w:hint="eastAsia" w:ascii="宋体" w:hAnsi="宋体"/>
                <w:b/>
                <w:bCs/>
                <w:color w:val="auto"/>
                <w:kern w:val="0"/>
                <w:sz w:val="21"/>
                <w:szCs w:val="21"/>
                <w:highlight w:val="none"/>
              </w:rPr>
              <w:t>建设内容</w:t>
            </w:r>
          </w:p>
        </w:tc>
        <w:tc>
          <w:tcPr>
            <w:tcW w:w="971"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kern w:val="0"/>
                <w:sz w:val="21"/>
                <w:szCs w:val="21"/>
                <w:highlight w:val="none"/>
              </w:rPr>
            </w:pPr>
            <w:r>
              <w:rPr>
                <w:rFonts w:hint="eastAsia" w:ascii="宋体" w:hAnsi="宋体"/>
                <w:b/>
                <w:bCs/>
                <w:color w:val="auto"/>
                <w:kern w:val="0"/>
                <w:sz w:val="21"/>
                <w:szCs w:val="21"/>
                <w:highlight w:val="none"/>
              </w:rPr>
              <w:t>数量</w:t>
            </w:r>
          </w:p>
        </w:tc>
        <w:tc>
          <w:tcPr>
            <w:tcW w:w="754"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kern w:val="0"/>
                <w:sz w:val="21"/>
                <w:szCs w:val="21"/>
                <w:highlight w:val="none"/>
              </w:rPr>
            </w:pPr>
            <w:r>
              <w:rPr>
                <w:rFonts w:hint="eastAsia" w:ascii="宋体" w:hAnsi="宋体"/>
                <w:b/>
                <w:bCs/>
                <w:color w:val="auto"/>
                <w:kern w:val="0"/>
                <w:sz w:val="21"/>
                <w:szCs w:val="21"/>
                <w:highlight w:val="none"/>
              </w:rPr>
              <w:t>单位</w:t>
            </w:r>
          </w:p>
        </w:tc>
      </w:tr>
      <w:tr>
        <w:tblPrEx>
          <w:tblCellMar>
            <w:top w:w="0" w:type="dxa"/>
            <w:left w:w="108" w:type="dxa"/>
            <w:bottom w:w="0" w:type="dxa"/>
            <w:right w:w="108" w:type="dxa"/>
          </w:tblCellMar>
        </w:tblPrEx>
        <w:trPr>
          <w:gridAfter w:val="2"/>
          <w:wAfter w:w="3850" w:type="dxa"/>
          <w:trHeight w:val="28" w:hRule="atLeast"/>
        </w:trPr>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2067" w:type="dxa"/>
            <w:vMerge w:val="restart"/>
            <w:tcBorders>
              <w:top w:val="nil"/>
              <w:left w:val="nil"/>
              <w:bottom w:val="single" w:color="000000" w:sz="4" w:space="0"/>
              <w:right w:val="single" w:color="auto"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仪器配置(无机）</w:t>
            </w: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 xml:space="preserve">H2S/SO2分析仪 </w:t>
            </w:r>
          </w:p>
        </w:tc>
        <w:tc>
          <w:tcPr>
            <w:tcW w:w="971" w:type="dxa"/>
            <w:tcBorders>
              <w:top w:val="single" w:color="auto" w:sz="4" w:space="0"/>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single" w:color="auto" w:sz="4" w:space="0"/>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台</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2</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NOx分析仪</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台</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3</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NH3分析仪</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台</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4</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气象五参数</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台</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5</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动态校准仪（含臭氧模块）</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台</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6</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渗透炉校准仪</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台</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7</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零气发生器</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台</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8</w:t>
            </w:r>
          </w:p>
        </w:tc>
        <w:tc>
          <w:tcPr>
            <w:tcW w:w="2067" w:type="dxa"/>
            <w:vMerge w:val="restart"/>
            <w:tcBorders>
              <w:top w:val="nil"/>
              <w:left w:val="nil"/>
              <w:bottom w:val="single" w:color="000000" w:sz="4" w:space="0"/>
              <w:right w:val="single" w:color="auto"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仪器配置(有机）</w:t>
            </w: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甲烷/非甲烷总烃在线分析仪</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台</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9</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VOCs在线监测仪(GC-FID/MS)</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台</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10</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动态校准仪（VOC版）</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台</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11</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全惰性化精密动态校准仪</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台</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12</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氢气发生器</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台</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13</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零气发生器（用于GC-MS）</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台</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14</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氦气(含减压阀）</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套</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15</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氮气（含减压阀）</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套</w:t>
            </w:r>
          </w:p>
        </w:tc>
      </w:tr>
      <w:tr>
        <w:tblPrEx>
          <w:tblCellMar>
            <w:top w:w="0" w:type="dxa"/>
            <w:left w:w="108" w:type="dxa"/>
            <w:bottom w:w="0" w:type="dxa"/>
            <w:right w:w="108" w:type="dxa"/>
          </w:tblCellMar>
        </w:tblPrEx>
        <w:trPr>
          <w:gridAfter w:val="2"/>
          <w:wAfter w:w="3850" w:type="dxa"/>
          <w:trHeight w:val="431"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16</w:t>
            </w:r>
          </w:p>
        </w:tc>
        <w:tc>
          <w:tcPr>
            <w:tcW w:w="2067" w:type="dxa"/>
            <w:vMerge w:val="restart"/>
            <w:tcBorders>
              <w:top w:val="nil"/>
              <w:left w:val="nil"/>
              <w:bottom w:val="single" w:color="000000" w:sz="4" w:space="0"/>
              <w:right w:val="single" w:color="auto"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标气系统</w:t>
            </w: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SO2标气</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套</w:t>
            </w:r>
          </w:p>
        </w:tc>
      </w:tr>
      <w:tr>
        <w:tblPrEx>
          <w:tblCellMar>
            <w:top w:w="0" w:type="dxa"/>
            <w:left w:w="108" w:type="dxa"/>
            <w:bottom w:w="0" w:type="dxa"/>
            <w:right w:w="108" w:type="dxa"/>
          </w:tblCellMar>
        </w:tblPrEx>
        <w:trPr>
          <w:gridAfter w:val="2"/>
          <w:wAfter w:w="3850" w:type="dxa"/>
          <w:trHeight w:val="417"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17</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NO标气</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套</w:t>
            </w:r>
          </w:p>
        </w:tc>
      </w:tr>
      <w:tr>
        <w:tblPrEx>
          <w:tblCellMar>
            <w:top w:w="0" w:type="dxa"/>
            <w:left w:w="108" w:type="dxa"/>
            <w:bottom w:w="0" w:type="dxa"/>
            <w:right w:w="108" w:type="dxa"/>
          </w:tblCellMar>
        </w:tblPrEx>
        <w:trPr>
          <w:trHeight w:val="251"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18</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shd w:val="clear" w:color="auto" w:fill="auto"/>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H2S标气</w:t>
            </w:r>
          </w:p>
        </w:tc>
        <w:tc>
          <w:tcPr>
            <w:tcW w:w="971" w:type="dxa"/>
            <w:tcBorders>
              <w:top w:val="nil"/>
              <w:left w:val="nil"/>
              <w:bottom w:val="single" w:color="auto" w:sz="4" w:space="0"/>
              <w:right w:val="single" w:color="auto" w:sz="4" w:space="0"/>
            </w:tcBorders>
            <w:shd w:val="clear" w:color="auto" w:fill="auto"/>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shd w:val="clear" w:color="auto" w:fill="auto"/>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套</w:t>
            </w:r>
          </w:p>
        </w:tc>
        <w:tc>
          <w:tcPr>
            <w:tcW w:w="1925" w:type="dxa"/>
            <w:vAlign w:val="center"/>
          </w:tcPr>
          <w:p>
            <w:pPr>
              <w:jc w:val="center"/>
              <w:rPr>
                <w:color w:val="auto"/>
                <w:highlight w:val="none"/>
              </w:rPr>
            </w:pPr>
          </w:p>
        </w:tc>
        <w:tc>
          <w:tcPr>
            <w:tcW w:w="1925" w:type="dxa"/>
          </w:tcPr>
          <w:p>
            <w:pPr>
              <w:jc w:val="center"/>
              <w:rPr>
                <w:color w:val="auto"/>
                <w:highlight w:val="none"/>
              </w:rPr>
            </w:pP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19</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NH3标气</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套</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20</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甲烷、丙烷标气</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套</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21</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PAMS标气</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瓶</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22</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TO-15标气</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瓶</w:t>
            </w:r>
          </w:p>
        </w:tc>
      </w:tr>
      <w:tr>
        <w:tblPrEx>
          <w:tblCellMar>
            <w:top w:w="0" w:type="dxa"/>
            <w:left w:w="108" w:type="dxa"/>
            <w:bottom w:w="0" w:type="dxa"/>
            <w:right w:w="108" w:type="dxa"/>
          </w:tblCellMar>
        </w:tblPrEx>
        <w:trPr>
          <w:gridAfter w:val="1"/>
          <w:wAfter w:w="1925" w:type="dxa"/>
          <w:trHeight w:val="449"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23</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shd w:val="clear" w:color="auto" w:fill="auto"/>
            <w:vAlign w:val="center"/>
          </w:tcPr>
          <w:p>
            <w:pPr>
              <w:jc w:val="left"/>
              <w:rPr>
                <w:rFonts w:ascii="宋体" w:hAnsi="宋体"/>
                <w:color w:val="auto"/>
                <w:kern w:val="0"/>
                <w:sz w:val="21"/>
                <w:szCs w:val="21"/>
                <w:highlight w:val="none"/>
              </w:rPr>
            </w:pPr>
            <w:r>
              <w:rPr>
                <w:rFonts w:hint="eastAsia" w:ascii="宋体" w:hAnsi="宋体" w:cs="宋体"/>
                <w:color w:val="auto"/>
                <w:kern w:val="0"/>
                <w:sz w:val="20"/>
                <w:highlight w:val="none"/>
              </w:rPr>
              <w:t>OVOC标气</w:t>
            </w:r>
          </w:p>
        </w:tc>
        <w:tc>
          <w:tcPr>
            <w:tcW w:w="971" w:type="dxa"/>
            <w:tcBorders>
              <w:top w:val="nil"/>
              <w:left w:val="nil"/>
              <w:bottom w:val="single" w:color="auto" w:sz="4" w:space="0"/>
              <w:right w:val="single" w:color="auto" w:sz="4" w:space="0"/>
            </w:tcBorders>
            <w:shd w:val="clear" w:color="auto" w:fill="auto"/>
            <w:vAlign w:val="center"/>
          </w:tcPr>
          <w:p>
            <w:pPr>
              <w:jc w:val="center"/>
              <w:rPr>
                <w:rFonts w:ascii="宋体" w:hAnsi="宋体"/>
                <w:color w:val="auto"/>
                <w:kern w:val="0"/>
                <w:sz w:val="21"/>
                <w:szCs w:val="21"/>
                <w:highlight w:val="none"/>
              </w:rPr>
            </w:pPr>
            <w:r>
              <w:rPr>
                <w:rFonts w:hint="eastAsia" w:ascii="宋体" w:hAnsi="宋体" w:cs="宋体"/>
                <w:color w:val="auto"/>
                <w:kern w:val="0"/>
                <w:sz w:val="20"/>
                <w:highlight w:val="none"/>
              </w:rPr>
              <w:t>1</w:t>
            </w:r>
          </w:p>
        </w:tc>
        <w:tc>
          <w:tcPr>
            <w:tcW w:w="754" w:type="dxa"/>
            <w:tcBorders>
              <w:top w:val="nil"/>
              <w:left w:val="nil"/>
              <w:bottom w:val="single" w:color="auto" w:sz="4" w:space="0"/>
              <w:right w:val="single" w:color="auto" w:sz="4" w:space="0"/>
            </w:tcBorders>
            <w:shd w:val="clear" w:color="auto" w:fill="auto"/>
            <w:vAlign w:val="center"/>
          </w:tcPr>
          <w:p>
            <w:pPr>
              <w:jc w:val="center"/>
              <w:rPr>
                <w:rFonts w:ascii="宋体" w:hAnsi="宋体"/>
                <w:color w:val="auto"/>
                <w:kern w:val="0"/>
                <w:sz w:val="21"/>
                <w:szCs w:val="21"/>
                <w:highlight w:val="none"/>
              </w:rPr>
            </w:pPr>
            <w:r>
              <w:rPr>
                <w:rFonts w:hint="eastAsia" w:ascii="宋体" w:hAnsi="宋体" w:cs="宋体"/>
                <w:color w:val="auto"/>
                <w:kern w:val="0"/>
                <w:sz w:val="20"/>
                <w:highlight w:val="none"/>
              </w:rPr>
              <w:t>瓶</w:t>
            </w:r>
          </w:p>
        </w:tc>
        <w:tc>
          <w:tcPr>
            <w:tcW w:w="1925" w:type="dxa"/>
            <w:vAlign w:val="center"/>
          </w:tcPr>
          <w:p>
            <w:pPr>
              <w:jc w:val="center"/>
              <w:rPr>
                <w:color w:val="auto"/>
                <w:highlight w:val="none"/>
              </w:rPr>
            </w:pP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24</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不锈钢减压阀（与PAMS、TO15和VOVC钢瓶配套）</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3</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个</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25</w:t>
            </w:r>
          </w:p>
        </w:tc>
        <w:tc>
          <w:tcPr>
            <w:tcW w:w="2067" w:type="dxa"/>
            <w:vMerge w:val="restart"/>
            <w:tcBorders>
              <w:top w:val="nil"/>
              <w:left w:val="nil"/>
              <w:bottom w:val="single" w:color="000000" w:sz="4" w:space="0"/>
              <w:right w:val="single" w:color="auto"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配套采样系统、机柜、稳压电源、UPS电源等辅助设施</w:t>
            </w: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采样系统</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套</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26</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 xml:space="preserve">机柜   </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套</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27</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 xml:space="preserve">稳压电源 </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套</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28</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 xml:space="preserve">UPS电源（6KVA，延时2小时） </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套</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29</w:t>
            </w:r>
          </w:p>
        </w:tc>
        <w:tc>
          <w:tcPr>
            <w:tcW w:w="2067" w:type="dxa"/>
            <w:vMerge w:val="restart"/>
            <w:tcBorders>
              <w:top w:val="nil"/>
              <w:left w:val="nil"/>
              <w:bottom w:val="single" w:color="000000" w:sz="4" w:space="0"/>
              <w:right w:val="single" w:color="auto"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数据传输与网络化</w:t>
            </w: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 xml:space="preserve">数据采集及传输软件 </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套</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30</w:t>
            </w:r>
          </w:p>
        </w:tc>
        <w:tc>
          <w:tcPr>
            <w:tcW w:w="206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kern w:val="0"/>
                <w:sz w:val="21"/>
                <w:szCs w:val="21"/>
                <w:highlight w:val="none"/>
              </w:rPr>
            </w:pP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子站工控机</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台</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31</w:t>
            </w:r>
          </w:p>
        </w:tc>
        <w:tc>
          <w:tcPr>
            <w:tcW w:w="2067" w:type="dxa"/>
            <w:tcBorders>
              <w:top w:val="nil"/>
              <w:left w:val="nil"/>
              <w:bottom w:val="single" w:color="000000" w:sz="4" w:space="0"/>
              <w:right w:val="single" w:color="auto"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0"/>
                <w:highlight w:val="none"/>
              </w:rPr>
              <w:t>生物多模态识别门禁</w:t>
            </w:r>
          </w:p>
        </w:tc>
        <w:tc>
          <w:tcPr>
            <w:tcW w:w="5069" w:type="dxa"/>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0"/>
                <w:highlight w:val="none"/>
              </w:rPr>
              <w:t>人脸+虹膜识别门禁设备</w:t>
            </w:r>
          </w:p>
        </w:tc>
        <w:tc>
          <w:tcPr>
            <w:tcW w:w="971" w:type="dxa"/>
            <w:tcBorders>
              <w:top w:val="nil"/>
              <w:left w:val="nil"/>
              <w:bottom w:val="single" w:color="auto" w:sz="4" w:space="0"/>
              <w:right w:val="single" w:color="auto" w:sz="4" w:space="0"/>
            </w:tcBorders>
            <w:vAlign w:val="bottom"/>
          </w:tcPr>
          <w:p>
            <w:pPr>
              <w:jc w:val="center"/>
              <w:rPr>
                <w:rFonts w:ascii="宋体" w:hAnsi="宋体"/>
                <w:color w:val="auto"/>
                <w:kern w:val="0"/>
                <w:sz w:val="21"/>
                <w:szCs w:val="21"/>
                <w:highlight w:val="none"/>
              </w:rPr>
            </w:pPr>
            <w:r>
              <w:rPr>
                <w:rFonts w:hint="eastAsia" w:ascii="宋体" w:hAnsi="宋体"/>
                <w:color w:val="auto"/>
                <w:kern w:val="0"/>
                <w:sz w:val="20"/>
                <w:highlight w:val="none"/>
              </w:rPr>
              <w:t>1</w:t>
            </w:r>
          </w:p>
        </w:tc>
        <w:tc>
          <w:tcPr>
            <w:tcW w:w="754" w:type="dxa"/>
            <w:tcBorders>
              <w:top w:val="nil"/>
              <w:left w:val="nil"/>
              <w:bottom w:val="single" w:color="auto" w:sz="4" w:space="0"/>
              <w:right w:val="single" w:color="auto" w:sz="4" w:space="0"/>
            </w:tcBorders>
            <w:vAlign w:val="bottom"/>
          </w:tcPr>
          <w:p>
            <w:pPr>
              <w:jc w:val="center"/>
              <w:rPr>
                <w:rFonts w:ascii="宋体" w:hAnsi="宋体"/>
                <w:color w:val="auto"/>
                <w:kern w:val="0"/>
                <w:sz w:val="21"/>
                <w:szCs w:val="21"/>
                <w:highlight w:val="none"/>
              </w:rPr>
            </w:pPr>
            <w:r>
              <w:rPr>
                <w:rFonts w:hint="eastAsia" w:ascii="宋体" w:hAnsi="宋体"/>
                <w:color w:val="auto"/>
                <w:kern w:val="0"/>
                <w:sz w:val="20"/>
                <w:highlight w:val="none"/>
              </w:rPr>
              <w:t>套</w:t>
            </w:r>
          </w:p>
        </w:tc>
      </w:tr>
      <w:tr>
        <w:tblPrEx>
          <w:tblCellMar>
            <w:top w:w="0" w:type="dxa"/>
            <w:left w:w="108" w:type="dxa"/>
            <w:bottom w:w="0" w:type="dxa"/>
            <w:right w:w="108" w:type="dxa"/>
          </w:tblCellMar>
        </w:tblPrEx>
        <w:trPr>
          <w:gridAfter w:val="2"/>
          <w:wAfter w:w="3850" w:type="dxa"/>
          <w:trHeight w:val="28" w:hRule="atLeast"/>
        </w:trPr>
        <w:tc>
          <w:tcPr>
            <w:tcW w:w="767" w:type="dxa"/>
            <w:tcBorders>
              <w:top w:val="nil"/>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32</w:t>
            </w:r>
          </w:p>
        </w:tc>
        <w:tc>
          <w:tcPr>
            <w:tcW w:w="7136" w:type="dxa"/>
            <w:gridSpan w:val="2"/>
            <w:tcBorders>
              <w:top w:val="single" w:color="auto" w:sz="4" w:space="0"/>
              <w:left w:val="nil"/>
              <w:bottom w:val="single" w:color="auto" w:sz="4" w:space="0"/>
              <w:right w:val="single" w:color="000000" w:sz="4" w:space="0"/>
            </w:tcBorders>
            <w:vAlign w:val="center"/>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彩钢板站房（含空调、灭火器等站房配套设施）5*3*2.5m</w:t>
            </w:r>
          </w:p>
        </w:tc>
        <w:tc>
          <w:tcPr>
            <w:tcW w:w="971"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754" w:type="dxa"/>
            <w:tcBorders>
              <w:top w:val="nil"/>
              <w:left w:val="nil"/>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套</w:t>
            </w:r>
          </w:p>
        </w:tc>
      </w:tr>
    </w:tbl>
    <w:p>
      <w:pPr>
        <w:pStyle w:val="5"/>
        <w:rPr>
          <w:color w:val="auto"/>
          <w:highlight w:val="none"/>
        </w:rPr>
      </w:pPr>
      <w:r>
        <w:rPr>
          <w:rFonts w:hint="eastAsia"/>
          <w:color w:val="auto"/>
          <w:highlight w:val="none"/>
        </w:rPr>
        <w:t>设备参数要求</w:t>
      </w:r>
    </w:p>
    <w:p>
      <w:pPr>
        <w:pStyle w:val="6"/>
        <w:rPr>
          <w:color w:val="auto"/>
          <w:highlight w:val="none"/>
        </w:rPr>
      </w:pPr>
      <w:r>
        <w:rPr>
          <w:rFonts w:hint="eastAsia"/>
          <w:color w:val="auto"/>
          <w:highlight w:val="none"/>
        </w:rPr>
        <w:t>H2S/SO2</w:t>
      </w:r>
      <w:r>
        <w:rPr>
          <w:rFonts w:hint="eastAsia" w:ascii="黑体" w:hAnsi="黑体"/>
          <w:color w:val="auto"/>
          <w:highlight w:val="none"/>
        </w:rPr>
        <w:t>分析仪</w:t>
      </w:r>
    </w:p>
    <w:tbl>
      <w:tblPr>
        <w:tblStyle w:val="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522"/>
        <w:gridCol w:w="7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kern w:val="0"/>
                <w:sz w:val="21"/>
                <w:szCs w:val="21"/>
                <w:highlight w:val="none"/>
              </w:rPr>
              <w:t>序号</w:t>
            </w:r>
          </w:p>
        </w:tc>
        <w:tc>
          <w:tcPr>
            <w:tcW w:w="1522"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技术指标</w:t>
            </w:r>
          </w:p>
        </w:tc>
        <w:tc>
          <w:tcPr>
            <w:tcW w:w="7240"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w:t>
            </w:r>
          </w:p>
        </w:tc>
        <w:tc>
          <w:tcPr>
            <w:tcW w:w="152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监测方法</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紫外荧光法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2</w:t>
            </w:r>
          </w:p>
        </w:tc>
        <w:tc>
          <w:tcPr>
            <w:tcW w:w="152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量程</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H2S：最小0～50ppb，最大0～10ppm；SO2：0-20ppm（可选，独立量程和自动量程设置）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3</w:t>
            </w:r>
          </w:p>
        </w:tc>
        <w:tc>
          <w:tcPr>
            <w:tcW w:w="152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单位</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ppb, ppm, 或 µg/m3, mg/m3（用户可选）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4</w:t>
            </w:r>
          </w:p>
        </w:tc>
        <w:tc>
          <w:tcPr>
            <w:tcW w:w="1522"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零点噪声</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≤0.2 ppb（RMS）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5</w:t>
            </w:r>
          </w:p>
        </w:tc>
        <w:tc>
          <w:tcPr>
            <w:tcW w:w="152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跨度噪声</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50ppb以上&lt;0.5%度数(RMS)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6</w:t>
            </w:r>
          </w:p>
        </w:tc>
        <w:tc>
          <w:tcPr>
            <w:tcW w:w="152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最低检测限</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0.4ppb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7</w:t>
            </w:r>
          </w:p>
        </w:tc>
        <w:tc>
          <w:tcPr>
            <w:tcW w:w="152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零点漂移</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&lt;0.5ppb/24 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8</w:t>
            </w:r>
          </w:p>
        </w:tc>
        <w:tc>
          <w:tcPr>
            <w:tcW w:w="152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跨度漂移</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&lt;0.5%F.S/24小时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9</w:t>
            </w:r>
          </w:p>
        </w:tc>
        <w:tc>
          <w:tcPr>
            <w:tcW w:w="152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滞后时间</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20秒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10</w:t>
            </w:r>
          </w:p>
        </w:tc>
        <w:tc>
          <w:tcPr>
            <w:tcW w:w="152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响应时间</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&lt;120秒（达到95%）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11</w:t>
            </w:r>
          </w:p>
        </w:tc>
        <w:tc>
          <w:tcPr>
            <w:tcW w:w="152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线性</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&lt;1%F.S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12</w:t>
            </w:r>
          </w:p>
        </w:tc>
        <w:tc>
          <w:tcPr>
            <w:tcW w:w="152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精度</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50ppb以上读数的0.5%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13</w:t>
            </w:r>
          </w:p>
        </w:tc>
        <w:tc>
          <w:tcPr>
            <w:tcW w:w="152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采样流量</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650 cm3/min±10%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14</w:t>
            </w:r>
          </w:p>
        </w:tc>
        <w:tc>
          <w:tcPr>
            <w:tcW w:w="152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电源</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100V-120V，220V-240V,50/60 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15</w:t>
            </w:r>
          </w:p>
        </w:tc>
        <w:tc>
          <w:tcPr>
            <w:tcW w:w="152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模拟输出</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10V，5V，1V，0.1V（可选）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16</w:t>
            </w:r>
          </w:p>
        </w:tc>
        <w:tc>
          <w:tcPr>
            <w:tcW w:w="152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通信规格</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1路以太网：10/100BASE-T；2路RS232(300-115,200波特)；2路USB设备端口；8路光电隔离数字量输出；6路光电隔离数字量输入；4路模拟量输出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17</w:t>
            </w:r>
          </w:p>
        </w:tc>
        <w:tc>
          <w:tcPr>
            <w:tcW w:w="152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工作温度</w:t>
            </w:r>
          </w:p>
        </w:tc>
        <w:tc>
          <w:tcPr>
            <w:tcW w:w="72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5-40℃</w:t>
            </w:r>
          </w:p>
        </w:tc>
      </w:tr>
    </w:tbl>
    <w:p>
      <w:pPr>
        <w:pStyle w:val="6"/>
        <w:rPr>
          <w:color w:val="auto"/>
          <w:szCs w:val="24"/>
          <w:highlight w:val="none"/>
        </w:rPr>
      </w:pPr>
      <w:r>
        <w:rPr>
          <w:rFonts w:hint="eastAsia"/>
          <w:color w:val="auto"/>
          <w:highlight w:val="none"/>
        </w:rPr>
        <w:t>NOx</w:t>
      </w:r>
      <w:r>
        <w:rPr>
          <w:rFonts w:hint="eastAsia" w:ascii="黑体" w:hAnsi="黑体"/>
          <w:color w:val="auto"/>
          <w:highlight w:val="none"/>
        </w:rPr>
        <w:t>分析仪</w:t>
      </w:r>
    </w:p>
    <w:tbl>
      <w:tblPr>
        <w:tblStyle w:val="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035"/>
        <w:gridCol w:w="6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kern w:val="0"/>
                <w:sz w:val="21"/>
                <w:szCs w:val="21"/>
                <w:highlight w:val="none"/>
              </w:rPr>
              <w:t>序号</w:t>
            </w:r>
          </w:p>
        </w:tc>
        <w:tc>
          <w:tcPr>
            <w:tcW w:w="2035"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技术指标</w:t>
            </w:r>
          </w:p>
        </w:tc>
        <w:tc>
          <w:tcPr>
            <w:tcW w:w="6493"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w:t>
            </w:r>
          </w:p>
        </w:tc>
        <w:tc>
          <w:tcPr>
            <w:tcW w:w="203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分析方法</w:t>
            </w:r>
          </w:p>
        </w:tc>
        <w:tc>
          <w:tcPr>
            <w:tcW w:w="64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化学发光法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2</w:t>
            </w:r>
          </w:p>
        </w:tc>
        <w:tc>
          <w:tcPr>
            <w:tcW w:w="203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量程范围</w:t>
            </w:r>
          </w:p>
        </w:tc>
        <w:tc>
          <w:tcPr>
            <w:tcW w:w="64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0-500ppb到0-20ppm（可选双量程和自动量程）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3</w:t>
            </w:r>
          </w:p>
        </w:tc>
        <w:tc>
          <w:tcPr>
            <w:tcW w:w="203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浓度单位</w:t>
            </w:r>
          </w:p>
        </w:tc>
        <w:tc>
          <w:tcPr>
            <w:tcW w:w="64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ppb, ppm, 或 µg/m3, mg/m3（用户可选）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4</w:t>
            </w:r>
          </w:p>
        </w:tc>
        <w:tc>
          <w:tcPr>
            <w:tcW w:w="203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零点噪声</w:t>
            </w:r>
          </w:p>
        </w:tc>
        <w:tc>
          <w:tcPr>
            <w:tcW w:w="64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&lt;0.2 ppb（RMS）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5</w:t>
            </w:r>
          </w:p>
        </w:tc>
        <w:tc>
          <w:tcPr>
            <w:tcW w:w="203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量程噪声</w:t>
            </w:r>
          </w:p>
        </w:tc>
        <w:tc>
          <w:tcPr>
            <w:tcW w:w="64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&lt;0.5%(50ppb以上)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6</w:t>
            </w:r>
          </w:p>
        </w:tc>
        <w:tc>
          <w:tcPr>
            <w:tcW w:w="203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检测下限</w:t>
            </w:r>
          </w:p>
        </w:tc>
        <w:tc>
          <w:tcPr>
            <w:tcW w:w="64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0.4ppb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7</w:t>
            </w:r>
          </w:p>
        </w:tc>
        <w:tc>
          <w:tcPr>
            <w:tcW w:w="203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零点漂移</w:t>
            </w:r>
          </w:p>
        </w:tc>
        <w:tc>
          <w:tcPr>
            <w:tcW w:w="64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&lt;0.5ppb/24 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8</w:t>
            </w:r>
          </w:p>
        </w:tc>
        <w:tc>
          <w:tcPr>
            <w:tcW w:w="203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量程漂移</w:t>
            </w:r>
          </w:p>
        </w:tc>
        <w:tc>
          <w:tcPr>
            <w:tcW w:w="64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&lt;1%F.S./24h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9</w:t>
            </w:r>
          </w:p>
        </w:tc>
        <w:tc>
          <w:tcPr>
            <w:tcW w:w="203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线性度</w:t>
            </w:r>
          </w:p>
        </w:tc>
        <w:tc>
          <w:tcPr>
            <w:tcW w:w="64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&lt;1%F.S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10</w:t>
            </w:r>
          </w:p>
        </w:tc>
        <w:tc>
          <w:tcPr>
            <w:tcW w:w="203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重复性</w:t>
            </w:r>
          </w:p>
        </w:tc>
        <w:tc>
          <w:tcPr>
            <w:tcW w:w="64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11</w:t>
            </w:r>
          </w:p>
        </w:tc>
        <w:tc>
          <w:tcPr>
            <w:tcW w:w="203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响应时间</w:t>
            </w:r>
          </w:p>
        </w:tc>
        <w:tc>
          <w:tcPr>
            <w:tcW w:w="64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T90&lt;60s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12</w:t>
            </w:r>
          </w:p>
        </w:tc>
        <w:tc>
          <w:tcPr>
            <w:tcW w:w="203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样气流量</w:t>
            </w:r>
          </w:p>
        </w:tc>
        <w:tc>
          <w:tcPr>
            <w:tcW w:w="64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（500±50）sccm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13</w:t>
            </w:r>
          </w:p>
        </w:tc>
        <w:tc>
          <w:tcPr>
            <w:tcW w:w="203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流量稳定</w:t>
            </w:r>
          </w:p>
        </w:tc>
        <w:tc>
          <w:tcPr>
            <w:tcW w:w="64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≤±0.1%</w:t>
            </w:r>
          </w:p>
        </w:tc>
      </w:tr>
    </w:tbl>
    <w:p>
      <w:pPr>
        <w:pStyle w:val="6"/>
        <w:rPr>
          <w:color w:val="auto"/>
          <w:szCs w:val="24"/>
          <w:highlight w:val="none"/>
        </w:rPr>
      </w:pPr>
      <w:r>
        <w:rPr>
          <w:rFonts w:hint="eastAsia"/>
          <w:color w:val="auto"/>
          <w:highlight w:val="none"/>
        </w:rPr>
        <w:t>NH3</w:t>
      </w:r>
      <w:r>
        <w:rPr>
          <w:rFonts w:hint="eastAsia" w:ascii="黑体" w:hAnsi="黑体"/>
          <w:color w:val="auto"/>
          <w:highlight w:val="none"/>
        </w:rPr>
        <w:t>分析仪</w:t>
      </w:r>
    </w:p>
    <w:tbl>
      <w:tblPr>
        <w:tblStyle w:val="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303"/>
        <w:gridCol w:w="6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kern w:val="0"/>
                <w:sz w:val="21"/>
                <w:szCs w:val="21"/>
                <w:highlight w:val="none"/>
              </w:rPr>
              <w:t>序号</w:t>
            </w:r>
          </w:p>
        </w:tc>
        <w:tc>
          <w:tcPr>
            <w:tcW w:w="2303"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6337"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2303" w:type="dxa"/>
            <w:tcBorders>
              <w:top w:val="single" w:color="auto" w:sz="4" w:space="0"/>
              <w:left w:val="nil"/>
              <w:bottom w:val="single" w:color="auto" w:sz="4" w:space="0"/>
              <w:right w:val="single" w:color="auto" w:sz="4" w:space="0"/>
            </w:tcBorders>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测量原理</w:t>
            </w:r>
          </w:p>
        </w:tc>
        <w:tc>
          <w:tcPr>
            <w:tcW w:w="6337" w:type="dxa"/>
            <w:tcBorders>
              <w:top w:val="single" w:color="auto" w:sz="4" w:space="0"/>
              <w:left w:val="nil"/>
              <w:bottom w:val="single" w:color="auto" w:sz="4" w:space="0"/>
              <w:right w:val="single" w:color="auto" w:sz="4" w:space="0"/>
            </w:tcBorders>
          </w:tcPr>
          <w:p>
            <w:pPr>
              <w:jc w:val="left"/>
              <w:rPr>
                <w:rFonts w:ascii="宋体" w:hAnsi="宋体"/>
                <w:color w:val="auto"/>
                <w:kern w:val="0"/>
                <w:sz w:val="21"/>
                <w:szCs w:val="21"/>
                <w:highlight w:val="none"/>
              </w:rPr>
            </w:pPr>
            <w:r>
              <w:rPr>
                <w:rFonts w:hint="eastAsia" w:ascii="宋体" w:hAnsi="宋体"/>
                <w:color w:val="auto"/>
                <w:kern w:val="0"/>
                <w:sz w:val="21"/>
                <w:szCs w:val="21"/>
                <w:highlight w:val="none"/>
              </w:rPr>
              <w:t>可调制半导体激光吸收光谱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2</w:t>
            </w:r>
          </w:p>
        </w:tc>
        <w:tc>
          <w:tcPr>
            <w:tcW w:w="230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零点漂移（24h）</w:t>
            </w:r>
          </w:p>
        </w:tc>
        <w:tc>
          <w:tcPr>
            <w:tcW w:w="633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 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3</w:t>
            </w:r>
          </w:p>
        </w:tc>
        <w:tc>
          <w:tcPr>
            <w:tcW w:w="230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线性误差</w:t>
            </w:r>
          </w:p>
        </w:tc>
        <w:tc>
          <w:tcPr>
            <w:tcW w:w="633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 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4</w:t>
            </w:r>
          </w:p>
        </w:tc>
        <w:tc>
          <w:tcPr>
            <w:tcW w:w="230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重复性误差</w:t>
            </w:r>
          </w:p>
        </w:tc>
        <w:tc>
          <w:tcPr>
            <w:tcW w:w="633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 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5</w:t>
            </w:r>
          </w:p>
        </w:tc>
        <w:tc>
          <w:tcPr>
            <w:tcW w:w="230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检测限</w:t>
            </w:r>
          </w:p>
        </w:tc>
        <w:tc>
          <w:tcPr>
            <w:tcW w:w="633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 ppb（1倍标准偏差）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6</w:t>
            </w:r>
          </w:p>
        </w:tc>
        <w:tc>
          <w:tcPr>
            <w:tcW w:w="230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量程范围</w:t>
            </w:r>
          </w:p>
        </w:tc>
        <w:tc>
          <w:tcPr>
            <w:tcW w:w="633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 ～ 20ppm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7</w:t>
            </w:r>
          </w:p>
        </w:tc>
        <w:tc>
          <w:tcPr>
            <w:tcW w:w="230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预热时间</w:t>
            </w:r>
          </w:p>
        </w:tc>
        <w:tc>
          <w:tcPr>
            <w:tcW w:w="633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60min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8</w:t>
            </w:r>
          </w:p>
        </w:tc>
        <w:tc>
          <w:tcPr>
            <w:tcW w:w="230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响应时间（T90）</w:t>
            </w:r>
          </w:p>
        </w:tc>
        <w:tc>
          <w:tcPr>
            <w:tcW w:w="633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≤300s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9</w:t>
            </w:r>
          </w:p>
        </w:tc>
        <w:tc>
          <w:tcPr>
            <w:tcW w:w="230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数字通讯</w:t>
            </w:r>
          </w:p>
        </w:tc>
        <w:tc>
          <w:tcPr>
            <w:tcW w:w="633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RS 232（RS 485可定制）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10</w:t>
            </w:r>
          </w:p>
        </w:tc>
        <w:tc>
          <w:tcPr>
            <w:tcW w:w="230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电源</w:t>
            </w:r>
          </w:p>
        </w:tc>
        <w:tc>
          <w:tcPr>
            <w:tcW w:w="633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（200-240）V AC/(48-63)Hz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11</w:t>
            </w:r>
          </w:p>
        </w:tc>
        <w:tc>
          <w:tcPr>
            <w:tcW w:w="230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防护等级</w:t>
            </w:r>
          </w:p>
        </w:tc>
        <w:tc>
          <w:tcPr>
            <w:tcW w:w="633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IP20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12</w:t>
            </w:r>
          </w:p>
        </w:tc>
        <w:tc>
          <w:tcPr>
            <w:tcW w:w="230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过滤要求</w:t>
            </w:r>
          </w:p>
        </w:tc>
        <w:tc>
          <w:tcPr>
            <w:tcW w:w="633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无尘、无水、无油（过滤精度5μm）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13</w:t>
            </w:r>
          </w:p>
        </w:tc>
        <w:tc>
          <w:tcPr>
            <w:tcW w:w="230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样气温度</w:t>
            </w:r>
          </w:p>
        </w:tc>
        <w:tc>
          <w:tcPr>
            <w:tcW w:w="633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 -20～50 )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14</w:t>
            </w:r>
          </w:p>
        </w:tc>
        <w:tc>
          <w:tcPr>
            <w:tcW w:w="230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样气压力</w:t>
            </w:r>
          </w:p>
        </w:tc>
        <w:tc>
          <w:tcPr>
            <w:tcW w:w="633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0.9～1.1bar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15</w:t>
            </w:r>
          </w:p>
        </w:tc>
        <w:tc>
          <w:tcPr>
            <w:tcW w:w="230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工作环境温度</w:t>
            </w:r>
          </w:p>
        </w:tc>
        <w:tc>
          <w:tcPr>
            <w:tcW w:w="633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5～40℃</w:t>
            </w:r>
          </w:p>
        </w:tc>
      </w:tr>
    </w:tbl>
    <w:p>
      <w:pPr>
        <w:pStyle w:val="6"/>
        <w:rPr>
          <w:color w:val="auto"/>
          <w:szCs w:val="24"/>
          <w:highlight w:val="none"/>
        </w:rPr>
      </w:pPr>
      <w:r>
        <w:rPr>
          <w:rFonts w:hint="eastAsia"/>
          <w:color w:val="auto"/>
          <w:highlight w:val="none"/>
        </w:rPr>
        <w:t>甲烷</w:t>
      </w:r>
      <w:r>
        <w:rPr>
          <w:rFonts w:hint="eastAsia"/>
          <w:color w:val="auto"/>
          <w:highlight w:val="none"/>
          <w:lang w:eastAsia="zh-CN"/>
        </w:rPr>
        <w:t>/</w:t>
      </w:r>
      <w:r>
        <w:rPr>
          <w:rFonts w:hint="eastAsia"/>
          <w:color w:val="auto"/>
          <w:highlight w:val="none"/>
        </w:rPr>
        <w:t>非甲烷总烃</w:t>
      </w:r>
      <w:r>
        <w:rPr>
          <w:rFonts w:hint="eastAsia"/>
          <w:color w:val="auto"/>
          <w:highlight w:val="none"/>
          <w:lang w:eastAsia="zh-CN"/>
        </w:rPr>
        <w:t>在线</w:t>
      </w:r>
      <w:r>
        <w:rPr>
          <w:rFonts w:hint="eastAsia"/>
          <w:color w:val="auto"/>
          <w:highlight w:val="none"/>
        </w:rPr>
        <w:t>分析仪</w:t>
      </w:r>
    </w:p>
    <w:p>
      <w:pPr>
        <w:ind w:firstLine="482"/>
        <w:rPr>
          <w:rFonts w:ascii="宋体" w:hAnsi="宋体"/>
          <w:b/>
          <w:bCs/>
          <w:color w:val="auto"/>
          <w:highlight w:val="none"/>
        </w:rPr>
      </w:pPr>
      <w:r>
        <w:rPr>
          <w:rFonts w:hint="eastAsia" w:ascii="宋体" w:hAnsi="宋体"/>
          <w:b/>
          <w:bCs/>
          <w:color w:val="auto"/>
          <w:highlight w:val="none"/>
        </w:rPr>
        <w:t>1、基本要求</w:t>
      </w:r>
    </w:p>
    <w:tbl>
      <w:tblPr>
        <w:tblStyle w:val="9"/>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4"/>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kern w:val="0"/>
                <w:sz w:val="21"/>
                <w:szCs w:val="21"/>
                <w:highlight w:val="none"/>
              </w:rPr>
              <w:t>序号</w:t>
            </w:r>
          </w:p>
        </w:tc>
        <w:tc>
          <w:tcPr>
            <w:tcW w:w="1134"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7422"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w:t>
            </w:r>
          </w:p>
        </w:tc>
        <w:tc>
          <w:tcPr>
            <w:tcW w:w="113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监测项目</w:t>
            </w:r>
          </w:p>
        </w:tc>
        <w:tc>
          <w:tcPr>
            <w:tcW w:w="7422"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空气VOCs（甲烷，总烃，非甲烷总烃）在线监测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olor w:val="auto"/>
                <w:kern w:val="0"/>
                <w:sz w:val="21"/>
                <w:szCs w:val="21"/>
                <w:highlight w:val="none"/>
              </w:rPr>
              <w:t>2</w:t>
            </w:r>
          </w:p>
        </w:tc>
        <w:tc>
          <w:tcPr>
            <w:tcW w:w="1134"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检测报告</w:t>
            </w:r>
          </w:p>
        </w:tc>
        <w:tc>
          <w:tcPr>
            <w:tcW w:w="7422" w:type="dxa"/>
            <w:tcBorders>
              <w:top w:val="single" w:color="auto" w:sz="4" w:space="0"/>
              <w:left w:val="nil"/>
              <w:bottom w:val="single" w:color="auto" w:sz="4" w:space="0"/>
              <w:right w:val="single" w:color="auto" w:sz="4" w:space="0"/>
            </w:tcBorders>
          </w:tcPr>
          <w:p>
            <w:pPr>
              <w:rPr>
                <w:color w:val="auto"/>
                <w:highlight w:val="none"/>
              </w:rPr>
            </w:pPr>
            <w:r>
              <w:rPr>
                <w:rFonts w:hint="eastAsia" w:ascii="宋体" w:hAnsi="宋体"/>
                <w:color w:val="auto"/>
                <w:sz w:val="21"/>
                <w:szCs w:val="21"/>
                <w:highlight w:val="none"/>
              </w:rPr>
              <w:t>分析仪应具有中华人民共和国计量器具型式批准证书，产品类型应为在线式气相色谱仪，检测器应为氢火焰离子化检测器（FID）(提供型式批准证书复印件)。应具有</w:t>
            </w:r>
            <w:r>
              <w:rPr>
                <w:rFonts w:hint="eastAsia" w:ascii="宋体" w:hAnsi="宋体"/>
                <w:color w:val="auto"/>
                <w:sz w:val="24"/>
                <w:szCs w:val="24"/>
                <w:highlight w:val="none"/>
              </w:rPr>
              <w:t>中国环境保护产品认证证书及省级以上环境类质量监督检验机构出具的检测报告（提供中国环境保护产品认证证书及检测报告复印件）。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3</w:t>
            </w:r>
          </w:p>
        </w:tc>
        <w:tc>
          <w:tcPr>
            <w:tcW w:w="113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分析方法</w:t>
            </w:r>
          </w:p>
        </w:tc>
        <w:tc>
          <w:tcPr>
            <w:tcW w:w="7422"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气相色谱法</w:t>
            </w:r>
          </w:p>
        </w:tc>
      </w:tr>
    </w:tbl>
    <w:p>
      <w:pPr>
        <w:ind w:firstLine="482"/>
        <w:rPr>
          <w:rFonts w:ascii="宋体" w:hAnsi="宋体"/>
          <w:b/>
          <w:bCs/>
          <w:color w:val="auto"/>
          <w:szCs w:val="28"/>
          <w:highlight w:val="none"/>
        </w:rPr>
      </w:pPr>
      <w:r>
        <w:rPr>
          <w:rFonts w:hint="eastAsia" w:ascii="宋体" w:hAnsi="宋体"/>
          <w:b/>
          <w:bCs/>
          <w:color w:val="auto"/>
          <w:highlight w:val="none"/>
        </w:rPr>
        <w:t>2、技术要求</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681"/>
        <w:gridCol w:w="7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kern w:val="0"/>
                <w:sz w:val="21"/>
                <w:szCs w:val="21"/>
                <w:highlight w:val="none"/>
              </w:rPr>
              <w:t>序号</w:t>
            </w:r>
          </w:p>
        </w:tc>
        <w:tc>
          <w:tcPr>
            <w:tcW w:w="1681"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7040"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1</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示值误差</w:t>
            </w:r>
          </w:p>
        </w:tc>
        <w:tc>
          <w:tcPr>
            <w:tcW w:w="70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非甲烷总烃，≤±7%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2</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量程</w:t>
            </w:r>
          </w:p>
        </w:tc>
        <w:tc>
          <w:tcPr>
            <w:tcW w:w="70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甲烷：≥0-50mg/m³或0-10ppm ；非甲烷总烃：≥0-50mg/m³或0-500ppm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3</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最低检出限</w:t>
            </w:r>
          </w:p>
        </w:tc>
        <w:tc>
          <w:tcPr>
            <w:tcW w:w="70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≤0.04mg/m³或0.05ppm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4</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压力/流量控制</w:t>
            </w:r>
          </w:p>
        </w:tc>
        <w:tc>
          <w:tcPr>
            <w:tcW w:w="70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 xml:space="preserve">全路电子流量控制（EPC），稳定可靠.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5</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重复性</w:t>
            </w:r>
          </w:p>
        </w:tc>
        <w:tc>
          <w:tcPr>
            <w:tcW w:w="70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非甲烷总烃，≤±2.5%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6</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零点漂移</w:t>
            </w:r>
          </w:p>
        </w:tc>
        <w:tc>
          <w:tcPr>
            <w:tcW w:w="70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非甲烷总烃，≤±1%F.S.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7</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量程漂移</w:t>
            </w:r>
          </w:p>
        </w:tc>
        <w:tc>
          <w:tcPr>
            <w:tcW w:w="70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非甲烷总烃，≤±3.5%F.S.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8</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绝缘电阻</w:t>
            </w:r>
          </w:p>
        </w:tc>
        <w:tc>
          <w:tcPr>
            <w:tcW w:w="70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≥200MΩ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9</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绝缘强度</w:t>
            </w:r>
          </w:p>
        </w:tc>
        <w:tc>
          <w:tcPr>
            <w:tcW w:w="70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在环境条件和关闭监测仪电路状态下，在电源相和机壳(接地端)之间，施加50Hz、1500V的交流电压1min,无异常现象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校准功能</w:t>
            </w:r>
          </w:p>
        </w:tc>
        <w:tc>
          <w:tcPr>
            <w:tcW w:w="70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仪器具备自动校准功能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11</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人机交互要求</w:t>
            </w:r>
          </w:p>
        </w:tc>
        <w:tc>
          <w:tcPr>
            <w:tcW w:w="70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分析仪表具有内置工业PC机和触摸操作显示屏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12</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操作系统</w:t>
            </w:r>
          </w:p>
        </w:tc>
        <w:tc>
          <w:tcPr>
            <w:tcW w:w="70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软件采用全中文操作，能进行所有维护诊断功能操作，设置自动控制仪器的运行参数，自动进行数据处理，实现对外通讯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FF"/>
                <w:sz w:val="21"/>
                <w:szCs w:val="21"/>
                <w:highlight w:val="none"/>
              </w:rPr>
            </w:pPr>
            <w:r>
              <w:rPr>
                <w:rFonts w:hint="eastAsia" w:ascii="宋体" w:hAnsi="宋体" w:cs="宋体"/>
                <w:color w:val="0000FF"/>
                <w:sz w:val="21"/>
                <w:szCs w:val="21"/>
                <w:highlight w:val="none"/>
                <w:lang w:eastAsia="zh-CN"/>
              </w:rPr>
              <w:t>★</w:t>
            </w:r>
            <w:r>
              <w:rPr>
                <w:rFonts w:hint="eastAsia" w:ascii="宋体" w:hAnsi="宋体"/>
                <w:color w:val="0000FF"/>
                <w:kern w:val="0"/>
                <w:sz w:val="21"/>
                <w:szCs w:val="21"/>
                <w:highlight w:val="none"/>
              </w:rPr>
              <w:t>13</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0000FF"/>
                <w:sz w:val="21"/>
                <w:szCs w:val="21"/>
                <w:highlight w:val="none"/>
              </w:rPr>
            </w:pPr>
            <w:r>
              <w:rPr>
                <w:rFonts w:hint="eastAsia" w:ascii="宋体" w:hAnsi="宋体"/>
                <w:color w:val="0000FF"/>
                <w:sz w:val="21"/>
                <w:szCs w:val="21"/>
                <w:highlight w:val="none"/>
              </w:rPr>
              <w:t>检测报告</w:t>
            </w:r>
          </w:p>
        </w:tc>
        <w:tc>
          <w:tcPr>
            <w:tcW w:w="7040" w:type="dxa"/>
            <w:tcBorders>
              <w:top w:val="single" w:color="auto" w:sz="4" w:space="0"/>
              <w:left w:val="nil"/>
              <w:bottom w:val="single" w:color="auto" w:sz="4" w:space="0"/>
              <w:right w:val="single" w:color="auto" w:sz="4" w:space="0"/>
            </w:tcBorders>
          </w:tcPr>
          <w:p>
            <w:pPr>
              <w:rPr>
                <w:rFonts w:ascii="宋体" w:hAnsi="宋体"/>
                <w:color w:val="0000FF"/>
                <w:sz w:val="21"/>
                <w:szCs w:val="21"/>
                <w:highlight w:val="none"/>
              </w:rPr>
            </w:pPr>
            <w:r>
              <w:rPr>
                <w:rFonts w:hint="eastAsia" w:ascii="宋体" w:hAnsi="宋体"/>
                <w:color w:val="0000FF"/>
                <w:sz w:val="21"/>
                <w:szCs w:val="21"/>
                <w:highlight w:val="none"/>
              </w:rPr>
              <w:t>仪器控制软件应具有软件著作权（需提供软件著作权证书复印件并盖公章）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14</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安装尺寸</w:t>
            </w:r>
          </w:p>
        </w:tc>
        <w:tc>
          <w:tcPr>
            <w:tcW w:w="70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19"标准机箱，可集成安装于立式机柜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15</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其他</w:t>
            </w:r>
          </w:p>
        </w:tc>
        <w:tc>
          <w:tcPr>
            <w:tcW w:w="70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提供校准气体1瓶及配套减压阀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8"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p>
        </w:tc>
      </w:tr>
    </w:tbl>
    <w:p>
      <w:pPr>
        <w:pStyle w:val="6"/>
        <w:rPr>
          <w:color w:val="auto"/>
          <w:highlight w:val="none"/>
        </w:rPr>
      </w:pPr>
      <w:r>
        <w:rPr>
          <w:rFonts w:hint="eastAsia"/>
          <w:color w:val="auto"/>
          <w:highlight w:val="none"/>
        </w:rPr>
        <w:t>VOCs在线质谱分析仪（GC-FID/MS）</w:t>
      </w:r>
      <w:r>
        <w:rPr>
          <w:rFonts w:hint="eastAsia"/>
          <w:color w:val="auto"/>
          <w:highlight w:val="none"/>
          <w:lang w:eastAsia="zh-CN"/>
        </w:rPr>
        <w:t xml:space="preserve">     </w:t>
      </w:r>
    </w:p>
    <w:p>
      <w:pPr>
        <w:ind w:firstLine="482"/>
        <w:rPr>
          <w:rFonts w:ascii="宋体" w:hAnsi="宋体"/>
          <w:b/>
          <w:bCs/>
          <w:color w:val="auto"/>
          <w:highlight w:val="none"/>
        </w:rPr>
      </w:pPr>
      <w:r>
        <w:rPr>
          <w:rFonts w:hint="eastAsia" w:ascii="宋体" w:hAnsi="宋体"/>
          <w:b/>
          <w:bCs/>
          <w:color w:val="auto"/>
          <w:highlight w:val="none"/>
        </w:rPr>
        <w:t>1、仪器应用</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适用于挥发性有机物的在线分析，满足环境空气组分分析监测、工业园区挥发性有机物的定性定量分析等。满足环保部《2018年重点地区环境空气挥发性有机物监测方案》（环办监测函〔2017〕2024 号）规定的VOCs在线监测设备的应用要求，仪器采用GC-FID/MS法。</w:t>
      </w:r>
    </w:p>
    <w:p>
      <w:pPr>
        <w:ind w:firstLine="482"/>
        <w:rPr>
          <w:rFonts w:ascii="宋体" w:hAnsi="宋体"/>
          <w:b/>
          <w:bCs/>
          <w:color w:val="auto"/>
          <w:highlight w:val="none"/>
        </w:rPr>
      </w:pPr>
      <w:r>
        <w:rPr>
          <w:rFonts w:hint="eastAsia" w:ascii="宋体" w:hAnsi="宋体"/>
          <w:b/>
          <w:bCs/>
          <w:color w:val="auto"/>
          <w:highlight w:val="none"/>
        </w:rPr>
        <w:t>2、仪器工作环境</w:t>
      </w:r>
    </w:p>
    <w:tbl>
      <w:tblPr>
        <w:tblStyle w:val="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908"/>
        <w:gridCol w:w="6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kern w:val="0"/>
                <w:sz w:val="21"/>
                <w:szCs w:val="21"/>
                <w:highlight w:val="none"/>
              </w:rPr>
              <w:t>序号</w:t>
            </w:r>
          </w:p>
        </w:tc>
        <w:tc>
          <w:tcPr>
            <w:tcW w:w="1908"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6341"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w:t>
            </w:r>
          </w:p>
        </w:tc>
        <w:tc>
          <w:tcPr>
            <w:tcW w:w="190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环境温度</w:t>
            </w:r>
          </w:p>
        </w:tc>
        <w:tc>
          <w:tcPr>
            <w:tcW w:w="634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ascii="宋体" w:hAnsi="宋体"/>
                <w:color w:val="auto"/>
                <w:sz w:val="21"/>
                <w:szCs w:val="21"/>
                <w:highlight w:val="none"/>
              </w:rPr>
              <w:t>20</w:t>
            </w:r>
            <w:r>
              <w:rPr>
                <w:rFonts w:hint="eastAsia" w:ascii="宋体" w:hAnsi="宋体"/>
                <w:color w:val="auto"/>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2</w:t>
            </w:r>
          </w:p>
        </w:tc>
        <w:tc>
          <w:tcPr>
            <w:tcW w:w="190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环境湿度</w:t>
            </w:r>
          </w:p>
        </w:tc>
        <w:tc>
          <w:tcPr>
            <w:tcW w:w="634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≤80%R.H. (无冷凝)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3</w:t>
            </w:r>
          </w:p>
        </w:tc>
        <w:tc>
          <w:tcPr>
            <w:tcW w:w="190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电源</w:t>
            </w:r>
          </w:p>
        </w:tc>
        <w:tc>
          <w:tcPr>
            <w:tcW w:w="634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单相200-240V@50 Hz，电流大于10A</w:t>
            </w:r>
          </w:p>
        </w:tc>
      </w:tr>
    </w:tbl>
    <w:p>
      <w:pPr>
        <w:ind w:firstLine="482"/>
        <w:rPr>
          <w:rFonts w:ascii="宋体" w:hAnsi="宋体"/>
          <w:b/>
          <w:bCs/>
          <w:color w:val="auto"/>
          <w:szCs w:val="28"/>
          <w:highlight w:val="none"/>
        </w:rPr>
      </w:pPr>
      <w:r>
        <w:rPr>
          <w:rFonts w:hint="eastAsia" w:ascii="宋体" w:hAnsi="宋体"/>
          <w:b/>
          <w:bCs/>
          <w:color w:val="auto"/>
          <w:highlight w:val="none"/>
        </w:rPr>
        <w:t>3、仪器主要技术指标</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1）仪器硬件</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（1）采样模块</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8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0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采样模块</w:t>
            </w:r>
          </w:p>
        </w:tc>
        <w:tc>
          <w:tcPr>
            <w:tcW w:w="882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C2-C12冷冻富集温度≤-10℃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82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产品需以恒定流量进行采样，采样时间需≤45min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82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吸附解吸管需能够快速加热，加热温度需≥180℃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82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 xml:space="preserve">采用分流进样，分流比可设置为5:1到90:1，可有效应对高浓度污染因子监测 </w:t>
            </w:r>
          </w:p>
        </w:tc>
      </w:tr>
    </w:tbl>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（2）色谱分离模块</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35"/>
        <w:gridCol w:w="6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kern w:val="0"/>
                <w:sz w:val="21"/>
                <w:szCs w:val="21"/>
                <w:highlight w:val="none"/>
              </w:rPr>
              <w:t>序号</w:t>
            </w:r>
          </w:p>
        </w:tc>
        <w:tc>
          <w:tcPr>
            <w:tcW w:w="1935"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6844"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kern w:val="0"/>
                <w:sz w:val="21"/>
                <w:szCs w:val="21"/>
                <w:highlight w:val="none"/>
              </w:rPr>
              <w:t>1</w:t>
            </w:r>
          </w:p>
        </w:tc>
        <w:tc>
          <w:tcPr>
            <w:tcW w:w="193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色谱柱系统</w:t>
            </w:r>
          </w:p>
        </w:tc>
        <w:tc>
          <w:tcPr>
            <w:tcW w:w="6844" w:type="dxa"/>
            <w:tcBorders>
              <w:top w:val="single" w:color="auto" w:sz="4" w:space="0"/>
              <w:left w:val="nil"/>
              <w:bottom w:val="single" w:color="auto" w:sz="4" w:space="0"/>
              <w:right w:val="single" w:color="auto" w:sz="4" w:space="0"/>
            </w:tcBorders>
          </w:tcPr>
          <w:p>
            <w:pPr>
              <w:tabs>
                <w:tab w:val="center" w:pos="3314"/>
              </w:tabs>
              <w:rPr>
                <w:rFonts w:ascii="宋体" w:hAnsi="宋体"/>
                <w:color w:val="auto"/>
                <w:sz w:val="21"/>
                <w:szCs w:val="21"/>
                <w:highlight w:val="none"/>
              </w:rPr>
            </w:pPr>
            <w:r>
              <w:rPr>
                <w:rFonts w:hint="eastAsia" w:ascii="宋体" w:hAnsi="宋体"/>
                <w:color w:val="auto"/>
                <w:sz w:val="21"/>
                <w:szCs w:val="21"/>
                <w:highlight w:val="none"/>
              </w:rPr>
              <w:t>产品需包含高碳色谱柱和低碳色谱柱.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2</w:t>
            </w:r>
          </w:p>
        </w:tc>
        <w:tc>
          <w:tcPr>
            <w:tcW w:w="193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功率</w:t>
            </w:r>
          </w:p>
        </w:tc>
        <w:tc>
          <w:tcPr>
            <w:tcW w:w="684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色谱柱模块正常分析时，功耗小于80W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3</w:t>
            </w:r>
          </w:p>
        </w:tc>
        <w:tc>
          <w:tcPr>
            <w:tcW w:w="193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系统残留</w:t>
            </w:r>
          </w:p>
        </w:tc>
        <w:tc>
          <w:tcPr>
            <w:tcW w:w="684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系统残留需要保证在100%组分情况下≤0.1nmol/mol</w:t>
            </w:r>
          </w:p>
        </w:tc>
      </w:tr>
    </w:tbl>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（3）FID检测器模块</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7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4" w:type="dxa"/>
            <w:vMerge w:val="restart"/>
            <w:tcBorders>
              <w:top w:val="single" w:color="auto" w:sz="4" w:space="0"/>
              <w:left w:val="single" w:color="auto" w:sz="4" w:space="0"/>
              <w:bottom w:val="single" w:color="auto" w:sz="4" w:space="0"/>
              <w:right w:val="single" w:color="auto" w:sz="4" w:space="0"/>
            </w:tcBorders>
            <w:vAlign w:val="center"/>
          </w:tcPr>
          <w:p>
            <w:pPr>
              <w:rPr>
                <w:color w:val="auto"/>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FID检测器模块</w:t>
            </w:r>
          </w:p>
        </w:tc>
        <w:tc>
          <w:tcPr>
            <w:tcW w:w="766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全自动电子压力控制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9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66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全自动点火，熄火自动保护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9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66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在线仪器专用FID检测器</w:t>
            </w:r>
          </w:p>
        </w:tc>
      </w:tr>
    </w:tbl>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（4）质谱检测器</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230"/>
        <w:gridCol w:w="6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kern w:val="0"/>
                <w:sz w:val="21"/>
                <w:szCs w:val="21"/>
                <w:highlight w:val="none"/>
              </w:rPr>
              <w:t>序号</w:t>
            </w:r>
          </w:p>
        </w:tc>
        <w:tc>
          <w:tcPr>
            <w:tcW w:w="2230"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6589"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w:t>
            </w:r>
          </w:p>
        </w:tc>
        <w:tc>
          <w:tcPr>
            <w:tcW w:w="223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离子化方式</w:t>
            </w:r>
          </w:p>
        </w:tc>
        <w:tc>
          <w:tcPr>
            <w:tcW w:w="6589"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2</w:t>
            </w:r>
          </w:p>
        </w:tc>
        <w:tc>
          <w:tcPr>
            <w:tcW w:w="223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质量分析器</w:t>
            </w:r>
          </w:p>
        </w:tc>
        <w:tc>
          <w:tcPr>
            <w:tcW w:w="6589"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四极质谱检测器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3</w:t>
            </w:r>
          </w:p>
        </w:tc>
        <w:tc>
          <w:tcPr>
            <w:tcW w:w="223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color w:val="auto"/>
                <w:sz w:val="21"/>
                <w:szCs w:val="21"/>
                <w:highlight w:val="none"/>
                <w:lang w:eastAsia="zh-CN"/>
              </w:rPr>
              <w:t>★</w:t>
            </w:r>
            <w:r>
              <w:rPr>
                <w:rFonts w:hint="eastAsia" w:ascii="宋体" w:hAnsi="宋体"/>
                <w:color w:val="auto"/>
                <w:sz w:val="21"/>
                <w:szCs w:val="21"/>
                <w:highlight w:val="none"/>
              </w:rPr>
              <w:t>最高温度</w:t>
            </w:r>
          </w:p>
        </w:tc>
        <w:tc>
          <w:tcPr>
            <w:tcW w:w="6589"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 xml:space="preserve">为确保测试间隔无残留，质量分析器可高温烘烤；最高温度可加热至200度。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4</w:t>
            </w:r>
          </w:p>
        </w:tc>
        <w:tc>
          <w:tcPr>
            <w:tcW w:w="223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color w:val="auto"/>
                <w:sz w:val="21"/>
                <w:szCs w:val="21"/>
                <w:highlight w:val="none"/>
                <w:lang w:eastAsia="zh-CN"/>
              </w:rPr>
              <w:t>★</w:t>
            </w:r>
            <w:r>
              <w:rPr>
                <w:rFonts w:hint="eastAsia" w:ascii="宋体" w:hAnsi="宋体"/>
                <w:color w:val="auto"/>
                <w:sz w:val="21"/>
                <w:szCs w:val="21"/>
                <w:highlight w:val="none"/>
              </w:rPr>
              <w:t>质量稳定度</w:t>
            </w:r>
          </w:p>
        </w:tc>
        <w:tc>
          <w:tcPr>
            <w:tcW w:w="6589"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 xml:space="preserve">≤0.1amu/12 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5</w:t>
            </w:r>
          </w:p>
        </w:tc>
        <w:tc>
          <w:tcPr>
            <w:tcW w:w="223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质谱最大扫描速度</w:t>
            </w:r>
          </w:p>
        </w:tc>
        <w:tc>
          <w:tcPr>
            <w:tcW w:w="6589"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不低于：10000amu/s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6</w:t>
            </w:r>
          </w:p>
        </w:tc>
        <w:tc>
          <w:tcPr>
            <w:tcW w:w="223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质量准确度</w:t>
            </w:r>
          </w:p>
        </w:tc>
        <w:tc>
          <w:tcPr>
            <w:tcW w:w="6589"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≤0.1amu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7</w:t>
            </w:r>
          </w:p>
        </w:tc>
        <w:tc>
          <w:tcPr>
            <w:tcW w:w="223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质量范围</w:t>
            </w:r>
          </w:p>
        </w:tc>
        <w:tc>
          <w:tcPr>
            <w:tcW w:w="6589"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10-500amu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8</w:t>
            </w:r>
          </w:p>
        </w:tc>
        <w:tc>
          <w:tcPr>
            <w:tcW w:w="223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质量分辨率</w:t>
            </w:r>
          </w:p>
        </w:tc>
        <w:tc>
          <w:tcPr>
            <w:tcW w:w="6589"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优于单位质量分辨率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9</w:t>
            </w:r>
          </w:p>
        </w:tc>
        <w:tc>
          <w:tcPr>
            <w:tcW w:w="223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真空系统</w:t>
            </w:r>
          </w:p>
        </w:tc>
        <w:tc>
          <w:tcPr>
            <w:tcW w:w="6589"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无油涡卷泵+分子泵组合，真空系统无油设计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10</w:t>
            </w:r>
          </w:p>
        </w:tc>
        <w:tc>
          <w:tcPr>
            <w:tcW w:w="223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启动及恢复时间</w:t>
            </w:r>
          </w:p>
        </w:tc>
        <w:tc>
          <w:tcPr>
            <w:tcW w:w="6589"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开机抽真空到分析，时间不超过20分钟。意外断电后可以自行恢复测试，确保数据获取率达到国家要求</w:t>
            </w:r>
          </w:p>
        </w:tc>
      </w:tr>
    </w:tbl>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（5）仪器可集成在19英寸机柜内。</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2）仪器软件</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8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1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仪器软件</w:t>
            </w:r>
          </w:p>
        </w:tc>
        <w:tc>
          <w:tcPr>
            <w:tcW w:w="841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软件全中文操作，具有图标式操作界面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1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软件在WIN7/WIN8/XP等操作环境下工作；主机对温度、压力、气体、流量、时间等参数进行控制；主机屏幕实时显示浓度数据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1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数据加密存储，所有谱图原始文件，均进行加密，不可修改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1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数据分析软件具有数据采集，数据处理、谱库检索、报告输出功能。输出报告中可对所有物质进行分类统计，并提供各物质在不同时间段的变化趋势图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1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内置基于质谱数据的AMDIS解卷积算法，可有效应对共流程出的干扰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1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olor w:val="auto"/>
                <w:sz w:val="21"/>
                <w:szCs w:val="21"/>
                <w:highlight w:val="none"/>
              </w:rPr>
              <w:t xml:space="preserve">配置NIST谱库和环境VOCs专用数据库，根据检索结果和其它的信息，对未知物进行定性分析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1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olor w:val="auto"/>
                <w:sz w:val="21"/>
                <w:szCs w:val="21"/>
                <w:highlight w:val="none"/>
              </w:rPr>
              <w:t xml:space="preserve">内置NIOSH化合物信息库，辅助用户进行信息决策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1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 xml:space="preserve">软件终生提供免费升级服务 </w:t>
            </w:r>
          </w:p>
        </w:tc>
      </w:tr>
    </w:tbl>
    <w:p>
      <w:pPr>
        <w:ind w:firstLine="482"/>
        <w:rPr>
          <w:rFonts w:ascii="宋体" w:hAnsi="宋体"/>
          <w:b/>
          <w:bCs/>
          <w:color w:val="auto"/>
          <w:szCs w:val="28"/>
          <w:highlight w:val="none"/>
        </w:rPr>
      </w:pPr>
      <w:r>
        <w:rPr>
          <w:rFonts w:hint="eastAsia" w:ascii="宋体" w:hAnsi="宋体"/>
          <w:b/>
          <w:bCs/>
          <w:color w:val="auto"/>
          <w:highlight w:val="none"/>
        </w:rPr>
        <w:t>4、仪器性能</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8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35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仪器性能</w:t>
            </w:r>
          </w:p>
        </w:tc>
        <w:tc>
          <w:tcPr>
            <w:tcW w:w="8276" w:type="dxa"/>
            <w:tcBorders>
              <w:top w:val="single" w:color="auto" w:sz="4" w:space="0"/>
              <w:left w:val="nil"/>
              <w:bottom w:val="single" w:color="auto" w:sz="4" w:space="0"/>
              <w:right w:val="single" w:color="auto" w:sz="4" w:space="0"/>
            </w:tcBorders>
          </w:tcPr>
          <w:p>
            <w:pPr>
              <w:jc w:val="left"/>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标准曲线线性相关系数需要≥0.98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276" w:type="dxa"/>
            <w:tcBorders>
              <w:top w:val="single" w:color="auto" w:sz="4" w:space="0"/>
              <w:left w:val="nil"/>
              <w:bottom w:val="single" w:color="auto" w:sz="4" w:space="0"/>
              <w:right w:val="single" w:color="auto" w:sz="4" w:space="0"/>
            </w:tcBorders>
          </w:tcPr>
          <w:p>
            <w:pPr>
              <w:jc w:val="left"/>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最低检出限(信噪比方法)：C2-C4，采用FID检测器；MSD测量C5-C12范围的碳氢化合物、含氧/氮挥发性有机物及卤代烃，对所有的目标分析物均能很好的分析和检测(提供加盖公章的PAMS，TO15及OVOC色谱分离谱图）PAMS中90%组份（至少包含乙烷和乙烯）的方法检出限≤0.1nmol/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276" w:type="dxa"/>
            <w:tcBorders>
              <w:top w:val="single" w:color="auto" w:sz="4" w:space="0"/>
              <w:left w:val="nil"/>
              <w:bottom w:val="single" w:color="auto" w:sz="4" w:space="0"/>
              <w:right w:val="single" w:color="auto" w:sz="4" w:space="0"/>
            </w:tcBorders>
          </w:tcPr>
          <w:p>
            <w:pPr>
              <w:jc w:val="left"/>
              <w:rPr>
                <w:rFonts w:ascii="宋体" w:hAnsi="宋体"/>
                <w:color w:val="auto"/>
                <w:sz w:val="21"/>
                <w:szCs w:val="21"/>
                <w:highlight w:val="none"/>
              </w:rPr>
            </w:pPr>
            <w:r>
              <w:rPr>
                <w:rFonts w:hint="eastAsia" w:ascii="宋体" w:hAnsi="宋体"/>
                <w:color w:val="auto"/>
                <w:sz w:val="21"/>
                <w:szCs w:val="21"/>
                <w:highlight w:val="none"/>
              </w:rPr>
              <w:t>保留时间漂移：≤5%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276" w:type="dxa"/>
            <w:tcBorders>
              <w:top w:val="single" w:color="auto" w:sz="4" w:space="0"/>
              <w:left w:val="nil"/>
              <w:bottom w:val="single" w:color="auto" w:sz="4" w:space="0"/>
              <w:right w:val="single" w:color="auto" w:sz="4" w:space="0"/>
            </w:tcBorders>
          </w:tcPr>
          <w:p>
            <w:pPr>
              <w:jc w:val="left"/>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标准曲线与标准值相关误差需要≤15%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276" w:type="dxa"/>
            <w:tcBorders>
              <w:top w:val="single" w:color="auto" w:sz="4" w:space="0"/>
              <w:left w:val="nil"/>
              <w:bottom w:val="single" w:color="auto" w:sz="4" w:space="0"/>
              <w:right w:val="single" w:color="auto" w:sz="4" w:space="0"/>
            </w:tcBorders>
          </w:tcPr>
          <w:p>
            <w:pPr>
              <w:jc w:val="left"/>
              <w:rPr>
                <w:rFonts w:ascii="宋体" w:hAnsi="宋体"/>
                <w:color w:val="auto"/>
                <w:sz w:val="21"/>
                <w:szCs w:val="21"/>
                <w:highlight w:val="none"/>
              </w:rPr>
            </w:pPr>
            <w:r>
              <w:rPr>
                <w:rFonts w:hint="eastAsia" w:ascii="宋体" w:hAnsi="宋体"/>
                <w:color w:val="auto"/>
                <w:sz w:val="21"/>
                <w:szCs w:val="21"/>
                <w:highlight w:val="none"/>
              </w:rPr>
              <w:t>零点噪声小于等于0.03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276" w:type="dxa"/>
            <w:tcBorders>
              <w:top w:val="single" w:color="auto" w:sz="4" w:space="0"/>
              <w:left w:val="nil"/>
              <w:bottom w:val="single" w:color="auto" w:sz="4" w:space="0"/>
              <w:right w:val="single" w:color="auto" w:sz="4" w:space="0"/>
            </w:tcBorders>
          </w:tcPr>
          <w:p>
            <w:pPr>
              <w:jc w:val="left"/>
              <w:rPr>
                <w:rFonts w:ascii="宋体" w:hAnsi="宋体"/>
                <w:color w:val="auto"/>
                <w:sz w:val="21"/>
                <w:szCs w:val="21"/>
                <w:highlight w:val="none"/>
              </w:rPr>
            </w:pPr>
            <w:r>
              <w:rPr>
                <w:rFonts w:hint="eastAsia" w:ascii="宋体" w:hAnsi="宋体"/>
                <w:color w:val="auto"/>
                <w:sz w:val="21"/>
                <w:szCs w:val="21"/>
                <w:highlight w:val="none"/>
              </w:rPr>
              <w:t>24h浓度漂移需要小于±0.9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276" w:type="dxa"/>
            <w:tcBorders>
              <w:top w:val="single" w:color="auto" w:sz="4" w:space="0"/>
              <w:left w:val="nil"/>
              <w:bottom w:val="single" w:color="auto" w:sz="4" w:space="0"/>
              <w:right w:val="single" w:color="auto" w:sz="4" w:space="0"/>
            </w:tcBorders>
          </w:tcPr>
          <w:p>
            <w:pPr>
              <w:jc w:val="left"/>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仪器正常工作过程条件下时钟误差≤12s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276" w:type="dxa"/>
            <w:tcBorders>
              <w:top w:val="single" w:color="auto" w:sz="4" w:space="0"/>
              <w:left w:val="nil"/>
              <w:bottom w:val="single" w:color="auto" w:sz="4" w:space="0"/>
              <w:right w:val="single" w:color="auto" w:sz="4" w:space="0"/>
            </w:tcBorders>
          </w:tcPr>
          <w:p>
            <w:pPr>
              <w:jc w:val="left"/>
              <w:rPr>
                <w:rFonts w:ascii="宋体" w:hAnsi="宋体"/>
                <w:color w:val="auto"/>
                <w:sz w:val="21"/>
                <w:szCs w:val="21"/>
                <w:highlight w:val="none"/>
              </w:rPr>
            </w:pPr>
            <w:r>
              <w:rPr>
                <w:rFonts w:hint="eastAsia" w:ascii="宋体" w:hAnsi="宋体"/>
                <w:color w:val="auto"/>
                <w:sz w:val="21"/>
                <w:szCs w:val="21"/>
                <w:highlight w:val="none"/>
              </w:rPr>
              <w:t>供电及功率：220VAC±10%，50Hz ，≤1000瓦（含峰值）；（提供仪器原厂技术说明书或用户手册等证明文件）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276" w:type="dxa"/>
            <w:tcBorders>
              <w:top w:val="single" w:color="auto" w:sz="4" w:space="0"/>
              <w:left w:val="nil"/>
              <w:bottom w:val="single" w:color="auto" w:sz="4" w:space="0"/>
              <w:right w:val="single" w:color="auto" w:sz="4" w:space="0"/>
            </w:tcBorders>
          </w:tcPr>
          <w:p>
            <w:pPr>
              <w:jc w:val="left"/>
              <w:rPr>
                <w:rFonts w:hint="eastAsia" w:ascii="宋体" w:hAnsi="宋体"/>
                <w:color w:val="auto"/>
                <w:sz w:val="21"/>
                <w:szCs w:val="21"/>
                <w:highlight w:val="none"/>
              </w:rPr>
            </w:pPr>
          </w:p>
        </w:tc>
      </w:tr>
    </w:tbl>
    <w:p>
      <w:pPr>
        <w:ind w:firstLine="482"/>
        <w:rPr>
          <w:rFonts w:ascii="宋体" w:hAnsi="宋体"/>
          <w:b/>
          <w:bCs/>
          <w:color w:val="auto"/>
          <w:szCs w:val="28"/>
          <w:highlight w:val="none"/>
        </w:rPr>
      </w:pPr>
      <w:r>
        <w:rPr>
          <w:rFonts w:hint="eastAsia" w:ascii="宋体" w:hAnsi="宋体"/>
          <w:b/>
          <w:bCs/>
          <w:color w:val="auto"/>
          <w:highlight w:val="none"/>
        </w:rPr>
        <w:t>5、数据分析软件</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8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5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数据分析软件</w:t>
            </w:r>
          </w:p>
        </w:tc>
        <w:tc>
          <w:tcPr>
            <w:tcW w:w="827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软件能够自动分析VOCs随时间变化规律，自动计算OFP臭氧生产潜势等参数，反映光化学污染状况及演变规律；（提供仪器软件界面截图）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27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能够集成气象五参数分析仪，O3/NOx等常规分析仪，GPS及GIS等监测数据进行关联分析；（提供仪器操作界面截图）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3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27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软件通过VOCs实时监测得到的特征污染因子，结合模型算法，识别VOCs污染来源，进行快速溯源；（提供仪器操作界面截图）</w:t>
            </w:r>
          </w:p>
        </w:tc>
      </w:tr>
    </w:tbl>
    <w:p>
      <w:pPr>
        <w:ind w:firstLine="482"/>
        <w:rPr>
          <w:rFonts w:ascii="宋体" w:hAnsi="宋体"/>
          <w:b/>
          <w:bCs/>
          <w:color w:val="auto"/>
          <w:szCs w:val="28"/>
          <w:highlight w:val="none"/>
        </w:rPr>
      </w:pPr>
      <w:r>
        <w:rPr>
          <w:rFonts w:hint="eastAsia" w:ascii="宋体" w:hAnsi="宋体"/>
          <w:b/>
          <w:bCs/>
          <w:color w:val="auto"/>
          <w:highlight w:val="none"/>
        </w:rPr>
        <w:t>6、技术服务和培训</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1）卖方须在交货日期60天内到买方提供的现场免费安装、调试设备，并出具现场调试报告。 </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2）免费提供现场培训，人数不限。内容包括仪器的基本原理、操作应用及仪器的维护保养知识，直到用户能正常使用和维护仪器。</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3）两名人员免费的提高操作培训；</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4）提供仪器一年的保修期；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5）长期提供技术支持，并免费提供所有公开发表的应用文献和最新仪器有关资料、通讯和用户论文集等。</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6）免费提供仪器使用手册、培训教材、应用文章等。</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7）所投产品制造商拥有在线监测系统及系统测试核心质谱仪主机的全部知识产权，通过质量管理体系认证，具有挥发性有机物在线监测系统和质谱分析仪控制软件的著作权。</w:t>
      </w:r>
    </w:p>
    <w:p>
      <w:pPr>
        <w:ind w:firstLine="482"/>
        <w:rPr>
          <w:rFonts w:ascii="宋体" w:hAnsi="宋体"/>
          <w:b/>
          <w:bCs/>
          <w:color w:val="auto"/>
          <w:highlight w:val="none"/>
        </w:rPr>
      </w:pPr>
      <w:r>
        <w:rPr>
          <w:rFonts w:hint="eastAsia" w:ascii="宋体" w:hAnsi="宋体"/>
          <w:b/>
          <w:bCs/>
          <w:color w:val="auto"/>
          <w:highlight w:val="none"/>
        </w:rPr>
        <w:t>7. 资质要求</w:t>
      </w:r>
    </w:p>
    <w:p>
      <w:pPr>
        <w:spacing w:line="360" w:lineRule="auto"/>
        <w:ind w:firstLine="480"/>
        <w:rPr>
          <w:rFonts w:ascii="宋体" w:hAnsi="宋体"/>
          <w:color w:val="auto"/>
          <w:sz w:val="24"/>
          <w:szCs w:val="24"/>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1</w:t>
      </w:r>
      <w:r>
        <w:rPr>
          <w:rFonts w:hint="eastAsia" w:ascii="宋体" w:hAnsi="宋体"/>
          <w:color w:val="auto"/>
          <w:sz w:val="24"/>
          <w:szCs w:val="24"/>
          <w:highlight w:val="none"/>
        </w:rPr>
        <w:t>）所投产品能满足环保部《2018年重点地区环境空气挥发性有机物监测方案》规定的VOCs在线监测设备技术要求，具有中国环保产业协会出具的环境空气挥发性有机物在线监测设备环保认证证书和国家环境保护部环境监测仪器质量监督检验中心出具第三方检测报告，并提供认中国环境保护产品认证证书和检测报告的复印件。</w:t>
      </w:r>
    </w:p>
    <w:p>
      <w:pPr>
        <w:pStyle w:val="6"/>
        <w:rPr>
          <w:color w:val="auto"/>
          <w:highlight w:val="none"/>
        </w:rPr>
      </w:pPr>
      <w:r>
        <w:rPr>
          <w:rFonts w:hint="eastAsia"/>
          <w:color w:val="auto"/>
          <w:highlight w:val="none"/>
        </w:rPr>
        <w:t>全惰性化精密动态校准仪</w:t>
      </w:r>
      <w:r>
        <w:rPr>
          <w:rFonts w:hint="eastAsia"/>
          <w:color w:val="auto"/>
          <w:highlight w:val="none"/>
          <w:lang w:eastAsia="zh-CN"/>
        </w:rPr>
        <w:t xml:space="preserve">  </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951"/>
        <w:gridCol w:w="6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951" w:type="dxa"/>
            <w:tcBorders>
              <w:top w:val="single" w:color="auto" w:sz="4" w:space="0"/>
              <w:left w:val="nil"/>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b/>
                <w:bCs/>
                <w:color w:val="auto"/>
                <w:sz w:val="21"/>
                <w:szCs w:val="21"/>
                <w:highlight w:val="none"/>
              </w:rPr>
              <w:t>指标</w:t>
            </w:r>
          </w:p>
        </w:tc>
        <w:tc>
          <w:tcPr>
            <w:tcW w:w="6949" w:type="dxa"/>
            <w:tcBorders>
              <w:top w:val="single" w:color="auto" w:sz="4" w:space="0"/>
              <w:left w:val="nil"/>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95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工作原理</w:t>
            </w:r>
          </w:p>
        </w:tc>
        <w:tc>
          <w:tcPr>
            <w:tcW w:w="694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通过气体质量流量控制器精确控制气体流量，将高浓度样品动态稀释至所需低浓度气体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95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惰性处理</w:t>
            </w:r>
          </w:p>
        </w:tc>
        <w:tc>
          <w:tcPr>
            <w:tcW w:w="694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内部管路和接头全部经过严格惰性化处理，降低VOCs气体在管路中吸附残留的影响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95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零点校准</w:t>
            </w:r>
          </w:p>
        </w:tc>
        <w:tc>
          <w:tcPr>
            <w:tcW w:w="694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通过质量流量传感器，自动控制气体流量，具备零点校准功能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95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压力及精度范围</w:t>
            </w:r>
          </w:p>
        </w:tc>
        <w:tc>
          <w:tcPr>
            <w:tcW w:w="694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气体混合区域恒压采用电子压力控制，控制压力范围：0～300kPa，精度小于±0.2 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95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气体混合</w:t>
            </w:r>
          </w:p>
        </w:tc>
        <w:tc>
          <w:tcPr>
            <w:tcW w:w="694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气体混合区域压力与温度控制系统，确保气体在恒定环境下进行稀释混合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95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温控功能</w:t>
            </w:r>
          </w:p>
        </w:tc>
        <w:tc>
          <w:tcPr>
            <w:tcW w:w="694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具有温控功能，混合区域温度可0～50℃设置，控制精度±1℃；质量流量传感器阀座温度可0～45℃温度设置，控制精度±1℃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195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设备功能</w:t>
            </w:r>
          </w:p>
        </w:tc>
        <w:tc>
          <w:tcPr>
            <w:tcW w:w="694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具有远程遥控或序列编辑功能；具有多点自动序列配气功能，具有单点或多点自动校准功能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8</w:t>
            </w:r>
          </w:p>
        </w:tc>
        <w:tc>
          <w:tcPr>
            <w:tcW w:w="195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自动校准</w:t>
            </w:r>
          </w:p>
        </w:tc>
        <w:tc>
          <w:tcPr>
            <w:tcW w:w="694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仪器支持通过内置序列设置方法实现多点自动校准功能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9</w:t>
            </w:r>
          </w:p>
        </w:tc>
        <w:tc>
          <w:tcPr>
            <w:tcW w:w="195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稀释比率</w:t>
            </w:r>
          </w:p>
        </w:tc>
        <w:tc>
          <w:tcPr>
            <w:tcW w:w="694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1/10～1/5000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195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流量测量精度</w:t>
            </w:r>
          </w:p>
        </w:tc>
        <w:tc>
          <w:tcPr>
            <w:tcW w:w="694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±1%满刻度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11</w:t>
            </w:r>
          </w:p>
        </w:tc>
        <w:tc>
          <w:tcPr>
            <w:tcW w:w="195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流量控制重复性</w:t>
            </w:r>
          </w:p>
        </w:tc>
        <w:tc>
          <w:tcPr>
            <w:tcW w:w="694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±0.2%满刻度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12</w:t>
            </w:r>
          </w:p>
        </w:tc>
        <w:tc>
          <w:tcPr>
            <w:tcW w:w="195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流量控制线性度</w:t>
            </w:r>
          </w:p>
        </w:tc>
        <w:tc>
          <w:tcPr>
            <w:tcW w:w="694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±0.5%满刻度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13</w:t>
            </w:r>
          </w:p>
        </w:tc>
        <w:tc>
          <w:tcPr>
            <w:tcW w:w="195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监测功能</w:t>
            </w:r>
          </w:p>
        </w:tc>
        <w:tc>
          <w:tcPr>
            <w:tcW w:w="694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具有自动检漏、压力检测和报警及保护功能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14</w:t>
            </w:r>
          </w:p>
        </w:tc>
        <w:tc>
          <w:tcPr>
            <w:tcW w:w="195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接口及通讯方式</w:t>
            </w:r>
          </w:p>
        </w:tc>
        <w:tc>
          <w:tcPr>
            <w:tcW w:w="694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仪器采用全中文软件设计，可通过LAN、RS232以及RS485等通讯方式与数采仪或外部仪表同步通讯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15</w:t>
            </w:r>
          </w:p>
        </w:tc>
        <w:tc>
          <w:tcPr>
            <w:tcW w:w="195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显示设置</w:t>
            </w:r>
          </w:p>
        </w:tc>
        <w:tc>
          <w:tcPr>
            <w:tcW w:w="694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仪表具LCD液晶屏显示，实时显示用户软件界面、系统设置/故障/报警信息等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16</w:t>
            </w:r>
          </w:p>
        </w:tc>
        <w:tc>
          <w:tcPr>
            <w:tcW w:w="195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尺寸</w:t>
            </w:r>
          </w:p>
        </w:tc>
        <w:tc>
          <w:tcPr>
            <w:tcW w:w="694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仪表可安装于19英寸机柜内</w:t>
            </w:r>
          </w:p>
        </w:tc>
      </w:tr>
    </w:tbl>
    <w:p>
      <w:pPr>
        <w:pStyle w:val="6"/>
        <w:rPr>
          <w:color w:val="auto"/>
          <w:szCs w:val="24"/>
          <w:highlight w:val="none"/>
        </w:rPr>
      </w:pPr>
      <w:r>
        <w:rPr>
          <w:rFonts w:hint="eastAsia"/>
          <w:color w:val="auto"/>
          <w:highlight w:val="none"/>
        </w:rPr>
        <w:t>动态校准仪（VOC版）</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906"/>
        <w:gridCol w:w="7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p>
        </w:tc>
        <w:tc>
          <w:tcPr>
            <w:tcW w:w="1906" w:type="dxa"/>
            <w:tcBorders>
              <w:top w:val="single" w:color="auto" w:sz="4" w:space="0"/>
              <w:left w:val="nil"/>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b/>
                <w:bCs/>
                <w:color w:val="auto"/>
                <w:sz w:val="21"/>
                <w:szCs w:val="21"/>
                <w:highlight w:val="none"/>
              </w:rPr>
              <w:t>指标</w:t>
            </w:r>
          </w:p>
        </w:tc>
        <w:tc>
          <w:tcPr>
            <w:tcW w:w="7079" w:type="dxa"/>
            <w:tcBorders>
              <w:top w:val="single" w:color="auto" w:sz="4" w:space="0"/>
              <w:left w:val="nil"/>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43"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技术要求</w:t>
            </w:r>
          </w:p>
          <w:p>
            <w:pPr>
              <w:jc w:val="center"/>
              <w:rPr>
                <w:rFonts w:ascii="宋体" w:hAnsi="宋体"/>
                <w:color w:val="auto"/>
                <w:sz w:val="21"/>
                <w:szCs w:val="21"/>
                <w:highlight w:val="none"/>
              </w:rPr>
            </w:pPr>
          </w:p>
        </w:tc>
        <w:tc>
          <w:tcPr>
            <w:tcW w:w="1906" w:type="dxa"/>
            <w:tcBorders>
              <w:top w:val="single" w:color="auto" w:sz="4" w:space="0"/>
              <w:left w:val="nil"/>
              <w:bottom w:val="single" w:color="auto" w:sz="4" w:space="0"/>
              <w:right w:val="single" w:color="auto" w:sz="4" w:space="0"/>
            </w:tcBorders>
            <w:shd w:val="clear" w:color="auto" w:fill="auto"/>
          </w:tcPr>
          <w:p>
            <w:pPr>
              <w:rPr>
                <w:rFonts w:ascii="宋体" w:hAnsi="宋体"/>
                <w:color w:val="auto"/>
                <w:sz w:val="21"/>
                <w:szCs w:val="21"/>
                <w:highlight w:val="none"/>
              </w:rPr>
            </w:pPr>
            <w:r>
              <w:rPr>
                <w:rFonts w:hint="eastAsia" w:ascii="宋体" w:hAnsi="宋体"/>
                <w:color w:val="auto"/>
                <w:sz w:val="21"/>
                <w:szCs w:val="21"/>
                <w:highlight w:val="none"/>
              </w:rPr>
              <w:t>稀释气流量范围</w:t>
            </w:r>
          </w:p>
        </w:tc>
        <w:tc>
          <w:tcPr>
            <w:tcW w:w="7079" w:type="dxa"/>
            <w:tcBorders>
              <w:top w:val="single" w:color="auto" w:sz="4" w:space="0"/>
              <w:left w:val="nil"/>
              <w:bottom w:val="single" w:color="auto" w:sz="4" w:space="0"/>
              <w:right w:val="single" w:color="auto" w:sz="4" w:space="0"/>
            </w:tcBorders>
            <w:shd w:val="clear" w:color="auto" w:fill="auto"/>
          </w:tcPr>
          <w:p>
            <w:pPr>
              <w:rPr>
                <w:rFonts w:ascii="宋体" w:hAnsi="宋体"/>
                <w:color w:val="auto"/>
                <w:sz w:val="21"/>
                <w:szCs w:val="21"/>
                <w:highlight w:val="none"/>
              </w:rPr>
            </w:pPr>
            <w:r>
              <w:rPr>
                <w:rFonts w:hint="eastAsia" w:ascii="宋体" w:hAnsi="宋体"/>
                <w:color w:val="auto"/>
                <w:sz w:val="21"/>
                <w:szCs w:val="21"/>
                <w:highlight w:val="none"/>
              </w:rPr>
              <w:t>标配：0～10SLM；可选：0～5SLM、0～20SLM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906" w:type="dxa"/>
            <w:tcBorders>
              <w:top w:val="single" w:color="auto" w:sz="4" w:space="0"/>
              <w:left w:val="nil"/>
              <w:bottom w:val="single" w:color="auto" w:sz="4" w:space="0"/>
              <w:right w:val="single" w:color="auto" w:sz="4" w:space="0"/>
            </w:tcBorders>
            <w:shd w:val="clear" w:color="auto" w:fill="auto"/>
          </w:tcPr>
          <w:p>
            <w:pPr>
              <w:rPr>
                <w:rFonts w:ascii="宋体" w:hAnsi="宋体"/>
                <w:color w:val="auto"/>
                <w:sz w:val="21"/>
                <w:szCs w:val="21"/>
                <w:highlight w:val="none"/>
              </w:rPr>
            </w:pPr>
            <w:r>
              <w:rPr>
                <w:rFonts w:hint="eastAsia" w:ascii="宋体" w:hAnsi="宋体"/>
                <w:color w:val="auto"/>
                <w:sz w:val="21"/>
                <w:szCs w:val="21"/>
                <w:highlight w:val="none"/>
              </w:rPr>
              <w:t>标气流量范围</w:t>
            </w:r>
          </w:p>
        </w:tc>
        <w:tc>
          <w:tcPr>
            <w:tcW w:w="7079" w:type="dxa"/>
            <w:tcBorders>
              <w:top w:val="single" w:color="auto" w:sz="4" w:space="0"/>
              <w:left w:val="nil"/>
              <w:bottom w:val="single" w:color="auto" w:sz="4" w:space="0"/>
              <w:right w:val="single" w:color="auto" w:sz="4" w:space="0"/>
            </w:tcBorders>
            <w:shd w:val="clear" w:color="auto" w:fill="auto"/>
          </w:tcPr>
          <w:p>
            <w:pPr>
              <w:rPr>
                <w:rFonts w:ascii="宋体" w:hAnsi="宋体"/>
                <w:color w:val="auto"/>
                <w:sz w:val="21"/>
                <w:szCs w:val="21"/>
                <w:highlight w:val="none"/>
              </w:rPr>
            </w:pPr>
            <w:r>
              <w:rPr>
                <w:rFonts w:hint="eastAsia" w:ascii="宋体" w:hAnsi="宋体"/>
                <w:color w:val="auto"/>
                <w:sz w:val="21"/>
                <w:szCs w:val="21"/>
                <w:highlight w:val="none"/>
              </w:rPr>
              <w:t>标配：0～100sccm；可选：0～50sccm0～200sccm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906" w:type="dxa"/>
            <w:tcBorders>
              <w:top w:val="single" w:color="auto" w:sz="4" w:space="0"/>
              <w:left w:val="nil"/>
              <w:bottom w:val="single" w:color="auto" w:sz="4" w:space="0"/>
              <w:right w:val="single" w:color="auto" w:sz="4" w:space="0"/>
            </w:tcBorders>
            <w:shd w:val="clear" w:color="auto" w:fill="auto"/>
          </w:tcPr>
          <w:p>
            <w:pPr>
              <w:rPr>
                <w:rFonts w:ascii="宋体" w:hAnsi="宋体"/>
                <w:color w:val="auto"/>
                <w:sz w:val="21"/>
                <w:szCs w:val="21"/>
                <w:highlight w:val="none"/>
              </w:rPr>
            </w:pPr>
            <w:r>
              <w:rPr>
                <w:rFonts w:hint="eastAsia" w:ascii="宋体" w:hAnsi="宋体"/>
                <w:color w:val="auto"/>
                <w:sz w:val="21"/>
                <w:szCs w:val="21"/>
                <w:highlight w:val="none"/>
              </w:rPr>
              <w:t>流量控制准确度</w:t>
            </w:r>
          </w:p>
        </w:tc>
        <w:tc>
          <w:tcPr>
            <w:tcW w:w="7079"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 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906" w:type="dxa"/>
            <w:tcBorders>
              <w:top w:val="single" w:color="auto" w:sz="4" w:space="0"/>
              <w:left w:val="nil"/>
              <w:bottom w:val="single" w:color="auto" w:sz="4" w:space="0"/>
              <w:right w:val="single" w:color="auto" w:sz="4" w:space="0"/>
            </w:tcBorders>
            <w:shd w:val="clear" w:color="auto" w:fill="auto"/>
          </w:tcPr>
          <w:p>
            <w:pPr>
              <w:rPr>
                <w:rFonts w:ascii="宋体" w:hAnsi="宋体"/>
                <w:color w:val="auto"/>
                <w:sz w:val="21"/>
                <w:szCs w:val="21"/>
                <w:highlight w:val="none"/>
              </w:rPr>
            </w:pPr>
            <w:r>
              <w:rPr>
                <w:rFonts w:hint="eastAsia" w:ascii="宋体" w:hAnsi="宋体"/>
                <w:color w:val="auto"/>
                <w:sz w:val="21"/>
                <w:szCs w:val="21"/>
                <w:highlight w:val="none"/>
              </w:rPr>
              <w:t>流量线性</w:t>
            </w:r>
          </w:p>
        </w:tc>
        <w:tc>
          <w:tcPr>
            <w:tcW w:w="7079"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±（0.5～1）% 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906" w:type="dxa"/>
            <w:tcBorders>
              <w:top w:val="single" w:color="auto" w:sz="4" w:space="0"/>
              <w:left w:val="nil"/>
              <w:bottom w:val="single" w:color="auto" w:sz="4" w:space="0"/>
              <w:right w:val="single" w:color="auto" w:sz="4" w:space="0"/>
            </w:tcBorders>
            <w:shd w:val="clear" w:color="auto" w:fill="auto"/>
          </w:tcPr>
          <w:p>
            <w:pPr>
              <w:rPr>
                <w:rFonts w:ascii="宋体" w:hAnsi="宋体"/>
                <w:color w:val="auto"/>
                <w:sz w:val="21"/>
                <w:szCs w:val="21"/>
                <w:highlight w:val="none"/>
              </w:rPr>
            </w:pPr>
            <w:r>
              <w:rPr>
                <w:rFonts w:hint="eastAsia" w:ascii="宋体" w:hAnsi="宋体"/>
                <w:color w:val="auto"/>
                <w:sz w:val="21"/>
                <w:szCs w:val="21"/>
                <w:highlight w:val="none"/>
              </w:rPr>
              <w:t>标气输入口</w:t>
            </w:r>
          </w:p>
        </w:tc>
        <w:tc>
          <w:tcPr>
            <w:tcW w:w="7079"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906" w:type="dxa"/>
            <w:tcBorders>
              <w:top w:val="single" w:color="auto" w:sz="4" w:space="0"/>
              <w:left w:val="nil"/>
              <w:bottom w:val="single" w:color="auto" w:sz="4" w:space="0"/>
              <w:right w:val="single" w:color="auto" w:sz="4" w:space="0"/>
            </w:tcBorders>
            <w:shd w:val="clear" w:color="auto" w:fill="auto"/>
          </w:tcPr>
          <w:p>
            <w:pPr>
              <w:rPr>
                <w:rFonts w:ascii="宋体" w:hAnsi="宋体"/>
                <w:color w:val="auto"/>
                <w:sz w:val="21"/>
                <w:szCs w:val="21"/>
                <w:highlight w:val="none"/>
              </w:rPr>
            </w:pPr>
            <w:r>
              <w:rPr>
                <w:rFonts w:hint="eastAsia" w:ascii="宋体" w:hAnsi="宋体"/>
                <w:color w:val="auto"/>
                <w:sz w:val="21"/>
                <w:szCs w:val="21"/>
                <w:highlight w:val="none"/>
              </w:rPr>
              <w:t>稀释气输入口</w:t>
            </w:r>
          </w:p>
        </w:tc>
        <w:tc>
          <w:tcPr>
            <w:tcW w:w="7079"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43"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功能要求</w:t>
            </w:r>
          </w:p>
        </w:tc>
        <w:tc>
          <w:tcPr>
            <w:tcW w:w="8985" w:type="dxa"/>
            <w:gridSpan w:val="2"/>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中文触摸式彩屏，显示内容丰富，人性化的人机界面设计，方便的快捷菜单查询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985" w:type="dxa"/>
            <w:gridSpan w:val="2"/>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模块化设计，方便操作维护，全面的开机自检和运行自诊断功能，方便用户快速定位判断故障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985" w:type="dxa"/>
            <w:gridSpan w:val="2"/>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运行稳定，精度高，重复性好，操作简单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985" w:type="dxa"/>
            <w:gridSpan w:val="2"/>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采用高精度质量流量计进行流量控制，可靠性高，稳定性好，最大可实现1:2000的样气配比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985" w:type="dxa"/>
            <w:gridSpan w:val="2"/>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支持校准程序编程，编程方法简便快捷，可满足用户个性化的校准需求</w:t>
            </w:r>
          </w:p>
        </w:tc>
      </w:tr>
    </w:tbl>
    <w:p>
      <w:pPr>
        <w:pStyle w:val="6"/>
        <w:rPr>
          <w:color w:val="auto"/>
          <w:szCs w:val="24"/>
          <w:highlight w:val="none"/>
        </w:rPr>
      </w:pPr>
      <w:r>
        <w:rPr>
          <w:rFonts w:hint="eastAsia"/>
          <w:color w:val="auto"/>
          <w:highlight w:val="none"/>
        </w:rPr>
        <w:t>动态校准仪（含臭氧模块版）</w:t>
      </w:r>
    </w:p>
    <w:p>
      <w:pPr>
        <w:ind w:firstLine="482"/>
        <w:rPr>
          <w:rFonts w:ascii="宋体" w:hAnsi="宋体"/>
          <w:b/>
          <w:bCs/>
          <w:color w:val="auto"/>
          <w:highlight w:val="none"/>
        </w:rPr>
      </w:pPr>
      <w:r>
        <w:rPr>
          <w:rFonts w:hint="eastAsia" w:ascii="宋体" w:hAnsi="宋体"/>
          <w:b/>
          <w:bCs/>
          <w:color w:val="auto"/>
          <w:highlight w:val="none"/>
        </w:rPr>
        <w:t>1、技术参数要求：</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2357"/>
        <w:gridCol w:w="5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单元</w:t>
            </w:r>
          </w:p>
        </w:tc>
        <w:tc>
          <w:tcPr>
            <w:tcW w:w="2357"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5906"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基本单元（稀释配气部分）</w:t>
            </w: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稀释气流量范围</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标配：0～10SLM；可选：0～5SLM、0～20SLM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标气流量范围</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标配：0～100sccm；可选：0～50sccm0～200sccm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流量控制准确度</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 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流量线性</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±（0.5～1）% 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流量控制重复性</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±0.2% 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标气输入口</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稀释气输入口</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臭氧发生器</w:t>
            </w: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输出范围</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0.1～6ppm（1SLM）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稳定性</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﹤1%/24h(有光度计)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线性度</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﹤1%F.S. (有光度计)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臭氧光度计</w:t>
            </w: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量程</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（0～0.5）ppm，（0～10）ppm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准确度</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1.0 ppb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线性度</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 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上升/下降时间</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﹤30s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响应时间</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180s（95%）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零点漂移</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&lt;1.0 ppb / 24h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量程漂移</w:t>
            </w:r>
          </w:p>
        </w:tc>
        <w:tc>
          <w:tcPr>
            <w:tcW w:w="590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&lt;1%F.S. /24h</w:t>
            </w:r>
          </w:p>
        </w:tc>
      </w:tr>
    </w:tbl>
    <w:p>
      <w:pPr>
        <w:ind w:firstLine="482"/>
        <w:rPr>
          <w:rFonts w:ascii="宋体" w:hAnsi="宋体"/>
          <w:b/>
          <w:bCs/>
          <w:color w:val="auto"/>
          <w:szCs w:val="28"/>
          <w:highlight w:val="none"/>
        </w:rPr>
      </w:pPr>
      <w:r>
        <w:rPr>
          <w:rFonts w:hint="eastAsia" w:ascii="宋体" w:hAnsi="宋体"/>
          <w:b/>
          <w:bCs/>
          <w:color w:val="auto"/>
          <w:highlight w:val="none"/>
        </w:rPr>
        <w:t>2、功能要求:</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8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5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功能要求</w:t>
            </w:r>
          </w:p>
        </w:tc>
        <w:tc>
          <w:tcPr>
            <w:tcW w:w="887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中文触摸式彩屏，显示内容丰富，人性化的人机界面设计，方便的快捷菜单查询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87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模块化设计，方便操作维护，全面的开机自检和运行自诊断功能，方便用户快速定位判断故障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87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运行稳定，精度高，重复性好，操作简单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87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采用高精度质量流量计进行流量控制，可靠性高，稳定性好，最大可实现1:2000的样气配比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87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汞灯光强衰减报警提醒功能，提醒用户及时检查更换光源，保证检测数据的有效性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87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支持校准程序编程，编程方法简便快捷，可满足用户个性化的校准需求</w:t>
            </w:r>
          </w:p>
        </w:tc>
      </w:tr>
    </w:tbl>
    <w:p>
      <w:pPr>
        <w:pStyle w:val="6"/>
        <w:rPr>
          <w:color w:val="auto"/>
          <w:highlight w:val="none"/>
        </w:rPr>
      </w:pPr>
      <w:r>
        <w:rPr>
          <w:rFonts w:hint="eastAsia"/>
          <w:color w:val="auto"/>
          <w:highlight w:val="none"/>
        </w:rPr>
        <w:t>渗透炉校准仪</w:t>
      </w:r>
    </w:p>
    <w:tbl>
      <w:tblPr>
        <w:tblStyle w:val="1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77"/>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ascii="宋体" w:hAnsi="宋体"/>
                <w:color w:val="auto"/>
                <w:sz w:val="21"/>
                <w:szCs w:val="21"/>
                <w:highlight w:val="none"/>
              </w:rPr>
            </w:pPr>
            <w:r>
              <w:rPr>
                <w:rFonts w:hint="eastAsia" w:ascii="宋体" w:hAnsi="宋体"/>
                <w:color w:val="auto"/>
                <w:sz w:val="21"/>
                <w:szCs w:val="21"/>
                <w:highlight w:val="none"/>
              </w:rPr>
              <w:t>序号</w:t>
            </w:r>
          </w:p>
        </w:tc>
        <w:tc>
          <w:tcPr>
            <w:tcW w:w="2977" w:type="dxa"/>
          </w:tcPr>
          <w:p>
            <w:pPr>
              <w:rPr>
                <w:rFonts w:ascii="宋体" w:hAnsi="宋体"/>
                <w:color w:val="auto"/>
                <w:sz w:val="21"/>
                <w:szCs w:val="21"/>
                <w:highlight w:val="none"/>
              </w:rPr>
            </w:pPr>
            <w:r>
              <w:rPr>
                <w:rFonts w:hint="eastAsia" w:ascii="宋体" w:hAnsi="宋体"/>
                <w:color w:val="auto"/>
                <w:sz w:val="21"/>
                <w:szCs w:val="21"/>
                <w:highlight w:val="none"/>
              </w:rPr>
              <w:t>指标</w:t>
            </w:r>
          </w:p>
        </w:tc>
        <w:tc>
          <w:tcPr>
            <w:tcW w:w="5386" w:type="dxa"/>
          </w:tcPr>
          <w:p>
            <w:pPr>
              <w:rPr>
                <w:rFonts w:ascii="宋体" w:hAnsi="宋体"/>
                <w:color w:val="auto"/>
                <w:sz w:val="21"/>
                <w:szCs w:val="21"/>
                <w:highlight w:val="none"/>
              </w:rPr>
            </w:pPr>
            <w:r>
              <w:rPr>
                <w:rFonts w:hint="eastAsia" w:ascii="宋体" w:hAnsi="宋体"/>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ascii="宋体" w:hAnsi="宋体"/>
                <w:color w:val="auto"/>
                <w:sz w:val="21"/>
                <w:szCs w:val="21"/>
                <w:highlight w:val="none"/>
              </w:rPr>
            </w:pPr>
            <w:r>
              <w:rPr>
                <w:rFonts w:hint="eastAsia" w:ascii="宋体" w:hAnsi="宋体"/>
                <w:color w:val="auto"/>
                <w:sz w:val="21"/>
                <w:szCs w:val="21"/>
                <w:highlight w:val="none"/>
              </w:rPr>
              <w:t>1</w:t>
            </w:r>
          </w:p>
        </w:tc>
        <w:tc>
          <w:tcPr>
            <w:tcW w:w="2977" w:type="dxa"/>
          </w:tcPr>
          <w:p>
            <w:pPr>
              <w:rPr>
                <w:rFonts w:ascii="宋体" w:hAnsi="宋体"/>
                <w:color w:val="auto"/>
                <w:sz w:val="21"/>
                <w:szCs w:val="21"/>
                <w:highlight w:val="none"/>
              </w:rPr>
            </w:pPr>
            <w:r>
              <w:rPr>
                <w:rFonts w:hint="eastAsia" w:ascii="宋体" w:hAnsi="宋体"/>
                <w:color w:val="auto"/>
                <w:sz w:val="21"/>
                <w:szCs w:val="21"/>
                <w:highlight w:val="none"/>
              </w:rPr>
              <w:t>温度控制精度</w:t>
            </w:r>
          </w:p>
        </w:tc>
        <w:tc>
          <w:tcPr>
            <w:tcW w:w="5386" w:type="dxa"/>
          </w:tcPr>
          <w:p>
            <w:pPr>
              <w:rPr>
                <w:rFonts w:ascii="宋体" w:hAnsi="宋体"/>
                <w:color w:val="auto"/>
                <w:sz w:val="21"/>
                <w:szCs w:val="21"/>
                <w:highlight w:val="none"/>
              </w:rPr>
            </w:pPr>
            <w:r>
              <w:rPr>
                <w:rFonts w:hint="eastAsia" w:ascii="宋体" w:hAnsi="宋体"/>
                <w:color w:val="auto"/>
                <w:sz w:val="21"/>
                <w:szCs w:val="21"/>
                <w:highlight w:val="none"/>
              </w:rPr>
              <w:t>±0.01°C 在 110°C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ascii="宋体" w:hAnsi="宋体"/>
                <w:color w:val="auto"/>
                <w:sz w:val="21"/>
                <w:szCs w:val="21"/>
                <w:highlight w:val="none"/>
              </w:rPr>
            </w:pPr>
            <w:r>
              <w:rPr>
                <w:rFonts w:hint="eastAsia" w:ascii="宋体" w:hAnsi="宋体"/>
                <w:color w:val="auto"/>
                <w:sz w:val="21"/>
                <w:szCs w:val="21"/>
                <w:highlight w:val="none"/>
              </w:rPr>
              <w:t>2</w:t>
            </w:r>
          </w:p>
        </w:tc>
        <w:tc>
          <w:tcPr>
            <w:tcW w:w="2977" w:type="dxa"/>
          </w:tcPr>
          <w:p>
            <w:pPr>
              <w:rPr>
                <w:rFonts w:ascii="宋体" w:hAnsi="宋体"/>
                <w:color w:val="auto"/>
                <w:sz w:val="21"/>
                <w:szCs w:val="21"/>
                <w:highlight w:val="none"/>
              </w:rPr>
            </w:pPr>
            <w:r>
              <w:rPr>
                <w:rFonts w:hint="eastAsia" w:ascii="宋体" w:hAnsi="宋体"/>
                <w:color w:val="auto"/>
                <w:sz w:val="21"/>
                <w:szCs w:val="21"/>
                <w:highlight w:val="none"/>
              </w:rPr>
              <w:t>供气范围</w:t>
            </w:r>
          </w:p>
        </w:tc>
        <w:tc>
          <w:tcPr>
            <w:tcW w:w="5386" w:type="dxa"/>
          </w:tcPr>
          <w:p>
            <w:pPr>
              <w:rPr>
                <w:rFonts w:ascii="宋体" w:hAnsi="宋体"/>
                <w:color w:val="auto"/>
                <w:sz w:val="21"/>
                <w:szCs w:val="21"/>
                <w:highlight w:val="none"/>
              </w:rPr>
            </w:pPr>
            <w:r>
              <w:rPr>
                <w:rFonts w:hint="eastAsia" w:ascii="宋体" w:hAnsi="宋体"/>
                <w:color w:val="auto"/>
                <w:sz w:val="21"/>
                <w:szCs w:val="21"/>
                <w:highlight w:val="none"/>
              </w:rPr>
              <w:t>PPB – 高浓度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ascii="宋体" w:hAnsi="宋体"/>
                <w:color w:val="auto"/>
                <w:sz w:val="21"/>
                <w:szCs w:val="21"/>
                <w:highlight w:val="none"/>
              </w:rPr>
            </w:pPr>
            <w:r>
              <w:rPr>
                <w:rFonts w:hint="eastAsia" w:ascii="宋体" w:hAnsi="宋体"/>
                <w:color w:val="auto"/>
                <w:sz w:val="21"/>
                <w:szCs w:val="21"/>
                <w:highlight w:val="none"/>
              </w:rPr>
              <w:t>3</w:t>
            </w:r>
          </w:p>
        </w:tc>
        <w:tc>
          <w:tcPr>
            <w:tcW w:w="2977" w:type="dxa"/>
          </w:tcPr>
          <w:p>
            <w:pPr>
              <w:rPr>
                <w:rFonts w:ascii="宋体" w:hAnsi="宋体"/>
                <w:color w:val="auto"/>
                <w:sz w:val="21"/>
                <w:szCs w:val="21"/>
                <w:highlight w:val="none"/>
              </w:rPr>
            </w:pPr>
            <w:r>
              <w:rPr>
                <w:rFonts w:hint="eastAsia" w:ascii="宋体" w:hAnsi="宋体"/>
                <w:color w:val="auto"/>
                <w:sz w:val="21"/>
                <w:szCs w:val="21"/>
                <w:highlight w:val="none"/>
              </w:rPr>
              <w:t>渗透腔</w:t>
            </w:r>
          </w:p>
        </w:tc>
        <w:tc>
          <w:tcPr>
            <w:tcW w:w="5386" w:type="dxa"/>
          </w:tcPr>
          <w:p>
            <w:pPr>
              <w:rPr>
                <w:rFonts w:ascii="宋体" w:hAnsi="宋体"/>
                <w:color w:val="auto"/>
                <w:sz w:val="21"/>
                <w:szCs w:val="21"/>
                <w:highlight w:val="none"/>
              </w:rPr>
            </w:pPr>
            <w:r>
              <w:rPr>
                <w:rFonts w:hint="eastAsia" w:ascii="宋体" w:hAnsi="宋体"/>
                <w:color w:val="auto"/>
                <w:sz w:val="21"/>
                <w:szCs w:val="21"/>
                <w:highlight w:val="none"/>
              </w:rPr>
              <w:t>两个独立的渗透腔</w:t>
            </w:r>
          </w:p>
        </w:tc>
      </w:tr>
    </w:tbl>
    <w:p>
      <w:pPr>
        <w:pStyle w:val="6"/>
        <w:rPr>
          <w:color w:val="auto"/>
          <w:szCs w:val="24"/>
          <w:highlight w:val="none"/>
        </w:rPr>
      </w:pPr>
      <w:r>
        <w:rPr>
          <w:rFonts w:hint="eastAsia"/>
          <w:color w:val="auto"/>
          <w:highlight w:val="none"/>
        </w:rPr>
        <w:t>零气发生器（用于GC-MS）</w:t>
      </w:r>
    </w:p>
    <w:tbl>
      <w:tblPr>
        <w:tblStyle w:val="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3008"/>
        <w:gridCol w:w="5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kern w:val="0"/>
                <w:sz w:val="21"/>
                <w:szCs w:val="21"/>
                <w:highlight w:val="none"/>
              </w:rPr>
              <w:t>序号</w:t>
            </w:r>
          </w:p>
        </w:tc>
        <w:tc>
          <w:tcPr>
            <w:tcW w:w="3008"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5305"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1</w:t>
            </w:r>
          </w:p>
        </w:tc>
        <w:tc>
          <w:tcPr>
            <w:tcW w:w="300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输出零气流量</w:t>
            </w:r>
          </w:p>
        </w:tc>
        <w:tc>
          <w:tcPr>
            <w:tcW w:w="530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0-5000ml/min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2</w:t>
            </w:r>
          </w:p>
        </w:tc>
        <w:tc>
          <w:tcPr>
            <w:tcW w:w="300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输出零气烃类含</w:t>
            </w:r>
          </w:p>
        </w:tc>
        <w:tc>
          <w:tcPr>
            <w:tcW w:w="530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＜10ppb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3</w:t>
            </w:r>
          </w:p>
        </w:tc>
        <w:tc>
          <w:tcPr>
            <w:tcW w:w="300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输出零气压力</w:t>
            </w:r>
          </w:p>
        </w:tc>
        <w:tc>
          <w:tcPr>
            <w:tcW w:w="530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0.1-0.6Mpa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4</w:t>
            </w:r>
          </w:p>
        </w:tc>
        <w:tc>
          <w:tcPr>
            <w:tcW w:w="300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输出零气露点</w:t>
            </w:r>
          </w:p>
        </w:tc>
        <w:tc>
          <w:tcPr>
            <w:tcW w:w="530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5</w:t>
            </w:r>
          </w:p>
        </w:tc>
        <w:tc>
          <w:tcPr>
            <w:tcW w:w="300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输出零气颗粒</w:t>
            </w:r>
          </w:p>
        </w:tc>
        <w:tc>
          <w:tcPr>
            <w:tcW w:w="530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＜0.01μm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kern w:val="0"/>
                <w:sz w:val="21"/>
                <w:szCs w:val="21"/>
                <w:highlight w:val="none"/>
              </w:rPr>
              <w:t>6</w:t>
            </w:r>
          </w:p>
        </w:tc>
        <w:tc>
          <w:tcPr>
            <w:tcW w:w="300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工作条件</w:t>
            </w:r>
          </w:p>
        </w:tc>
        <w:tc>
          <w:tcPr>
            <w:tcW w:w="530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环境温度1-40℃，湿度＜80%</w:t>
            </w:r>
          </w:p>
        </w:tc>
      </w:tr>
    </w:tbl>
    <w:p>
      <w:pPr>
        <w:pStyle w:val="6"/>
        <w:rPr>
          <w:color w:val="auto"/>
          <w:szCs w:val="24"/>
          <w:highlight w:val="none"/>
        </w:rPr>
      </w:pPr>
      <w:r>
        <w:rPr>
          <w:rFonts w:hint="eastAsia"/>
          <w:color w:val="auto"/>
          <w:highlight w:val="none"/>
        </w:rPr>
        <w:t>零气发生器</w:t>
      </w:r>
    </w:p>
    <w:p>
      <w:pPr>
        <w:ind w:firstLine="482"/>
        <w:rPr>
          <w:rFonts w:ascii="宋体" w:hAnsi="宋体"/>
          <w:b/>
          <w:bCs/>
          <w:color w:val="auto"/>
          <w:highlight w:val="none"/>
        </w:rPr>
      </w:pPr>
      <w:r>
        <w:rPr>
          <w:rFonts w:hint="eastAsia" w:ascii="宋体" w:hAnsi="宋体"/>
          <w:b/>
          <w:bCs/>
          <w:color w:val="auto"/>
          <w:highlight w:val="none"/>
        </w:rPr>
        <w:t>1、技术参数要求:</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265"/>
        <w:gridCol w:w="7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kern w:val="0"/>
                <w:sz w:val="21"/>
                <w:szCs w:val="21"/>
                <w:highlight w:val="none"/>
              </w:rPr>
            </w:pPr>
            <w:r>
              <w:rPr>
                <w:rFonts w:hint="eastAsia" w:ascii="宋体" w:hAnsi="宋体"/>
                <w:b/>
                <w:bCs/>
                <w:color w:val="auto"/>
                <w:kern w:val="0"/>
                <w:sz w:val="21"/>
                <w:szCs w:val="21"/>
                <w:highlight w:val="none"/>
              </w:rPr>
              <w:t>序号</w:t>
            </w:r>
          </w:p>
        </w:tc>
        <w:tc>
          <w:tcPr>
            <w:tcW w:w="1265"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7485"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78"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1</w:t>
            </w:r>
          </w:p>
        </w:tc>
        <w:tc>
          <w:tcPr>
            <w:tcW w:w="126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输出流量</w:t>
            </w:r>
          </w:p>
        </w:tc>
        <w:tc>
          <w:tcPr>
            <w:tcW w:w="748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20SLPM，当30Psig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78"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2</w:t>
            </w:r>
          </w:p>
        </w:tc>
        <w:tc>
          <w:tcPr>
            <w:tcW w:w="126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露点</w:t>
            </w:r>
          </w:p>
        </w:tc>
        <w:tc>
          <w:tcPr>
            <w:tcW w:w="748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&lt;-30℃（&lt;15L）；&lt;-20℃（＞15L）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kern w:val="0"/>
                <w:sz w:val="21"/>
                <w:szCs w:val="21"/>
                <w:highlight w:val="none"/>
              </w:rPr>
            </w:pPr>
            <w:r>
              <w:rPr>
                <w:rFonts w:hint="eastAsia" w:ascii="宋体" w:hAnsi="宋体"/>
                <w:color w:val="auto"/>
                <w:kern w:val="0"/>
                <w:sz w:val="21"/>
                <w:szCs w:val="21"/>
                <w:highlight w:val="none"/>
              </w:rPr>
              <w:t>3</w:t>
            </w:r>
          </w:p>
        </w:tc>
        <w:tc>
          <w:tcPr>
            <w:tcW w:w="126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输出浓度</w:t>
            </w:r>
          </w:p>
        </w:tc>
        <w:tc>
          <w:tcPr>
            <w:tcW w:w="748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SO2＜0.1ppb,NO＜0.1ppb,NO2＜0.1ppb,H2S＜0.1ppb,NH3＜0.1ppb， O3＜0.4ppb,CO＜0.02ppm,CH4＜5ppb,非甲烷总烃＜0.25ppb</w:t>
            </w:r>
          </w:p>
        </w:tc>
      </w:tr>
    </w:tbl>
    <w:p>
      <w:pPr>
        <w:ind w:firstLine="482"/>
        <w:rPr>
          <w:rFonts w:ascii="宋体" w:hAnsi="宋体"/>
          <w:b/>
          <w:bCs/>
          <w:color w:val="auto"/>
          <w:szCs w:val="28"/>
          <w:highlight w:val="none"/>
        </w:rPr>
      </w:pPr>
      <w:r>
        <w:rPr>
          <w:rFonts w:hint="eastAsia" w:ascii="宋体" w:hAnsi="宋体"/>
          <w:b/>
          <w:bCs/>
          <w:color w:val="auto"/>
          <w:highlight w:val="none"/>
        </w:rPr>
        <w:t>2、功能要求:</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8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0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功能要求</w:t>
            </w:r>
          </w:p>
        </w:tc>
        <w:tc>
          <w:tcPr>
            <w:tcW w:w="842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输出的零气干燥、清洁、流量稳定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2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输出的零气流量最大可达20L/min，输出压力可调节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2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带有零气露点报警和仪器故障报警功能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2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日常维护量少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2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可以长期连续安全可靠地运行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2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外置空气压缩机在无人值守的情况下可以实现自动排水功能</w:t>
            </w:r>
          </w:p>
        </w:tc>
      </w:tr>
    </w:tbl>
    <w:p>
      <w:pPr>
        <w:pStyle w:val="6"/>
        <w:rPr>
          <w:color w:val="auto"/>
          <w:szCs w:val="24"/>
          <w:highlight w:val="none"/>
        </w:rPr>
      </w:pPr>
      <w:r>
        <w:rPr>
          <w:rFonts w:hint="eastAsia"/>
          <w:color w:val="auto"/>
          <w:highlight w:val="none"/>
        </w:rPr>
        <w:t>氢气发生器</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2553"/>
        <w:gridCol w:w="5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98" w:type="dxa"/>
            <w:tcBorders>
              <w:top w:val="single" w:color="auto" w:sz="4" w:space="0"/>
              <w:left w:val="single" w:color="auto" w:sz="4" w:space="0"/>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553"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5677"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553" w:type="dxa"/>
            <w:tcBorders>
              <w:top w:val="single" w:color="auto" w:sz="4" w:space="0"/>
              <w:left w:val="nil"/>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氢气纯度</w:t>
            </w:r>
          </w:p>
        </w:tc>
        <w:tc>
          <w:tcPr>
            <w:tcW w:w="5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553" w:type="dxa"/>
            <w:tcBorders>
              <w:top w:val="single" w:color="auto" w:sz="4" w:space="0"/>
              <w:left w:val="nil"/>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氢气流量</w:t>
            </w:r>
          </w:p>
        </w:tc>
        <w:tc>
          <w:tcPr>
            <w:tcW w:w="5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 xml:space="preserve">0～500ml/min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553" w:type="dxa"/>
            <w:tcBorders>
              <w:top w:val="single" w:color="auto" w:sz="4" w:space="0"/>
              <w:left w:val="nil"/>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流量显示</w:t>
            </w:r>
          </w:p>
        </w:tc>
        <w:tc>
          <w:tcPr>
            <w:tcW w:w="5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 xml:space="preserve">LED数字显示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553" w:type="dxa"/>
            <w:tcBorders>
              <w:top w:val="single" w:color="auto" w:sz="4" w:space="0"/>
              <w:left w:val="nil"/>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工作压力</w:t>
            </w:r>
          </w:p>
        </w:tc>
        <w:tc>
          <w:tcPr>
            <w:tcW w:w="5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0～0.4MPa（出厂时设定0.4MPa）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2553" w:type="dxa"/>
            <w:tcBorders>
              <w:top w:val="single" w:color="auto" w:sz="4" w:space="0"/>
              <w:left w:val="nil"/>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稳压精度</w:t>
            </w:r>
          </w:p>
        </w:tc>
        <w:tc>
          <w:tcPr>
            <w:tcW w:w="5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0.02 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2553" w:type="dxa"/>
            <w:tcBorders>
              <w:top w:val="single" w:color="auto" w:sz="4" w:space="0"/>
              <w:left w:val="nil"/>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供电电源</w:t>
            </w:r>
          </w:p>
        </w:tc>
        <w:tc>
          <w:tcPr>
            <w:tcW w:w="5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～220V ±10% 50Hz</w:t>
            </w:r>
          </w:p>
        </w:tc>
      </w:tr>
    </w:tbl>
    <w:p>
      <w:pPr>
        <w:pStyle w:val="6"/>
        <w:rPr>
          <w:color w:val="auto"/>
          <w:highlight w:val="none"/>
        </w:rPr>
      </w:pPr>
      <w:r>
        <w:rPr>
          <w:rFonts w:hint="eastAsia"/>
          <w:color w:val="auto"/>
          <w:highlight w:val="none"/>
        </w:rPr>
        <w:t>气象五参数</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855"/>
        <w:gridCol w:w="1677"/>
        <w:gridCol w:w="6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2" w:type="dxa"/>
            <w:tcBorders>
              <w:top w:val="single" w:color="auto" w:sz="4" w:space="0"/>
              <w:left w:val="single" w:color="auto" w:sz="4" w:space="0"/>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532" w:type="dxa"/>
            <w:gridSpan w:val="2"/>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技术参数</w:t>
            </w:r>
          </w:p>
        </w:tc>
        <w:tc>
          <w:tcPr>
            <w:tcW w:w="6324"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855" w:type="dxa"/>
            <w:vMerge w:val="restart"/>
            <w:tcBorders>
              <w:top w:val="nil"/>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温度</w:t>
            </w:r>
          </w:p>
        </w:tc>
        <w:tc>
          <w:tcPr>
            <w:tcW w:w="1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测量原理</w:t>
            </w:r>
          </w:p>
        </w:tc>
        <w:tc>
          <w:tcPr>
            <w:tcW w:w="632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二极管结电压法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测量范围</w:t>
            </w:r>
          </w:p>
        </w:tc>
        <w:tc>
          <w:tcPr>
            <w:tcW w:w="632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-40-80℃;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测量精度</w:t>
            </w:r>
          </w:p>
        </w:tc>
        <w:tc>
          <w:tcPr>
            <w:tcW w:w="632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 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855" w:type="dxa"/>
            <w:vMerge w:val="restart"/>
            <w:tcBorders>
              <w:top w:val="nil"/>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湿度</w:t>
            </w:r>
          </w:p>
        </w:tc>
        <w:tc>
          <w:tcPr>
            <w:tcW w:w="1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测量原理</w:t>
            </w:r>
          </w:p>
        </w:tc>
        <w:tc>
          <w:tcPr>
            <w:tcW w:w="632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电容式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测量范围</w:t>
            </w:r>
          </w:p>
        </w:tc>
        <w:tc>
          <w:tcPr>
            <w:tcW w:w="632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0—100% R</w:t>
            </w:r>
            <w:r>
              <w:rPr>
                <w:rFonts w:ascii="宋体" w:hAnsi="宋体"/>
                <w:color w:val="auto"/>
                <w:sz w:val="21"/>
                <w:szCs w:val="21"/>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测量度</w:t>
            </w:r>
          </w:p>
        </w:tc>
        <w:tc>
          <w:tcPr>
            <w:tcW w:w="632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±2% R</w:t>
            </w:r>
            <w:r>
              <w:rPr>
                <w:rFonts w:ascii="宋体" w:hAnsi="宋体"/>
                <w:color w:val="auto"/>
                <w:sz w:val="21"/>
                <w:szCs w:val="21"/>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855" w:type="dxa"/>
            <w:vMerge w:val="restart"/>
            <w:tcBorders>
              <w:top w:val="nil"/>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气压</w:t>
            </w:r>
          </w:p>
        </w:tc>
        <w:tc>
          <w:tcPr>
            <w:tcW w:w="1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测量原理</w:t>
            </w:r>
          </w:p>
        </w:tc>
        <w:tc>
          <w:tcPr>
            <w:tcW w:w="632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压阻式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8</w:t>
            </w: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测量范围</w:t>
            </w:r>
          </w:p>
        </w:tc>
        <w:tc>
          <w:tcPr>
            <w:tcW w:w="632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ascii="宋体" w:hAnsi="宋体"/>
                <w:color w:val="auto"/>
                <w:sz w:val="21"/>
                <w:szCs w:val="21"/>
                <w:highlight w:val="none"/>
              </w:rPr>
              <w:t>10</w:t>
            </w:r>
            <w:r>
              <w:rPr>
                <w:rFonts w:hint="eastAsia" w:ascii="宋体" w:hAnsi="宋体"/>
                <w:color w:val="auto"/>
                <w:sz w:val="21"/>
                <w:szCs w:val="21"/>
                <w:highlight w:val="none"/>
              </w:rPr>
              <w:t>—1200百帕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9</w:t>
            </w: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测量精度</w:t>
            </w:r>
          </w:p>
        </w:tc>
        <w:tc>
          <w:tcPr>
            <w:tcW w:w="632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±0.5百帕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855" w:type="dxa"/>
            <w:vMerge w:val="restart"/>
            <w:tcBorders>
              <w:top w:val="nil"/>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风向</w:t>
            </w:r>
          </w:p>
        </w:tc>
        <w:tc>
          <w:tcPr>
            <w:tcW w:w="1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测量原理</w:t>
            </w:r>
          </w:p>
        </w:tc>
        <w:tc>
          <w:tcPr>
            <w:tcW w:w="632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超声波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11</w:t>
            </w: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测量范围</w:t>
            </w:r>
          </w:p>
        </w:tc>
        <w:tc>
          <w:tcPr>
            <w:tcW w:w="632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0—359.9°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12</w:t>
            </w: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测量精度</w:t>
            </w:r>
          </w:p>
        </w:tc>
        <w:tc>
          <w:tcPr>
            <w:tcW w:w="632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13</w:t>
            </w:r>
          </w:p>
        </w:tc>
        <w:tc>
          <w:tcPr>
            <w:tcW w:w="855" w:type="dxa"/>
            <w:vMerge w:val="restart"/>
            <w:tcBorders>
              <w:top w:val="nil"/>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风速</w:t>
            </w:r>
          </w:p>
        </w:tc>
        <w:tc>
          <w:tcPr>
            <w:tcW w:w="1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测量原理</w:t>
            </w:r>
          </w:p>
        </w:tc>
        <w:tc>
          <w:tcPr>
            <w:tcW w:w="632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超声波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14</w:t>
            </w: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测量范围</w:t>
            </w:r>
          </w:p>
        </w:tc>
        <w:tc>
          <w:tcPr>
            <w:tcW w:w="632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w:t>
            </w:r>
            <w:r>
              <w:rPr>
                <w:rFonts w:ascii="宋体" w:hAnsi="宋体"/>
                <w:color w:val="auto"/>
                <w:sz w:val="21"/>
                <w:szCs w:val="21"/>
                <w:highlight w:val="none"/>
              </w:rPr>
              <w:t>60</w:t>
            </w:r>
            <w:r>
              <w:rPr>
                <w:rFonts w:hint="eastAsia" w:ascii="宋体" w:hAnsi="宋体"/>
                <w:color w:val="auto"/>
                <w:sz w:val="21"/>
                <w:szCs w:val="21"/>
                <w:highlight w:val="none"/>
              </w:rPr>
              <w:t>米/秒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15</w:t>
            </w: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6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测量精度</w:t>
            </w:r>
          </w:p>
        </w:tc>
        <w:tc>
          <w:tcPr>
            <w:tcW w:w="632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±0.2m/s或读数的3%（0～35m/s），两者中取最大值</w:t>
            </w:r>
          </w:p>
        </w:tc>
      </w:tr>
    </w:tbl>
    <w:p>
      <w:pPr>
        <w:pStyle w:val="6"/>
        <w:rPr>
          <w:color w:val="auto"/>
          <w:szCs w:val="24"/>
          <w:highlight w:val="none"/>
        </w:rPr>
      </w:pPr>
      <w:r>
        <w:rPr>
          <w:rFonts w:hint="eastAsia"/>
          <w:color w:val="auto"/>
          <w:highlight w:val="none"/>
        </w:rPr>
        <w:t>采样系统</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681"/>
        <w:gridCol w:w="7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51" w:type="dxa"/>
            <w:tcBorders>
              <w:top w:val="single" w:color="auto" w:sz="4" w:space="0"/>
              <w:left w:val="single" w:color="auto" w:sz="4" w:space="0"/>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681"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7196"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采样装置</w:t>
            </w:r>
          </w:p>
        </w:tc>
        <w:tc>
          <w:tcPr>
            <w:tcW w:w="719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垂直层流式采样总管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采样头</w:t>
            </w:r>
          </w:p>
        </w:tc>
        <w:tc>
          <w:tcPr>
            <w:tcW w:w="719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防止雨水和粗大的颗粒物落入总管，同时避免鸟类、小动物和大型昆虫进入总管。采样头的设计保证采样气流不受风向影响，稳定进入总管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采样总管</w:t>
            </w:r>
          </w:p>
        </w:tc>
        <w:tc>
          <w:tcPr>
            <w:tcW w:w="719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总管内径范围在1.5-15cm，采样总管内的气流保持层流状态，采样气体在总管内的滞留时间小于20s，各支管接头间隔距离大于8cm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68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温度要求</w:t>
            </w:r>
          </w:p>
        </w:tc>
        <w:tc>
          <w:tcPr>
            <w:tcW w:w="719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管线外壁加装保温套或加热器，加热温度控制在30℃～100℃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68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制作材料</w:t>
            </w:r>
          </w:p>
        </w:tc>
        <w:tc>
          <w:tcPr>
            <w:tcW w:w="719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不锈钢内衬聚四氟乙烯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68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样品相对湿度</w:t>
            </w:r>
          </w:p>
        </w:tc>
        <w:tc>
          <w:tcPr>
            <w:tcW w:w="719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168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雷诺数</w:t>
            </w:r>
          </w:p>
        </w:tc>
        <w:tc>
          <w:tcPr>
            <w:tcW w:w="719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&lt;2000</w:t>
            </w:r>
          </w:p>
        </w:tc>
      </w:tr>
    </w:tbl>
    <w:p>
      <w:pPr>
        <w:pStyle w:val="6"/>
        <w:rPr>
          <w:color w:val="auto"/>
          <w:szCs w:val="24"/>
          <w:highlight w:val="none"/>
        </w:rPr>
      </w:pPr>
      <w:r>
        <w:rPr>
          <w:rFonts w:hint="eastAsia"/>
          <w:color w:val="auto"/>
          <w:highlight w:val="none"/>
        </w:rPr>
        <w:t>数采系统</w:t>
      </w:r>
    </w:p>
    <w:p>
      <w:pPr>
        <w:ind w:left="480"/>
        <w:rPr>
          <w:rFonts w:ascii="宋体" w:hAnsi="宋体"/>
          <w:b/>
          <w:bCs/>
          <w:color w:val="auto"/>
          <w:highlight w:val="none"/>
        </w:rPr>
      </w:pPr>
      <w:r>
        <w:rPr>
          <w:rFonts w:hint="eastAsia" w:ascii="宋体" w:hAnsi="宋体"/>
          <w:b/>
          <w:bCs/>
          <w:color w:val="auto"/>
          <w:highlight w:val="none"/>
        </w:rPr>
        <w:t>1、总体功能要求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用于监测站内所有在线分析仪器和校准设备的工作控制、数据采集、零气和标准气的供给时序、数据通讯等任务的执行。控制功能应满足空气质量自动监测系统的数据采集、控制、通讯等全部要求。</w:t>
      </w:r>
    </w:p>
    <w:p>
      <w:pPr>
        <w:ind w:left="480"/>
        <w:rPr>
          <w:rFonts w:ascii="宋体" w:hAnsi="宋体"/>
          <w:b/>
          <w:bCs/>
          <w:color w:val="auto"/>
          <w:highlight w:val="none"/>
        </w:rPr>
      </w:pPr>
      <w:r>
        <w:rPr>
          <w:rFonts w:hint="eastAsia" w:ascii="宋体" w:hAnsi="宋体"/>
          <w:b/>
          <w:bCs/>
          <w:color w:val="auto"/>
          <w:highlight w:val="none"/>
        </w:rPr>
        <w:t>2、主要技术参数要求</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8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9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主要技术参数要求</w:t>
            </w:r>
          </w:p>
          <w:p>
            <w:pPr>
              <w:jc w:val="center"/>
              <w:rPr>
                <w:rFonts w:ascii="宋体" w:hAnsi="宋体"/>
                <w:color w:val="auto"/>
                <w:sz w:val="21"/>
                <w:szCs w:val="21"/>
                <w:highlight w:val="none"/>
              </w:rPr>
            </w:pPr>
          </w:p>
        </w:tc>
        <w:tc>
          <w:tcPr>
            <w:tcW w:w="84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可以通过RS232、485通讯、有线网络、无线网络通讯方式，实现与分析仪器联接并采集仪器的测量结果和工作状态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软件每个采集定时器的周期与每个分析仪器测量周期应保持一致且一一对应，并且软件采集周期可设；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应内置多种国内外通讯协议（“HJ212-2017污染物在线监控（监测）系统数据传输标准”、Modbus等协议），兼容各类环境监测分析仪器；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不少于8个串口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停电后可长期保存系统设置参数，电源恢复后可自动启动，进入工作状态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全面支持网络通讯：可以支持有线网络、无线网络(含4G等)多种通讯方式，所有具有数字通讯功能的设备均实现了远程网络通讯；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系统稳定性：整套软件运行于window系统之上，确保系统的稳定和安全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系统安全性：数据采用加密传输和严格的权限控制，身份认证，确保系统不受内部和外来的安全威胁</w:t>
            </w:r>
          </w:p>
        </w:tc>
      </w:tr>
    </w:tbl>
    <w:p>
      <w:pPr>
        <w:rPr>
          <w:rFonts w:ascii="宋体" w:hAnsi="宋体"/>
          <w:b/>
          <w:bCs/>
          <w:color w:val="auto"/>
          <w:szCs w:val="28"/>
          <w:highlight w:val="none"/>
        </w:rPr>
      </w:pPr>
      <w:r>
        <w:rPr>
          <w:rFonts w:hint="eastAsia" w:ascii="宋体" w:hAnsi="宋体"/>
          <w:b/>
          <w:bCs/>
          <w:color w:val="auto"/>
          <w:highlight w:val="none"/>
        </w:rPr>
        <w:t>3、软件功能要求</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710"/>
        <w:gridCol w:w="7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710"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7140"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71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数据上传</w:t>
            </w:r>
          </w:p>
        </w:tc>
        <w:tc>
          <w:tcPr>
            <w:tcW w:w="71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数据上传握手机制与断点续传机制，支持监测站点多通道监测数据上传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71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系统报警</w:t>
            </w:r>
          </w:p>
        </w:tc>
        <w:tc>
          <w:tcPr>
            <w:tcW w:w="71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系统可灵活设置各种报警方式；可远程显示现场工作状态、仪器设备故障自动报警、异常值自动报警，并能将报警信号自动发送至监控中心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71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设备控制</w:t>
            </w:r>
          </w:p>
        </w:tc>
        <w:tc>
          <w:tcPr>
            <w:tcW w:w="71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操作人员可在现场对设备进行校零、校标等操作或结合中心端软硬件平台远程对设备进行校零、校标等操作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71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数据存储</w:t>
            </w:r>
          </w:p>
        </w:tc>
        <w:tc>
          <w:tcPr>
            <w:tcW w:w="71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系统可以实时存储保存一年以上实时数据及小时均值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71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用户管理</w:t>
            </w:r>
          </w:p>
        </w:tc>
        <w:tc>
          <w:tcPr>
            <w:tcW w:w="71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系统具备严格的用户管理和权限控制功能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71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数据审核</w:t>
            </w:r>
          </w:p>
        </w:tc>
        <w:tc>
          <w:tcPr>
            <w:tcW w:w="71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系统可对报警信号，监测数据进行自动审核和有效性判断，自动对无效数据进行标注，实现数据的前端一级审核。（需结合中心站）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171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数据备份</w:t>
            </w:r>
          </w:p>
        </w:tc>
        <w:tc>
          <w:tcPr>
            <w:tcW w:w="71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数据可实现异地备份与恢复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8</w:t>
            </w:r>
          </w:p>
        </w:tc>
        <w:tc>
          <w:tcPr>
            <w:tcW w:w="171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数据输出</w:t>
            </w:r>
          </w:p>
        </w:tc>
        <w:tc>
          <w:tcPr>
            <w:tcW w:w="71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数据采集与传输支持数字量和模拟量输出，其中模拟量采集值与测量值误差≤1%（满量程）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9</w:t>
            </w:r>
          </w:p>
        </w:tc>
        <w:tc>
          <w:tcPr>
            <w:tcW w:w="171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信息监测</w:t>
            </w:r>
          </w:p>
        </w:tc>
        <w:tc>
          <w:tcPr>
            <w:tcW w:w="71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具备测量数据及实时状态的查询功能，按需要进行各种方式的数据查询；数据采集器应可正确显示分析仪测定的资料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171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设备时间</w:t>
            </w:r>
          </w:p>
        </w:tc>
        <w:tc>
          <w:tcPr>
            <w:tcW w:w="71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数据采集器显示的监测资料对应的监测时间应与监测仪显示的时间一致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11</w:t>
            </w:r>
          </w:p>
        </w:tc>
        <w:tc>
          <w:tcPr>
            <w:tcW w:w="171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数据查询</w:t>
            </w:r>
          </w:p>
        </w:tc>
        <w:tc>
          <w:tcPr>
            <w:tcW w:w="71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具备数据查询功能，不仅能查询一定时间段的历史数据，而且能查询5分钟均值、小时均值，并且配有形象的图形显示，便于用户了解各个参数随时间的变化趋势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12</w:t>
            </w:r>
          </w:p>
        </w:tc>
        <w:tc>
          <w:tcPr>
            <w:tcW w:w="171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仪器数据补遗</w:t>
            </w:r>
          </w:p>
        </w:tc>
        <w:tc>
          <w:tcPr>
            <w:tcW w:w="71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支持将测量仪器数据补遗到数采软件，防止数据缺失</w:t>
            </w:r>
          </w:p>
        </w:tc>
      </w:tr>
    </w:tbl>
    <w:p>
      <w:pPr>
        <w:ind w:left="480"/>
        <w:rPr>
          <w:rFonts w:ascii="宋体" w:hAnsi="宋体"/>
          <w:b/>
          <w:bCs/>
          <w:color w:val="auto"/>
          <w:szCs w:val="28"/>
          <w:highlight w:val="none"/>
        </w:rPr>
      </w:pPr>
      <w:r>
        <w:rPr>
          <w:rFonts w:hint="eastAsia" w:ascii="宋体" w:hAnsi="宋体"/>
          <w:b/>
          <w:bCs/>
          <w:color w:val="auto"/>
          <w:highlight w:val="none"/>
        </w:rPr>
        <w:t>4、数据采集工控机硬件要求</w:t>
      </w:r>
    </w:p>
    <w:tbl>
      <w:tblPr>
        <w:tblStyle w:val="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7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062"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硬件要求</w:t>
            </w:r>
          </w:p>
        </w:tc>
        <w:tc>
          <w:tcPr>
            <w:tcW w:w="756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CPU主频不小于3GHz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0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6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内存大小不小于2G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0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6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硬盘容量不小于500G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0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6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串口情况：类型为RS232、数量不小于6个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0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6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配备键盘、鼠标、17寸显示器</w:t>
            </w:r>
          </w:p>
        </w:tc>
      </w:tr>
    </w:tbl>
    <w:p>
      <w:pPr>
        <w:pStyle w:val="6"/>
        <w:rPr>
          <w:color w:val="auto"/>
          <w:szCs w:val="24"/>
          <w:highlight w:val="none"/>
        </w:rPr>
      </w:pPr>
      <w:r>
        <w:rPr>
          <w:rFonts w:hint="eastAsia"/>
          <w:color w:val="auto"/>
          <w:highlight w:val="none"/>
        </w:rPr>
        <w:t>生物多模态识别门禁</w:t>
      </w:r>
    </w:p>
    <w:tbl>
      <w:tblPr>
        <w:tblStyle w:val="9"/>
        <w:tblW w:w="9428" w:type="dxa"/>
        <w:tblInd w:w="0" w:type="dxa"/>
        <w:tblLayout w:type="fixed"/>
        <w:tblCellMar>
          <w:top w:w="0" w:type="dxa"/>
          <w:left w:w="0" w:type="dxa"/>
          <w:bottom w:w="0" w:type="dxa"/>
          <w:right w:w="0" w:type="dxa"/>
        </w:tblCellMar>
      </w:tblPr>
      <w:tblGrid>
        <w:gridCol w:w="1109"/>
        <w:gridCol w:w="1075"/>
        <w:gridCol w:w="1320"/>
        <w:gridCol w:w="5924"/>
      </w:tblGrid>
      <w:tr>
        <w:tblPrEx>
          <w:tblCellMar>
            <w:top w:w="0" w:type="dxa"/>
            <w:left w:w="0" w:type="dxa"/>
            <w:bottom w:w="0" w:type="dxa"/>
            <w:right w:w="0" w:type="dxa"/>
          </w:tblCellMar>
        </w:tblPrEx>
        <w:trPr>
          <w:trHeight w:val="285" w:hRule="atLeast"/>
        </w:trPr>
        <w:tc>
          <w:tcPr>
            <w:tcW w:w="1109" w:type="dxa"/>
            <w:vMerge w:val="restart"/>
            <w:tcBorders>
              <w:top w:val="single" w:color="000000" w:sz="4" w:space="0"/>
              <w:left w:val="single" w:color="000000" w:sz="4" w:space="0"/>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人脸产品</w:t>
            </w:r>
            <w:r>
              <w:rPr>
                <w:rFonts w:hint="eastAsia" w:ascii="宋体" w:hAnsi="宋体"/>
                <w:color w:val="auto"/>
                <w:sz w:val="21"/>
                <w:szCs w:val="21"/>
                <w:highlight w:val="none"/>
              </w:rPr>
              <w:br w:type="textWrapping"/>
            </w:r>
            <w:r>
              <w:rPr>
                <w:rFonts w:hint="eastAsia" w:ascii="宋体" w:hAnsi="宋体"/>
                <w:color w:val="auto"/>
                <w:sz w:val="21"/>
                <w:szCs w:val="21"/>
                <w:highlight w:val="none"/>
              </w:rPr>
              <w:t>技术参数</w:t>
            </w:r>
          </w:p>
        </w:tc>
        <w:tc>
          <w:tcPr>
            <w:tcW w:w="1075" w:type="dxa"/>
            <w:vMerge w:val="restart"/>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基本参数</w:t>
            </w: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产品类型</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双模摄像头：近红外和可见光</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传感器</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CMOS</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像素</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彩色：300万像素 红外：200万像素</w:t>
            </w:r>
          </w:p>
        </w:tc>
      </w:tr>
      <w:tr>
        <w:tblPrEx>
          <w:tblCellMar>
            <w:top w:w="0" w:type="dxa"/>
            <w:left w:w="0" w:type="dxa"/>
            <w:bottom w:w="0" w:type="dxa"/>
            <w:right w:w="0" w:type="dxa"/>
          </w:tblCellMar>
        </w:tblPrEx>
        <w:trPr>
          <w:trHeight w:val="533"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分辨率</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彩色：支持320*240、640*480、1280*720*、1920*1080、2048*1536等分辨率</w:t>
            </w:r>
            <w:r>
              <w:rPr>
                <w:rFonts w:hint="eastAsia" w:ascii="宋体" w:hAnsi="宋体"/>
                <w:color w:val="auto"/>
                <w:sz w:val="21"/>
                <w:szCs w:val="21"/>
                <w:highlight w:val="none"/>
              </w:rPr>
              <w:br w:type="textWrapping"/>
            </w:r>
            <w:r>
              <w:rPr>
                <w:rFonts w:hint="eastAsia" w:ascii="宋体" w:hAnsi="宋体"/>
                <w:color w:val="auto"/>
                <w:sz w:val="21"/>
                <w:szCs w:val="21"/>
                <w:highlight w:val="none"/>
              </w:rPr>
              <w:t>红外：支持320*240、640*480、1280*720*、1920*1080等分辨率</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输出格式</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MJPEG、YUV</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接口类型</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双USB2.0</w:t>
            </w:r>
          </w:p>
        </w:tc>
      </w:tr>
      <w:tr>
        <w:tblPrEx>
          <w:tblCellMar>
            <w:top w:w="0" w:type="dxa"/>
            <w:left w:w="0" w:type="dxa"/>
            <w:bottom w:w="0" w:type="dxa"/>
            <w:right w:w="0" w:type="dxa"/>
          </w:tblCellMar>
        </w:tblPrEx>
        <w:trPr>
          <w:trHeight w:val="548"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识别距离</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400-1200mm</w:t>
            </w:r>
          </w:p>
        </w:tc>
      </w:tr>
      <w:tr>
        <w:tblPrEx>
          <w:tblCellMar>
            <w:top w:w="0" w:type="dxa"/>
            <w:left w:w="0" w:type="dxa"/>
            <w:bottom w:w="0" w:type="dxa"/>
            <w:right w:w="0" w:type="dxa"/>
          </w:tblCellMar>
        </w:tblPrEx>
        <w:trPr>
          <w:trHeight w:val="548"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成像面积</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4.73*3.52mm</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光线畸变</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小于1%</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系统支持</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windows xp、windows 7、windows 8、windows10、LINUX系统</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性能参数</w:t>
            </w: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镜头</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高清镜头</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曝光控制</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自动</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白平衡</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自动</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宽动态</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100dB(支持半室外环境)</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信噪比</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≥39dB</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红外灯光谱</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850nm</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国密参数</w:t>
            </w: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支持算法</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规范芯片指令，支持DES、3DES、RSA1024、RSA2048、SM2、SM3、SM4等国际、国密算法；</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加密速度</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SM2 签名≥50次/秒；SM3≥1.5Mbps；SM4≥1.5Mbps；</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olor w:val="auto"/>
                <w:sz w:val="21"/>
                <w:szCs w:val="21"/>
                <w:highlight w:val="none"/>
              </w:rPr>
              <w:t>所需认证</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具备国家密码管理局认证的芯片证书</w:t>
            </w:r>
          </w:p>
        </w:tc>
      </w:tr>
      <w:tr>
        <w:tblPrEx>
          <w:tblCellMar>
            <w:top w:w="0" w:type="dxa"/>
            <w:left w:w="0" w:type="dxa"/>
            <w:bottom w:w="0" w:type="dxa"/>
            <w:right w:w="0" w:type="dxa"/>
          </w:tblCellMar>
        </w:tblPrEx>
        <w:trPr>
          <w:trHeight w:val="285"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人脸算法技术参数</w:t>
            </w:r>
          </w:p>
        </w:tc>
        <w:tc>
          <w:tcPr>
            <w:tcW w:w="1320"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活体检测</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利用红外成像、立体成像检测、可见光与红外成像匹</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配等技术，实现静默检活。</w:t>
            </w:r>
          </w:p>
        </w:tc>
      </w:tr>
      <w:tr>
        <w:tblPrEx>
          <w:tblCellMar>
            <w:top w:w="0" w:type="dxa"/>
            <w:left w:w="0" w:type="dxa"/>
            <w:bottom w:w="0" w:type="dxa"/>
            <w:right w:w="0" w:type="dxa"/>
          </w:tblCellMar>
        </w:tblPrEx>
        <w:trPr>
          <w:trHeight w:val="510"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活体检测时间</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0.1 秒-0.5 秒</w:t>
            </w:r>
          </w:p>
        </w:tc>
      </w:tr>
      <w:tr>
        <w:tblPrEx>
          <w:tblCellMar>
            <w:top w:w="0" w:type="dxa"/>
            <w:left w:w="0" w:type="dxa"/>
            <w:bottom w:w="0" w:type="dxa"/>
            <w:right w:w="0" w:type="dxa"/>
          </w:tblCellMar>
        </w:tblPrEx>
        <w:trPr>
          <w:trHeight w:val="510"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活体检测距离</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30cm-100cm</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交互智能</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对于口罩，墨镜，过度侧脸及遮挡脸部等不当行为能给予准确提示</w:t>
            </w:r>
          </w:p>
        </w:tc>
      </w:tr>
      <w:tr>
        <w:tblPrEx>
          <w:tblCellMar>
            <w:top w:w="0" w:type="dxa"/>
            <w:left w:w="0" w:type="dxa"/>
            <w:bottom w:w="0" w:type="dxa"/>
            <w:right w:w="0" w:type="dxa"/>
          </w:tblCellMar>
        </w:tblPrEx>
        <w:trPr>
          <w:trHeight w:val="510"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最佳人脸抓拍</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产品支持自动获取最佳可见光人脸照片抓拍功能</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适应多场景</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适应多种场景，室内外场景，逆光场景，侧光场景等</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换人检测</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产品支持换人检测，检测准确率大于 99.8%检测</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预警反馈时间小于 0.5 秒。</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前端人脸识别</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产品支持在设备端的人脸识别，识别准确率大于</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99.8%，识别时间小于 1 秒</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逆光处理</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针对反光有落地验证解决方案，可供设计方案和落地材料</w:t>
            </w:r>
          </w:p>
        </w:tc>
      </w:tr>
      <w:tr>
        <w:tblPrEx>
          <w:tblCellMar>
            <w:top w:w="0" w:type="dxa"/>
            <w:left w:w="0" w:type="dxa"/>
            <w:bottom w:w="0" w:type="dxa"/>
            <w:right w:w="0" w:type="dxa"/>
          </w:tblCellMar>
        </w:tblPrEx>
        <w:trPr>
          <w:trHeight w:val="510"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支持多场景应用</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产品支持多场景布设需求，可设计图和安装效果图</w:t>
            </w:r>
          </w:p>
        </w:tc>
      </w:tr>
      <w:tr>
        <w:tblPrEx>
          <w:tblCellMar>
            <w:top w:w="0" w:type="dxa"/>
            <w:left w:w="0" w:type="dxa"/>
            <w:bottom w:w="0" w:type="dxa"/>
            <w:right w:w="0" w:type="dxa"/>
          </w:tblCellMar>
        </w:tblPrEx>
        <w:trPr>
          <w:trHeight w:val="277" w:hRule="atLeast"/>
        </w:trPr>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设备适应性</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摄像头配套SDK需按照行方要求定制化开发</w:t>
            </w:r>
          </w:p>
        </w:tc>
      </w:tr>
      <w:tr>
        <w:tblPrEx>
          <w:tblCellMar>
            <w:top w:w="0" w:type="dxa"/>
            <w:left w:w="0" w:type="dxa"/>
            <w:bottom w:w="0" w:type="dxa"/>
            <w:right w:w="0" w:type="dxa"/>
          </w:tblCellMar>
        </w:tblPrEx>
        <w:trPr>
          <w:trHeight w:val="285" w:hRule="atLeast"/>
        </w:trPr>
        <w:tc>
          <w:tcPr>
            <w:tcW w:w="1109" w:type="dxa"/>
            <w:vMerge w:val="restart"/>
            <w:tcBorders>
              <w:top w:val="nil"/>
              <w:left w:val="single" w:color="000000" w:sz="4" w:space="0"/>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虹膜产品</w:t>
            </w:r>
            <w:r>
              <w:rPr>
                <w:rFonts w:hint="eastAsia" w:ascii="宋体" w:hAnsi="宋体"/>
                <w:color w:val="auto"/>
                <w:sz w:val="21"/>
                <w:szCs w:val="21"/>
                <w:highlight w:val="none"/>
              </w:rPr>
              <w:br w:type="textWrapping"/>
            </w:r>
            <w:r>
              <w:rPr>
                <w:rFonts w:hint="eastAsia" w:ascii="宋体" w:hAnsi="宋体"/>
                <w:color w:val="auto"/>
                <w:sz w:val="21"/>
                <w:szCs w:val="21"/>
                <w:highlight w:val="none"/>
              </w:rPr>
              <w:t>技术参数</w:t>
            </w:r>
          </w:p>
        </w:tc>
        <w:tc>
          <w:tcPr>
            <w:tcW w:w="1075"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基本参数</w:t>
            </w: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摄像头类型</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单模近红外镜头</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像素</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200 万像素</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分辨率</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1920*1080</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最大帧率</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1920*1080@30fps</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输出格式</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MJPG/YUV</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接口类型</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USB2.0</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性能参数</w:t>
            </w: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驱动类型</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免驱动</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识别距离</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40～70cm</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系统支持</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windows 7、windows 8、windows10、LINUX系统</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曝光控制</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自动</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白平衡</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自动</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使用环境</w:t>
            </w: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操作温度</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0～50℃</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存储温度</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-30～60℃</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工作湿度</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5%～95%RH</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电源供应</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USB供电</w:t>
            </w:r>
          </w:p>
        </w:tc>
      </w:tr>
      <w:tr>
        <w:tblPrEx>
          <w:tblCellMar>
            <w:top w:w="0" w:type="dxa"/>
            <w:left w:w="0" w:type="dxa"/>
            <w:bottom w:w="0" w:type="dxa"/>
            <w:right w:w="0" w:type="dxa"/>
          </w:tblCellMar>
        </w:tblPrEx>
        <w:trPr>
          <w:trHeight w:val="285"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olor w:val="auto"/>
                <w:sz w:val="21"/>
                <w:szCs w:val="21"/>
                <w:highlight w:val="none"/>
              </w:rPr>
              <w:t>所需认证</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须具备国家安全防范报警系统产品质量监督检验中心检测，并检验报告复印件。</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restart"/>
            <w:tcBorders>
              <w:top w:val="nil"/>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算法指标</w:t>
            </w: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错误注册率</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&lt;0.03%</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注册失败率</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&lt;0.3%</w:t>
            </w:r>
          </w:p>
        </w:tc>
      </w:tr>
      <w:tr>
        <w:tblPrEx>
          <w:tblCellMar>
            <w:top w:w="0" w:type="dxa"/>
            <w:left w:w="0" w:type="dxa"/>
            <w:bottom w:w="0" w:type="dxa"/>
            <w:right w:w="0" w:type="dxa"/>
          </w:tblCellMar>
        </w:tblPrEx>
        <w:trPr>
          <w:trHeight w:val="675"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错误接受率（FAR）为0.0001%时</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错误拒绝率（FRR）&lt;0.05%</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注册时间</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&lt;70ms</w:t>
            </w:r>
          </w:p>
        </w:tc>
      </w:tr>
      <w:tr>
        <w:tblPrEx>
          <w:tblCellMar>
            <w:top w:w="0" w:type="dxa"/>
            <w:left w:w="0" w:type="dxa"/>
            <w:bottom w:w="0" w:type="dxa"/>
            <w:right w:w="0" w:type="dxa"/>
          </w:tblCellMar>
        </w:tblPrEx>
        <w:trPr>
          <w:trHeight w:val="277"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比对时间</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&lt;0.006ms</w:t>
            </w:r>
          </w:p>
        </w:tc>
      </w:tr>
      <w:tr>
        <w:tblPrEx>
          <w:tblCellMar>
            <w:top w:w="0" w:type="dxa"/>
            <w:left w:w="0" w:type="dxa"/>
            <w:bottom w:w="0" w:type="dxa"/>
            <w:right w:w="0" w:type="dxa"/>
          </w:tblCellMar>
        </w:tblPrEx>
        <w:trPr>
          <w:trHeight w:val="285" w:hRule="atLeast"/>
        </w:trPr>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075"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20"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认证需求</w:t>
            </w:r>
          </w:p>
        </w:tc>
        <w:tc>
          <w:tcPr>
            <w:tcW w:w="5924" w:type="dxa"/>
            <w:tcBorders>
              <w:top w:val="single" w:color="000000" w:sz="4" w:space="0"/>
              <w:left w:val="nil"/>
              <w:bottom w:val="single" w:color="000000" w:sz="4" w:space="0"/>
              <w:right w:val="single" w:color="000000" w:sz="4" w:space="0"/>
            </w:tcBorders>
            <w:tcMar>
              <w:top w:w="8" w:type="dxa"/>
              <w:left w:w="8" w:type="dxa"/>
              <w:bottom w:w="0" w:type="dxa"/>
              <w:right w:w="8" w:type="dxa"/>
            </w:tcMar>
            <w:vAlign w:val="center"/>
          </w:tcPr>
          <w:p>
            <w:pPr>
              <w:rPr>
                <w:rFonts w:ascii="宋体" w:hAnsi="宋体"/>
                <w:color w:val="auto"/>
                <w:sz w:val="21"/>
                <w:szCs w:val="21"/>
                <w:highlight w:val="none"/>
              </w:rPr>
            </w:pPr>
            <w:r>
              <w:rPr>
                <w:rFonts w:hint="eastAsia" w:ascii="宋体" w:hAnsi="宋体"/>
                <w:color w:val="auto"/>
                <w:sz w:val="21"/>
                <w:szCs w:val="21"/>
                <w:highlight w:val="none"/>
              </w:rPr>
              <w:t>须具备国家安全防范报警系统产品质量监督检验中心检测，并检验报告复印件。</w:t>
            </w:r>
          </w:p>
        </w:tc>
      </w:tr>
    </w:tbl>
    <w:p>
      <w:pPr>
        <w:rPr>
          <w:color w:val="auto"/>
          <w:szCs w:val="28"/>
          <w:highlight w:val="none"/>
        </w:rPr>
      </w:pPr>
      <w:r>
        <w:rPr>
          <w:rFonts w:hint="eastAsia"/>
          <w:color w:val="auto"/>
          <w:highlight w:val="none"/>
        </w:rPr>
        <w:t xml:space="preserve"> </w:t>
      </w:r>
    </w:p>
    <w:p>
      <w:pPr>
        <w:pStyle w:val="6"/>
        <w:rPr>
          <w:color w:val="auto"/>
          <w:highlight w:val="none"/>
        </w:rPr>
      </w:pPr>
      <w:r>
        <w:rPr>
          <w:rFonts w:hint="eastAsia"/>
          <w:color w:val="auto"/>
          <w:highlight w:val="none"/>
        </w:rPr>
        <w:t>标准站房及辅助设施</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8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3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标准站房及辅助设施</w:t>
            </w:r>
          </w:p>
        </w:tc>
        <w:tc>
          <w:tcPr>
            <w:tcW w:w="839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应具备美观大方、防盗防火、重量轻等特点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39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房顶应为平面结构，坡度应不大于10°，房顶安装防护栏，高度不低于1.2m，并预留采样总管安装孔。站房室内使用面积应不小于20m</w:t>
            </w:r>
            <w:r>
              <w:rPr>
                <w:rFonts w:hint="eastAsia" w:ascii="宋体" w:hAnsi="宋体"/>
                <w:color w:val="auto"/>
                <w:sz w:val="21"/>
                <w:szCs w:val="21"/>
                <w:highlight w:val="none"/>
                <w:vertAlign w:val="superscript"/>
              </w:rPr>
              <w:t>2</w:t>
            </w:r>
            <w:r>
              <w:rPr>
                <w:rFonts w:hint="eastAsia" w:ascii="宋体" w:hAnsi="宋体"/>
                <w:color w:val="auto"/>
                <w:sz w:val="21"/>
                <w:szCs w:val="21"/>
                <w:highlight w:val="none"/>
              </w:rPr>
              <w:t>，监测站房应做到专室专用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39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监测站房应配备通往房顶的Z字形梯或旋梯，房顶称重要求大于等于250kg/m2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39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站房室内地面到天花板高度应不小于2.7m，且距房顶平台高度不大于5m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39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站房应有防水、防潮、隔热、保温等措施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39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站房应有防雷和方电磁干扰的设施，防雷接地装置的选材和安装应参照YD5098的相关要求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39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站房应为无窗或双层密封窗结构，有条件时，门与仪器房之间可设有缓冲间，以保持站房内温湿度恒定，防止将灰尘和泥土带入站房内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39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站房内应安装空调，空调出风口不应正对仪器和采样总管，且应具备来电自启功能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39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其他配套设施：站房内应配备自动灭火装置，并应安装有排气风扇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39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站房供电系统应配有电源过压、过载保护装置，电源电压波动不超过AC（220±22），频率波动不超过（50±1）Hz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39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站房应采用三相五线供电，入室处装有配电箱，配电箱内连接入室引线应分别装有三个单相15A空气开关作为三相电源的总开关，分相使用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39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站房灯具安装以保证操作人员工作时有足够的亮度为原则，开关位置应为方便使用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39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站房灯具应依照电工规范中的要求制作保护地线，用于机柜、仪器外壳等的接地保护，接地电阻应小于4欧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39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站房的线路要求走线美观，布线应加装线槽</w:t>
            </w:r>
          </w:p>
        </w:tc>
      </w:tr>
    </w:tbl>
    <w:p>
      <w:pPr>
        <w:pStyle w:val="4"/>
        <w:rPr>
          <w:color w:val="auto"/>
          <w:szCs w:val="32"/>
          <w:highlight w:val="none"/>
        </w:rPr>
      </w:pPr>
      <w:r>
        <w:rPr>
          <w:rFonts w:hint="eastAsia"/>
          <w:color w:val="auto"/>
          <w:highlight w:val="none"/>
        </w:rPr>
        <w:t>园区环保管理平台</w:t>
      </w:r>
    </w:p>
    <w:p>
      <w:pPr>
        <w:pStyle w:val="5"/>
        <w:rPr>
          <w:color w:val="auto"/>
          <w:highlight w:val="none"/>
        </w:rPr>
      </w:pPr>
      <w:r>
        <w:rPr>
          <w:rFonts w:hint="eastAsia"/>
          <w:color w:val="auto"/>
          <w:highlight w:val="none"/>
        </w:rPr>
        <w:t>智能监测系统</w:t>
      </w:r>
    </w:p>
    <w:p>
      <w:pPr>
        <w:spacing w:line="360" w:lineRule="auto"/>
        <w:ind w:firstLine="480"/>
        <w:rPr>
          <w:rFonts w:ascii="宋体" w:hAnsi="宋体"/>
          <w:color w:val="auto"/>
          <w:sz w:val="24"/>
          <w:szCs w:val="24"/>
          <w:highlight w:val="none"/>
        </w:rPr>
      </w:pPr>
      <w:r>
        <w:rPr>
          <w:rFonts w:ascii="宋体" w:hAnsi="宋体"/>
          <w:color w:val="auto"/>
          <w:sz w:val="24"/>
          <w:szCs w:val="24"/>
          <w:highlight w:val="none"/>
        </w:rPr>
        <w:t>在园区重点区域、敏感区域</w:t>
      </w:r>
      <w:r>
        <w:rPr>
          <w:rFonts w:hint="eastAsia" w:ascii="宋体" w:hAnsi="宋体"/>
          <w:color w:val="auto"/>
          <w:sz w:val="24"/>
          <w:szCs w:val="24"/>
          <w:highlight w:val="none"/>
        </w:rPr>
        <w:t>等</w:t>
      </w:r>
      <w:r>
        <w:rPr>
          <w:rFonts w:ascii="宋体" w:hAnsi="宋体"/>
          <w:color w:val="auto"/>
          <w:sz w:val="24"/>
          <w:szCs w:val="24"/>
          <w:highlight w:val="none"/>
        </w:rPr>
        <w:t>建设环境监测点，</w:t>
      </w:r>
      <w:r>
        <w:rPr>
          <w:rFonts w:hint="eastAsia" w:ascii="宋体" w:hAnsi="宋体"/>
          <w:color w:val="auto"/>
          <w:sz w:val="24"/>
          <w:szCs w:val="24"/>
          <w:highlight w:val="none"/>
        </w:rPr>
        <w:t>并可接入园区已有的废水及废气监测设备的数据，</w:t>
      </w:r>
      <w:r>
        <w:rPr>
          <w:rFonts w:ascii="宋体" w:hAnsi="宋体"/>
          <w:color w:val="auto"/>
          <w:sz w:val="24"/>
          <w:szCs w:val="24"/>
          <w:highlight w:val="none"/>
        </w:rPr>
        <w:t>实现对大气空气质量、企业污水、废气的实时监测和信息采集。</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281"/>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62" w:type="dxa"/>
            <w:tcBorders>
              <w:top w:val="single" w:color="auto" w:sz="4" w:space="0"/>
              <w:left w:val="single" w:color="auto" w:sz="4" w:space="0"/>
              <w:bottom w:val="single" w:color="auto" w:sz="4" w:space="0"/>
              <w:right w:val="single" w:color="auto" w:sz="4" w:space="0"/>
            </w:tcBorders>
            <w:vAlign w:val="center"/>
          </w:tcPr>
          <w:p>
            <w:pPr>
              <w:pStyle w:val="15"/>
              <w:jc w:val="center"/>
              <w:rPr>
                <w:b/>
                <w:bCs/>
                <w:color w:val="auto"/>
                <w:highlight w:val="none"/>
              </w:rPr>
            </w:pPr>
            <w:r>
              <w:rPr>
                <w:rFonts w:hint="eastAsia"/>
                <w:b/>
                <w:bCs/>
                <w:color w:val="auto"/>
                <w:highlight w:val="none"/>
              </w:rPr>
              <w:t>序</w:t>
            </w:r>
            <w:r>
              <w:rPr>
                <w:b/>
                <w:bCs/>
                <w:color w:val="auto"/>
                <w:highlight w:val="none"/>
              </w:rPr>
              <w:t>号</w:t>
            </w:r>
          </w:p>
        </w:tc>
        <w:tc>
          <w:tcPr>
            <w:tcW w:w="1281"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内容</w:t>
            </w:r>
          </w:p>
        </w:tc>
        <w:tc>
          <w:tcPr>
            <w:tcW w:w="7585"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1</w:t>
            </w:r>
          </w:p>
        </w:tc>
        <w:tc>
          <w:tcPr>
            <w:tcW w:w="12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监测概览</w:t>
            </w:r>
          </w:p>
        </w:tc>
        <w:tc>
          <w:tcPr>
            <w:tcW w:w="758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通过图表直观查看各监测点位的运行状态以及近期的报警情况。</w:t>
            </w:r>
          </w:p>
          <w:p>
            <w:pPr>
              <w:pStyle w:val="15"/>
              <w:rPr>
                <w:color w:val="auto"/>
                <w:highlight w:val="none"/>
              </w:rPr>
            </w:pPr>
            <w:r>
              <w:rPr>
                <w:rFonts w:hint="eastAsia"/>
                <w:color w:val="auto"/>
                <w:highlight w:val="none"/>
              </w:rPr>
              <w:t>实况监控统计大气环境、污染源气、污染源水的点位个数以及状态分布情况，并统计各类型点位的数量。</w:t>
            </w:r>
          </w:p>
          <w:p>
            <w:pPr>
              <w:pStyle w:val="15"/>
              <w:rPr>
                <w:color w:val="auto"/>
                <w:highlight w:val="none"/>
              </w:rPr>
            </w:pPr>
            <w:r>
              <w:rPr>
                <w:rFonts w:hint="eastAsia"/>
                <w:color w:val="auto"/>
                <w:highlight w:val="none"/>
              </w:rPr>
              <w:t>报警统计大气环境、污染源气、污染源水的报警信息，包括各级别报警的次数以及超标报警因子的分布，统计最近</w:t>
            </w:r>
            <w:r>
              <w:rPr>
                <w:rFonts w:hint="eastAsia" w:cs="Calibri"/>
                <w:color w:val="auto"/>
                <w:highlight w:val="none"/>
              </w:rPr>
              <w:t>24</w:t>
            </w:r>
            <w:r>
              <w:rPr>
                <w:rFonts w:hint="eastAsia" w:ascii="宋体" w:hAnsi="宋体"/>
                <w:color w:val="auto"/>
                <w:highlight w:val="none"/>
              </w:rPr>
              <w:t>小时的报警信息。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2</w:t>
            </w:r>
          </w:p>
        </w:tc>
        <w:tc>
          <w:tcPr>
            <w:tcW w:w="12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实况监测</w:t>
            </w:r>
          </w:p>
        </w:tc>
        <w:tc>
          <w:tcPr>
            <w:tcW w:w="758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通过一览表的形式查看到各大气监测点、废气监测点、废水监测点等点位的实时运行状态和数据，支持以树形结构展示所有类型的点位，可切换查看其他类型点位数据。</w:t>
            </w:r>
          </w:p>
          <w:p>
            <w:pPr>
              <w:pStyle w:val="15"/>
              <w:rPr>
                <w:color w:val="auto"/>
                <w:highlight w:val="none"/>
              </w:rPr>
            </w:pPr>
            <w:r>
              <w:rPr>
                <w:rFonts w:hint="eastAsia"/>
                <w:color w:val="auto"/>
                <w:highlight w:val="none"/>
              </w:rPr>
              <w:t>系统支持根据不同需求查询相关点位。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3</w:t>
            </w:r>
          </w:p>
        </w:tc>
        <w:tc>
          <w:tcPr>
            <w:tcW w:w="12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监测预警</w:t>
            </w:r>
          </w:p>
        </w:tc>
        <w:tc>
          <w:tcPr>
            <w:tcW w:w="758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包括系统产生的所有报警记录（超标报警、趋势报警、断线报警），用户可按报警类型、报警级别、报警时间进行查询，列表展示查询结果，包括企业名称、点位名称、报警类型、报警级别、报警时间、报警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4</w:t>
            </w:r>
          </w:p>
        </w:tc>
        <w:tc>
          <w:tcPr>
            <w:tcW w:w="12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历史数据</w:t>
            </w:r>
          </w:p>
        </w:tc>
        <w:tc>
          <w:tcPr>
            <w:tcW w:w="758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查看所有监测点位的历史数据，包括大气、废气等，用户根据点位类型、时间、数据类型、因子组进行查询，列表展示查询结果，包括点位、时间、因子名称（单位）。</w:t>
            </w:r>
          </w:p>
        </w:tc>
      </w:tr>
    </w:tbl>
    <w:p>
      <w:pPr>
        <w:pStyle w:val="15"/>
        <w:rPr>
          <w:color w:val="auto"/>
          <w:szCs w:val="21"/>
          <w:highlight w:val="none"/>
        </w:rPr>
      </w:pPr>
      <w:r>
        <w:rPr>
          <w:color w:val="auto"/>
          <w:highlight w:val="none"/>
        </w:rPr>
        <w:t xml:space="preserve"> </w:t>
      </w:r>
    </w:p>
    <w:p>
      <w:pPr>
        <w:pStyle w:val="5"/>
        <w:rPr>
          <w:color w:val="auto"/>
          <w:highlight w:val="none"/>
        </w:rPr>
      </w:pPr>
      <w:r>
        <w:rPr>
          <w:rFonts w:hint="eastAsia"/>
          <w:color w:val="auto"/>
          <w:highlight w:val="none"/>
        </w:rPr>
        <w:t>数据研判系统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对接入的空气质量监测信息、企业废气等监测信息进行汇总分析和展示。</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281"/>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62" w:type="dxa"/>
            <w:tcBorders>
              <w:top w:val="single" w:color="auto" w:sz="4" w:space="0"/>
              <w:left w:val="single" w:color="auto" w:sz="4" w:space="0"/>
              <w:bottom w:val="single" w:color="auto" w:sz="4" w:space="0"/>
              <w:right w:val="single" w:color="auto" w:sz="4" w:space="0"/>
            </w:tcBorders>
            <w:vAlign w:val="center"/>
          </w:tcPr>
          <w:p>
            <w:pPr>
              <w:pStyle w:val="15"/>
              <w:jc w:val="center"/>
              <w:rPr>
                <w:b/>
                <w:bCs/>
                <w:color w:val="auto"/>
                <w:highlight w:val="none"/>
              </w:rPr>
            </w:pPr>
            <w:r>
              <w:rPr>
                <w:b/>
                <w:bCs/>
                <w:color w:val="auto"/>
                <w:highlight w:val="none"/>
              </w:rPr>
              <w:t>序号</w:t>
            </w:r>
          </w:p>
        </w:tc>
        <w:tc>
          <w:tcPr>
            <w:tcW w:w="1281"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内容</w:t>
            </w:r>
          </w:p>
        </w:tc>
        <w:tc>
          <w:tcPr>
            <w:tcW w:w="7585"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1</w:t>
            </w:r>
          </w:p>
        </w:tc>
        <w:tc>
          <w:tcPr>
            <w:tcW w:w="12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环境概览</w:t>
            </w:r>
          </w:p>
        </w:tc>
        <w:tc>
          <w:tcPr>
            <w:tcW w:w="758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针对不同污染因素的特点提供个性化的数据分析结果和展现形式。</w:t>
            </w:r>
          </w:p>
          <w:p>
            <w:pPr>
              <w:pStyle w:val="15"/>
              <w:rPr>
                <w:color w:val="auto"/>
                <w:highlight w:val="none"/>
              </w:rPr>
            </w:pPr>
            <w:r>
              <w:rPr>
                <w:rFonts w:hint="eastAsia"/>
                <w:color w:val="auto"/>
                <w:highlight w:val="none"/>
              </w:rPr>
              <w:t>1</w:t>
            </w:r>
            <w:r>
              <w:rPr>
                <w:rFonts w:hint="eastAsia" w:ascii="宋体" w:hAnsi="宋体"/>
                <w:color w:val="auto"/>
                <w:highlight w:val="none"/>
              </w:rPr>
              <w:t>）大气：园区实时空气质量、园区风向风速、园区空气质量同比环比、空气质量变化趋势、厂界站</w:t>
            </w:r>
            <w:r>
              <w:rPr>
                <w:rFonts w:hint="eastAsia" w:cs="Calibri"/>
                <w:color w:val="auto"/>
                <w:highlight w:val="none"/>
              </w:rPr>
              <w:t>-</w:t>
            </w:r>
            <w:r>
              <w:rPr>
                <w:rFonts w:hint="eastAsia" w:ascii="宋体" w:hAnsi="宋体"/>
                <w:color w:val="auto"/>
                <w:highlight w:val="none"/>
              </w:rPr>
              <w:t>敏感点分析。</w:t>
            </w:r>
          </w:p>
          <w:p>
            <w:pPr>
              <w:pStyle w:val="15"/>
              <w:rPr>
                <w:color w:val="auto"/>
                <w:highlight w:val="none"/>
              </w:rPr>
            </w:pPr>
            <w:r>
              <w:rPr>
                <w:rFonts w:hint="eastAsia"/>
                <w:color w:val="auto"/>
                <w:highlight w:val="none"/>
              </w:rPr>
              <w:t>2</w:t>
            </w:r>
            <w:r>
              <w:rPr>
                <w:rFonts w:hint="eastAsia" w:ascii="宋体" w:hAnsi="宋体"/>
                <w:color w:val="auto"/>
                <w:highlight w:val="none"/>
              </w:rPr>
              <w:t>）通过园区废气因子排放量排名前</w:t>
            </w:r>
            <w:r>
              <w:rPr>
                <w:rFonts w:hint="eastAsia" w:cs="Calibri"/>
                <w:color w:val="auto"/>
                <w:highlight w:val="none"/>
              </w:rPr>
              <w:t>5</w:t>
            </w:r>
            <w:r>
              <w:rPr>
                <w:rFonts w:hint="eastAsia" w:ascii="宋体" w:hAnsi="宋体"/>
                <w:color w:val="auto"/>
                <w:highlight w:val="none"/>
              </w:rPr>
              <w:t>的企业和变化趋势图、超标因子的分布和超标次数的变化趋势掌握园区废气排放情况。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2</w:t>
            </w:r>
          </w:p>
        </w:tc>
        <w:tc>
          <w:tcPr>
            <w:tcW w:w="12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报表中心</w:t>
            </w:r>
          </w:p>
        </w:tc>
        <w:tc>
          <w:tcPr>
            <w:tcW w:w="758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报表中心根据业务需要制定各种报表，包括空气质量报表、污染源废气和废水的总量分析报表。</w:t>
            </w:r>
          </w:p>
        </w:tc>
      </w:tr>
    </w:tbl>
    <w:p>
      <w:pPr>
        <w:pStyle w:val="5"/>
        <w:rPr>
          <w:color w:val="auto"/>
          <w:highlight w:val="none"/>
        </w:rPr>
      </w:pPr>
      <w:r>
        <w:rPr>
          <w:rFonts w:hint="eastAsia"/>
          <w:color w:val="auto"/>
          <w:highlight w:val="none"/>
        </w:rPr>
        <w:t>污染溯源系统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综合利用园区各类监控预警数据、气象数据，建设园区、企业特征因子库，对园区环境质量监测数据和污染排放监测数据进行实时跟踪溯源，帮助园区管理者快速、准确的锁定污染源头，实现“说得清、管得住、行得通”的排放管理新模式。</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229"/>
        <w:gridCol w:w="7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229"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7677"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22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溯源分析</w:t>
            </w:r>
          </w:p>
        </w:tc>
        <w:tc>
          <w:tcPr>
            <w:tcW w:w="767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系统集成方位溯源、厂界溯源、源强溯源三个模式。</w:t>
            </w:r>
          </w:p>
          <w:p>
            <w:pPr>
              <w:rPr>
                <w:rFonts w:ascii="宋体" w:hAnsi="宋体"/>
                <w:color w:val="auto"/>
                <w:sz w:val="21"/>
                <w:szCs w:val="21"/>
                <w:highlight w:val="none"/>
              </w:rPr>
            </w:pPr>
            <w:r>
              <w:rPr>
                <w:rFonts w:hint="eastAsia" w:ascii="宋体" w:hAnsi="宋体"/>
                <w:color w:val="auto"/>
                <w:sz w:val="21"/>
                <w:szCs w:val="21"/>
                <w:highlight w:val="none"/>
              </w:rPr>
              <w:t xml:space="preserve">方位溯源利用受体点的风速风向、企业特征因子库、排放量，筛选污染企业。 </w:t>
            </w:r>
          </w:p>
          <w:p>
            <w:pPr>
              <w:rPr>
                <w:rFonts w:ascii="宋体" w:hAnsi="宋体"/>
                <w:color w:val="auto"/>
                <w:sz w:val="21"/>
                <w:szCs w:val="21"/>
                <w:highlight w:val="none"/>
              </w:rPr>
            </w:pPr>
            <w:r>
              <w:rPr>
                <w:rFonts w:hint="eastAsia" w:ascii="宋体" w:hAnsi="宋体"/>
                <w:color w:val="auto"/>
                <w:sz w:val="21"/>
                <w:szCs w:val="21"/>
                <w:highlight w:val="none"/>
              </w:rPr>
              <w:t>厂界溯源利用受体点经纬度，根据受体点的风速、风向、污染物浓度跳变情况，筛选污染企业。</w:t>
            </w:r>
          </w:p>
          <w:p>
            <w:pPr>
              <w:rPr>
                <w:rFonts w:ascii="宋体" w:hAnsi="宋体"/>
                <w:color w:val="auto"/>
                <w:sz w:val="21"/>
                <w:szCs w:val="21"/>
                <w:highlight w:val="none"/>
              </w:rPr>
            </w:pPr>
            <w:r>
              <w:rPr>
                <w:rFonts w:hint="eastAsia" w:ascii="宋体" w:hAnsi="宋体"/>
                <w:color w:val="auto"/>
                <w:sz w:val="21"/>
                <w:szCs w:val="21"/>
                <w:highlight w:val="none"/>
              </w:rPr>
              <w:t>源强溯源利用受体点经纬度，根据排口的风速、风向、污染物排放强度，产生污染的天气情况，筛选污染排口。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22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数据分析</w:t>
            </w:r>
          </w:p>
        </w:tc>
        <w:tc>
          <w:tcPr>
            <w:tcW w:w="767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地图默认展示大气环境点位状态，根据不同状态，显示不同颜色。</w:t>
            </w:r>
          </w:p>
          <w:p>
            <w:pPr>
              <w:rPr>
                <w:rFonts w:ascii="宋体" w:hAnsi="宋体"/>
                <w:color w:val="auto"/>
                <w:sz w:val="21"/>
                <w:szCs w:val="21"/>
                <w:highlight w:val="none"/>
              </w:rPr>
            </w:pPr>
            <w:r>
              <w:rPr>
                <w:rFonts w:hint="eastAsia" w:ascii="宋体" w:hAnsi="宋体"/>
                <w:color w:val="auto"/>
                <w:sz w:val="21"/>
                <w:szCs w:val="21"/>
                <w:highlight w:val="none"/>
              </w:rPr>
              <w:t>可查看环境点位各因子的均值以及变化趋势，以折线图形式展示溯源时间段内，点位同一因子的变化和对比情况，并用红线标识出标准值的范围，支持废气排口GIS显示。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22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事件管理</w:t>
            </w:r>
          </w:p>
        </w:tc>
        <w:tc>
          <w:tcPr>
            <w:tcW w:w="767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系统应支持对溯源事件进行管理，可处理、查看、删除溯源事件；列表展示全部事件，可进行查询。</w:t>
            </w:r>
          </w:p>
        </w:tc>
      </w:tr>
    </w:tbl>
    <w:p>
      <w:pPr>
        <w:pStyle w:val="3"/>
        <w:rPr>
          <w:color w:val="auto"/>
          <w:szCs w:val="32"/>
          <w:highlight w:val="none"/>
        </w:rPr>
      </w:pPr>
      <w:r>
        <w:rPr>
          <w:rFonts w:hint="eastAsia"/>
          <w:color w:val="auto"/>
          <w:highlight w:val="none"/>
        </w:rPr>
        <w:t>安全监管</w:t>
      </w:r>
    </w:p>
    <w:p>
      <w:pPr>
        <w:pStyle w:val="4"/>
        <w:rPr>
          <w:color w:val="auto"/>
          <w:highlight w:val="none"/>
        </w:rPr>
      </w:pPr>
      <w:r>
        <w:rPr>
          <w:rFonts w:hint="eastAsia"/>
          <w:color w:val="auto"/>
          <w:highlight w:val="none"/>
        </w:rPr>
        <w:t>园区安全生产监管平台</w:t>
      </w:r>
    </w:p>
    <w:p>
      <w:pPr>
        <w:pStyle w:val="5"/>
        <w:rPr>
          <w:color w:val="auto"/>
          <w:highlight w:val="none"/>
        </w:rPr>
      </w:pPr>
      <w:r>
        <w:rPr>
          <w:rFonts w:hint="eastAsia"/>
          <w:color w:val="auto"/>
          <w:highlight w:val="none"/>
        </w:rPr>
        <w:t>危险源企业厂区二维建模</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展示企业厂区内部重大危险源、监控视频的分布情况，显示企业的厂区平面图和重大危险源的所处位置，点击重大危险源可以查看重大危险源的基本信息、危化品存储信息、监控数据及报警信息。</w:t>
      </w:r>
    </w:p>
    <w:p>
      <w:pPr>
        <w:pStyle w:val="5"/>
        <w:rPr>
          <w:color w:val="auto"/>
          <w:highlight w:val="none"/>
        </w:rPr>
      </w:pPr>
      <w:r>
        <w:rPr>
          <w:rFonts w:hint="eastAsia"/>
          <w:color w:val="auto"/>
          <w:highlight w:val="none"/>
        </w:rPr>
        <w:t>企业危险源数据采集协议</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通过定制化开发协议接口采集企业危险源的仪表传感监测数据，并将数据上报至园区平台。</w:t>
      </w:r>
    </w:p>
    <w:p>
      <w:pPr>
        <w:pStyle w:val="5"/>
        <w:rPr>
          <w:color w:val="auto"/>
          <w:highlight w:val="none"/>
        </w:rPr>
      </w:pPr>
      <w:r>
        <w:rPr>
          <w:rFonts w:hint="eastAsia"/>
          <w:color w:val="auto"/>
          <w:highlight w:val="none"/>
        </w:rPr>
        <w:t>危险源视频智能分析</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视频智能分析系统可以对视频图像进行智能分析，对可能发生的风险进行自动报警，主要包括对火焰的监测报警、对烟雾的侦测报警、针对可疑人员的徘徊侦测报警、对禁区非法闯入的安全区域侦测报警等。</w:t>
      </w:r>
    </w:p>
    <w:p>
      <w:pPr>
        <w:pStyle w:val="5"/>
        <w:rPr>
          <w:color w:val="auto"/>
          <w:highlight w:val="none"/>
        </w:rPr>
      </w:pPr>
      <w:r>
        <w:rPr>
          <w:rFonts w:hint="eastAsia"/>
          <w:color w:val="auto"/>
          <w:highlight w:val="none"/>
        </w:rPr>
        <w:t>危险源在线监控及事故预警系统</w:t>
      </w:r>
    </w:p>
    <w:p>
      <w:pPr>
        <w:pStyle w:val="6"/>
        <w:rPr>
          <w:color w:val="auto"/>
          <w:highlight w:val="none"/>
        </w:rPr>
      </w:pPr>
      <w:r>
        <w:rPr>
          <w:rFonts w:hint="eastAsia"/>
          <w:color w:val="auto"/>
          <w:highlight w:val="none"/>
        </w:rPr>
        <w:t>建设内容</w:t>
      </w:r>
    </w:p>
    <w:tbl>
      <w:tblPr>
        <w:tblStyle w:val="9"/>
        <w:tblW w:w="9628" w:type="dxa"/>
        <w:tblInd w:w="0" w:type="dxa"/>
        <w:tblLayout w:type="fixed"/>
        <w:tblCellMar>
          <w:top w:w="0" w:type="dxa"/>
          <w:left w:w="108" w:type="dxa"/>
          <w:bottom w:w="0" w:type="dxa"/>
          <w:right w:w="108" w:type="dxa"/>
        </w:tblCellMar>
      </w:tblPr>
      <w:tblGrid>
        <w:gridCol w:w="724"/>
        <w:gridCol w:w="1217"/>
        <w:gridCol w:w="7687"/>
      </w:tblGrid>
      <w:tr>
        <w:tblPrEx>
          <w:tblCellMar>
            <w:top w:w="0" w:type="dxa"/>
            <w:left w:w="108" w:type="dxa"/>
            <w:bottom w:w="0" w:type="dxa"/>
            <w:right w:w="108" w:type="dxa"/>
          </w:tblCellMar>
        </w:tblPrEx>
        <w:trPr>
          <w:trHeight w:val="28"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217"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7687"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CellMar>
            <w:top w:w="0" w:type="dxa"/>
            <w:left w:w="108" w:type="dxa"/>
            <w:bottom w:w="0" w:type="dxa"/>
            <w:right w:w="108" w:type="dxa"/>
          </w:tblCellMar>
        </w:tblPrEx>
        <w:trPr>
          <w:trHeight w:val="28" w:hRule="atLeast"/>
        </w:trPr>
        <w:tc>
          <w:tcPr>
            <w:tcW w:w="724" w:type="dxa"/>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217"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综合展示</w:t>
            </w:r>
          </w:p>
        </w:tc>
        <w:tc>
          <w:tcPr>
            <w:tcW w:w="7687"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综合展示不同企业的重大危险源及报警相关统计信息</w:t>
            </w:r>
          </w:p>
        </w:tc>
      </w:tr>
      <w:tr>
        <w:tblPrEx>
          <w:tblCellMar>
            <w:top w:w="0" w:type="dxa"/>
            <w:left w:w="108" w:type="dxa"/>
            <w:bottom w:w="0" w:type="dxa"/>
            <w:right w:w="108" w:type="dxa"/>
          </w:tblCellMar>
        </w:tblPrEx>
        <w:trPr>
          <w:trHeight w:val="90" w:hRule="atLeast"/>
        </w:trPr>
        <w:tc>
          <w:tcPr>
            <w:tcW w:w="724"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217" w:type="dxa"/>
            <w:vMerge w:val="restart"/>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实时监测</w:t>
            </w:r>
          </w:p>
        </w:tc>
        <w:tc>
          <w:tcPr>
            <w:tcW w:w="768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1、GIS地图</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实现在地图上展示企业、重大危险源、监控视频的分布情况</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2、实时一览</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包括对重大危险源监控设备参数，可以根据筛选条件进行查询和导出</w:t>
            </w:r>
          </w:p>
        </w:tc>
      </w:tr>
      <w:tr>
        <w:tblPrEx>
          <w:tblCellMar>
            <w:top w:w="0" w:type="dxa"/>
            <w:left w:w="108" w:type="dxa"/>
            <w:bottom w:w="0" w:type="dxa"/>
            <w:right w:w="108" w:type="dxa"/>
          </w:tblCellMar>
        </w:tblPrEx>
        <w:trPr>
          <w:trHeight w:val="28" w:hRule="atLeast"/>
        </w:trPr>
        <w:tc>
          <w:tcPr>
            <w:tcW w:w="724" w:type="dxa"/>
            <w:vMerge w:val="restart"/>
            <w:tcBorders>
              <w:top w:val="nil"/>
              <w:left w:val="single" w:color="auto" w:sz="4" w:space="0"/>
              <w:bottom w:val="single" w:color="000000"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217" w:type="dxa"/>
            <w:vMerge w:val="restart"/>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视频监控</w:t>
            </w:r>
          </w:p>
        </w:tc>
        <w:tc>
          <w:tcPr>
            <w:tcW w:w="768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1、实时视频</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对重大危险源监控区域进行视频展示</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2、历史视频</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对重大危险源监控区域历史录像进行查询</w:t>
            </w:r>
          </w:p>
        </w:tc>
      </w:tr>
      <w:tr>
        <w:tblPrEx>
          <w:tblCellMar>
            <w:top w:w="0" w:type="dxa"/>
            <w:left w:w="108" w:type="dxa"/>
            <w:bottom w:w="0" w:type="dxa"/>
            <w:right w:w="108" w:type="dxa"/>
          </w:tblCellMar>
        </w:tblPrEx>
        <w:trPr>
          <w:trHeight w:val="28" w:hRule="atLeast"/>
        </w:trPr>
        <w:tc>
          <w:tcPr>
            <w:tcW w:w="724" w:type="dxa"/>
            <w:vMerge w:val="restart"/>
            <w:tcBorders>
              <w:top w:val="nil"/>
              <w:left w:val="single" w:color="auto" w:sz="4" w:space="0"/>
              <w:bottom w:val="nil"/>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217" w:type="dxa"/>
            <w:vMerge w:val="restart"/>
            <w:tcBorders>
              <w:top w:val="nil"/>
              <w:left w:val="nil"/>
              <w:bottom w:val="nil"/>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报警管理</w:t>
            </w:r>
          </w:p>
        </w:tc>
        <w:tc>
          <w:tcPr>
            <w:tcW w:w="7687"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1、超限报警</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nil"/>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nil"/>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对重大危险源监测的一级报警、二级报警数据进行管理</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nil"/>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nil"/>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2、监管报警</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nil"/>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nil"/>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系统对超限报警信息进行分析，对存在的风险情况进行预警</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nil"/>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nil"/>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3、视频报警</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nil"/>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nil"/>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对视频监控发现风险情况进行报警登记并进行处理</w:t>
            </w:r>
          </w:p>
        </w:tc>
      </w:tr>
      <w:tr>
        <w:tblPrEx>
          <w:tblCellMar>
            <w:top w:w="0" w:type="dxa"/>
            <w:left w:w="108" w:type="dxa"/>
            <w:bottom w:w="0" w:type="dxa"/>
            <w:right w:w="108" w:type="dxa"/>
          </w:tblCellMar>
        </w:tblPrEx>
        <w:trPr>
          <w:trHeight w:val="28" w:hRule="atLeast"/>
        </w:trPr>
        <w:tc>
          <w:tcPr>
            <w:tcW w:w="724" w:type="dxa"/>
            <w:vMerge w:val="restart"/>
            <w:tcBorders>
              <w:top w:val="nil"/>
              <w:left w:val="single" w:color="auto" w:sz="4" w:space="0"/>
              <w:bottom w:val="single" w:color="000000"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217" w:type="dxa"/>
            <w:vMerge w:val="restart"/>
            <w:tcBorders>
              <w:top w:val="nil"/>
              <w:left w:val="nil"/>
              <w:bottom w:val="single" w:color="000000"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统计分析</w:t>
            </w:r>
          </w:p>
        </w:tc>
        <w:tc>
          <w:tcPr>
            <w:tcW w:w="7687"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1、重大危险源信息统计</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统计各重点行业一至四级重大危险源的数量</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nil"/>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2、重大危险源报警信息统计</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nil"/>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通过对行业、时间段进行筛选，得出相应的重大危险源报警数量</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nil"/>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3、报警监测设备统计</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nil"/>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对企业报警监测设备的数量、接入情况、在线率等信息进行统计和分析</w:t>
            </w:r>
          </w:p>
        </w:tc>
      </w:tr>
      <w:tr>
        <w:tblPrEx>
          <w:tblCellMar>
            <w:top w:w="0" w:type="dxa"/>
            <w:left w:w="108" w:type="dxa"/>
            <w:bottom w:w="0" w:type="dxa"/>
            <w:right w:w="108" w:type="dxa"/>
          </w:tblCellMar>
        </w:tblPrEx>
        <w:trPr>
          <w:trHeight w:val="28" w:hRule="atLeast"/>
        </w:trPr>
        <w:tc>
          <w:tcPr>
            <w:tcW w:w="724"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217" w:type="dxa"/>
            <w:vMerge w:val="restart"/>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信息管理</w:t>
            </w:r>
          </w:p>
        </w:tc>
        <w:tc>
          <w:tcPr>
            <w:tcW w:w="7687"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1、企业信息</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对监管企业的企业信息进行登记和管理</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2、重大危险源备案</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对监管企业的重大危险源信息情况进行备案登记和管理</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3、监测设备信息</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对企业监测设备信息进行登记和管理</w:t>
            </w:r>
          </w:p>
        </w:tc>
      </w:tr>
      <w:tr>
        <w:tblPrEx>
          <w:tblCellMar>
            <w:top w:w="0" w:type="dxa"/>
            <w:left w:w="108" w:type="dxa"/>
            <w:bottom w:w="0" w:type="dxa"/>
            <w:right w:w="108" w:type="dxa"/>
          </w:tblCellMar>
        </w:tblPrEx>
        <w:trPr>
          <w:trHeight w:val="28" w:hRule="atLeast"/>
        </w:trPr>
        <w:tc>
          <w:tcPr>
            <w:tcW w:w="724"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1217" w:type="dxa"/>
            <w:vMerge w:val="restart"/>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系统配置</w:t>
            </w:r>
          </w:p>
        </w:tc>
        <w:tc>
          <w:tcPr>
            <w:tcW w:w="7687"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1、报警设置</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设置企业监测设备的超限报警阈值等信息，设置监管报警规则和通知对象等信息</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2、视频配置</w:t>
            </w:r>
          </w:p>
        </w:tc>
      </w:tr>
      <w:tr>
        <w:tblPrEx>
          <w:tblCellMar>
            <w:top w:w="0" w:type="dxa"/>
            <w:left w:w="108" w:type="dxa"/>
            <w:bottom w:w="0" w:type="dxa"/>
            <w:right w:w="108" w:type="dxa"/>
          </w:tblCellMar>
        </w:tblPrEx>
        <w:trPr>
          <w:trHeight w:val="28"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17"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687"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设置视频设备的基本信息和接入信息</w:t>
            </w:r>
          </w:p>
        </w:tc>
      </w:tr>
    </w:tbl>
    <w:p>
      <w:pPr>
        <w:ind w:firstLine="480"/>
        <w:rPr>
          <w:rFonts w:ascii="宋体" w:hAnsi="宋体"/>
          <w:color w:val="auto"/>
          <w:szCs w:val="28"/>
          <w:highlight w:val="none"/>
        </w:rPr>
      </w:pPr>
      <w:r>
        <w:rPr>
          <w:rFonts w:hint="eastAsia" w:ascii="宋体" w:hAnsi="宋体"/>
          <w:color w:val="auto"/>
          <w:highlight w:val="none"/>
        </w:rPr>
        <w:t xml:space="preserve"> </w:t>
      </w:r>
    </w:p>
    <w:p>
      <w:pPr>
        <w:pStyle w:val="6"/>
        <w:rPr>
          <w:color w:val="auto"/>
          <w:highlight w:val="none"/>
        </w:rPr>
      </w:pPr>
      <w:r>
        <w:rPr>
          <w:rFonts w:hint="eastAsia"/>
          <w:color w:val="auto"/>
          <w:highlight w:val="none"/>
        </w:rPr>
        <w:t>物联网主机硬件技术要求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物联网主机应可以支持企业现场安全生产数据实时上传至园区智慧安监平台，具有多个标准接口，可接驳模拟摄像机、网络摄像机、网络快球等，支持本地模拟量数据监测、超限报警；支持开关量报警量输入，具有防剪、防短功能；支持报警输出，输出时间可控，并支持报警联动输出，可实现数据的存储等功能。</w:t>
      </w:r>
    </w:p>
    <w:tbl>
      <w:tblPr>
        <w:tblStyle w:val="9"/>
        <w:tblW w:w="9628" w:type="dxa"/>
        <w:tblInd w:w="0" w:type="dxa"/>
        <w:tblLayout w:type="fixed"/>
        <w:tblCellMar>
          <w:top w:w="0" w:type="dxa"/>
          <w:left w:w="108" w:type="dxa"/>
          <w:bottom w:w="0" w:type="dxa"/>
          <w:right w:w="108" w:type="dxa"/>
        </w:tblCellMar>
      </w:tblPr>
      <w:tblGrid>
        <w:gridCol w:w="1217"/>
        <w:gridCol w:w="8411"/>
      </w:tblGrid>
      <w:tr>
        <w:tblPrEx>
          <w:tblCellMar>
            <w:top w:w="0" w:type="dxa"/>
            <w:left w:w="108" w:type="dxa"/>
            <w:bottom w:w="0" w:type="dxa"/>
            <w:right w:w="108" w:type="dxa"/>
          </w:tblCellMar>
        </w:tblPrEx>
        <w:trPr>
          <w:trHeight w:val="283" w:hRule="atLeast"/>
        </w:trPr>
        <w:tc>
          <w:tcPr>
            <w:tcW w:w="1217"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宋体" w:hAnsi="宋体"/>
                <w:b/>
                <w:bCs/>
                <w:color w:val="auto"/>
                <w:highlight w:val="none"/>
              </w:rPr>
            </w:pPr>
            <w:r>
              <w:rPr>
                <w:rFonts w:hint="eastAsia" w:ascii="宋体" w:hAnsi="宋体"/>
                <w:b/>
                <w:bCs/>
                <w:color w:val="auto"/>
                <w:highlight w:val="none"/>
              </w:rPr>
              <w:t>产品</w:t>
            </w:r>
          </w:p>
        </w:tc>
        <w:tc>
          <w:tcPr>
            <w:tcW w:w="8411" w:type="dxa"/>
            <w:tcBorders>
              <w:top w:val="single" w:color="auto" w:sz="4" w:space="0"/>
              <w:left w:val="nil"/>
              <w:bottom w:val="single" w:color="auto" w:sz="4" w:space="0"/>
              <w:right w:val="single" w:color="auto" w:sz="4" w:space="0"/>
            </w:tcBorders>
            <w:vAlign w:val="center"/>
          </w:tcPr>
          <w:p>
            <w:pPr>
              <w:pStyle w:val="14"/>
              <w:jc w:val="center"/>
              <w:rPr>
                <w:rFonts w:ascii="宋体" w:hAnsi="宋体"/>
                <w:b/>
                <w:bCs/>
                <w:color w:val="auto"/>
                <w:highlight w:val="none"/>
              </w:rPr>
            </w:pPr>
            <w:r>
              <w:rPr>
                <w:rFonts w:hint="eastAsia" w:ascii="宋体" w:hAnsi="宋体"/>
                <w:b/>
                <w:bCs/>
                <w:color w:val="auto"/>
                <w:highlight w:val="none"/>
              </w:rPr>
              <w:t>技术指标要求</w:t>
            </w:r>
          </w:p>
        </w:tc>
      </w:tr>
      <w:tr>
        <w:tblPrEx>
          <w:tblCellMar>
            <w:top w:w="0" w:type="dxa"/>
            <w:left w:w="108" w:type="dxa"/>
            <w:bottom w:w="0" w:type="dxa"/>
            <w:right w:w="108" w:type="dxa"/>
          </w:tblCellMar>
        </w:tblPrEx>
        <w:trPr>
          <w:trHeight w:val="283" w:hRule="atLeast"/>
        </w:trPr>
        <w:tc>
          <w:tcPr>
            <w:tcW w:w="121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重大危险源安全监控物联网主机</w:t>
            </w:r>
          </w:p>
        </w:tc>
        <w:tc>
          <w:tcPr>
            <w:tcW w:w="841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olor w:val="auto"/>
                <w:sz w:val="21"/>
                <w:szCs w:val="21"/>
                <w:highlight w:val="none"/>
              </w:rPr>
              <w:t>支持至少8路模拟量数据采集，并可通过网络上传到软件平台，支持至少16路开关量输入并可通过网络上传到软件平台，支持至少</w:t>
            </w:r>
            <w:r>
              <w:rPr>
                <w:rFonts w:ascii="宋体" w:hAnsi="宋体"/>
                <w:color w:val="auto"/>
                <w:sz w:val="21"/>
                <w:szCs w:val="21"/>
                <w:highlight w:val="none"/>
              </w:rPr>
              <w:t>8路独立RS-485数据通信功能</w:t>
            </w:r>
            <w:r>
              <w:rPr>
                <w:rFonts w:hint="eastAsia" w:ascii="宋体" w:hAnsi="宋体"/>
                <w:color w:val="auto"/>
                <w:sz w:val="21"/>
                <w:szCs w:val="21"/>
                <w:highlight w:val="none"/>
              </w:rPr>
              <w:t>，并可通过网络上传到软件平台；（提供国家安防产品质量检验中心的检测报告复印件并加盖公章）</w:t>
            </w:r>
          </w:p>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硬盘总容量不少于4TB，硬盘企业级7200转；</w:t>
            </w:r>
          </w:p>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所有模拟通道支持WD1实时编码；</w:t>
            </w:r>
          </w:p>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支持HDMI、VGA、CVBS同时输出，HDMI与VGA输出分辨率可达1920x1080p；</w:t>
            </w:r>
          </w:p>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支持冗余录像、假日录像和抓图计划配置；</w:t>
            </w:r>
          </w:p>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支持即时回放功能，在预览画面下对指定通道的当前录像进行回放，并且不影响其他通道预览；</w:t>
            </w:r>
          </w:p>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支持</w:t>
            </w:r>
            <w:r>
              <w:rPr>
                <w:rFonts w:hint="eastAsia" w:ascii="Times New Roman" w:hAnsi="Times New Roman" w:cs="Times New Roman" w:eastAsiaTheme="majorEastAsia"/>
                <w:color w:val="auto"/>
                <w:highlight w:val="none"/>
              </w:rPr>
              <w:t>至少</w:t>
            </w:r>
            <w:r>
              <w:rPr>
                <w:rFonts w:ascii="Times New Roman" w:hAnsi="Times New Roman" w:cs="Times New Roman" w:eastAsiaTheme="majorEastAsia"/>
                <w:color w:val="auto"/>
                <w:highlight w:val="none"/>
              </w:rPr>
              <w:t>16路WD1同步回放及多路同步倒放；</w:t>
            </w:r>
          </w:p>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支持标签定义、查询、回放录像文件；</w:t>
            </w:r>
          </w:p>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支持重要录像文件加锁保护功能；</w:t>
            </w:r>
          </w:p>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支持硬盘配额和硬盘盘组两种存储模式，可对不同通道分配不同的录像保存容量或周期；</w:t>
            </w:r>
          </w:p>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支持至少8个SATA接口，1个eSATA盘库，可用于录像和备份；</w:t>
            </w:r>
          </w:p>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双千兆网卡，支持网络容错、负载均衡以及双网络IP设定等应用；</w:t>
            </w:r>
          </w:p>
          <w:p>
            <w:pPr>
              <w:rPr>
                <w:rFonts w:ascii="宋体" w:hAnsi="宋体"/>
                <w:color w:val="auto"/>
                <w:sz w:val="21"/>
                <w:szCs w:val="21"/>
                <w:highlight w:val="none"/>
              </w:rPr>
            </w:pPr>
            <w:r>
              <w:rPr>
                <w:rFonts w:ascii="宋体" w:hAnsi="宋体"/>
                <w:color w:val="auto"/>
                <w:sz w:val="21"/>
                <w:szCs w:val="21"/>
                <w:highlight w:val="none"/>
              </w:rPr>
              <w:t>可安装危险源安全监控数据采集软件采集企业的危险源监测数据</w:t>
            </w:r>
            <w:r>
              <w:rPr>
                <w:rFonts w:hint="eastAsia" w:ascii="宋体" w:hAnsi="宋体"/>
                <w:color w:val="auto"/>
                <w:sz w:val="21"/>
                <w:szCs w:val="21"/>
                <w:highlight w:val="none"/>
              </w:rPr>
              <w:t>。</w:t>
            </w:r>
          </w:p>
        </w:tc>
      </w:tr>
    </w:tbl>
    <w:p>
      <w:pPr>
        <w:pStyle w:val="5"/>
        <w:rPr>
          <w:color w:val="auto"/>
          <w:highlight w:val="none"/>
        </w:rPr>
      </w:pPr>
      <w:r>
        <w:rPr>
          <w:rFonts w:hint="eastAsia"/>
          <w:color w:val="auto"/>
          <w:highlight w:val="none"/>
        </w:rPr>
        <w:t>风险分级管控及隐患排查治理系统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系统根据《关于实施遏制重特大事故工作指南构建双重预防机制的意见》（安委办〔2016〕11号）、《关于实施遏制重特大事故工作指南全面加强安全生产源头管控和安全准入工作的指导意见》（安委办〔2017〕7号）等法规、标准、规范的要求建设。</w:t>
      </w:r>
    </w:p>
    <w:p>
      <w:pPr>
        <w:spacing w:line="360" w:lineRule="auto"/>
        <w:ind w:firstLine="480"/>
        <w:rPr>
          <w:rFonts w:ascii="宋体" w:hAnsi="宋体"/>
          <w:color w:val="auto"/>
          <w:sz w:val="24"/>
          <w:szCs w:val="24"/>
          <w:highlight w:val="none"/>
        </w:rPr>
      </w:pPr>
    </w:p>
    <w:tbl>
      <w:tblPr>
        <w:tblStyle w:val="9"/>
        <w:tblW w:w="9628" w:type="dxa"/>
        <w:tblInd w:w="0" w:type="dxa"/>
        <w:tblLayout w:type="fixed"/>
        <w:tblCellMar>
          <w:top w:w="0" w:type="dxa"/>
          <w:left w:w="108" w:type="dxa"/>
          <w:bottom w:w="0" w:type="dxa"/>
          <w:right w:w="108" w:type="dxa"/>
        </w:tblCellMar>
      </w:tblPr>
      <w:tblGrid>
        <w:gridCol w:w="798"/>
        <w:gridCol w:w="1284"/>
        <w:gridCol w:w="7546"/>
      </w:tblGrid>
      <w:tr>
        <w:tblPrEx>
          <w:tblCellMar>
            <w:top w:w="0" w:type="dxa"/>
            <w:left w:w="108" w:type="dxa"/>
            <w:bottom w:w="0" w:type="dxa"/>
            <w:right w:w="108" w:type="dxa"/>
          </w:tblCellMar>
        </w:tblPrEx>
        <w:trPr>
          <w:trHeight w:val="28" w:hRule="atLeast"/>
        </w:trPr>
        <w:tc>
          <w:tcPr>
            <w:tcW w:w="7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284"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7546"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CellMar>
            <w:top w:w="0" w:type="dxa"/>
            <w:left w:w="108" w:type="dxa"/>
            <w:bottom w:w="0" w:type="dxa"/>
            <w:right w:w="108" w:type="dxa"/>
          </w:tblCellMar>
        </w:tblPrEx>
        <w:trPr>
          <w:trHeight w:val="28" w:hRule="atLeast"/>
        </w:trPr>
        <w:tc>
          <w:tcPr>
            <w:tcW w:w="798" w:type="dxa"/>
            <w:tcBorders>
              <w:top w:val="nil"/>
              <w:left w:val="single" w:color="auto" w:sz="4" w:space="0"/>
              <w:bottom w:val="single" w:color="000000"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284"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综合展示</w:t>
            </w: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包括企业风险分布图、风险统计汇总、隐患工作开展情况汇总、工作提醒、通知公告等信息</w:t>
            </w:r>
          </w:p>
        </w:tc>
      </w:tr>
      <w:tr>
        <w:tblPrEx>
          <w:tblCellMar>
            <w:top w:w="0" w:type="dxa"/>
            <w:left w:w="108" w:type="dxa"/>
            <w:bottom w:w="0" w:type="dxa"/>
            <w:right w:w="108" w:type="dxa"/>
          </w:tblCellMar>
        </w:tblPrEx>
        <w:trPr>
          <w:trHeight w:val="28" w:hRule="atLeast"/>
        </w:trPr>
        <w:tc>
          <w:tcPr>
            <w:tcW w:w="798" w:type="dxa"/>
            <w:tcBorders>
              <w:top w:val="nil"/>
              <w:left w:val="single" w:color="auto" w:sz="4" w:space="0"/>
              <w:bottom w:val="single" w:color="000000"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284"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企业信息管理</w:t>
            </w: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包括企业基本信息管理、注册企业审核、企业平面图维护等</w:t>
            </w:r>
          </w:p>
        </w:tc>
      </w:tr>
      <w:tr>
        <w:tblPrEx>
          <w:tblCellMar>
            <w:top w:w="0" w:type="dxa"/>
            <w:left w:w="108" w:type="dxa"/>
            <w:bottom w:w="0" w:type="dxa"/>
            <w:right w:w="108" w:type="dxa"/>
          </w:tblCellMar>
        </w:tblPrEx>
        <w:trPr>
          <w:trHeight w:val="28" w:hRule="atLeast"/>
        </w:trPr>
        <w:tc>
          <w:tcPr>
            <w:tcW w:w="798"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284" w:type="dxa"/>
            <w:vMerge w:val="restart"/>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企业风险管控</w:t>
            </w: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1、风险点登记台账</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企业对企业内部进行风险点划分和风险评估，登记风险点信息和风险评估信息，形成风险点登记台账</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2、风险分级管控清单</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企业对划分的风险点进行危险源辨识，进行风险评价，确定风险等级。最终针对各个危险源制定风险管控措施，落实责任人，形成企业风险分级管控清单</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3、企业风险管控制度</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企业依据行业安全风险管控标准，结合自身工艺、设备、设施、管理、作业等特点，定制企业风险管控标准</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4、风险管控统计</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包括风险点分类统计、危险源分类统计、风险分级对比分析等功能</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5、风险分级监管</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建立“红橙黄蓝”四色预警监管模式，将对不同级别的风险落实到园区安监部门，实现企业风险监管体系化管控</w:t>
            </w:r>
          </w:p>
        </w:tc>
      </w:tr>
      <w:tr>
        <w:tblPrEx>
          <w:tblCellMar>
            <w:top w:w="0" w:type="dxa"/>
            <w:left w:w="108" w:type="dxa"/>
            <w:bottom w:w="0" w:type="dxa"/>
            <w:right w:w="108" w:type="dxa"/>
          </w:tblCellMar>
        </w:tblPrEx>
        <w:trPr>
          <w:trHeight w:val="28" w:hRule="atLeast"/>
        </w:trPr>
        <w:tc>
          <w:tcPr>
            <w:tcW w:w="798" w:type="dxa"/>
            <w:vMerge w:val="restart"/>
            <w:tcBorders>
              <w:top w:val="nil"/>
              <w:left w:val="single" w:color="auto" w:sz="4" w:space="0"/>
              <w:bottom w:val="single" w:color="000000"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284" w:type="dxa"/>
            <w:vMerge w:val="restart"/>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隐患排查治理</w:t>
            </w: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1、执法检查隐患管理</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对执法检查的一般隐患和重大隐患排查治理的全流程闭环管理。包括隐患登记、隐患推送、隐患整改、隐患复查</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2、自查自报隐患管理</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企业把日常隐患排查治理情况登记上报到系统中，监管部门可以查看企业自主开展隐患排查治理的情况</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3、隐患排查清单</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根据企业各个风险点风险分级结果由企业制定针对各个风险点的隐患排查清单。可以实时维护和更新</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4、隐患台账</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对政府检查隐患和企业自查自报隐患整合形成企业隐患台账。可以按时间、按类别，按整改状态等筛选隐患数据，导出隐患台账数据</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5、隐患督办</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针对重大隐患可以挂牌督办，由企业实施整改处理，对隐患治理情况组织评估，形成评估报告，提交给安监部门申请验收，由安监部门组织验收复查</w:t>
            </w:r>
          </w:p>
        </w:tc>
      </w:tr>
      <w:tr>
        <w:tblPrEx>
          <w:tblCellMar>
            <w:top w:w="0" w:type="dxa"/>
            <w:left w:w="108" w:type="dxa"/>
            <w:bottom w:w="0" w:type="dxa"/>
            <w:right w:w="108" w:type="dxa"/>
          </w:tblCellMar>
        </w:tblPrEx>
        <w:trPr>
          <w:trHeight w:val="28" w:hRule="atLeast"/>
        </w:trPr>
        <w:tc>
          <w:tcPr>
            <w:tcW w:w="7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284"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GIS地图</w:t>
            </w:r>
          </w:p>
        </w:tc>
        <w:tc>
          <w:tcPr>
            <w:tcW w:w="754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将企业安全生产风险分类分级、隐患排查治理与地理信息融合，以GIS专题图分析方式，按照风险等级展示各企业隐患排查治理情况</w:t>
            </w:r>
          </w:p>
        </w:tc>
      </w:tr>
      <w:tr>
        <w:tblPrEx>
          <w:tblCellMar>
            <w:top w:w="0" w:type="dxa"/>
            <w:left w:w="108" w:type="dxa"/>
            <w:bottom w:w="0" w:type="dxa"/>
            <w:right w:w="108" w:type="dxa"/>
          </w:tblCellMar>
        </w:tblPrEx>
        <w:trPr>
          <w:trHeight w:val="28" w:hRule="atLeast"/>
        </w:trPr>
        <w:tc>
          <w:tcPr>
            <w:tcW w:w="798" w:type="dxa"/>
            <w:tcBorders>
              <w:top w:val="single" w:color="auto" w:sz="4" w:space="0"/>
              <w:left w:val="single" w:color="auto" w:sz="4" w:space="0"/>
              <w:bottom w:val="single" w:color="000000"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284" w:type="dxa"/>
            <w:tcBorders>
              <w:top w:val="single" w:color="auto" w:sz="4" w:space="0"/>
              <w:left w:val="nil"/>
              <w:bottom w:val="single" w:color="000000"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统计分析</w:t>
            </w:r>
          </w:p>
        </w:tc>
        <w:tc>
          <w:tcPr>
            <w:tcW w:w="754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统计所辖范围内各行业参与隐患排查的情况，统计隐患的排查、整改、分类等情况，同时可对各行业隐患数、各等级隐患数、各类别隐患数进行对比，了解相关分布及趋势情况</w:t>
            </w:r>
          </w:p>
        </w:tc>
      </w:tr>
      <w:tr>
        <w:tblPrEx>
          <w:tblCellMar>
            <w:top w:w="0" w:type="dxa"/>
            <w:left w:w="108" w:type="dxa"/>
            <w:bottom w:w="0" w:type="dxa"/>
            <w:right w:w="108" w:type="dxa"/>
          </w:tblCellMar>
        </w:tblPrEx>
        <w:trPr>
          <w:trHeight w:val="28" w:hRule="atLeast"/>
        </w:trPr>
        <w:tc>
          <w:tcPr>
            <w:tcW w:w="798"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1284" w:type="dxa"/>
            <w:vMerge w:val="restart"/>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移动APP功能</w:t>
            </w: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1、风险分布图</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将企业安全生产风险分类分级、隐患排查治理与地理信息融合</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2、风险分级监管</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建立“红橙黄蓝”四色预警监管模式</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3、企业风险信息</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查看企业风险点、危险源的基本信息，风险评估、风险分级、企业风险分布图等信息</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4、执法检查隐患登记</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对企业行政执法检查时，把发现的隐患信息通过移动端登记到系统中</w:t>
            </w:r>
          </w:p>
        </w:tc>
      </w:tr>
      <w:tr>
        <w:tblPrEx>
          <w:tblCellMar>
            <w:top w:w="0" w:type="dxa"/>
            <w:left w:w="108" w:type="dxa"/>
            <w:bottom w:w="0" w:type="dxa"/>
            <w:right w:w="108" w:type="dxa"/>
          </w:tblCellMar>
        </w:tblPrEx>
        <w:trPr>
          <w:trHeight w:val="90"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5、隐患复查</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针对企业隐患整改后的情况进行复查，登记复查结果信息</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6、隐患排查清单</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隐患排查清单功能可以根据企业各个风险点风险分级结果由企业制定针对各个风险点的隐患排查清单</w:t>
            </w:r>
          </w:p>
        </w:tc>
      </w:tr>
    </w:tbl>
    <w:p>
      <w:pPr>
        <w:pStyle w:val="5"/>
        <w:rPr>
          <w:color w:val="auto"/>
          <w:highlight w:val="none"/>
        </w:rPr>
      </w:pPr>
      <w:r>
        <w:rPr>
          <w:rFonts w:hint="eastAsia"/>
          <w:color w:val="auto"/>
          <w:highlight w:val="none"/>
        </w:rPr>
        <w:t>安全生产行政执法系统</w:t>
      </w:r>
    </w:p>
    <w:p>
      <w:pPr>
        <w:pStyle w:val="6"/>
        <w:rPr>
          <w:color w:val="auto"/>
          <w:highlight w:val="none"/>
        </w:rPr>
      </w:pPr>
      <w:r>
        <w:rPr>
          <w:rFonts w:hint="eastAsia"/>
          <w:color w:val="auto"/>
          <w:highlight w:val="none"/>
        </w:rPr>
        <w:t>建设内容</w:t>
      </w:r>
    </w:p>
    <w:tbl>
      <w:tblPr>
        <w:tblStyle w:val="9"/>
        <w:tblW w:w="9628" w:type="dxa"/>
        <w:tblInd w:w="0" w:type="dxa"/>
        <w:tblLayout w:type="fixed"/>
        <w:tblCellMar>
          <w:top w:w="0" w:type="dxa"/>
          <w:left w:w="108" w:type="dxa"/>
          <w:bottom w:w="0" w:type="dxa"/>
          <w:right w:w="108" w:type="dxa"/>
        </w:tblCellMar>
      </w:tblPr>
      <w:tblGrid>
        <w:gridCol w:w="798"/>
        <w:gridCol w:w="1284"/>
        <w:gridCol w:w="7546"/>
      </w:tblGrid>
      <w:tr>
        <w:tblPrEx>
          <w:tblCellMar>
            <w:top w:w="0" w:type="dxa"/>
            <w:left w:w="108" w:type="dxa"/>
            <w:bottom w:w="0" w:type="dxa"/>
            <w:right w:w="108" w:type="dxa"/>
          </w:tblCellMar>
        </w:tblPrEx>
        <w:trPr>
          <w:trHeight w:val="255" w:hRule="atLeast"/>
        </w:trPr>
        <w:tc>
          <w:tcPr>
            <w:tcW w:w="7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284"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7546"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CellMar>
            <w:top w:w="0" w:type="dxa"/>
            <w:left w:w="108" w:type="dxa"/>
            <w:bottom w:w="0" w:type="dxa"/>
            <w:right w:w="108" w:type="dxa"/>
          </w:tblCellMar>
        </w:tblPrEx>
        <w:trPr>
          <w:trHeight w:val="28" w:hRule="atLeast"/>
        </w:trPr>
        <w:tc>
          <w:tcPr>
            <w:tcW w:w="798" w:type="dxa"/>
            <w:tcBorders>
              <w:top w:val="nil"/>
              <w:left w:val="single" w:color="auto" w:sz="4" w:space="0"/>
              <w:bottom w:val="single" w:color="000000"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284"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执法检查管理</w:t>
            </w: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登记执法检查的执法人员数量和执法时间、执法对象、检查方案等信息，对受检的企业进行现场检查，检查结果汇总处理，包括选择受检企业类别、存在的问题、整改意见等，并最终形成《整改指令书》</w:t>
            </w:r>
          </w:p>
        </w:tc>
      </w:tr>
      <w:tr>
        <w:tblPrEx>
          <w:tblCellMar>
            <w:top w:w="0" w:type="dxa"/>
            <w:left w:w="108" w:type="dxa"/>
            <w:bottom w:w="0" w:type="dxa"/>
            <w:right w:w="108" w:type="dxa"/>
          </w:tblCellMar>
        </w:tblPrEx>
        <w:trPr>
          <w:trHeight w:val="28" w:hRule="atLeast"/>
        </w:trPr>
        <w:tc>
          <w:tcPr>
            <w:tcW w:w="798" w:type="dxa"/>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284"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立案管理</w:t>
            </w: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办案人员进行立案申请，由园区安监部门分管该业务的领导进行审批</w:t>
            </w:r>
          </w:p>
        </w:tc>
      </w:tr>
      <w:tr>
        <w:tblPrEx>
          <w:tblCellMar>
            <w:top w:w="0" w:type="dxa"/>
            <w:left w:w="108" w:type="dxa"/>
            <w:bottom w:w="0" w:type="dxa"/>
            <w:right w:w="108" w:type="dxa"/>
          </w:tblCellMar>
        </w:tblPrEx>
        <w:trPr>
          <w:trHeight w:val="28" w:hRule="atLeast"/>
        </w:trPr>
        <w:tc>
          <w:tcPr>
            <w:tcW w:w="798" w:type="dxa"/>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284"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调查取证管理</w:t>
            </w: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将调查取证中获得的询问记录、笔录、照片、录音、录像等内容添加到该案件记录内</w:t>
            </w:r>
          </w:p>
        </w:tc>
      </w:tr>
      <w:tr>
        <w:tblPrEx>
          <w:tblCellMar>
            <w:top w:w="0" w:type="dxa"/>
            <w:left w:w="108" w:type="dxa"/>
            <w:bottom w:w="0" w:type="dxa"/>
            <w:right w:w="108" w:type="dxa"/>
          </w:tblCellMar>
        </w:tblPrEx>
        <w:trPr>
          <w:trHeight w:val="28" w:hRule="atLeast"/>
        </w:trPr>
        <w:tc>
          <w:tcPr>
            <w:tcW w:w="798" w:type="dxa"/>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284"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行政执法管理</w:t>
            </w: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安监部门负责人对案件调查结果进行审查，根据不同情况，分别作出决定，并制作《行政处罚决定书》</w:t>
            </w:r>
          </w:p>
        </w:tc>
      </w:tr>
      <w:tr>
        <w:tblPrEx>
          <w:tblCellMar>
            <w:top w:w="0" w:type="dxa"/>
            <w:left w:w="108" w:type="dxa"/>
            <w:bottom w:w="0" w:type="dxa"/>
            <w:right w:w="108" w:type="dxa"/>
          </w:tblCellMar>
        </w:tblPrEx>
        <w:trPr>
          <w:trHeight w:val="28" w:hRule="atLeast"/>
        </w:trPr>
        <w:tc>
          <w:tcPr>
            <w:tcW w:w="798" w:type="dxa"/>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284"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结案归档管理</w:t>
            </w: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对已经提交《行政处罚送达回执》以及银行缴费凭证的案件全过程进行审核，审核无误，材料完整后进行结案归档管理</w:t>
            </w:r>
          </w:p>
        </w:tc>
      </w:tr>
      <w:tr>
        <w:tblPrEx>
          <w:tblCellMar>
            <w:top w:w="0" w:type="dxa"/>
            <w:left w:w="108" w:type="dxa"/>
            <w:bottom w:w="0" w:type="dxa"/>
            <w:right w:w="108" w:type="dxa"/>
          </w:tblCellMar>
        </w:tblPrEx>
        <w:trPr>
          <w:trHeight w:val="28" w:hRule="atLeast"/>
        </w:trPr>
        <w:tc>
          <w:tcPr>
            <w:tcW w:w="798" w:type="dxa"/>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284"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智能执法辅助支持</w:t>
            </w:r>
          </w:p>
        </w:tc>
        <w:tc>
          <w:tcPr>
            <w:tcW w:w="754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利用执法信息辅助支持库，实现智能执法辅助支持</w:t>
            </w:r>
          </w:p>
        </w:tc>
      </w:tr>
      <w:tr>
        <w:tblPrEx>
          <w:tblCellMar>
            <w:top w:w="0" w:type="dxa"/>
            <w:left w:w="108" w:type="dxa"/>
            <w:bottom w:w="0" w:type="dxa"/>
            <w:right w:w="108" w:type="dxa"/>
          </w:tblCellMar>
        </w:tblPrEx>
        <w:trPr>
          <w:trHeight w:val="28" w:hRule="atLeast"/>
        </w:trPr>
        <w:tc>
          <w:tcPr>
            <w:tcW w:w="7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1284"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消息提醒</w:t>
            </w:r>
          </w:p>
        </w:tc>
        <w:tc>
          <w:tcPr>
            <w:tcW w:w="754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包括证书到期时间提醒、流程提醒等功能</w:t>
            </w:r>
          </w:p>
        </w:tc>
      </w:tr>
      <w:tr>
        <w:tblPrEx>
          <w:tblCellMar>
            <w:top w:w="0" w:type="dxa"/>
            <w:left w:w="108" w:type="dxa"/>
            <w:bottom w:w="0" w:type="dxa"/>
            <w:right w:w="108" w:type="dxa"/>
          </w:tblCellMar>
        </w:tblPrEx>
        <w:trPr>
          <w:trHeight w:val="28" w:hRule="atLeast"/>
        </w:trPr>
        <w:tc>
          <w:tcPr>
            <w:tcW w:w="7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8</w:t>
            </w:r>
          </w:p>
        </w:tc>
        <w:tc>
          <w:tcPr>
            <w:tcW w:w="1284"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统计分析</w:t>
            </w:r>
          </w:p>
        </w:tc>
        <w:tc>
          <w:tcPr>
            <w:tcW w:w="754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按照区域、时间等数据信息，以图形化方式进行统计分析数据展现</w:t>
            </w:r>
          </w:p>
        </w:tc>
      </w:tr>
      <w:tr>
        <w:tblPrEx>
          <w:tblCellMar>
            <w:top w:w="0" w:type="dxa"/>
            <w:left w:w="108" w:type="dxa"/>
            <w:bottom w:w="0" w:type="dxa"/>
            <w:right w:w="108" w:type="dxa"/>
          </w:tblCellMar>
        </w:tblPrEx>
        <w:trPr>
          <w:trHeight w:val="28" w:hRule="atLeast"/>
        </w:trPr>
        <w:tc>
          <w:tcPr>
            <w:tcW w:w="798" w:type="dxa"/>
            <w:vMerge w:val="restart"/>
            <w:tcBorders>
              <w:top w:val="nil"/>
              <w:left w:val="single" w:color="auto" w:sz="4" w:space="0"/>
              <w:bottom w:val="nil"/>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9</w:t>
            </w:r>
          </w:p>
        </w:tc>
        <w:tc>
          <w:tcPr>
            <w:tcW w:w="1284" w:type="dxa"/>
            <w:vMerge w:val="restart"/>
            <w:tcBorders>
              <w:top w:val="nil"/>
              <w:left w:val="nil"/>
              <w:bottom w:val="nil"/>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移动APP功能</w:t>
            </w: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1、现场执法管理</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nil"/>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nil"/>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移动终端上实现现场执法信息的录入</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nil"/>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nil"/>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2、智能执法辅助支持</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nil"/>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nil"/>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利用执法信息辅助支持库，通过移动终端，实现智能执法辅助支持</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nil"/>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nil"/>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3、执法文书现场打印</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nil"/>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nil"/>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利用文书表单自定义等功能，然后打印输出执法文书</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nil"/>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nil"/>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4、现场调查取证</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nil"/>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nil"/>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利用移动终端的多媒体功能将现场调查取证的材料（文字材料、多媒体材料等）以附件形式挂接在现场执法或案件记录内</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nil"/>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nil"/>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 xml:space="preserve">5、安全知识库    </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nil"/>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nil"/>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提供法律法规、规章、国家和地方行业标准等文件内容的查询</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nil"/>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nil"/>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6、企业信息查询</w:t>
            </w:r>
          </w:p>
        </w:tc>
      </w:tr>
      <w:tr>
        <w:tblPrEx>
          <w:tblCellMar>
            <w:top w:w="0" w:type="dxa"/>
            <w:left w:w="108" w:type="dxa"/>
            <w:bottom w:w="0" w:type="dxa"/>
            <w:right w:w="108" w:type="dxa"/>
          </w:tblCellMar>
        </w:tblPrEx>
        <w:trPr>
          <w:trHeight w:val="28" w:hRule="atLeast"/>
        </w:trPr>
        <w:tc>
          <w:tcPr>
            <w:tcW w:w="798" w:type="dxa"/>
            <w:vMerge w:val="continue"/>
            <w:tcBorders>
              <w:top w:val="nil"/>
              <w:left w:val="single" w:color="auto" w:sz="4" w:space="0"/>
              <w:bottom w:val="nil"/>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nil"/>
              <w:left w:val="nil"/>
              <w:bottom w:val="nil"/>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nil"/>
              <w:bottom w:val="single" w:color="auto" w:sz="4" w:space="0"/>
              <w:right w:val="single" w:color="auto"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提供企业基本信息、安全生产许可证信息、内部特种作业人员持证信息等内容的查询和提醒</w:t>
            </w:r>
          </w:p>
        </w:tc>
      </w:tr>
    </w:tbl>
    <w:p>
      <w:pPr>
        <w:ind w:firstLine="480"/>
        <w:rPr>
          <w:rFonts w:ascii="宋体" w:hAnsi="宋体"/>
          <w:color w:val="auto"/>
          <w:szCs w:val="28"/>
          <w:highlight w:val="none"/>
        </w:rPr>
      </w:pPr>
      <w:r>
        <w:rPr>
          <w:rFonts w:hint="eastAsia" w:ascii="宋体" w:hAnsi="宋体"/>
          <w:color w:val="auto"/>
          <w:highlight w:val="none"/>
        </w:rPr>
        <w:t xml:space="preserve"> </w:t>
      </w:r>
    </w:p>
    <w:p>
      <w:pPr>
        <w:pStyle w:val="6"/>
        <w:rPr>
          <w:color w:val="auto"/>
          <w:highlight w:val="none"/>
        </w:rPr>
      </w:pPr>
      <w:r>
        <w:rPr>
          <w:rFonts w:hint="eastAsia"/>
          <w:color w:val="auto"/>
          <w:highlight w:val="none"/>
        </w:rPr>
        <w:t>硬件技术要求</w:t>
      </w:r>
    </w:p>
    <w:p>
      <w:pPr>
        <w:ind w:firstLine="480"/>
        <w:rPr>
          <w:rFonts w:ascii="宋体" w:hAnsi="宋体"/>
          <w:color w:val="auto"/>
          <w:highlight w:val="none"/>
        </w:rPr>
      </w:pPr>
      <w:r>
        <w:rPr>
          <w:rFonts w:hint="eastAsia" w:ascii="宋体" w:hAnsi="宋体"/>
          <w:color w:val="auto"/>
          <w:highlight w:val="none"/>
        </w:rPr>
        <w:t>移动执法箱3套、包括：蓝牙打印机、车载电源转换器、移动终端、执法箱。</w:t>
      </w:r>
    </w:p>
    <w:tbl>
      <w:tblPr>
        <w:tblStyle w:val="9"/>
        <w:tblW w:w="8522" w:type="dxa"/>
        <w:tblInd w:w="0" w:type="dxa"/>
        <w:tblLayout w:type="fixed"/>
        <w:tblCellMar>
          <w:top w:w="0" w:type="dxa"/>
          <w:left w:w="108" w:type="dxa"/>
          <w:bottom w:w="0" w:type="dxa"/>
          <w:right w:w="108" w:type="dxa"/>
        </w:tblCellMar>
      </w:tblPr>
      <w:tblGrid>
        <w:gridCol w:w="675"/>
        <w:gridCol w:w="1566"/>
        <w:gridCol w:w="5287"/>
        <w:gridCol w:w="994"/>
      </w:tblGrid>
      <w:tr>
        <w:tblPrEx>
          <w:tblCellMar>
            <w:top w:w="0" w:type="dxa"/>
            <w:left w:w="108" w:type="dxa"/>
            <w:bottom w:w="0" w:type="dxa"/>
            <w:right w:w="108" w:type="dxa"/>
          </w:tblCellMar>
        </w:tblPrEx>
        <w:trPr>
          <w:trHeight w:val="28"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566"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执法设备名称</w:t>
            </w:r>
          </w:p>
        </w:tc>
        <w:tc>
          <w:tcPr>
            <w:tcW w:w="5287"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技术指标</w:t>
            </w:r>
          </w:p>
        </w:tc>
        <w:tc>
          <w:tcPr>
            <w:tcW w:w="994"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数量</w:t>
            </w:r>
          </w:p>
        </w:tc>
      </w:tr>
      <w:tr>
        <w:tblPrEx>
          <w:tblCellMar>
            <w:top w:w="0" w:type="dxa"/>
            <w:left w:w="108" w:type="dxa"/>
            <w:bottom w:w="0" w:type="dxa"/>
            <w:right w:w="108" w:type="dxa"/>
          </w:tblCellMar>
        </w:tblPrEx>
        <w:trPr>
          <w:trHeight w:val="28"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56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蓝牙打印机</w:t>
            </w:r>
          </w:p>
        </w:tc>
        <w:tc>
          <w:tcPr>
            <w:tcW w:w="528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最大打印幅面 A4 ；墨盒类型 一体式墨盒 ；墨盒数量 五色墨盒 ；打印速度 黑白20ppm/彩色14ppm；最高分辨率 9600x2400dpi;原装蓝牙</w:t>
            </w:r>
          </w:p>
        </w:tc>
        <w:tc>
          <w:tcPr>
            <w:tcW w:w="994"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r>
      <w:tr>
        <w:tblPrEx>
          <w:tblCellMar>
            <w:top w:w="0" w:type="dxa"/>
            <w:left w:w="108" w:type="dxa"/>
            <w:bottom w:w="0" w:type="dxa"/>
            <w:right w:w="108" w:type="dxa"/>
          </w:tblCellMar>
        </w:tblPrEx>
        <w:trPr>
          <w:trHeight w:val="28" w:hRule="atLeast"/>
        </w:trPr>
        <w:tc>
          <w:tcPr>
            <w:tcW w:w="675" w:type="dxa"/>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56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车载电源转换器</w:t>
            </w:r>
          </w:p>
        </w:tc>
        <w:tc>
          <w:tcPr>
            <w:tcW w:w="5287"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12V24V转220V车载逆变器500W1000W2000W逆变器车载电源转换器 P500 24v</w:t>
            </w:r>
          </w:p>
        </w:tc>
        <w:tc>
          <w:tcPr>
            <w:tcW w:w="994" w:type="dxa"/>
            <w:tcBorders>
              <w:top w:val="nil"/>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r>
      <w:tr>
        <w:tblPrEx>
          <w:tblCellMar>
            <w:top w:w="0" w:type="dxa"/>
            <w:left w:w="108" w:type="dxa"/>
            <w:bottom w:w="0" w:type="dxa"/>
            <w:right w:w="108" w:type="dxa"/>
          </w:tblCellMar>
        </w:tblPrEx>
        <w:trPr>
          <w:trHeight w:val="28" w:hRule="atLeast"/>
        </w:trPr>
        <w:tc>
          <w:tcPr>
            <w:tcW w:w="675" w:type="dxa"/>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56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移动执法终端</w:t>
            </w:r>
          </w:p>
        </w:tc>
        <w:tc>
          <w:tcPr>
            <w:tcW w:w="5287"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lang w:bidi="ar"/>
              </w:rPr>
              <w:t>不低于</w:t>
            </w:r>
            <w:r>
              <w:rPr>
                <w:rFonts w:hint="eastAsia" w:ascii="宋体" w:hAnsi="宋体"/>
                <w:color w:val="auto"/>
                <w:sz w:val="21"/>
                <w:szCs w:val="21"/>
                <w:highlight w:val="none"/>
              </w:rPr>
              <w:t>8英寸触摸屏；分辨率1920x1200；存储容量16GB；内置摄像头；支持WiFi、蓝牙</w:t>
            </w:r>
          </w:p>
        </w:tc>
        <w:tc>
          <w:tcPr>
            <w:tcW w:w="994" w:type="dxa"/>
            <w:tcBorders>
              <w:top w:val="nil"/>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r>
      <w:tr>
        <w:tblPrEx>
          <w:tblCellMar>
            <w:top w:w="0" w:type="dxa"/>
            <w:left w:w="108" w:type="dxa"/>
            <w:bottom w:w="0" w:type="dxa"/>
            <w:right w:w="108" w:type="dxa"/>
          </w:tblCellMar>
        </w:tblPrEx>
        <w:trPr>
          <w:trHeight w:val="28" w:hRule="atLeast"/>
        </w:trPr>
        <w:tc>
          <w:tcPr>
            <w:tcW w:w="675" w:type="dxa"/>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566"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移动执法箱</w:t>
            </w:r>
          </w:p>
        </w:tc>
        <w:tc>
          <w:tcPr>
            <w:tcW w:w="5287"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定制、采用铝合金材料</w:t>
            </w:r>
          </w:p>
        </w:tc>
        <w:tc>
          <w:tcPr>
            <w:tcW w:w="994" w:type="dxa"/>
            <w:tcBorders>
              <w:top w:val="nil"/>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r>
    </w:tbl>
    <w:p>
      <w:pPr>
        <w:pStyle w:val="4"/>
        <w:rPr>
          <w:color w:val="auto"/>
          <w:szCs w:val="32"/>
          <w:highlight w:val="none"/>
        </w:rPr>
      </w:pPr>
      <w:r>
        <w:rPr>
          <w:rFonts w:hint="eastAsia"/>
          <w:color w:val="auto"/>
          <w:highlight w:val="none"/>
        </w:rPr>
        <w:t>企业安全生产管理信息化平台</w:t>
      </w:r>
    </w:p>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15"/>
        <w:gridCol w:w="6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315"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6481"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31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目标职责</w:t>
            </w: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包含企业安全生产目标、机构和职责、全员参与、安全生产投入、安全文化建设、安全生产信息化建设等功能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31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制度化管理</w:t>
            </w: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包含企业安全生产法规标准识别、规章制度、操作规程、文档管理等功能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31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教育培训</w:t>
            </w: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包含企业安全教育培训管理、人员教育培训等功能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31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现场管理</w:t>
            </w: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包含企业安全生产设备设施管理、作业安全管理、职业健康、警示标志等功能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31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安全风险管控及隐患排查治理</w:t>
            </w: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包含企业安全风险管理、重大危险源辨识和管理、隐患排查治理、预测预警等功能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31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应急管理</w:t>
            </w: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包含企业应急准备、应急处置、应急评估等功能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131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事故查处</w:t>
            </w: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包含企业安全生产事故报告、事故调查和处理、事故管理等功能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8</w:t>
            </w:r>
          </w:p>
        </w:tc>
        <w:tc>
          <w:tcPr>
            <w:tcW w:w="131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持续改进</w:t>
            </w: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包含企业安全生产绩效评定、持续改进等功能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9</w:t>
            </w:r>
          </w:p>
        </w:tc>
        <w:tc>
          <w:tcPr>
            <w:tcW w:w="131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其他安全管理</w:t>
            </w: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根据园区安全监管要求的其他安全管理数据上报等功能。包括证书管理、劳动防护用品管理、危险化学品管理、建设项目三同时等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1315" w:type="dxa"/>
            <w:vMerge w:val="restart"/>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移动APP功能</w:t>
            </w: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1、安全检查及隐患整改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31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包括企业安全检查和隐患排查治理的全过程流程管理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31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2、危险作业审批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31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包含动火作业证、受限空间作业证、盲板抽堵作业证、高处作业证、吊装作业证、断路作业证、临时用电作业证、动土作业证等审批管理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31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3、巡检管理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31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通过移动端登记对设备设施、危险源等日常巡查记录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31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4、隐患随手拍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31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对日常发现的隐患随手拍照记录隐患信息，上传到系统中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31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5、信息查询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315"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对企业安全生产管理相关的一企一档信息可以按关键字筛选查询</w:t>
            </w:r>
          </w:p>
        </w:tc>
      </w:tr>
    </w:tbl>
    <w:p>
      <w:pPr>
        <w:pStyle w:val="4"/>
        <w:rPr>
          <w:color w:val="auto"/>
          <w:highlight w:val="none"/>
        </w:rPr>
      </w:pPr>
      <w:r>
        <w:rPr>
          <w:rFonts w:hint="eastAsia"/>
          <w:color w:val="auto"/>
          <w:highlight w:val="none"/>
        </w:rPr>
        <w:t>企业安全生产预警指数系统</w:t>
      </w:r>
    </w:p>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15"/>
        <w:gridCol w:w="6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315"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6481"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31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预警指标管理</w:t>
            </w: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系统提供指标自定义功能，可对指标进行新增、设置与维护，赋予指标相应的计算公式与警区阈值，经过统计、修正与计算后得出综合指数值。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31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预警指数管理</w:t>
            </w: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系统通过各类灵活接口，采集隐患排查治理模块、教育培训模块、应急管理模块、事故管理模块等数据，根据各种指标的设置算法对指标值进行计算。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31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预警指数图</w:t>
            </w: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系统提供预警指数图浏览，企业管理者可以通过指数图了解目前企业安全生产管理状况的发展趋势，并可查看下属单位安全预警情况。</w:t>
            </w:r>
          </w:p>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31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预警分析报告</w:t>
            </w: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提供预警分析报告的年报、月报、周报，企业管理者通过预警分析报告可以及时了解到整体公司的预警指数发展趋势，及各部门的预警指数情况，并可以通过日常安全管理的四个层面对安全情况进行详细展现。</w:t>
            </w:r>
            <w:r>
              <w:rPr>
                <w:rFonts w:ascii="宋体" w:hAnsi="宋体"/>
                <w:color w:val="auto"/>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31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预警报告整改</w:t>
            </w: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通过对预警报告提出的建议措施进行整改，完成预警的闭环管理。帮助企业管理者检查预警报告暴露问题是否及时解决。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31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信息查询</w:t>
            </w:r>
          </w:p>
        </w:tc>
        <w:tc>
          <w:tcPr>
            <w:tcW w:w="64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提供隐患数据、隐患整改情况、培训情况、应急演练情况、事故情况的统计分析，为安全管理人员提供快速查询的工具，及时了解各个业务内容的进展情况。</w:t>
            </w:r>
          </w:p>
        </w:tc>
      </w:tr>
    </w:tbl>
    <w:p>
      <w:pPr>
        <w:pStyle w:val="3"/>
        <w:rPr>
          <w:color w:val="auto"/>
          <w:sz w:val="28"/>
          <w:szCs w:val="28"/>
          <w:highlight w:val="none"/>
        </w:rPr>
      </w:pPr>
      <w:r>
        <w:rPr>
          <w:rFonts w:hint="eastAsia"/>
          <w:color w:val="auto"/>
          <w:highlight w:val="none"/>
        </w:rPr>
        <w:t>能源监管</w:t>
      </w:r>
    </w:p>
    <w:p>
      <w:pPr>
        <w:pStyle w:val="4"/>
        <w:rPr>
          <w:color w:val="auto"/>
          <w:szCs w:val="32"/>
          <w:highlight w:val="none"/>
        </w:rPr>
      </w:pPr>
      <w:r>
        <w:rPr>
          <w:rFonts w:hint="eastAsia"/>
          <w:color w:val="auto"/>
          <w:highlight w:val="none"/>
        </w:rPr>
        <w:t>数据采集及设备要求</w:t>
      </w:r>
    </w:p>
    <w:p>
      <w:pPr>
        <w:rPr>
          <w:b/>
          <w:bCs/>
          <w:color w:val="auto"/>
          <w:highlight w:val="none"/>
        </w:rPr>
      </w:pPr>
      <w:r>
        <w:rPr>
          <w:rFonts w:hint="eastAsia"/>
          <w:b/>
          <w:bCs/>
          <w:color w:val="auto"/>
          <w:highlight w:val="none"/>
        </w:rPr>
        <w:t>设备参数</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7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产品</w:t>
            </w:r>
          </w:p>
        </w:tc>
        <w:tc>
          <w:tcPr>
            <w:tcW w:w="7905"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2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摄像读取器</w:t>
            </w:r>
          </w:p>
        </w:tc>
        <w:tc>
          <w:tcPr>
            <w:tcW w:w="7905" w:type="dxa"/>
            <w:tcBorders>
              <w:top w:val="single" w:color="auto" w:sz="4" w:space="0"/>
              <w:left w:val="nil"/>
              <w:bottom w:val="single" w:color="auto" w:sz="4" w:space="0"/>
              <w:right w:val="single" w:color="auto" w:sz="4" w:space="0"/>
            </w:tcBorders>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要求工作环境温度不小于0～+45℃，湿度是0～95%RH</w:t>
            </w:r>
          </w:p>
          <w:p>
            <w:pPr>
              <w:rPr>
                <w:rFonts w:ascii="宋体" w:hAnsi="宋体"/>
                <w:color w:val="auto"/>
                <w:sz w:val="21"/>
                <w:szCs w:val="21"/>
                <w:highlight w:val="none"/>
              </w:rPr>
            </w:pPr>
            <w:r>
              <w:rPr>
                <w:rFonts w:hint="eastAsia" w:ascii="宋体" w:hAnsi="宋体"/>
                <w:color w:val="auto"/>
                <w:sz w:val="21"/>
                <w:szCs w:val="21"/>
                <w:highlight w:val="none"/>
              </w:rPr>
              <w:t>支持工作电压DC3.6-6V</w:t>
            </w:r>
          </w:p>
          <w:p>
            <w:pPr>
              <w:rPr>
                <w:rFonts w:ascii="宋体" w:hAnsi="宋体"/>
                <w:color w:val="auto"/>
                <w:sz w:val="21"/>
                <w:szCs w:val="21"/>
                <w:highlight w:val="none"/>
              </w:rPr>
            </w:pPr>
            <w:r>
              <w:rPr>
                <w:rFonts w:hint="eastAsia" w:ascii="宋体" w:hAnsi="宋体"/>
                <w:color w:val="auto"/>
                <w:sz w:val="21"/>
                <w:szCs w:val="21"/>
                <w:highlight w:val="none"/>
              </w:rPr>
              <w:t>工作平均电流小于100mA，休眠电流无线小于10uA</w:t>
            </w:r>
          </w:p>
          <w:p>
            <w:pPr>
              <w:rPr>
                <w:rFonts w:ascii="宋体" w:hAnsi="宋体"/>
                <w:color w:val="auto"/>
                <w:sz w:val="21"/>
                <w:szCs w:val="21"/>
                <w:highlight w:val="none"/>
              </w:rPr>
            </w:pPr>
            <w:r>
              <w:rPr>
                <w:rFonts w:hint="eastAsia" w:ascii="宋体" w:hAnsi="宋体"/>
                <w:color w:val="auto"/>
                <w:sz w:val="21"/>
                <w:szCs w:val="21"/>
                <w:highlight w:val="none"/>
              </w:rPr>
              <w:t>支持接口RS-485、 M-bus、 RF（LoRa） 、 NB-IoT可选，或定制</w:t>
            </w:r>
          </w:p>
          <w:p>
            <w:pPr>
              <w:rPr>
                <w:rFonts w:ascii="宋体" w:hAnsi="宋体"/>
                <w:color w:val="auto"/>
                <w:sz w:val="21"/>
                <w:szCs w:val="21"/>
                <w:highlight w:val="none"/>
              </w:rPr>
            </w:pPr>
            <w:r>
              <w:rPr>
                <w:rFonts w:hint="eastAsia" w:ascii="宋体" w:hAnsi="宋体"/>
                <w:color w:val="auto"/>
                <w:sz w:val="21"/>
                <w:szCs w:val="21"/>
                <w:highlight w:val="none"/>
              </w:rPr>
              <w:t>支持协议CJ/T188、 DL/T645可选，或定制</w:t>
            </w:r>
          </w:p>
          <w:p>
            <w:pPr>
              <w:rPr>
                <w:rFonts w:ascii="宋体" w:hAnsi="宋体"/>
                <w:color w:val="auto"/>
                <w:sz w:val="21"/>
                <w:szCs w:val="21"/>
                <w:highlight w:val="none"/>
              </w:rPr>
            </w:pPr>
            <w:r>
              <w:rPr>
                <w:rFonts w:hint="eastAsia" w:ascii="宋体" w:hAnsi="宋体"/>
                <w:color w:val="auto"/>
                <w:sz w:val="21"/>
                <w:szCs w:val="21"/>
                <w:highlight w:val="none"/>
              </w:rPr>
              <w:t>支持小于0.6K字节（自定义格式）和4K字节（JPG格式）的图像</w:t>
            </w:r>
          </w:p>
          <w:p>
            <w:pPr>
              <w:rPr>
                <w:rFonts w:ascii="宋体" w:hAnsi="宋体"/>
                <w:color w:val="auto"/>
                <w:sz w:val="21"/>
                <w:szCs w:val="21"/>
                <w:highlight w:val="none"/>
              </w:rPr>
            </w:pPr>
            <w:r>
              <w:rPr>
                <w:rFonts w:hint="eastAsia" w:ascii="宋体" w:hAnsi="宋体"/>
                <w:color w:val="auto"/>
                <w:sz w:val="21"/>
                <w:szCs w:val="21"/>
                <w:highlight w:val="none"/>
              </w:rPr>
              <w:t>识别成功率99.99%（基于指定表具）</w:t>
            </w:r>
          </w:p>
          <w:p>
            <w:pPr>
              <w:rPr>
                <w:rFonts w:ascii="宋体" w:hAnsi="宋体"/>
                <w:color w:val="auto"/>
                <w:sz w:val="21"/>
                <w:szCs w:val="21"/>
                <w:highlight w:val="none"/>
              </w:rPr>
            </w:pPr>
            <w:r>
              <w:rPr>
                <w:rFonts w:hint="eastAsia" w:ascii="宋体" w:hAnsi="宋体"/>
                <w:color w:val="auto"/>
                <w:sz w:val="21"/>
                <w:szCs w:val="21"/>
                <w:highlight w:val="none"/>
              </w:rPr>
              <w:t>支持新表及老户改造</w:t>
            </w:r>
          </w:p>
          <w:p>
            <w:pPr>
              <w:rPr>
                <w:rFonts w:ascii="宋体" w:hAnsi="宋体"/>
                <w:color w:val="auto"/>
                <w:sz w:val="21"/>
                <w:szCs w:val="21"/>
                <w:highlight w:val="none"/>
              </w:rPr>
            </w:pPr>
            <w:r>
              <w:rPr>
                <w:rFonts w:hint="eastAsia" w:ascii="宋体" w:hAnsi="宋体"/>
                <w:color w:val="auto"/>
                <w:sz w:val="21"/>
                <w:szCs w:val="21"/>
                <w:highlight w:val="none"/>
              </w:rPr>
              <w:t>支持传感器与基表独立维护</w:t>
            </w:r>
          </w:p>
          <w:p>
            <w:pPr>
              <w:rPr>
                <w:rFonts w:ascii="宋体" w:hAnsi="宋体"/>
                <w:color w:val="auto"/>
                <w:sz w:val="21"/>
                <w:szCs w:val="21"/>
                <w:highlight w:val="none"/>
              </w:rPr>
            </w:pPr>
            <w:r>
              <w:rPr>
                <w:rFonts w:hint="eastAsia" w:ascii="宋体" w:hAnsi="宋体"/>
                <w:color w:val="auto"/>
                <w:sz w:val="21"/>
                <w:szCs w:val="21"/>
                <w:highlight w:val="none"/>
              </w:rPr>
              <w:t>表端识别数据量小，流量小</w:t>
            </w:r>
          </w:p>
          <w:p>
            <w:pPr>
              <w:rPr>
                <w:rFonts w:ascii="宋体" w:hAnsi="宋体"/>
                <w:color w:val="auto"/>
                <w:sz w:val="21"/>
                <w:szCs w:val="21"/>
                <w:highlight w:val="none"/>
              </w:rPr>
            </w:pPr>
            <w:r>
              <w:rPr>
                <w:rFonts w:hint="eastAsia" w:ascii="宋体" w:hAnsi="宋体"/>
                <w:color w:val="auto"/>
                <w:sz w:val="21"/>
                <w:szCs w:val="21"/>
                <w:highlight w:val="none"/>
              </w:rPr>
              <w:t>支持与传统直读表（如光电表）混装使用</w:t>
            </w:r>
          </w:p>
          <w:p>
            <w:pPr>
              <w:rPr>
                <w:rFonts w:ascii="宋体" w:hAnsi="宋体"/>
                <w:color w:val="auto"/>
                <w:sz w:val="21"/>
                <w:szCs w:val="21"/>
                <w:highlight w:val="none"/>
              </w:rPr>
            </w:pPr>
            <w:r>
              <w:rPr>
                <w:rFonts w:hint="eastAsia" w:ascii="宋体" w:hAnsi="宋体"/>
                <w:color w:val="auto"/>
                <w:sz w:val="21"/>
                <w:szCs w:val="21"/>
                <w:highlight w:val="none"/>
              </w:rPr>
              <w:t>支持低数据量图片可满足微功率无线（如LoRa）应用下的图片需求</w:t>
            </w:r>
          </w:p>
          <w:p>
            <w:pPr>
              <w:rPr>
                <w:rFonts w:ascii="宋体" w:hAnsi="宋体"/>
                <w:color w:val="auto"/>
                <w:sz w:val="21"/>
                <w:szCs w:val="21"/>
                <w:highlight w:val="none"/>
              </w:rPr>
            </w:pPr>
            <w:r>
              <w:rPr>
                <w:rFonts w:hint="eastAsia" w:ascii="宋体" w:hAnsi="宋体"/>
                <w:color w:val="auto"/>
                <w:sz w:val="21"/>
                <w:szCs w:val="21"/>
                <w:highlight w:val="none"/>
              </w:rPr>
              <w:t>支持清晰原图可满足核表要求，亦能在读数异常时作为原始凭证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2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能耗数据采集器</w:t>
            </w:r>
          </w:p>
        </w:tc>
        <w:tc>
          <w:tcPr>
            <w:tcW w:w="790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产品需要为工业级芯片及设计；</w:t>
            </w:r>
          </w:p>
          <w:p>
            <w:pPr>
              <w:rPr>
                <w:rFonts w:ascii="宋体" w:hAnsi="宋体"/>
                <w:color w:val="auto"/>
                <w:sz w:val="21"/>
                <w:szCs w:val="21"/>
                <w:highlight w:val="none"/>
              </w:rPr>
            </w:pPr>
            <w:r>
              <w:rPr>
                <w:rFonts w:hint="eastAsia" w:ascii="宋体" w:hAnsi="宋体"/>
                <w:color w:val="auto"/>
                <w:sz w:val="21"/>
                <w:szCs w:val="21"/>
                <w:highlight w:val="none"/>
              </w:rPr>
              <w:t>支持不少于对192个数据采集点进行数据采集；</w:t>
            </w:r>
          </w:p>
          <w:p>
            <w:pPr>
              <w:rPr>
                <w:rFonts w:ascii="宋体" w:hAnsi="宋体"/>
                <w:color w:val="auto"/>
                <w:sz w:val="21"/>
                <w:szCs w:val="21"/>
                <w:highlight w:val="none"/>
              </w:rPr>
            </w:pPr>
            <w:r>
              <w:rPr>
                <w:rFonts w:hint="eastAsia" w:ascii="宋体" w:hAnsi="宋体"/>
                <w:color w:val="auto"/>
                <w:sz w:val="21"/>
                <w:szCs w:val="21"/>
                <w:highlight w:val="none"/>
              </w:rPr>
              <w:t>产品需要具备采集周期可以从1分钟以上任意时间灵活配置；</w:t>
            </w:r>
          </w:p>
          <w:p>
            <w:pPr>
              <w:rPr>
                <w:rFonts w:ascii="宋体" w:hAnsi="宋体"/>
                <w:color w:val="auto"/>
                <w:sz w:val="21"/>
                <w:szCs w:val="21"/>
                <w:highlight w:val="none"/>
              </w:rPr>
            </w:pPr>
            <w:r>
              <w:rPr>
                <w:rFonts w:hint="eastAsia" w:ascii="宋体" w:hAnsi="宋体"/>
                <w:color w:val="auto"/>
                <w:sz w:val="21"/>
                <w:szCs w:val="21"/>
                <w:highlight w:val="none"/>
              </w:rPr>
              <w:t>支持外接不小于4GB工业级储存卡作为专用存储空间，支持24个月以上的能耗数据存储；</w:t>
            </w:r>
          </w:p>
          <w:p>
            <w:pPr>
              <w:rPr>
                <w:rFonts w:ascii="宋体" w:hAnsi="宋体"/>
                <w:color w:val="auto"/>
                <w:sz w:val="21"/>
                <w:szCs w:val="21"/>
                <w:highlight w:val="none"/>
              </w:rPr>
            </w:pPr>
            <w:r>
              <w:rPr>
                <w:rFonts w:hint="eastAsia" w:ascii="宋体" w:hAnsi="宋体"/>
                <w:color w:val="auto"/>
                <w:sz w:val="21"/>
                <w:szCs w:val="21"/>
                <w:highlight w:val="none"/>
              </w:rPr>
              <w:t>产品需要支持断点续传，保持数据完整性；</w:t>
            </w:r>
          </w:p>
          <w:p>
            <w:pPr>
              <w:rPr>
                <w:rFonts w:ascii="宋体" w:hAnsi="宋体"/>
                <w:color w:val="auto"/>
                <w:sz w:val="21"/>
                <w:szCs w:val="21"/>
                <w:highlight w:val="none"/>
              </w:rPr>
            </w:pPr>
            <w:r>
              <w:rPr>
                <w:rFonts w:hint="eastAsia" w:ascii="宋体" w:hAnsi="宋体"/>
                <w:color w:val="auto"/>
                <w:sz w:val="21"/>
                <w:szCs w:val="21"/>
                <w:highlight w:val="none"/>
              </w:rPr>
              <w:t>数据采集器至少包含7个接口,其中至少具备6个可独立配置采集接口(采集接口应为RS485接口，至少具备1个RS232接口)，至少具备1个RJ45接口，用于数据上传和本地维护；</w:t>
            </w:r>
          </w:p>
          <w:p>
            <w:pPr>
              <w:rPr>
                <w:rFonts w:ascii="宋体" w:hAnsi="宋体"/>
                <w:color w:val="auto"/>
                <w:sz w:val="21"/>
                <w:szCs w:val="21"/>
                <w:highlight w:val="none"/>
              </w:rPr>
            </w:pPr>
            <w:r>
              <w:rPr>
                <w:rFonts w:hint="eastAsia" w:ascii="宋体" w:hAnsi="宋体"/>
                <w:color w:val="auto"/>
                <w:sz w:val="21"/>
                <w:szCs w:val="21"/>
                <w:highlight w:val="none"/>
              </w:rPr>
              <w:t>产品必须为低功耗的嵌入式系统，其功率小于等于10W；</w:t>
            </w:r>
          </w:p>
          <w:p>
            <w:pPr>
              <w:rPr>
                <w:rFonts w:ascii="宋体" w:hAnsi="宋体"/>
                <w:color w:val="auto"/>
                <w:sz w:val="21"/>
                <w:szCs w:val="21"/>
                <w:highlight w:val="none"/>
              </w:rPr>
            </w:pPr>
            <w:r>
              <w:rPr>
                <w:rFonts w:hint="eastAsia" w:ascii="宋体" w:hAnsi="宋体"/>
                <w:color w:val="auto"/>
                <w:sz w:val="21"/>
                <w:szCs w:val="21"/>
                <w:highlight w:val="none"/>
              </w:rPr>
              <w:t>工作温度范围不小于-20～+65℃工业级的工作温度</w:t>
            </w:r>
          </w:p>
          <w:p>
            <w:pPr>
              <w:rPr>
                <w:rFonts w:ascii="宋体" w:hAnsi="宋体"/>
                <w:color w:val="auto"/>
                <w:sz w:val="21"/>
                <w:szCs w:val="21"/>
                <w:highlight w:val="none"/>
              </w:rPr>
            </w:pPr>
            <w:r>
              <w:rPr>
                <w:rFonts w:hint="eastAsia" w:ascii="宋体" w:hAnsi="宋体"/>
                <w:color w:val="auto"/>
                <w:sz w:val="21"/>
                <w:szCs w:val="21"/>
                <w:highlight w:val="none"/>
              </w:rPr>
              <w:t>工作湿度范围不小于5～90%RH（无结露）；</w:t>
            </w:r>
          </w:p>
          <w:p>
            <w:pPr>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所投的数据采集器具有电磁兼容性检测报告（需要提供第三方检测报告）复印件并加盖公章。</w:t>
            </w:r>
          </w:p>
          <w:p>
            <w:pPr>
              <w:rPr>
                <w:rFonts w:ascii="宋体" w:hAnsi="宋体"/>
                <w:color w:val="auto"/>
                <w:sz w:val="21"/>
                <w:szCs w:val="21"/>
                <w:highlight w:val="none"/>
              </w:rPr>
            </w:pPr>
            <w:r>
              <w:rPr>
                <w:rFonts w:hint="eastAsia" w:ascii="宋体" w:hAnsi="宋体"/>
                <w:color w:val="auto"/>
                <w:sz w:val="21"/>
                <w:szCs w:val="21"/>
                <w:highlight w:val="none"/>
              </w:rPr>
              <w:t>支持Linux 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2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通讯管理机</w:t>
            </w:r>
          </w:p>
        </w:tc>
        <w:tc>
          <w:tcPr>
            <w:tcW w:w="7905" w:type="dxa"/>
            <w:tcBorders>
              <w:top w:val="single" w:color="auto" w:sz="4" w:space="0"/>
              <w:left w:val="nil"/>
              <w:bottom w:val="single" w:color="auto" w:sz="4" w:space="0"/>
              <w:right w:val="single" w:color="auto" w:sz="4" w:space="0"/>
            </w:tcBorders>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不低于ARM Cortex-A5 536MHZ，低功耗、嵌入式设计</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支持不低于128MB DDR2内存容量，最大可支持不低于512MB</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采用不低于256MB FLASH，最大可支持1GB</w:t>
            </w:r>
          </w:p>
          <w:p>
            <w:pPr>
              <w:rPr>
                <w:rFonts w:ascii="宋体" w:hAnsi="宋体"/>
                <w:color w:val="auto"/>
                <w:sz w:val="21"/>
                <w:szCs w:val="21"/>
                <w:highlight w:val="none"/>
              </w:rPr>
            </w:pPr>
            <w:r>
              <w:rPr>
                <w:rFonts w:hint="eastAsia" w:ascii="宋体" w:hAnsi="宋体"/>
                <w:color w:val="auto"/>
                <w:sz w:val="21"/>
                <w:szCs w:val="21"/>
                <w:highlight w:val="none"/>
              </w:rPr>
              <w:t>支持1×10/100Mbps 以太网RJ-45接口，1.5KV电磁隔离保护</w:t>
            </w:r>
          </w:p>
          <w:p>
            <w:pPr>
              <w:rPr>
                <w:rFonts w:ascii="宋体" w:hAnsi="宋体"/>
                <w:color w:val="auto"/>
                <w:sz w:val="21"/>
                <w:szCs w:val="21"/>
                <w:highlight w:val="none"/>
              </w:rPr>
            </w:pPr>
            <w:r>
              <w:rPr>
                <w:rFonts w:hint="eastAsia" w:ascii="宋体" w:hAnsi="宋体"/>
                <w:color w:val="auto"/>
                <w:sz w:val="21"/>
                <w:szCs w:val="21"/>
                <w:highlight w:val="none"/>
              </w:rPr>
              <w:t>2×RS-485，光电隔离设计</w:t>
            </w:r>
          </w:p>
          <w:p>
            <w:pPr>
              <w:rPr>
                <w:rFonts w:ascii="宋体" w:hAnsi="宋体"/>
                <w:color w:val="auto"/>
                <w:sz w:val="21"/>
                <w:szCs w:val="21"/>
                <w:highlight w:val="none"/>
              </w:rPr>
            </w:pPr>
            <w:r>
              <w:rPr>
                <w:rFonts w:hint="eastAsia" w:ascii="宋体" w:hAnsi="宋体"/>
                <w:color w:val="auto"/>
                <w:sz w:val="21"/>
                <w:szCs w:val="21"/>
                <w:highlight w:val="none"/>
              </w:rPr>
              <w:t>支持1×TF存储扩展</w:t>
            </w:r>
          </w:p>
          <w:p>
            <w:pPr>
              <w:rPr>
                <w:rFonts w:ascii="宋体" w:hAnsi="宋体"/>
                <w:color w:val="auto"/>
                <w:sz w:val="21"/>
                <w:szCs w:val="21"/>
                <w:highlight w:val="none"/>
              </w:rPr>
            </w:pPr>
            <w:r>
              <w:rPr>
                <w:rFonts w:hint="eastAsia" w:ascii="宋体" w:hAnsi="宋体"/>
                <w:color w:val="auto"/>
                <w:sz w:val="21"/>
                <w:szCs w:val="21"/>
                <w:highlight w:val="none"/>
              </w:rPr>
              <w:t>支持宽电源供电：直流+12V～36V，功耗1W</w:t>
            </w:r>
          </w:p>
          <w:p>
            <w:pPr>
              <w:rPr>
                <w:rFonts w:ascii="宋体" w:hAnsi="宋体"/>
                <w:color w:val="auto"/>
                <w:sz w:val="21"/>
                <w:szCs w:val="21"/>
                <w:highlight w:val="none"/>
              </w:rPr>
            </w:pPr>
            <w:r>
              <w:rPr>
                <w:rFonts w:hint="eastAsia" w:ascii="宋体" w:hAnsi="宋体"/>
                <w:color w:val="auto"/>
                <w:sz w:val="21"/>
                <w:szCs w:val="21"/>
                <w:highlight w:val="none"/>
              </w:rPr>
              <w:t>支持电源、HDD及各端口状态指示灯</w:t>
            </w:r>
          </w:p>
          <w:p>
            <w:pPr>
              <w:rPr>
                <w:rFonts w:ascii="宋体" w:hAnsi="宋体"/>
                <w:color w:val="auto"/>
                <w:sz w:val="21"/>
                <w:szCs w:val="21"/>
                <w:highlight w:val="none"/>
              </w:rPr>
            </w:pPr>
            <w:r>
              <w:rPr>
                <w:rFonts w:hint="eastAsia" w:ascii="宋体" w:hAnsi="宋体"/>
                <w:color w:val="auto"/>
                <w:sz w:val="21"/>
                <w:szCs w:val="21"/>
                <w:highlight w:val="none"/>
              </w:rPr>
              <w:t>可选配GPRS/LTE/LoRa三种无线上传模块</w:t>
            </w:r>
          </w:p>
          <w:p>
            <w:pPr>
              <w:rPr>
                <w:rFonts w:ascii="宋体" w:hAnsi="宋体"/>
                <w:color w:val="auto"/>
                <w:sz w:val="21"/>
                <w:szCs w:val="21"/>
                <w:highlight w:val="none"/>
              </w:rPr>
            </w:pPr>
            <w:r>
              <w:rPr>
                <w:rFonts w:hint="eastAsia" w:ascii="宋体" w:hAnsi="宋体"/>
                <w:color w:val="auto"/>
                <w:sz w:val="21"/>
                <w:szCs w:val="21"/>
                <w:highlight w:val="none"/>
              </w:rPr>
              <w:t>支持自动重启触发看门狗（芯片内置）</w:t>
            </w:r>
          </w:p>
          <w:p>
            <w:pPr>
              <w:rPr>
                <w:rFonts w:ascii="宋体" w:hAnsi="宋体"/>
                <w:color w:val="auto"/>
                <w:sz w:val="21"/>
                <w:szCs w:val="21"/>
                <w:highlight w:val="none"/>
              </w:rPr>
            </w:pPr>
            <w:r>
              <w:rPr>
                <w:rFonts w:hint="eastAsia" w:ascii="宋体" w:hAnsi="宋体"/>
                <w:color w:val="auto"/>
                <w:sz w:val="21"/>
                <w:szCs w:val="21"/>
                <w:highlight w:val="none"/>
              </w:rPr>
              <w:t>工作温度支持工业级宽温-40～70℃，存储温度-40～80℃，湿度5～95%RH，不凝结</w:t>
            </w:r>
          </w:p>
          <w:p>
            <w:pPr>
              <w:rPr>
                <w:rFonts w:ascii="宋体" w:hAnsi="宋体"/>
                <w:color w:val="auto"/>
                <w:sz w:val="21"/>
                <w:szCs w:val="21"/>
                <w:highlight w:val="none"/>
              </w:rPr>
            </w:pPr>
            <w:r>
              <w:rPr>
                <w:rFonts w:hint="eastAsia" w:ascii="宋体" w:hAnsi="宋体"/>
                <w:color w:val="auto"/>
                <w:sz w:val="21"/>
                <w:szCs w:val="21"/>
                <w:highlight w:val="none"/>
              </w:rPr>
              <w:t>支持嵌入式Linux操作系统</w:t>
            </w:r>
          </w:p>
          <w:p>
            <w:pPr>
              <w:rPr>
                <w:rFonts w:ascii="宋体" w:hAnsi="宋体"/>
                <w:color w:val="auto"/>
                <w:sz w:val="21"/>
                <w:szCs w:val="21"/>
                <w:highlight w:val="none"/>
              </w:rPr>
            </w:pPr>
            <w:r>
              <w:rPr>
                <w:rFonts w:hint="eastAsia" w:ascii="宋体" w:hAnsi="宋体"/>
                <w:color w:val="auto"/>
                <w:sz w:val="21"/>
                <w:szCs w:val="21"/>
                <w:highlight w:val="none"/>
              </w:rPr>
              <w:t>无风扇设计，铁壳机构散热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2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企业端安全隔离网闸</w:t>
            </w:r>
          </w:p>
        </w:tc>
        <w:tc>
          <w:tcPr>
            <w:tcW w:w="790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2U机架式，“2+1”系统结构，内外端机为TCP/IP网络协议的终点，阻断TCP/IP协议的直接贯通。内外端机之间采用专用硬件和专用协议进行连接，不可编程。网闸以软硬件结合的方式，有效地隔断内外网络间直接的连接，防止信息无限制交换</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内网：不低于4个10/100/1000M RJ45接口，1个串口，2个USB口</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外网：不低于4个10/100/1000M RJ45接口，1个串口，2个USB口</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网络吞吐量：不小于300Mbps</w:t>
            </w:r>
          </w:p>
          <w:p>
            <w:pPr>
              <w:rPr>
                <w:rFonts w:ascii="宋体" w:hAnsi="宋体"/>
                <w:color w:val="auto"/>
                <w:sz w:val="21"/>
                <w:szCs w:val="21"/>
                <w:highlight w:val="none"/>
              </w:rPr>
            </w:pPr>
            <w:r>
              <w:rPr>
                <w:rFonts w:hint="eastAsia" w:ascii="宋体" w:hAnsi="宋体"/>
                <w:color w:val="auto"/>
                <w:sz w:val="21"/>
                <w:szCs w:val="21"/>
                <w:highlight w:val="none"/>
              </w:rPr>
              <w:t>系统整体时延：&lt;5毫秒</w:t>
            </w:r>
          </w:p>
          <w:p>
            <w:pPr>
              <w:rPr>
                <w:rFonts w:ascii="宋体" w:hAnsi="宋体"/>
                <w:color w:val="auto"/>
                <w:sz w:val="21"/>
                <w:szCs w:val="21"/>
                <w:highlight w:val="none"/>
              </w:rPr>
            </w:pPr>
            <w:r>
              <w:rPr>
                <w:rFonts w:hint="eastAsia" w:ascii="宋体" w:hAnsi="宋体"/>
                <w:color w:val="auto"/>
                <w:sz w:val="21"/>
                <w:szCs w:val="21"/>
                <w:highlight w:val="none"/>
              </w:rPr>
              <w:t>所有协议通道并发连接数：45000</w:t>
            </w:r>
          </w:p>
          <w:p>
            <w:pPr>
              <w:rPr>
                <w:rFonts w:ascii="宋体" w:hAnsi="宋体"/>
                <w:color w:val="auto"/>
                <w:sz w:val="21"/>
                <w:szCs w:val="21"/>
                <w:highlight w:val="none"/>
              </w:rPr>
            </w:pPr>
            <w:r>
              <w:rPr>
                <w:rFonts w:hint="eastAsia" w:ascii="宋体" w:hAnsi="宋体"/>
                <w:color w:val="auto"/>
                <w:sz w:val="21"/>
                <w:szCs w:val="21"/>
                <w:highlight w:val="none"/>
              </w:rPr>
              <w:t>支持WEB访问，支持HTTP协议应用的各种指令控制</w:t>
            </w:r>
          </w:p>
          <w:p>
            <w:pPr>
              <w:rPr>
                <w:rFonts w:ascii="宋体" w:hAnsi="宋体"/>
                <w:color w:val="auto"/>
                <w:sz w:val="21"/>
                <w:szCs w:val="21"/>
                <w:highlight w:val="none"/>
              </w:rPr>
            </w:pPr>
            <w:r>
              <w:rPr>
                <w:rFonts w:hint="eastAsia" w:ascii="宋体" w:hAnsi="宋体"/>
                <w:color w:val="auto"/>
                <w:sz w:val="21"/>
                <w:szCs w:val="21"/>
                <w:highlight w:val="none"/>
              </w:rPr>
              <w:t>支持HTTPS网络传输，并且可在该加密通道中分解出正常HTTPS网络应用，保障传输。同时可以屏蔽自由门等各类加密翻墙软件的传输。（提供功能截图证明）</w:t>
            </w:r>
          </w:p>
          <w:p>
            <w:pPr>
              <w:rPr>
                <w:rFonts w:ascii="宋体" w:hAnsi="宋体"/>
                <w:color w:val="auto"/>
                <w:sz w:val="21"/>
                <w:szCs w:val="21"/>
                <w:highlight w:val="none"/>
              </w:rPr>
            </w:pPr>
            <w:r>
              <w:rPr>
                <w:rFonts w:hint="eastAsia" w:ascii="宋体" w:hAnsi="宋体"/>
                <w:color w:val="auto"/>
                <w:sz w:val="21"/>
                <w:szCs w:val="21"/>
                <w:highlight w:val="none"/>
              </w:rPr>
              <w:t>其他过滤策略：文件类型、页面提交方式等。支持情景模式，能够控制用户上网以及服务器对外提供服务的具体时间</w:t>
            </w:r>
          </w:p>
          <w:p>
            <w:pPr>
              <w:rPr>
                <w:rFonts w:ascii="宋体" w:hAnsi="宋体"/>
                <w:color w:val="auto"/>
                <w:sz w:val="21"/>
                <w:szCs w:val="21"/>
                <w:highlight w:val="none"/>
              </w:rPr>
            </w:pPr>
            <w:r>
              <w:rPr>
                <w:rFonts w:hint="eastAsia" w:ascii="宋体" w:hAnsi="宋体"/>
                <w:color w:val="auto"/>
                <w:sz w:val="21"/>
                <w:szCs w:val="21"/>
                <w:highlight w:val="none"/>
              </w:rPr>
              <w:t>代理、透明和路由工作模式下均支持HTTP和HTTPS协议内部命令及命令参数控制策略。（提供功能截图证明）</w:t>
            </w:r>
          </w:p>
          <w:p>
            <w:pPr>
              <w:rPr>
                <w:rFonts w:ascii="宋体" w:hAnsi="宋体"/>
                <w:color w:val="auto"/>
                <w:sz w:val="21"/>
                <w:szCs w:val="21"/>
                <w:highlight w:val="none"/>
              </w:rPr>
            </w:pPr>
            <w:r>
              <w:rPr>
                <w:rFonts w:hint="eastAsia" w:ascii="宋体" w:hAnsi="宋体"/>
                <w:color w:val="auto"/>
                <w:sz w:val="21"/>
                <w:szCs w:val="21"/>
                <w:highlight w:val="none"/>
              </w:rPr>
              <w:t>支持FTP文件传输协议，支持主动被动两种模式。支持FTP命令参数控制支持对传输文件的类型过滤</w:t>
            </w:r>
          </w:p>
          <w:p>
            <w:pPr>
              <w:rPr>
                <w:rFonts w:ascii="宋体" w:hAnsi="宋体"/>
                <w:color w:val="auto"/>
                <w:sz w:val="21"/>
                <w:szCs w:val="21"/>
                <w:highlight w:val="none"/>
              </w:rPr>
            </w:pPr>
            <w:r>
              <w:rPr>
                <w:rFonts w:hint="eastAsia" w:ascii="宋体" w:hAnsi="宋体"/>
                <w:color w:val="auto"/>
                <w:sz w:val="21"/>
                <w:szCs w:val="21"/>
                <w:highlight w:val="none"/>
              </w:rPr>
              <w:t>代理、透明和路由工作模式下均支持FTP协议内部命令及命令参数控制策略</w:t>
            </w:r>
          </w:p>
          <w:p>
            <w:pPr>
              <w:rPr>
                <w:rFonts w:ascii="宋体" w:hAnsi="宋体"/>
                <w:color w:val="auto"/>
                <w:sz w:val="21"/>
                <w:szCs w:val="21"/>
                <w:highlight w:val="none"/>
              </w:rPr>
            </w:pPr>
            <w:r>
              <w:rPr>
                <w:rFonts w:hint="eastAsia" w:ascii="宋体" w:hAnsi="宋体"/>
                <w:color w:val="auto"/>
                <w:sz w:val="21"/>
                <w:szCs w:val="21"/>
                <w:highlight w:val="none"/>
              </w:rPr>
              <w:t>提供专用文件同步客户端提供安全的文件同步功能</w:t>
            </w:r>
          </w:p>
          <w:p>
            <w:pPr>
              <w:rPr>
                <w:rFonts w:ascii="宋体" w:hAnsi="宋体"/>
                <w:color w:val="auto"/>
                <w:sz w:val="21"/>
                <w:szCs w:val="21"/>
                <w:highlight w:val="none"/>
              </w:rPr>
            </w:pPr>
            <w:r>
              <w:rPr>
                <w:rFonts w:hint="eastAsia" w:ascii="宋体" w:hAnsi="宋体"/>
                <w:color w:val="auto"/>
                <w:sz w:val="21"/>
                <w:szCs w:val="21"/>
                <w:highlight w:val="none"/>
              </w:rPr>
              <w:t>同步传输方向可控，双向或单向</w:t>
            </w:r>
          </w:p>
          <w:p>
            <w:pPr>
              <w:rPr>
                <w:rFonts w:ascii="宋体" w:hAnsi="宋体"/>
                <w:color w:val="auto"/>
                <w:sz w:val="21"/>
                <w:szCs w:val="21"/>
                <w:highlight w:val="none"/>
              </w:rPr>
            </w:pPr>
            <w:r>
              <w:rPr>
                <w:rFonts w:hint="eastAsia" w:ascii="宋体" w:hAnsi="宋体"/>
                <w:color w:val="auto"/>
                <w:sz w:val="21"/>
                <w:szCs w:val="21"/>
                <w:highlight w:val="none"/>
              </w:rPr>
              <w:t>支持一对多或多对一文件同步</w:t>
            </w:r>
          </w:p>
          <w:p>
            <w:pPr>
              <w:rPr>
                <w:rFonts w:ascii="宋体" w:hAnsi="宋体"/>
                <w:color w:val="auto"/>
                <w:sz w:val="21"/>
                <w:szCs w:val="21"/>
                <w:highlight w:val="none"/>
              </w:rPr>
            </w:pPr>
            <w:r>
              <w:rPr>
                <w:rFonts w:hint="eastAsia" w:ascii="宋体" w:hAnsi="宋体"/>
                <w:color w:val="auto"/>
                <w:sz w:val="21"/>
                <w:szCs w:val="21"/>
                <w:highlight w:val="none"/>
              </w:rPr>
              <w:t>支持文件变动实时同步、定时同步、系统资源空闲智能同步等多种同步方式</w:t>
            </w:r>
          </w:p>
          <w:p>
            <w:pPr>
              <w:rPr>
                <w:rFonts w:ascii="宋体" w:hAnsi="宋体"/>
                <w:color w:val="auto"/>
                <w:sz w:val="21"/>
                <w:szCs w:val="21"/>
                <w:highlight w:val="none"/>
              </w:rPr>
            </w:pPr>
            <w:r>
              <w:rPr>
                <w:rFonts w:hint="eastAsia" w:ascii="宋体" w:hAnsi="宋体"/>
                <w:color w:val="auto"/>
                <w:sz w:val="21"/>
                <w:szCs w:val="21"/>
                <w:highlight w:val="none"/>
              </w:rPr>
              <w:t>支持同步删除和同步覆盖策略配置，并能将同步删除和同步覆盖的文件备份到指定文件夹</w:t>
            </w:r>
          </w:p>
          <w:p>
            <w:pPr>
              <w:rPr>
                <w:rFonts w:ascii="宋体" w:hAnsi="宋体"/>
                <w:color w:val="auto"/>
                <w:sz w:val="21"/>
                <w:szCs w:val="21"/>
                <w:highlight w:val="none"/>
              </w:rPr>
            </w:pPr>
            <w:r>
              <w:rPr>
                <w:rFonts w:hint="eastAsia" w:ascii="宋体" w:hAnsi="宋体"/>
                <w:color w:val="auto"/>
                <w:sz w:val="21"/>
                <w:szCs w:val="21"/>
                <w:highlight w:val="none"/>
              </w:rPr>
              <w:t>支持文件同步容错策略和告警策略，同步出错能够自动重传并能够设置重传次数，出现异常同步状况能够终止同步弹出告警提示并记录日志。（提供功能截图证明）</w:t>
            </w:r>
          </w:p>
          <w:p>
            <w:pPr>
              <w:rPr>
                <w:rFonts w:ascii="宋体" w:hAnsi="宋体"/>
                <w:color w:val="auto"/>
                <w:sz w:val="21"/>
                <w:szCs w:val="21"/>
                <w:highlight w:val="none"/>
              </w:rPr>
            </w:pPr>
            <w:r>
              <w:rPr>
                <w:rFonts w:hint="eastAsia" w:ascii="宋体" w:hAnsi="宋体"/>
                <w:color w:val="auto"/>
                <w:sz w:val="21"/>
                <w:szCs w:val="21"/>
                <w:highlight w:val="none"/>
              </w:rPr>
              <w:t>提供对多种主流数据库,如：MYSQL、SQLSERVER、ORACLE、DB2、SYBASE等系统的安全访问</w:t>
            </w:r>
          </w:p>
          <w:p>
            <w:pPr>
              <w:rPr>
                <w:rFonts w:ascii="宋体" w:hAnsi="宋体"/>
                <w:color w:val="auto"/>
                <w:sz w:val="21"/>
                <w:szCs w:val="21"/>
                <w:highlight w:val="none"/>
              </w:rPr>
            </w:pPr>
            <w:r>
              <w:rPr>
                <w:rFonts w:hint="eastAsia" w:ascii="宋体" w:hAnsi="宋体"/>
                <w:color w:val="auto"/>
                <w:sz w:val="21"/>
                <w:szCs w:val="21"/>
                <w:highlight w:val="none"/>
              </w:rPr>
              <w:t>代理、透明和路由工作模式下均支持数据库内部命令及命令参数控制策略。</w:t>
            </w:r>
          </w:p>
          <w:p>
            <w:pPr>
              <w:rPr>
                <w:rFonts w:ascii="宋体" w:hAnsi="宋体"/>
                <w:color w:val="auto"/>
                <w:sz w:val="21"/>
                <w:szCs w:val="21"/>
                <w:highlight w:val="none"/>
              </w:rPr>
            </w:pPr>
            <w:r>
              <w:rPr>
                <w:rFonts w:hint="eastAsia" w:ascii="宋体" w:hAnsi="宋体"/>
                <w:color w:val="auto"/>
                <w:sz w:val="21"/>
                <w:szCs w:val="21"/>
                <w:highlight w:val="none"/>
              </w:rPr>
              <w:t>基于专用客户端与网闸安全连接方式，提供多种主流数据库系统如：ORACLE、SQLSERVER、MYSQL、SYBASE、DB2等之间的同步</w:t>
            </w:r>
          </w:p>
          <w:p>
            <w:pPr>
              <w:rPr>
                <w:rFonts w:ascii="宋体" w:hAnsi="宋体"/>
                <w:color w:val="auto"/>
                <w:sz w:val="21"/>
                <w:szCs w:val="21"/>
                <w:highlight w:val="none"/>
              </w:rPr>
            </w:pPr>
            <w:r>
              <w:rPr>
                <w:rFonts w:hint="eastAsia" w:ascii="宋体" w:hAnsi="宋体"/>
                <w:color w:val="auto"/>
                <w:sz w:val="21"/>
                <w:szCs w:val="21"/>
                <w:highlight w:val="none"/>
              </w:rPr>
              <w:t>支持达梦、人大金仓等国产数据。（提供功能截图证明）</w:t>
            </w:r>
          </w:p>
          <w:p>
            <w:pPr>
              <w:rPr>
                <w:rFonts w:ascii="宋体" w:hAnsi="宋体"/>
                <w:color w:val="auto"/>
                <w:sz w:val="21"/>
                <w:szCs w:val="21"/>
                <w:highlight w:val="none"/>
              </w:rPr>
            </w:pPr>
            <w:r>
              <w:rPr>
                <w:rFonts w:hint="eastAsia" w:ascii="宋体" w:hAnsi="宋体"/>
                <w:color w:val="auto"/>
                <w:sz w:val="21"/>
                <w:szCs w:val="21"/>
                <w:highlight w:val="none"/>
              </w:rPr>
              <w:t>支持二进制普通文件、图片、文本文件及BLOB大字段同步。（提供功能截图证明）</w:t>
            </w:r>
          </w:p>
          <w:p>
            <w:pPr>
              <w:rPr>
                <w:rFonts w:ascii="宋体" w:hAnsi="宋体"/>
                <w:color w:val="auto"/>
                <w:sz w:val="21"/>
                <w:szCs w:val="21"/>
                <w:highlight w:val="none"/>
              </w:rPr>
            </w:pPr>
            <w:r>
              <w:rPr>
                <w:rFonts w:hint="eastAsia" w:ascii="宋体" w:hAnsi="宋体"/>
                <w:color w:val="auto"/>
                <w:sz w:val="21"/>
                <w:szCs w:val="21"/>
                <w:highlight w:val="none"/>
              </w:rPr>
              <w:t>支持数据一对一、一对多、多对多的单向或双向交换和同步</w:t>
            </w:r>
          </w:p>
          <w:p>
            <w:pPr>
              <w:rPr>
                <w:rFonts w:ascii="宋体" w:hAnsi="宋体"/>
                <w:color w:val="auto"/>
                <w:sz w:val="21"/>
                <w:szCs w:val="21"/>
                <w:highlight w:val="none"/>
              </w:rPr>
            </w:pPr>
            <w:r>
              <w:rPr>
                <w:rFonts w:hint="eastAsia" w:ascii="宋体" w:hAnsi="宋体"/>
                <w:color w:val="auto"/>
                <w:sz w:val="21"/>
                <w:szCs w:val="21"/>
                <w:highlight w:val="none"/>
              </w:rPr>
              <w:t>支持数据库实时同步或定时同步的策略定义</w:t>
            </w:r>
          </w:p>
          <w:p>
            <w:pPr>
              <w:rPr>
                <w:rFonts w:ascii="宋体" w:hAnsi="宋体"/>
                <w:color w:val="auto"/>
                <w:sz w:val="21"/>
                <w:szCs w:val="21"/>
                <w:highlight w:val="none"/>
              </w:rPr>
            </w:pPr>
            <w:r>
              <w:rPr>
                <w:rFonts w:hint="eastAsia" w:ascii="宋体" w:hAnsi="宋体"/>
                <w:color w:val="auto"/>
                <w:sz w:val="21"/>
                <w:szCs w:val="21"/>
                <w:highlight w:val="none"/>
              </w:rPr>
              <w:t>数据库同步传输不使用通用数据库服务端口例如1433、1521、3306等，保障数据库同步传输的安全性</w:t>
            </w:r>
          </w:p>
          <w:p>
            <w:pPr>
              <w:rPr>
                <w:rFonts w:ascii="宋体" w:hAnsi="宋体"/>
                <w:color w:val="auto"/>
                <w:sz w:val="21"/>
                <w:szCs w:val="21"/>
                <w:highlight w:val="none"/>
              </w:rPr>
            </w:pPr>
            <w:r>
              <w:rPr>
                <w:rFonts w:hint="eastAsia" w:ascii="宋体" w:hAnsi="宋体"/>
                <w:color w:val="auto"/>
                <w:sz w:val="21"/>
                <w:szCs w:val="21"/>
                <w:highlight w:val="none"/>
              </w:rPr>
              <w:t>支持灵活的数据冲突检测机制，当同步的数据记录发成冲突时，可以灵活处理出现冲突的数据记录</w:t>
            </w:r>
          </w:p>
          <w:p>
            <w:pPr>
              <w:rPr>
                <w:rFonts w:ascii="宋体" w:hAnsi="宋体"/>
                <w:color w:val="auto"/>
                <w:sz w:val="21"/>
                <w:szCs w:val="21"/>
                <w:highlight w:val="none"/>
              </w:rPr>
            </w:pPr>
            <w:r>
              <w:rPr>
                <w:rFonts w:hint="eastAsia" w:ascii="宋体" w:hAnsi="宋体"/>
                <w:color w:val="auto"/>
                <w:sz w:val="21"/>
                <w:szCs w:val="21"/>
                <w:highlight w:val="none"/>
              </w:rPr>
              <w:t>数据库同步高可靠性，即使发生网络故障，已变化数据也不会丢失</w:t>
            </w:r>
          </w:p>
          <w:p>
            <w:pPr>
              <w:rPr>
                <w:rFonts w:ascii="宋体" w:hAnsi="宋体"/>
                <w:color w:val="auto"/>
                <w:sz w:val="21"/>
                <w:szCs w:val="21"/>
                <w:highlight w:val="none"/>
              </w:rPr>
            </w:pPr>
            <w:r>
              <w:rPr>
                <w:rFonts w:hint="eastAsia" w:ascii="宋体" w:hAnsi="宋体"/>
                <w:color w:val="auto"/>
                <w:sz w:val="21"/>
                <w:szCs w:val="21"/>
                <w:highlight w:val="none"/>
              </w:rPr>
              <w:t>管理采用C/S架构专有协议管理，网闸管理口无IP地址，管理主机也不必设置IP即可搜索到设备，管理设备，支持设备集中管理。（提供功能截图证明）</w:t>
            </w:r>
          </w:p>
          <w:p>
            <w:pPr>
              <w:rPr>
                <w:rFonts w:ascii="宋体" w:hAnsi="宋体"/>
                <w:color w:val="auto"/>
                <w:sz w:val="21"/>
                <w:szCs w:val="21"/>
                <w:highlight w:val="none"/>
              </w:rPr>
            </w:pPr>
            <w:r>
              <w:rPr>
                <w:rFonts w:hint="eastAsia" w:ascii="宋体" w:hAnsi="宋体"/>
                <w:color w:val="auto"/>
                <w:sz w:val="21"/>
                <w:szCs w:val="21"/>
                <w:highlight w:val="none"/>
              </w:rPr>
              <w:t>支持对所有访问进行日志记录，包括系统事件、成功事件、报警事件。提供对日志信息的浏览、查询、删除、下载等多种操作</w:t>
            </w:r>
          </w:p>
          <w:p>
            <w:pPr>
              <w:rPr>
                <w:rFonts w:ascii="宋体" w:hAnsi="宋体"/>
                <w:color w:val="auto"/>
                <w:sz w:val="21"/>
                <w:szCs w:val="21"/>
                <w:highlight w:val="none"/>
              </w:rPr>
            </w:pPr>
            <w:r>
              <w:rPr>
                <w:rFonts w:hint="eastAsia" w:ascii="宋体" w:hAnsi="宋体"/>
                <w:color w:val="auto"/>
                <w:sz w:val="21"/>
                <w:szCs w:val="21"/>
                <w:highlight w:val="none"/>
              </w:rPr>
              <w:t>具备信息安全认证中心中国国家信息安全产品认证证书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2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s="宋体"/>
                <w:color w:val="auto"/>
                <w:kern w:val="0"/>
                <w:sz w:val="20"/>
                <w:highlight w:val="none"/>
              </w:rPr>
              <w:t>能耗数据采集端设备服务器</w:t>
            </w:r>
          </w:p>
        </w:tc>
        <w:tc>
          <w:tcPr>
            <w:tcW w:w="790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CPU：至强16核</w:t>
            </w:r>
          </w:p>
          <w:p>
            <w:pPr>
              <w:rPr>
                <w:rFonts w:ascii="宋体" w:hAnsi="宋体"/>
                <w:color w:val="auto"/>
                <w:sz w:val="21"/>
                <w:szCs w:val="21"/>
                <w:highlight w:val="none"/>
              </w:rPr>
            </w:pPr>
            <w:r>
              <w:rPr>
                <w:rFonts w:hint="eastAsia" w:ascii="宋体" w:hAnsi="宋体"/>
                <w:color w:val="auto"/>
                <w:sz w:val="21"/>
                <w:szCs w:val="21"/>
                <w:highlight w:val="none"/>
              </w:rPr>
              <w:t xml:space="preserve">内存：DDR4 32GB </w:t>
            </w:r>
          </w:p>
          <w:p>
            <w:pPr>
              <w:rPr>
                <w:rFonts w:ascii="宋体" w:hAnsi="宋体"/>
                <w:color w:val="auto"/>
                <w:sz w:val="21"/>
                <w:szCs w:val="21"/>
                <w:highlight w:val="none"/>
              </w:rPr>
            </w:pPr>
            <w:r>
              <w:rPr>
                <w:rFonts w:hint="eastAsia" w:ascii="宋体" w:hAnsi="宋体"/>
                <w:color w:val="auto"/>
                <w:sz w:val="21"/>
                <w:szCs w:val="21"/>
                <w:highlight w:val="none"/>
              </w:rPr>
              <w:t>储存：2T SAS 10K rpm</w:t>
            </w:r>
          </w:p>
          <w:p>
            <w:pPr>
              <w:rPr>
                <w:rFonts w:ascii="宋体" w:hAnsi="宋体"/>
                <w:color w:val="auto"/>
                <w:sz w:val="21"/>
                <w:szCs w:val="21"/>
                <w:highlight w:val="none"/>
              </w:rPr>
            </w:pPr>
            <w:r>
              <w:rPr>
                <w:rFonts w:hint="eastAsia" w:ascii="宋体" w:hAnsi="宋体"/>
                <w:color w:val="auto"/>
                <w:sz w:val="21"/>
                <w:szCs w:val="21"/>
                <w:highlight w:val="none"/>
              </w:rPr>
              <w:t>网卡：2xGE电口(I350)-RJ45</w:t>
            </w:r>
          </w:p>
          <w:p>
            <w:pPr>
              <w:rPr>
                <w:rFonts w:ascii="宋体" w:hAnsi="宋体"/>
                <w:color w:val="auto"/>
                <w:sz w:val="21"/>
                <w:szCs w:val="21"/>
                <w:highlight w:val="none"/>
              </w:rPr>
            </w:pPr>
            <w:r>
              <w:rPr>
                <w:rFonts w:hint="eastAsia" w:ascii="宋体" w:hAnsi="宋体"/>
                <w:color w:val="auto"/>
                <w:sz w:val="21"/>
                <w:szCs w:val="21"/>
                <w:highlight w:val="none"/>
              </w:rPr>
              <w:t>RAID卡：SAS/SATA，支持RAID0,1</w:t>
            </w:r>
          </w:p>
          <w:p>
            <w:pPr>
              <w:rPr>
                <w:rFonts w:ascii="宋体" w:hAnsi="宋体"/>
                <w:color w:val="auto"/>
                <w:sz w:val="21"/>
                <w:szCs w:val="21"/>
                <w:highlight w:val="none"/>
              </w:rPr>
            </w:pPr>
            <w:r>
              <w:rPr>
                <w:rFonts w:hint="eastAsia" w:ascii="宋体" w:hAnsi="宋体"/>
                <w:color w:val="auto"/>
                <w:sz w:val="21"/>
                <w:szCs w:val="21"/>
                <w:highlight w:val="none"/>
              </w:rPr>
              <w:t>机箱：机架式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2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企业端服务器机柜</w:t>
            </w:r>
          </w:p>
        </w:tc>
        <w:tc>
          <w:tcPr>
            <w:tcW w:w="7905"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18U&amp;宽度*深度*高度为600*600*988 黑色</w:t>
            </w:r>
            <w:r>
              <w:rPr>
                <w:rFonts w:ascii="宋体" w:hAnsi="宋体"/>
                <w:color w:val="auto"/>
                <w:sz w:val="21"/>
                <w:szCs w:val="21"/>
                <w:highlight w:val="none"/>
              </w:rPr>
              <w:t>RAL9004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2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s="宋体"/>
                <w:color w:val="auto"/>
                <w:sz w:val="21"/>
                <w:szCs w:val="21"/>
                <w:highlight w:val="none"/>
                <w:lang w:bidi="ar"/>
              </w:rPr>
              <w:t xml:space="preserve">园区能耗数据安全网闸     </w:t>
            </w:r>
          </w:p>
        </w:tc>
        <w:tc>
          <w:tcPr>
            <w:tcW w:w="7905" w:type="dxa"/>
            <w:tcBorders>
              <w:top w:val="single" w:color="auto" w:sz="4" w:space="0"/>
              <w:left w:val="nil"/>
              <w:bottom w:val="single" w:color="auto" w:sz="4" w:space="0"/>
              <w:right w:val="single" w:color="auto" w:sz="4" w:space="0"/>
            </w:tcBorders>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2U机架式，“2+1”系统结构，内外端机为TCP/IP网络协议的终点，阻断TCP/IP协议的直接贯通。内外端机之间采用专用硬件和专用协议进行连接，不可编程。网闸以软硬件结合的方式，有效地隔断内外网络间直接的连接，防止信息无限制交换</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内网：不低于4个10/100/1000M RJ45接口，1个串口，2个USB口</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外网：不低于4个10/100/1000M RJ45接口，1个串口，2个USB口</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网络吞吐量：不小于300Mbps</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系统整体时延：&lt;5毫秒</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所有协议通道并发连接数：45000</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支持WEB访问，支持HTTP协议应用的各种指令控制</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支持HTTPS网络传输，并且可在该加密通道中分解出正常HTTPS网络应用，保障传输。同时可以屏蔽自由门等各类加密翻墙软件的传输。（提供功能截图证明）</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其他过滤策略：文件类型、页面提交方式等。支持情景模式，能够控制用户上网以及服务器对外提供服务的具体时间</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代理、透明和路由工作模式下均支持HTTP和HTTPS协议内部命令及命令参数控制策略。（提供功能截图证明）</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支持FTP文件传输协议，支持主动被动两种模式。支持FTP命令参数控制支持对传输文件的类型过滤</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代理、透明和路由工作模式下均支持FTP协议内部命令及命令参数控制策略</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提供专用文件同步客户端提供安全的文件同步功能</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同步传输方向可控，双向或单向</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支持一对多或多对一文件同步</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支持文件变动实时同步、定时同步、系统资源空闲智能同步等多种同步方式</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支持同步删除和同步覆盖策略配置，并能将同步删除和同步覆盖的文件备份到指定文件夹</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支持文件同步容错策略和告警策略，同步出错能够自动重传并能够设置重传次数，出现异常同步状况能够终止同步弹出告警提示并记录日志。（提供功能截图证明）</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提供对多种主流数据库,如：MYSQL、SQLSERVER、ORACLE、DB2、SYBASE等系统的安全访问</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代理、透明和路由工作模式下均支持数据库内部命令及命令参数控制策略。</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基于专用客户端与网闸安全连接方式，提供多种主流数据库系统如：ORACLE、SQLSERVER、MYSQL、SYBASE、DB2等之间的同步</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支持达梦、人大金仓等国产数据。（提供功能截图证明）</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支持二进制普通文件、图片、文本文件及BLOB大字段同步。（提供功能截图证明）</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支持数据一对一、一对多、多对多的单向或双向交换和同步</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支持数据库实时同步或定时同步的策略定义</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数据库同步传输不使用通用数据库服务端口例如1433、1521、3306等，保障数据库同步传输的安全性</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支持灵活的数据冲突检测机制，当同步的数据记录发成冲突时，可以灵活处理出现冲突的数据记录</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数据库同步高可靠性，即使发生网络故障，已变化数据也不会丢失</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管理采用C/S架构专有协议管理，网闸管理口无IP地址，管理主机也不必设置IP即可搜索到设备，管理设备，支持设备集中管理。（提供功能截图证明）</w:t>
            </w:r>
          </w:p>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支持对所有访问进行日志记录，包括系统事件、成功事件、报警事件。提供对日志信息的浏览、查询、删除、下载等多种操作</w:t>
            </w:r>
          </w:p>
          <w:p>
            <w:pPr>
              <w:rPr>
                <w:rFonts w:ascii="宋体" w:hAnsi="宋体"/>
                <w:color w:val="auto"/>
                <w:sz w:val="21"/>
                <w:szCs w:val="21"/>
                <w:highlight w:val="none"/>
              </w:rPr>
            </w:pPr>
            <w:r>
              <w:rPr>
                <w:rFonts w:hint="eastAsia" w:ascii="宋体" w:hAnsi="宋体" w:cs="宋体"/>
                <w:color w:val="auto"/>
                <w:sz w:val="21"/>
                <w:szCs w:val="21"/>
                <w:highlight w:val="none"/>
                <w:lang w:bidi="ar"/>
              </w:rPr>
              <w:t>具备信息安全认证中心中国国家信息安全产品认证证书</w:t>
            </w:r>
          </w:p>
        </w:tc>
      </w:tr>
    </w:tbl>
    <w:p>
      <w:pPr>
        <w:pStyle w:val="4"/>
        <w:rPr>
          <w:color w:val="auto"/>
          <w:highlight w:val="none"/>
        </w:rPr>
      </w:pPr>
      <w:r>
        <w:rPr>
          <w:rFonts w:hint="eastAsia"/>
          <w:color w:val="auto"/>
          <w:highlight w:val="none"/>
        </w:rPr>
        <w:t>园区能源管理平台</w:t>
      </w:r>
    </w:p>
    <w:p>
      <w:pPr>
        <w:pStyle w:val="5"/>
        <w:rPr>
          <w:color w:val="auto"/>
          <w:highlight w:val="none"/>
        </w:rPr>
      </w:pPr>
      <w:r>
        <w:rPr>
          <w:rFonts w:hint="eastAsia"/>
          <w:color w:val="auto"/>
          <w:highlight w:val="none"/>
        </w:rPr>
        <w:t>能耗数据采集子系统</w:t>
      </w:r>
    </w:p>
    <w:p>
      <w:pPr>
        <w:pStyle w:val="6"/>
        <w:rPr>
          <w:color w:val="auto"/>
          <w:highlight w:val="none"/>
        </w:rPr>
      </w:pPr>
      <w:r>
        <w:rPr>
          <w:rFonts w:hint="eastAsia"/>
          <w:color w:val="auto"/>
          <w:highlight w:val="none"/>
        </w:rPr>
        <w:t>企业能耗数据协议适配软件</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对每家企业配置关口电表、水表、针对水、气、煤、电等不同的能耗计量仪表，有Modbus、DL/T645、CJ/T188协议需要对接。对于其他非SQL、OPC、Modbus、DL/T645、CJ/T188协议的，需要进行协议的适配转换。最终实现企业能耗数据可以上传到平台，并在平台中显示。</w:t>
      </w:r>
    </w:p>
    <w:p>
      <w:pPr>
        <w:pStyle w:val="6"/>
        <w:rPr>
          <w:color w:val="auto"/>
          <w:highlight w:val="none"/>
        </w:rPr>
      </w:pPr>
      <w:r>
        <w:rPr>
          <w:rFonts w:hint="eastAsia"/>
          <w:color w:val="auto"/>
          <w:highlight w:val="none"/>
        </w:rPr>
        <w:t>能耗数据传输接口软件</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要求打通各个能耗采集设备的之间的通路，通过协议定制化开发，打通一级、二级、三级传输设备之间的信息通路，最终实现数据上传至平台的功能。</w:t>
      </w:r>
    </w:p>
    <w:p>
      <w:pPr>
        <w:pStyle w:val="5"/>
        <w:rPr>
          <w:color w:val="auto"/>
          <w:highlight w:val="none"/>
        </w:rPr>
      </w:pPr>
      <w:r>
        <w:rPr>
          <w:rFonts w:hint="eastAsia"/>
          <w:color w:val="auto"/>
          <w:highlight w:val="none"/>
        </w:rPr>
        <w:t>能耗大数据处理平台</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750"/>
        <w:gridCol w:w="7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750"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7141"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75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数据库系统</w:t>
            </w:r>
          </w:p>
        </w:tc>
        <w:tc>
          <w:tcPr>
            <w:tcW w:w="7141" w:type="dxa"/>
            <w:tcBorders>
              <w:top w:val="single" w:color="auto" w:sz="4" w:space="0"/>
              <w:left w:val="nil"/>
              <w:bottom w:val="single" w:color="auto" w:sz="4" w:space="0"/>
              <w:right w:val="single" w:color="auto" w:sz="4" w:space="0"/>
            </w:tcBorders>
            <w:vAlign w:val="center"/>
          </w:tcPr>
          <w:p>
            <w:pPr>
              <w:spacing w:line="360" w:lineRule="auto"/>
              <w:rPr>
                <w:rFonts w:ascii="宋体" w:hAnsi="宋体"/>
                <w:color w:val="auto"/>
                <w:sz w:val="21"/>
                <w:szCs w:val="21"/>
                <w:highlight w:val="none"/>
              </w:rPr>
            </w:pPr>
            <w:r>
              <w:rPr>
                <w:rFonts w:hint="eastAsia" w:ascii="宋体" w:hAnsi="宋体"/>
                <w:color w:val="auto"/>
                <w:sz w:val="24"/>
                <w:szCs w:val="24"/>
                <w:highlight w:val="none"/>
              </w:rPr>
              <w:t>能耗在线监测所有实时、历史数据获取、存储、转发的共享平台软件。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75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数据接入引擎系统</w:t>
            </w:r>
          </w:p>
        </w:tc>
        <w:tc>
          <w:tcPr>
            <w:tcW w:w="714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运行在接入引擎服务器上，处理园区侧与企业侧数据对接提取服务。根据园区企业特性，订制化能耗采集要素。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75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分布式大数据存储备份系统</w:t>
            </w:r>
          </w:p>
        </w:tc>
        <w:tc>
          <w:tcPr>
            <w:tcW w:w="714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提供服务器迁移、连续数据备份，热备份，实时备份到本地的灾备等服务。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75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实时在线分析系统</w:t>
            </w:r>
          </w:p>
        </w:tc>
        <w:tc>
          <w:tcPr>
            <w:tcW w:w="714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园区能耗数据通过大数据挖掘算法及各针对性数学模型分析，获取企业及园区各类能耗实际耗能现状、耗能趋势、企业设备运行情况，产生各种分析结果、报表、决策依据等。</w:t>
            </w:r>
          </w:p>
        </w:tc>
      </w:tr>
    </w:tbl>
    <w:p>
      <w:pPr>
        <w:rPr>
          <w:color w:val="auto"/>
          <w:highlight w:val="none"/>
        </w:rPr>
      </w:pPr>
    </w:p>
    <w:p>
      <w:pPr>
        <w:pStyle w:val="5"/>
        <w:rPr>
          <w:color w:val="auto"/>
          <w:highlight w:val="none"/>
        </w:rPr>
      </w:pPr>
      <w:r>
        <w:rPr>
          <w:rFonts w:hint="eastAsia"/>
          <w:color w:val="auto"/>
          <w:highlight w:val="none"/>
        </w:rPr>
        <w:t>园区能耗综合展示门户</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能源监管平台应包含园区能耗综合展示门户软件。园区能耗综合展示门户应整合各入驻企业监测数据，展示园区整体用能情况。系统对园区节能减排指标完成情况进行数据分析和趋势预测。</w:t>
      </w:r>
    </w:p>
    <w:p>
      <w:pPr>
        <w:pStyle w:val="5"/>
        <w:rPr>
          <w:color w:val="auto"/>
          <w:highlight w:val="none"/>
        </w:rPr>
      </w:pPr>
      <w:r>
        <w:rPr>
          <w:rFonts w:hint="eastAsia"/>
          <w:color w:val="auto"/>
          <w:highlight w:val="none"/>
        </w:rPr>
        <w:t>园区企业能耗管理系统软件</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园区企业能耗管理系统应全面接入园区企业能源数据，平台应包含如下几个基本功能。</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487"/>
        <w:gridCol w:w="1702"/>
        <w:gridCol w:w="5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487"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一级功能</w:t>
            </w:r>
          </w:p>
        </w:tc>
        <w:tc>
          <w:tcPr>
            <w:tcW w:w="1702"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二级功能</w:t>
            </w:r>
          </w:p>
        </w:tc>
        <w:tc>
          <w:tcPr>
            <w:tcW w:w="5621"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48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园区能耗管理系统</w:t>
            </w:r>
          </w:p>
        </w:tc>
        <w:tc>
          <w:tcPr>
            <w:tcW w:w="1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企业端设备对接</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选取的试点企业，利用前端智能化改造，获取用电、用水、用气数据，并将数据传入物联数据接入系统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48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统一的用户权限管理</w:t>
            </w:r>
          </w:p>
        </w:tc>
        <w:tc>
          <w:tcPr>
            <w:tcW w:w="1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统一的用户权限管理</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组织机构及用户管理、应用系统及功能管理、角色管理、角色/用户权限分配、用户登录日志管理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48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设备管理</w:t>
            </w:r>
          </w:p>
        </w:tc>
        <w:tc>
          <w:tcPr>
            <w:tcW w:w="1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设备管理</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企业端采集设备配置、设备运行状态管理、设备故障管理、远程维护管理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48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能耗监测</w:t>
            </w:r>
          </w:p>
        </w:tc>
        <w:tc>
          <w:tcPr>
            <w:tcW w:w="1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能耗监测</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监测内容包括综合能耗、产值能耗、企业能耗分布和行业能耗分布与同环比变化情况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48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能耗对标管理</w:t>
            </w:r>
          </w:p>
        </w:tc>
        <w:tc>
          <w:tcPr>
            <w:tcW w:w="1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能耗对标</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综合分析园区能耗结构、总量与经济体量，评价园区的用能效率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48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用能预警</w:t>
            </w:r>
          </w:p>
        </w:tc>
        <w:tc>
          <w:tcPr>
            <w:tcW w:w="1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用能预警</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用能预警模块对园区企业的用能异常情况进行实时报警，采用多级报警体系，按异常情况的重要程度以邮件或者短信形式推送给相应的负责人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148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能耗问题管理</w:t>
            </w:r>
          </w:p>
        </w:tc>
        <w:tc>
          <w:tcPr>
            <w:tcW w:w="1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能耗问题管理</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提供能耗问题台账管理，记录所有能耗异常的预警报警问题，并可实时跟踪问题处理情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8</w:t>
            </w:r>
          </w:p>
        </w:tc>
        <w:tc>
          <w:tcPr>
            <w:tcW w:w="148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能耗报表系统</w:t>
            </w:r>
          </w:p>
        </w:tc>
        <w:tc>
          <w:tcPr>
            <w:tcW w:w="1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能耗报表系统</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基于平台提供的数据统计和分析能力，提供多样化的图形报表功能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18"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9</w:t>
            </w:r>
          </w:p>
        </w:tc>
        <w:tc>
          <w:tcPr>
            <w:tcW w:w="1487" w:type="dxa"/>
            <w:vMerge w:val="restart"/>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企业上报</w:t>
            </w:r>
          </w:p>
        </w:tc>
        <w:tc>
          <w:tcPr>
            <w:tcW w:w="1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产值上报</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能耗分析管理系统，提供企业自主上报产值的功能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487"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生产计划上报</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为了能够较为预测消耗情况、提供实时预警，需要结合企业上报的生产计划，制定企业能耗计划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18"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1487" w:type="dxa"/>
            <w:vMerge w:val="restart"/>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智能抄表</w:t>
            </w:r>
          </w:p>
        </w:tc>
        <w:tc>
          <w:tcPr>
            <w:tcW w:w="1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抄表设置</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远程设置抄表频率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487"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数据采集</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按设置的频率自动进行数据采集，并计算使用量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11</w:t>
            </w:r>
          </w:p>
        </w:tc>
        <w:tc>
          <w:tcPr>
            <w:tcW w:w="148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能耗计划管理</w:t>
            </w:r>
          </w:p>
        </w:tc>
        <w:tc>
          <w:tcPr>
            <w:tcW w:w="1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能耗计划管理</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提供制定能耗计划的管理与维护功能，可根据企业状态结合企业以往数据，制定将要发生的能耗计划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12</w:t>
            </w:r>
          </w:p>
        </w:tc>
        <w:tc>
          <w:tcPr>
            <w:tcW w:w="148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能耗指标管理</w:t>
            </w:r>
          </w:p>
        </w:tc>
        <w:tc>
          <w:tcPr>
            <w:tcW w:w="1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能耗指标管理</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着重对企业工序能耗的管理，建立起一套合理的能源绩效评价体系，使能源管理工作有的放矢</w:t>
            </w:r>
          </w:p>
        </w:tc>
      </w:tr>
    </w:tbl>
    <w:p>
      <w:pPr>
        <w:pStyle w:val="6"/>
        <w:rPr>
          <w:color w:val="auto"/>
          <w:highlight w:val="none"/>
        </w:rPr>
      </w:pPr>
      <w:r>
        <w:rPr>
          <w:rFonts w:hint="eastAsia"/>
          <w:color w:val="auto"/>
          <w:highlight w:val="none"/>
        </w:rPr>
        <w:t>企业能耗管理软件</w:t>
      </w:r>
    </w:p>
    <w:tbl>
      <w:tblPr>
        <w:tblStyle w:val="9"/>
        <w:tblW w:w="9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805"/>
        <w:gridCol w:w="6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805"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c>
          <w:tcPr>
            <w:tcW w:w="6832"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80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实时数据查看</w:t>
            </w:r>
          </w:p>
        </w:tc>
        <w:tc>
          <w:tcPr>
            <w:tcW w:w="683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各家企业可以查看本企业当前的能耗实时数据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80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历史数据查询</w:t>
            </w:r>
          </w:p>
        </w:tc>
        <w:tc>
          <w:tcPr>
            <w:tcW w:w="683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各家企业可以查看本企业历史的能耗数据。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80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企业上报</w:t>
            </w:r>
          </w:p>
        </w:tc>
        <w:tc>
          <w:tcPr>
            <w:tcW w:w="683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提供企业自主上报产值功能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80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生产计划上报</w:t>
            </w:r>
          </w:p>
        </w:tc>
        <w:tc>
          <w:tcPr>
            <w:tcW w:w="683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提供生产计划上报功能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80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能耗指标上报</w:t>
            </w:r>
          </w:p>
        </w:tc>
        <w:tc>
          <w:tcPr>
            <w:tcW w:w="683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体用企业本年度，本季度的能耗指标上报功能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80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数据导出</w:t>
            </w:r>
          </w:p>
        </w:tc>
        <w:tc>
          <w:tcPr>
            <w:tcW w:w="683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提供本企业的能耗数据以报表形式导出功能</w:t>
            </w:r>
          </w:p>
        </w:tc>
      </w:tr>
    </w:tbl>
    <w:p>
      <w:pPr>
        <w:pStyle w:val="6"/>
        <w:rPr>
          <w:color w:val="auto"/>
          <w:highlight w:val="none"/>
        </w:rPr>
      </w:pPr>
      <w:r>
        <w:rPr>
          <w:rFonts w:hint="eastAsia"/>
          <w:color w:val="auto"/>
          <w:highlight w:val="none"/>
        </w:rPr>
        <w:t>园区能效在线对标系统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通过大数据分析，根据相关行业能效规定、指标标准和企业能源管理目标要求，建立企业能源管理中心能效指标体系，如单位产品能耗、万元产值能耗、清洁能源使用率等，展示企业能效指标的变化趋势、排序情况和对标结果，实现企业能效在线对标评估。</w:t>
      </w:r>
      <w:r>
        <w:rPr>
          <w:rFonts w:hint="eastAsia" w:ascii="宋体" w:hAnsi="宋体"/>
          <w:color w:val="auto"/>
          <w:sz w:val="24"/>
          <w:szCs w:val="24"/>
          <w:highlight w:val="none"/>
          <w:lang w:eastAsia="zh-CN"/>
        </w:rPr>
        <w:t>企业及时上传、上报经营性数据，或以月、季、年时段上报统计数据，实现各类指标导出、汇总功能，服务能耗对标和分析决策。</w:t>
      </w:r>
    </w:p>
    <w:p>
      <w:pPr>
        <w:pStyle w:val="6"/>
        <w:rPr>
          <w:color w:val="auto"/>
          <w:highlight w:val="none"/>
        </w:rPr>
      </w:pPr>
      <w:r>
        <w:rPr>
          <w:rFonts w:hint="eastAsia"/>
          <w:color w:val="auto"/>
          <w:highlight w:val="none"/>
        </w:rPr>
        <w:t>准格尔旗能源平台对接软件</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因本项目需要和准格尔旗能源平台对接，需要开发相应的接口软件，要求实现数据传输，下载，上报以及查看等功能。</w:t>
      </w:r>
    </w:p>
    <w:p>
      <w:pPr>
        <w:pStyle w:val="3"/>
        <w:rPr>
          <w:color w:val="auto"/>
          <w:szCs w:val="32"/>
          <w:highlight w:val="none"/>
        </w:rPr>
      </w:pPr>
      <w:r>
        <w:rPr>
          <w:rFonts w:hint="eastAsia"/>
          <w:color w:val="auto"/>
          <w:highlight w:val="none"/>
        </w:rPr>
        <w:t>车辆监管</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运用北斗全球卫星定位、GIS地理信息和GPRS无线网络通信等技术，建立大路工业园车辆监控平台，实现危险化学品车辆、企业车辆、园区公务车辆的实时监控预警，出现事故时的实时响应，联动处理和应急救援辅助决策支持，为园区监管部门提供整体的应用解决方案。</w:t>
      </w:r>
    </w:p>
    <w:p>
      <w:pPr>
        <w:pStyle w:val="4"/>
        <w:rPr>
          <w:color w:val="auto"/>
          <w:highlight w:val="none"/>
        </w:rPr>
      </w:pPr>
      <w:r>
        <w:rPr>
          <w:rFonts w:hint="eastAsia"/>
          <w:color w:val="auto"/>
          <w:highlight w:val="none"/>
        </w:rPr>
        <w:t>移动车载终端</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园区道路车辆的管理，基于北斗全球卫星定位技术和GPRS通信网络，安装或放置在车辆上的移动车载终端将连续发送车辆实时运行数据。</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根据管理及安装方式不同，使用两种移动车载终端。</w:t>
      </w:r>
    </w:p>
    <w:p>
      <w:pPr>
        <w:ind w:firstLine="480"/>
        <w:rPr>
          <w:rFonts w:ascii="宋体" w:hAnsi="宋体"/>
          <w:color w:val="auto"/>
          <w:highlight w:val="none"/>
        </w:rPr>
      </w:pPr>
      <w:r>
        <w:rPr>
          <w:rFonts w:hint="eastAsia" w:ascii="宋体" w:hAnsi="宋体"/>
          <w:color w:val="auto"/>
          <w:highlight w:val="none"/>
        </w:rPr>
        <w:t xml:space="preserve">A: </w:t>
      </w:r>
      <w:r>
        <w:rPr>
          <w:rFonts w:hint="eastAsia" w:ascii="宋体" w:hAnsi="宋体"/>
          <w:b/>
          <w:bCs/>
          <w:color w:val="auto"/>
          <w:highlight w:val="none"/>
        </w:rPr>
        <w:t xml:space="preserve"> 内部车辆车载终端（安装型）</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安装在车辆驾驶室内，使用车辆电瓶供电，适合园区企业自有常备用车；</w:t>
      </w:r>
    </w:p>
    <w:p>
      <w:pPr>
        <w:ind w:left="482"/>
        <w:rPr>
          <w:rFonts w:ascii="宋体" w:hAnsi="宋体"/>
          <w:b/>
          <w:bCs/>
          <w:color w:val="auto"/>
          <w:highlight w:val="none"/>
        </w:rPr>
      </w:pPr>
      <w:r>
        <w:rPr>
          <w:rFonts w:hint="eastAsia" w:ascii="宋体" w:hAnsi="宋体"/>
          <w:b/>
          <w:bCs/>
          <w:color w:val="auto"/>
          <w:highlight w:val="none"/>
        </w:rPr>
        <w:t>1、产品参数要求：</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2220"/>
        <w:gridCol w:w="3982"/>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019" w:type="dxa"/>
            <w:tcBorders>
              <w:top w:val="single" w:color="auto" w:sz="4" w:space="0"/>
              <w:left w:val="single" w:color="auto" w:sz="4" w:space="0"/>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220"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项目</w:t>
            </w:r>
          </w:p>
        </w:tc>
        <w:tc>
          <w:tcPr>
            <w:tcW w:w="3982"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规格参数</w:t>
            </w:r>
          </w:p>
        </w:tc>
        <w:tc>
          <w:tcPr>
            <w:tcW w:w="2407"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019"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工作电压</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DC9-36V</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019"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工作电流</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25mA@12V(静止电流10mA)</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未充电时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019"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规格尺寸</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L81*W42*H13.5 (mm)</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019"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定位方式</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北斗定位</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0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定位误差</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小于10m （此数据受区域地形及时间等因素影响）</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019"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通信网络</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GPRS</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019"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通信方式</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TCP</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019"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8</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工作范围</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-25℃/ +75℃</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019"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9</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贮存温度</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-40℃/ +85℃</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019"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后备电池工作时间</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3小时</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3.7V/180mAh锂电池</w:t>
            </w:r>
          </w:p>
        </w:tc>
      </w:tr>
    </w:tbl>
    <w:p>
      <w:pPr>
        <w:ind w:left="482"/>
        <w:rPr>
          <w:rFonts w:ascii="宋体" w:hAnsi="宋体"/>
          <w:b/>
          <w:bCs/>
          <w:color w:val="auto"/>
          <w:szCs w:val="28"/>
          <w:highlight w:val="none"/>
        </w:rPr>
      </w:pPr>
      <w:r>
        <w:rPr>
          <w:rFonts w:hint="eastAsia" w:ascii="宋体" w:hAnsi="宋体"/>
          <w:b/>
          <w:bCs/>
          <w:color w:val="auto"/>
          <w:highlight w:val="none"/>
        </w:rPr>
        <w:t>2、产品整机功能要求:</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2226"/>
        <w:gridCol w:w="5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64" w:type="dxa"/>
            <w:tcBorders>
              <w:top w:val="single" w:color="auto" w:sz="4" w:space="0"/>
              <w:left w:val="single" w:color="auto" w:sz="4" w:space="0"/>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功能块</w:t>
            </w:r>
          </w:p>
        </w:tc>
        <w:tc>
          <w:tcPr>
            <w:tcW w:w="2226"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功能明细</w:t>
            </w:r>
          </w:p>
        </w:tc>
        <w:tc>
          <w:tcPr>
            <w:tcW w:w="5638"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跟踪定位</w:t>
            </w:r>
          </w:p>
        </w:tc>
        <w:tc>
          <w:tcPr>
            <w:tcW w:w="222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定时跟踪</w:t>
            </w:r>
          </w:p>
        </w:tc>
        <w:tc>
          <w:tcPr>
            <w:tcW w:w="56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按照设置的时间间隔，且与上一条定位信息包偏离大于50米时回传经纬度定位信息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64"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车辆状态检测</w:t>
            </w:r>
          </w:p>
        </w:tc>
        <w:tc>
          <w:tcPr>
            <w:tcW w:w="222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点火/熄火状态</w:t>
            </w:r>
          </w:p>
        </w:tc>
        <w:tc>
          <w:tcPr>
            <w:tcW w:w="56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上传的数据包中包含ACC On/Off （点火/熄火）状态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22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车辆掉电提醒</w:t>
            </w:r>
          </w:p>
        </w:tc>
        <w:tc>
          <w:tcPr>
            <w:tcW w:w="56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主机监测到车辆电压低于一定数时，上报掉电提醒。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22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超速报警</w:t>
            </w:r>
          </w:p>
        </w:tc>
        <w:tc>
          <w:tcPr>
            <w:tcW w:w="56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平台设置最大限速值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22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违停报警</w:t>
            </w:r>
          </w:p>
        </w:tc>
        <w:tc>
          <w:tcPr>
            <w:tcW w:w="56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长时间位于道路上禁止停车区域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64"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其他功能</w:t>
            </w:r>
          </w:p>
        </w:tc>
        <w:tc>
          <w:tcPr>
            <w:tcW w:w="222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盲区补传功能</w:t>
            </w:r>
          </w:p>
        </w:tc>
        <w:tc>
          <w:tcPr>
            <w:tcW w:w="56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定位终端掉线无法上传时，储存数据最多600条，有信号时则正常上线补传数据。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22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EPO辅助定位功能</w:t>
            </w:r>
          </w:p>
        </w:tc>
        <w:tc>
          <w:tcPr>
            <w:tcW w:w="56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终端支持EPO辅助定位功能，增强定位效果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22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拐点补传</w:t>
            </w:r>
          </w:p>
        </w:tc>
        <w:tc>
          <w:tcPr>
            <w:tcW w:w="56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当设备方向角大于一定的预设角度时，立即上传一条位置数据，优化轨迹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22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远程升级</w:t>
            </w:r>
          </w:p>
        </w:tc>
        <w:tc>
          <w:tcPr>
            <w:tcW w:w="56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支持远程固件升级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7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低功耗</w:t>
            </w:r>
          </w:p>
        </w:tc>
        <w:tc>
          <w:tcPr>
            <w:tcW w:w="2226"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p>
          <w:p>
            <w:pPr>
              <w:rPr>
                <w:rFonts w:ascii="宋体" w:hAnsi="宋体"/>
                <w:color w:val="auto"/>
                <w:sz w:val="21"/>
                <w:szCs w:val="21"/>
                <w:highlight w:val="none"/>
              </w:rPr>
            </w:pPr>
            <w:r>
              <w:rPr>
                <w:rFonts w:hint="eastAsia" w:ascii="宋体" w:hAnsi="宋体"/>
                <w:color w:val="auto"/>
                <w:sz w:val="21"/>
                <w:szCs w:val="21"/>
                <w:highlight w:val="none"/>
              </w:rPr>
              <w:t>静止模式</w:t>
            </w:r>
          </w:p>
        </w:tc>
        <w:tc>
          <w:tcPr>
            <w:tcW w:w="563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3D三轴加速度传感器实时感知车辆震动状态，上电为运动模式，主机静止5分钟后为静止模式，有震动则立即进入运动模式</w:t>
            </w:r>
          </w:p>
        </w:tc>
      </w:tr>
    </w:tbl>
    <w:p>
      <w:pPr>
        <w:ind w:firstLine="480"/>
        <w:rPr>
          <w:rFonts w:ascii="宋体" w:hAnsi="宋体"/>
          <w:color w:val="auto"/>
          <w:szCs w:val="28"/>
          <w:highlight w:val="none"/>
        </w:rPr>
      </w:pPr>
      <w:r>
        <w:rPr>
          <w:rFonts w:hint="eastAsia" w:ascii="宋体" w:hAnsi="宋体"/>
          <w:color w:val="auto"/>
          <w:highlight w:val="none"/>
        </w:rPr>
        <w:t xml:space="preserve">B: </w:t>
      </w:r>
      <w:r>
        <w:rPr>
          <w:rFonts w:hint="eastAsia" w:ascii="宋体" w:hAnsi="宋体"/>
          <w:b/>
          <w:bCs/>
          <w:color w:val="auto"/>
          <w:highlight w:val="none"/>
        </w:rPr>
        <w:t>超长待机定位终端</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针对临时进入园区范围的车辆，可发放超长待机定位终端，对车辆状态进行监管。</w:t>
      </w:r>
    </w:p>
    <w:p>
      <w:pPr>
        <w:ind w:left="482"/>
        <w:rPr>
          <w:rFonts w:ascii="宋体" w:hAnsi="宋体"/>
          <w:color w:val="auto"/>
          <w:highlight w:val="none"/>
        </w:rPr>
      </w:pPr>
      <w:r>
        <w:rPr>
          <w:rFonts w:hint="eastAsia" w:ascii="宋体" w:hAnsi="宋体"/>
          <w:b/>
          <w:bCs/>
          <w:color w:val="auto"/>
          <w:highlight w:val="none"/>
        </w:rPr>
        <w:t>3、产品参数要求</w:t>
      </w:r>
      <w:r>
        <w:rPr>
          <w:rFonts w:hint="eastAsia" w:ascii="宋体" w:hAnsi="宋体"/>
          <w:color w:val="auto"/>
          <w:highlight w:val="none"/>
        </w:rPr>
        <w:t>：</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2220"/>
        <w:gridCol w:w="3982"/>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10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220"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项目</w:t>
            </w:r>
          </w:p>
        </w:tc>
        <w:tc>
          <w:tcPr>
            <w:tcW w:w="3982"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规格参数</w:t>
            </w:r>
          </w:p>
        </w:tc>
        <w:tc>
          <w:tcPr>
            <w:tcW w:w="2407"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10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工作电压</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DC 5V</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10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工作电流</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运动模式46mA@4V</w:t>
            </w:r>
          </w:p>
          <w:p>
            <w:pPr>
              <w:rPr>
                <w:rFonts w:ascii="宋体" w:hAnsi="宋体"/>
                <w:color w:val="auto"/>
                <w:sz w:val="21"/>
                <w:szCs w:val="21"/>
                <w:highlight w:val="none"/>
              </w:rPr>
            </w:pPr>
            <w:r>
              <w:rPr>
                <w:rFonts w:hint="eastAsia" w:ascii="宋体" w:hAnsi="宋体"/>
                <w:color w:val="auto"/>
                <w:sz w:val="21"/>
                <w:szCs w:val="21"/>
                <w:highlight w:val="none"/>
              </w:rPr>
              <w:t>静止电流 6.5mA@4V</w:t>
            </w:r>
          </w:p>
          <w:p>
            <w:pPr>
              <w:rPr>
                <w:rFonts w:ascii="宋体" w:hAnsi="宋体"/>
                <w:color w:val="auto"/>
                <w:sz w:val="21"/>
                <w:szCs w:val="21"/>
                <w:highlight w:val="none"/>
              </w:rPr>
            </w:pPr>
            <w:r>
              <w:rPr>
                <w:rFonts w:hint="eastAsia" w:ascii="宋体" w:hAnsi="宋体"/>
                <w:color w:val="auto"/>
                <w:sz w:val="21"/>
                <w:szCs w:val="21"/>
                <w:highlight w:val="none"/>
              </w:rPr>
              <w:t>省电模式 75uA@4V</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10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规格尺寸</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L86*W62*H30(mm)</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10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产品重量</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255g</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10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定位方式</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北斗定位</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10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定位误差</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小于10m （此数据受区域地形及时间等因素影响）</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10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通信网络</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GPRS</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10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8</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通信方式</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TCP</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10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9</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工作范围</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-25℃/ +75℃</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10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贮存温度</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-40℃/ +85℃</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10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11</w:t>
            </w:r>
          </w:p>
        </w:tc>
        <w:tc>
          <w:tcPr>
            <w:tcW w:w="222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充电电池容量</w:t>
            </w:r>
          </w:p>
        </w:tc>
        <w:tc>
          <w:tcPr>
            <w:tcW w:w="398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10000mAh</w:t>
            </w:r>
          </w:p>
        </w:tc>
        <w:tc>
          <w:tcPr>
            <w:tcW w:w="2407"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p>
        </w:tc>
      </w:tr>
    </w:tbl>
    <w:p>
      <w:pPr>
        <w:ind w:left="482"/>
        <w:rPr>
          <w:rFonts w:ascii="宋体" w:hAnsi="宋体"/>
          <w:b/>
          <w:bCs/>
          <w:color w:val="auto"/>
          <w:szCs w:val="28"/>
          <w:highlight w:val="none"/>
        </w:rPr>
      </w:pPr>
      <w:r>
        <w:rPr>
          <w:rFonts w:hint="eastAsia" w:ascii="宋体" w:hAnsi="宋体"/>
          <w:b/>
          <w:bCs/>
          <w:color w:val="auto"/>
          <w:highlight w:val="none"/>
        </w:rPr>
        <w:t>4、产品整机功能要求:</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2195"/>
        <w:gridCol w:w="5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812" w:type="dxa"/>
            <w:tcBorders>
              <w:top w:val="single" w:color="auto" w:sz="4" w:space="0"/>
              <w:left w:val="single" w:color="auto" w:sz="4" w:space="0"/>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功能块</w:t>
            </w:r>
          </w:p>
        </w:tc>
        <w:tc>
          <w:tcPr>
            <w:tcW w:w="2195"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功能明细</w:t>
            </w:r>
          </w:p>
        </w:tc>
        <w:tc>
          <w:tcPr>
            <w:tcW w:w="5621"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8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跟踪定位</w:t>
            </w:r>
          </w:p>
        </w:tc>
        <w:tc>
          <w:tcPr>
            <w:tcW w:w="219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定时跟踪</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按照设置的时间间隔，且与上一条定位信息包偏离大于50米时回传经纬度定位信息。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812" w:type="dxa"/>
            <w:vMerge w:val="restart"/>
            <w:tcBorders>
              <w:top w:val="nil"/>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车辆状态检测</w:t>
            </w:r>
          </w:p>
        </w:tc>
        <w:tc>
          <w:tcPr>
            <w:tcW w:w="219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光感报警</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终端的光感由不见光到见光时，终端上报光感报警。省电定时模式休眠后光感唤醒终端会上报光感报警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8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19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超速报警</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平台设置最大限速值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8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19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违停报警</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长时间位于道路上禁止停车区域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812" w:type="dxa"/>
            <w:vMerge w:val="restart"/>
            <w:tcBorders>
              <w:top w:val="nil"/>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其他功能</w:t>
            </w:r>
          </w:p>
        </w:tc>
        <w:tc>
          <w:tcPr>
            <w:tcW w:w="219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盲区补传功能</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定位终端掉线无法上传时，储存数据最多600条，有信号时则正常上线补传数据。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8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19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EPO辅助定位功能</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终端支持EPO辅助定位功能，增强定位效果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8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19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拐点补传</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当设备方向角大于一定的预设角度时，立即上传一条位置数据，优化轨迹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8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219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远程升级</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支持远程固件升级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8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低功耗</w:t>
            </w:r>
          </w:p>
        </w:tc>
        <w:tc>
          <w:tcPr>
            <w:tcW w:w="219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定时唤醒</w:t>
            </w:r>
          </w:p>
        </w:tc>
        <w:tc>
          <w:tcPr>
            <w:tcW w:w="562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终端设置定时唤醒开启和回传时间间隔，终端进入休眠后开始计时，按设置的回传时间唤醒</w:t>
            </w:r>
          </w:p>
        </w:tc>
      </w:tr>
    </w:tbl>
    <w:p>
      <w:pPr>
        <w:pStyle w:val="4"/>
        <w:rPr>
          <w:color w:val="auto"/>
          <w:highlight w:val="none"/>
        </w:rPr>
      </w:pPr>
      <w:r>
        <w:rPr>
          <w:rFonts w:hint="eastAsia"/>
          <w:color w:val="auto"/>
          <w:highlight w:val="none"/>
        </w:rPr>
        <w:t>园区车辆管理平台</w:t>
      </w:r>
    </w:p>
    <w:p>
      <w:pPr>
        <w:pStyle w:val="5"/>
        <w:rPr>
          <w:color w:val="auto"/>
          <w:highlight w:val="none"/>
        </w:rPr>
      </w:pPr>
      <w:r>
        <w:rPr>
          <w:rFonts w:hint="eastAsia"/>
          <w:color w:val="auto"/>
          <w:highlight w:val="none"/>
        </w:rPr>
        <w:t>系统支撑软件平台</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要求能够实现车辆出入园区、行驶、停靠等数据的处理。能够获取车载设备信息，能够对接企业相关数据。还应包括后端数据处理引擎、告警判断算法，前后端R</w:t>
      </w:r>
      <w:r>
        <w:rPr>
          <w:rFonts w:ascii="宋体" w:hAnsi="宋体"/>
          <w:color w:val="auto"/>
          <w:sz w:val="24"/>
          <w:szCs w:val="24"/>
          <w:highlight w:val="none"/>
        </w:rPr>
        <w:t>ESTFUL</w:t>
      </w:r>
      <w:r>
        <w:rPr>
          <w:rFonts w:hint="eastAsia" w:ascii="宋体" w:hAnsi="宋体"/>
          <w:color w:val="auto"/>
          <w:sz w:val="24"/>
          <w:szCs w:val="24"/>
          <w:highlight w:val="none"/>
        </w:rPr>
        <w:t>接口实现，前端显示框架等内容。要求实现聚合分散、异构的应用和信息资源进行，通过统一的访问入口，实现结构化数据资源、非结构化文档和互联网资源、各种应用系统跨数据库、跨系统平台的无缝接入和集成，提供一个支持信息访问、传递、以及协作的集成化环境，实现个性化业务应用的高效开发、集成、部署与管理。</w:t>
      </w:r>
    </w:p>
    <w:p>
      <w:pPr>
        <w:pStyle w:val="5"/>
        <w:rPr>
          <w:color w:val="auto"/>
          <w:highlight w:val="none"/>
        </w:rPr>
      </w:pPr>
      <w:r>
        <w:rPr>
          <w:rFonts w:hint="eastAsia"/>
          <w:color w:val="auto"/>
          <w:highlight w:val="none"/>
        </w:rPr>
        <w:t>数据接入引擎软件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要求能够实现J</w:t>
      </w:r>
      <w:r>
        <w:rPr>
          <w:rFonts w:ascii="宋体" w:hAnsi="宋体"/>
          <w:color w:val="auto"/>
          <w:sz w:val="24"/>
          <w:szCs w:val="24"/>
          <w:highlight w:val="none"/>
        </w:rPr>
        <w:t>T808</w:t>
      </w:r>
      <w:r>
        <w:rPr>
          <w:rFonts w:hint="eastAsia" w:ascii="宋体" w:hAnsi="宋体"/>
          <w:color w:val="auto"/>
          <w:sz w:val="24"/>
          <w:szCs w:val="24"/>
          <w:highlight w:val="none"/>
        </w:rPr>
        <w:t>协议服务端，要求能够对接各种支持该协议的车载设备入库、检测。支持车辆数据上报以及行驶状态告警。</w:t>
      </w:r>
    </w:p>
    <w:p>
      <w:pPr>
        <w:pStyle w:val="5"/>
        <w:rPr>
          <w:color w:val="auto"/>
          <w:highlight w:val="none"/>
        </w:rPr>
      </w:pPr>
      <w:r>
        <w:rPr>
          <w:rFonts w:hint="eastAsia"/>
          <w:color w:val="auto"/>
          <w:highlight w:val="none"/>
        </w:rPr>
        <w:t>实时历史数据库系统</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要求支持主流数据库。能够存入各种车辆、车载设备、企业信息等。支持数据接入引擎以及系统支撑平台。要求能够对已注册车辆运行状态的实时数据及历史数据（位置、速度、告警），车辆告警信息统计、存储及分类管理。完成有效的数据存取，各种数据操作、查询处理、存取方法、完整性检查，保证相关的事务管理，事务的概念、调度与并发控制、执行管理及存取控制，安全性检验。</w:t>
      </w:r>
    </w:p>
    <w:p>
      <w:pPr>
        <w:pStyle w:val="5"/>
        <w:rPr>
          <w:color w:val="auto"/>
          <w:highlight w:val="none"/>
        </w:rPr>
      </w:pPr>
      <w:r>
        <w:rPr>
          <w:rFonts w:hint="eastAsia"/>
          <w:color w:val="auto"/>
          <w:highlight w:val="none"/>
        </w:rPr>
        <w:t>W</w:t>
      </w:r>
      <w:r>
        <w:rPr>
          <w:color w:val="auto"/>
          <w:highlight w:val="none"/>
        </w:rPr>
        <w:t>EB</w:t>
      </w:r>
      <w:r>
        <w:rPr>
          <w:rFonts w:hint="eastAsia"/>
          <w:color w:val="auto"/>
          <w:highlight w:val="none"/>
        </w:rPr>
        <w:t>前端展示系统</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系统应支持在W</w:t>
      </w:r>
      <w:r>
        <w:rPr>
          <w:rFonts w:ascii="宋体" w:hAnsi="宋体"/>
          <w:color w:val="auto"/>
          <w:sz w:val="24"/>
          <w:szCs w:val="24"/>
          <w:highlight w:val="none"/>
        </w:rPr>
        <w:t>EB</w:t>
      </w:r>
      <w:r>
        <w:rPr>
          <w:rFonts w:hint="eastAsia" w:ascii="宋体" w:hAnsi="宋体"/>
          <w:color w:val="auto"/>
          <w:sz w:val="24"/>
          <w:szCs w:val="24"/>
          <w:highlight w:val="none"/>
        </w:rPr>
        <w:t>页面上展示完整的应用系统，并且可以实现以下描述的各项功能。</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50"/>
        <w:gridCol w:w="7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750"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7140"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750"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首页</w:t>
            </w:r>
          </w:p>
        </w:tc>
        <w:tc>
          <w:tcPr>
            <w:tcW w:w="7140"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要求包含首页、数据看板等各项功能。首页中需要包含车辆的位置信息，轨迹信息。以及主要的车辆相关数据，需要包含单不仅限于车辆的驾驶员信息、告警信息、当日车辆入园总数、出院总数等相关信息。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750"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信息管理</w:t>
            </w:r>
          </w:p>
        </w:tc>
        <w:tc>
          <w:tcPr>
            <w:tcW w:w="7140"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要求包含车辆信息、企业信息、人员信息、停车场信息、位置信息以及终端管理等功能。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750"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数据查询</w:t>
            </w:r>
          </w:p>
        </w:tc>
        <w:tc>
          <w:tcPr>
            <w:tcW w:w="7140"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要求包含但不仅限于车辆查询、告警查询、轨迹查询、出入园区记录等功能。具体功能要求见招标文件对应模块详细描述。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750"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统计分析</w:t>
            </w:r>
          </w:p>
        </w:tc>
        <w:tc>
          <w:tcPr>
            <w:tcW w:w="7140"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要求包含出入园区统计、告警统计等相关功能。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750"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系统管理</w:t>
            </w:r>
          </w:p>
        </w:tc>
        <w:tc>
          <w:tcPr>
            <w:tcW w:w="7140" w:type="dxa"/>
            <w:tcBorders>
              <w:top w:val="single" w:color="auto" w:sz="4" w:space="0"/>
              <w:left w:val="nil"/>
              <w:bottom w:val="single" w:color="auto" w:sz="4" w:space="0"/>
              <w:right w:val="single" w:color="auto" w:sz="4" w:space="0"/>
            </w:tcBorders>
            <w:vAlign w:val="center"/>
          </w:tcPr>
          <w:p>
            <w:pPr>
              <w:jc w:val="left"/>
              <w:rPr>
                <w:rFonts w:ascii="宋体" w:hAnsi="宋体"/>
                <w:color w:val="auto"/>
                <w:sz w:val="21"/>
                <w:szCs w:val="21"/>
                <w:highlight w:val="none"/>
              </w:rPr>
            </w:pPr>
            <w:r>
              <w:rPr>
                <w:rFonts w:hint="eastAsia" w:ascii="宋体" w:hAnsi="宋体"/>
                <w:color w:val="auto"/>
                <w:sz w:val="21"/>
                <w:szCs w:val="21"/>
                <w:highlight w:val="none"/>
              </w:rPr>
              <w:t>要求包含用户管理等相关功能</w:t>
            </w:r>
          </w:p>
        </w:tc>
      </w:tr>
    </w:tbl>
    <w:p>
      <w:pPr>
        <w:pStyle w:val="5"/>
        <w:rPr>
          <w:color w:val="auto"/>
          <w:highlight w:val="none"/>
        </w:rPr>
      </w:pPr>
      <w:r>
        <w:rPr>
          <w:rFonts w:hint="eastAsia"/>
          <w:color w:val="auto"/>
          <w:highlight w:val="none"/>
        </w:rPr>
        <w:t>园区车辆GIS地图管理系统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系统应支持在GIS地图上显示园区内所有车辆的实时位置信息、行驶状态和车辆信息查询。同时支持对GIS地图进行缩放、拖动、标注和周界管理等操作。</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系统应支持功能如下表所示：</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50"/>
        <w:gridCol w:w="7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750"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7140"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75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搜索定位</w:t>
            </w:r>
          </w:p>
        </w:tc>
        <w:tc>
          <w:tcPr>
            <w:tcW w:w="714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系统应支持用户通过环境要素的名称关键字在地图上快速找到需要的信息，并显示其名称、地址/位置、类型等属性信息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75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园区周界标注</w:t>
            </w:r>
          </w:p>
        </w:tc>
        <w:tc>
          <w:tcPr>
            <w:tcW w:w="714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系统支持设定园区管理范围周界、主要进出路径检查点、指定停车场等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75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车辆查询</w:t>
            </w:r>
          </w:p>
        </w:tc>
        <w:tc>
          <w:tcPr>
            <w:tcW w:w="714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系统应支持用户在地图上实时显示园区内各车辆位置及运行状态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75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地图标注</w:t>
            </w:r>
          </w:p>
        </w:tc>
        <w:tc>
          <w:tcPr>
            <w:tcW w:w="714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系统应支持用户在地图上临时添加标注信息，并对添加的标注信息进行编辑和删除；支持文字、点位、线路、区域标注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75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地图截图</w:t>
            </w:r>
          </w:p>
        </w:tc>
        <w:tc>
          <w:tcPr>
            <w:tcW w:w="714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系统应支持用户对地图上指定区域的显示内容进行记录、保存，以备存档查询，指定区域支持矩形方式截图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75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视图调整控制</w:t>
            </w:r>
          </w:p>
        </w:tc>
        <w:tc>
          <w:tcPr>
            <w:tcW w:w="714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系统应支持对地图进行上下左右移动、快速返回全图、分级放大缩小、拖动地图等功能以帮助用户对当前可视地图区域进行调整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175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地理坐标</w:t>
            </w:r>
          </w:p>
        </w:tc>
        <w:tc>
          <w:tcPr>
            <w:tcW w:w="714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系统应支持用户了解地图上指定位置（鼠标）的经纬度坐标值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8</w:t>
            </w:r>
          </w:p>
        </w:tc>
        <w:tc>
          <w:tcPr>
            <w:tcW w:w="175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地图比例显示</w:t>
            </w:r>
          </w:p>
        </w:tc>
        <w:tc>
          <w:tcPr>
            <w:tcW w:w="714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系统应支持用户了解当前可视地图与实际地形的大小对比情况</w:t>
            </w:r>
          </w:p>
        </w:tc>
      </w:tr>
    </w:tbl>
    <w:p>
      <w:pPr>
        <w:pStyle w:val="5"/>
        <w:rPr>
          <w:color w:val="auto"/>
          <w:highlight w:val="none"/>
        </w:rPr>
      </w:pPr>
      <w:r>
        <w:rPr>
          <w:rFonts w:hint="eastAsia"/>
          <w:color w:val="auto"/>
          <w:highlight w:val="none"/>
        </w:rPr>
        <w:t>车辆管理分析系统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系统应对进入园区车辆进行登记管理、违章车辆查询、驾驶人员身份管理和自动生成监管报表。</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系统应满足功能如下表所示：</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681"/>
        <w:gridCol w:w="7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1" w:type="dxa"/>
            <w:tcBorders>
              <w:top w:val="single" w:color="auto" w:sz="4" w:space="0"/>
              <w:left w:val="single" w:color="auto" w:sz="4" w:space="0"/>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681"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7186"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车辆入园登记</w:t>
            </w:r>
          </w:p>
        </w:tc>
        <w:tc>
          <w:tcPr>
            <w:tcW w:w="718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通过平台登记进入园区的危化品车辆相关信息，信息包括危化品车辆的车牌、驾驶员信息以及联系方式等并发放车载设备。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驶出园区注销</w:t>
            </w:r>
          </w:p>
        </w:tc>
        <w:tc>
          <w:tcPr>
            <w:tcW w:w="718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危险化学品车辆到达出口后，由工作人员通过平台向监控中心发送解除监控指令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违章车辆查询</w:t>
            </w:r>
          </w:p>
        </w:tc>
        <w:tc>
          <w:tcPr>
            <w:tcW w:w="718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查询危化品车辆在产业园区内的违章情况，对于存在违章情况的车辆，在其出园区时按照相关法律法规进行处理或给予指导与建议，并在数据库中心登记相关违章信息，用于监管备案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运输车辆安全管理</w:t>
            </w:r>
          </w:p>
        </w:tc>
        <w:tc>
          <w:tcPr>
            <w:tcW w:w="718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完成对驾驶人员、押运人员的信息管理、身份验证、行车出发和到达时间及驾驶时间记录与跟踪等功能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报表系统</w:t>
            </w:r>
          </w:p>
        </w:tc>
        <w:tc>
          <w:tcPr>
            <w:tcW w:w="718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生成相应的报表数据，如进出园区日志查询、状态查询、ACC状态、报警记录、里程统计、停车报表等</w:t>
            </w:r>
          </w:p>
        </w:tc>
      </w:tr>
    </w:tbl>
    <w:p>
      <w:pPr>
        <w:pStyle w:val="5"/>
        <w:rPr>
          <w:color w:val="auto"/>
          <w:highlight w:val="none"/>
        </w:rPr>
      </w:pPr>
      <w:r>
        <w:rPr>
          <w:rFonts w:hint="eastAsia"/>
          <w:color w:val="auto"/>
          <w:highlight w:val="none"/>
        </w:rPr>
        <w:t>车辆在线监控系统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系统应支持对园区内车辆进行实时监控和状态分析，对于违章车辆提出告警，并告知相关人员。同时应支持回放功能，方便取证。</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系统应满足功能如下表所示：</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153"/>
        <w:gridCol w:w="6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2" w:type="dxa"/>
            <w:tcBorders>
              <w:top w:val="single" w:color="auto" w:sz="4" w:space="0"/>
              <w:left w:val="single" w:color="auto" w:sz="4" w:space="0"/>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153"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6743"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153"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车辆定位与跟踪</w:t>
            </w:r>
          </w:p>
        </w:tc>
        <w:tc>
          <w:tcPr>
            <w:tcW w:w="6743"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监控中心可随时了解车辆的实时位置，并能在电子地图上准确地显示车辆当时的状态（如经度，纬度，速度，行驶方向等信息）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153"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车辆查询与监视</w:t>
            </w:r>
          </w:p>
        </w:tc>
        <w:tc>
          <w:tcPr>
            <w:tcW w:w="6743"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在系统运行的过程中，系统中的任何车辆都是可以查询的，并在必要时可以进行监视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153"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轨迹显示与回放</w:t>
            </w:r>
          </w:p>
        </w:tc>
        <w:tc>
          <w:tcPr>
            <w:tcW w:w="6743"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车辆运行的轨迹可以在地图上以车动图不动的绝对运动方式显示、回放和刷新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153"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车辆告警提醒</w:t>
            </w:r>
          </w:p>
        </w:tc>
        <w:tc>
          <w:tcPr>
            <w:tcW w:w="6743"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车辆在园区行驶时发生超速、偏离路线等情况时，系统自动计算出相关违规车辆，并在软件上突出显示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2153"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信息交互与发布</w:t>
            </w:r>
          </w:p>
        </w:tc>
        <w:tc>
          <w:tcPr>
            <w:tcW w:w="6743"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负责监控中心各类信息的分发、跟踪处理、信息交互，实现对运输车辆状态的远程查询、远程调度与管理等功能，保证车辆在园区安全行驶</w:t>
            </w:r>
          </w:p>
        </w:tc>
      </w:tr>
    </w:tbl>
    <w:p>
      <w:pPr>
        <w:pStyle w:val="5"/>
        <w:rPr>
          <w:color w:val="auto"/>
          <w:highlight w:val="none"/>
        </w:rPr>
      </w:pPr>
      <w:r>
        <w:rPr>
          <w:rFonts w:hint="eastAsia"/>
          <w:color w:val="auto"/>
          <w:highlight w:val="none"/>
        </w:rPr>
        <w:t>危化品车辆无死角视频监控系统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为了加强园区危化品车辆停车场管理，需要建设危化品车辆停车场无死角监控系统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系统应满足功能如下表所示：</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095"/>
        <w:gridCol w:w="6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43" w:type="dxa"/>
            <w:tcBorders>
              <w:top w:val="single" w:color="auto" w:sz="4" w:space="0"/>
              <w:left w:val="single" w:color="auto" w:sz="4" w:space="0"/>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095"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6790"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43"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09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外来车辆监控</w:t>
            </w:r>
          </w:p>
        </w:tc>
        <w:tc>
          <w:tcPr>
            <w:tcW w:w="679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针对临时进园车辆，园区设置东、西两个车辆检查站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09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自有车辆监控</w:t>
            </w:r>
          </w:p>
        </w:tc>
        <w:tc>
          <w:tcPr>
            <w:tcW w:w="679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针对园区、企业自有车辆，登记各车辆信息后安装固定式车载定位终端。固定式车载终端由车辆供电，免维护</w:t>
            </w:r>
          </w:p>
        </w:tc>
      </w:tr>
    </w:tbl>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系统应满足设备参数要求如下表所示：</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8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产品</w:t>
            </w:r>
          </w:p>
        </w:tc>
        <w:tc>
          <w:tcPr>
            <w:tcW w:w="8134"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49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200万超星光电动变焦高清网络摄像机</w:t>
            </w:r>
          </w:p>
        </w:tc>
        <w:tc>
          <w:tcPr>
            <w:tcW w:w="813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采用1/1.8"逐行扫描CMOS传感器</w:t>
            </w:r>
          </w:p>
          <w:p>
            <w:pPr>
              <w:rPr>
                <w:rFonts w:ascii="宋体" w:hAnsi="宋体"/>
                <w:color w:val="auto"/>
                <w:sz w:val="21"/>
                <w:szCs w:val="21"/>
                <w:highlight w:val="none"/>
              </w:rPr>
            </w:pPr>
            <w:r>
              <w:rPr>
                <w:rFonts w:hint="eastAsia" w:ascii="宋体" w:hAnsi="宋体"/>
                <w:color w:val="auto"/>
                <w:sz w:val="21"/>
                <w:szCs w:val="21"/>
                <w:highlight w:val="none"/>
              </w:rPr>
              <w:t>支持2.8-12mm电动变焦镜头，手动/自动对焦模式可选</w:t>
            </w:r>
          </w:p>
          <w:p>
            <w:pPr>
              <w:rPr>
                <w:rFonts w:ascii="宋体" w:hAnsi="宋体"/>
                <w:color w:val="auto"/>
                <w:sz w:val="21"/>
                <w:szCs w:val="21"/>
                <w:highlight w:val="none"/>
              </w:rPr>
            </w:pPr>
            <w:r>
              <w:rPr>
                <w:rFonts w:hint="eastAsia" w:ascii="宋体" w:hAnsi="宋体"/>
                <w:color w:val="auto"/>
                <w:sz w:val="21"/>
                <w:szCs w:val="21"/>
                <w:highlight w:val="none"/>
              </w:rPr>
              <w:t>采用先进的H.265/H.264视频编码算法，压缩比高，实现低带宽高画质；</w:t>
            </w:r>
          </w:p>
          <w:p>
            <w:pPr>
              <w:rPr>
                <w:rFonts w:ascii="宋体" w:hAnsi="宋体"/>
                <w:color w:val="auto"/>
                <w:sz w:val="21"/>
                <w:szCs w:val="21"/>
                <w:highlight w:val="none"/>
              </w:rPr>
            </w:pPr>
            <w:r>
              <w:rPr>
                <w:rFonts w:hint="eastAsia" w:ascii="宋体" w:hAnsi="宋体"/>
                <w:color w:val="auto"/>
                <w:sz w:val="21"/>
                <w:szCs w:val="21"/>
                <w:highlight w:val="none"/>
              </w:rPr>
              <w:t>最大输出分辨率1920*1080@25fps/30fps，支持三码流传输</w:t>
            </w:r>
          </w:p>
          <w:p>
            <w:pPr>
              <w:rPr>
                <w:rFonts w:ascii="宋体" w:hAnsi="宋体"/>
                <w:color w:val="auto"/>
                <w:sz w:val="21"/>
                <w:szCs w:val="21"/>
                <w:highlight w:val="none"/>
              </w:rPr>
            </w:pPr>
            <w:r>
              <w:rPr>
                <w:rFonts w:hint="eastAsia" w:ascii="宋体" w:hAnsi="宋体"/>
                <w:color w:val="auto"/>
                <w:sz w:val="21"/>
                <w:szCs w:val="21"/>
                <w:highlight w:val="none"/>
              </w:rPr>
              <w:t>支持2D/3D降噪以及数字宽动态，支持透雾功能</w:t>
            </w:r>
          </w:p>
          <w:p>
            <w:pPr>
              <w:rPr>
                <w:rFonts w:ascii="宋体" w:hAnsi="宋体"/>
                <w:color w:val="auto"/>
                <w:sz w:val="21"/>
                <w:szCs w:val="21"/>
                <w:highlight w:val="none"/>
              </w:rPr>
            </w:pPr>
            <w:r>
              <w:rPr>
                <w:rFonts w:hint="eastAsia" w:ascii="宋体" w:hAnsi="宋体"/>
                <w:color w:val="auto"/>
                <w:sz w:val="21"/>
                <w:szCs w:val="21"/>
                <w:highlight w:val="none"/>
              </w:rPr>
              <w:t>采用高灵敏度传感器，满足星光级监控需求</w:t>
            </w:r>
          </w:p>
          <w:p>
            <w:pPr>
              <w:rPr>
                <w:rFonts w:ascii="宋体" w:hAnsi="宋体"/>
                <w:color w:val="auto"/>
                <w:sz w:val="21"/>
                <w:szCs w:val="21"/>
                <w:highlight w:val="none"/>
              </w:rPr>
            </w:pPr>
            <w:r>
              <w:rPr>
                <w:rFonts w:hint="eastAsia" w:ascii="宋体" w:hAnsi="宋体"/>
                <w:color w:val="auto"/>
                <w:sz w:val="21"/>
                <w:szCs w:val="21"/>
                <w:highlight w:val="none"/>
              </w:rPr>
              <w:t>支持人脸检测、周界入侵、物品遗留/盗移、跨越围栏、逆行检测、徘徊检测、密度检测、数量统计、车牌检测、人头统计、图像偏色检测、图像虚焦检测、摄像机移位检测等高级智能化功能</w:t>
            </w:r>
          </w:p>
          <w:p>
            <w:pPr>
              <w:rPr>
                <w:rFonts w:ascii="宋体" w:hAnsi="宋体"/>
                <w:color w:val="auto"/>
                <w:sz w:val="21"/>
                <w:szCs w:val="21"/>
                <w:highlight w:val="none"/>
              </w:rPr>
            </w:pPr>
            <w:r>
              <w:rPr>
                <w:rFonts w:hint="eastAsia" w:ascii="宋体" w:hAnsi="宋体"/>
                <w:color w:val="auto"/>
                <w:sz w:val="21"/>
                <w:szCs w:val="21"/>
                <w:highlight w:val="none"/>
              </w:rPr>
              <w:t>支持三种视频诊断功能：图像偏色检测、图像虚焦检测、摄像机移位检测</w:t>
            </w:r>
          </w:p>
          <w:p>
            <w:pPr>
              <w:rPr>
                <w:rFonts w:ascii="宋体" w:hAnsi="宋体"/>
                <w:color w:val="auto"/>
                <w:sz w:val="21"/>
                <w:szCs w:val="21"/>
                <w:highlight w:val="none"/>
              </w:rPr>
            </w:pPr>
            <w:r>
              <w:rPr>
                <w:rFonts w:hint="eastAsia" w:ascii="宋体" w:hAnsi="宋体"/>
                <w:color w:val="auto"/>
                <w:sz w:val="21"/>
                <w:szCs w:val="21"/>
                <w:highlight w:val="none"/>
              </w:rPr>
              <w:t>支持走廊模式、感兴趣区域（ROI）</w:t>
            </w:r>
          </w:p>
          <w:p>
            <w:pPr>
              <w:rPr>
                <w:rFonts w:ascii="宋体" w:hAnsi="宋体"/>
                <w:color w:val="auto"/>
                <w:sz w:val="21"/>
                <w:szCs w:val="21"/>
                <w:highlight w:val="none"/>
              </w:rPr>
            </w:pPr>
            <w:r>
              <w:rPr>
                <w:rFonts w:hint="eastAsia" w:ascii="宋体" w:hAnsi="宋体"/>
                <w:color w:val="auto"/>
                <w:sz w:val="21"/>
                <w:szCs w:val="21"/>
                <w:highlight w:val="none"/>
              </w:rPr>
              <w:t>支持数字水印加密，防止数据被篡改</w:t>
            </w:r>
          </w:p>
          <w:p>
            <w:pPr>
              <w:rPr>
                <w:rFonts w:ascii="宋体" w:hAnsi="宋体"/>
                <w:color w:val="auto"/>
                <w:sz w:val="21"/>
                <w:szCs w:val="21"/>
                <w:highlight w:val="none"/>
              </w:rPr>
            </w:pPr>
            <w:r>
              <w:rPr>
                <w:rFonts w:hint="eastAsia" w:ascii="宋体" w:hAnsi="宋体"/>
                <w:color w:val="auto"/>
                <w:sz w:val="21"/>
                <w:szCs w:val="21"/>
                <w:highlight w:val="none"/>
              </w:rPr>
              <w:t>支持IR_CUT（红外滤片式自动切换），实现真正的日夜监控</w:t>
            </w:r>
          </w:p>
          <w:p>
            <w:pPr>
              <w:rPr>
                <w:rFonts w:ascii="宋体" w:hAnsi="宋体"/>
                <w:color w:val="auto"/>
                <w:sz w:val="21"/>
                <w:szCs w:val="21"/>
                <w:highlight w:val="none"/>
              </w:rPr>
            </w:pPr>
            <w:r>
              <w:rPr>
                <w:rFonts w:hint="eastAsia" w:ascii="宋体" w:hAnsi="宋体"/>
                <w:color w:val="auto"/>
                <w:sz w:val="21"/>
                <w:szCs w:val="21"/>
                <w:highlight w:val="none"/>
              </w:rPr>
              <w:t>采用高效阵列红外灯，红外距离最远50米</w:t>
            </w:r>
          </w:p>
          <w:p>
            <w:pPr>
              <w:rPr>
                <w:rFonts w:ascii="宋体" w:hAnsi="宋体"/>
                <w:color w:val="auto"/>
                <w:sz w:val="21"/>
                <w:szCs w:val="21"/>
                <w:highlight w:val="none"/>
              </w:rPr>
            </w:pPr>
            <w:r>
              <w:rPr>
                <w:rFonts w:hint="eastAsia" w:ascii="宋体" w:hAnsi="宋体"/>
                <w:color w:val="auto"/>
                <w:sz w:val="21"/>
                <w:szCs w:val="21"/>
                <w:highlight w:val="none"/>
              </w:rPr>
              <w:t>红外增透面板，提高红外光透过率</w:t>
            </w:r>
          </w:p>
          <w:p>
            <w:pPr>
              <w:rPr>
                <w:rFonts w:ascii="宋体" w:hAnsi="宋体"/>
                <w:color w:val="auto"/>
                <w:sz w:val="21"/>
                <w:szCs w:val="21"/>
                <w:highlight w:val="none"/>
              </w:rPr>
            </w:pPr>
            <w:r>
              <w:rPr>
                <w:rFonts w:hint="eastAsia" w:ascii="宋体" w:hAnsi="宋体"/>
                <w:color w:val="auto"/>
                <w:sz w:val="21"/>
                <w:szCs w:val="21"/>
                <w:highlight w:val="none"/>
              </w:rPr>
              <w:t>支持手机直连监控，支持私网穿透</w:t>
            </w:r>
          </w:p>
          <w:p>
            <w:pPr>
              <w:rPr>
                <w:rFonts w:ascii="宋体" w:hAnsi="宋体"/>
                <w:color w:val="auto"/>
                <w:sz w:val="21"/>
                <w:szCs w:val="21"/>
                <w:highlight w:val="none"/>
              </w:rPr>
            </w:pPr>
            <w:r>
              <w:rPr>
                <w:rFonts w:hint="eastAsia" w:ascii="宋体" w:hAnsi="宋体"/>
                <w:color w:val="auto"/>
                <w:sz w:val="21"/>
                <w:szCs w:val="21"/>
                <w:highlight w:val="none"/>
              </w:rPr>
              <w:t>支持Onvif/CGI/GB28181</w:t>
            </w:r>
          </w:p>
          <w:p>
            <w:pPr>
              <w:rPr>
                <w:rFonts w:ascii="宋体" w:hAnsi="宋体"/>
                <w:color w:val="auto"/>
                <w:sz w:val="21"/>
                <w:szCs w:val="21"/>
                <w:highlight w:val="none"/>
              </w:rPr>
            </w:pPr>
            <w:r>
              <w:rPr>
                <w:rFonts w:hint="eastAsia" w:ascii="宋体" w:hAnsi="宋体"/>
                <w:color w:val="auto"/>
                <w:sz w:val="21"/>
                <w:szCs w:val="21"/>
                <w:highlight w:val="none"/>
              </w:rPr>
              <w:t>支持移动侦测，网络异常，遮挡报警等智能报警</w:t>
            </w:r>
          </w:p>
          <w:p>
            <w:pPr>
              <w:rPr>
                <w:rFonts w:ascii="宋体" w:hAnsi="宋体"/>
                <w:color w:val="auto"/>
                <w:sz w:val="21"/>
                <w:szCs w:val="21"/>
                <w:highlight w:val="none"/>
              </w:rPr>
            </w:pPr>
            <w:r>
              <w:rPr>
                <w:rFonts w:hint="eastAsia" w:ascii="宋体" w:hAnsi="宋体"/>
                <w:color w:val="auto"/>
                <w:sz w:val="21"/>
                <w:szCs w:val="21"/>
                <w:highlight w:val="none"/>
              </w:rPr>
              <w:t>支持JPEG抓图，抓图分辨率为最大编码分辨率</w:t>
            </w:r>
          </w:p>
          <w:p>
            <w:pPr>
              <w:rPr>
                <w:rFonts w:ascii="宋体" w:hAnsi="宋体"/>
                <w:color w:val="auto"/>
                <w:sz w:val="21"/>
                <w:szCs w:val="21"/>
                <w:highlight w:val="none"/>
              </w:rPr>
            </w:pPr>
            <w:r>
              <w:rPr>
                <w:rFonts w:hint="eastAsia" w:ascii="宋体" w:hAnsi="宋体"/>
                <w:color w:val="auto"/>
                <w:sz w:val="21"/>
                <w:szCs w:val="21"/>
                <w:highlight w:val="none"/>
              </w:rPr>
              <w:t>支持音频/报警/RS485/模拟输出等全功能接口</w:t>
            </w:r>
          </w:p>
          <w:p>
            <w:pPr>
              <w:rPr>
                <w:rFonts w:ascii="宋体" w:hAnsi="宋体"/>
                <w:color w:val="auto"/>
                <w:sz w:val="21"/>
                <w:szCs w:val="21"/>
                <w:highlight w:val="none"/>
              </w:rPr>
            </w:pPr>
            <w:r>
              <w:rPr>
                <w:rFonts w:hint="eastAsia" w:ascii="宋体" w:hAnsi="宋体"/>
                <w:color w:val="auto"/>
                <w:sz w:val="21"/>
                <w:szCs w:val="21"/>
                <w:highlight w:val="none"/>
              </w:rPr>
              <w:t>支持POE供电，支持reset复位按键，支持本地TF卡存储（最大支持128G）</w:t>
            </w:r>
          </w:p>
          <w:p>
            <w:pPr>
              <w:rPr>
                <w:rFonts w:ascii="宋体" w:hAnsi="宋体"/>
                <w:color w:val="auto"/>
                <w:sz w:val="21"/>
                <w:szCs w:val="21"/>
                <w:highlight w:val="none"/>
              </w:rPr>
            </w:pPr>
            <w:r>
              <w:rPr>
                <w:rFonts w:hint="eastAsia" w:ascii="宋体" w:hAnsi="宋体"/>
                <w:color w:val="auto"/>
                <w:sz w:val="21"/>
                <w:szCs w:val="21"/>
                <w:highlight w:val="none"/>
              </w:rPr>
              <w:t>符合IP66级防水防尘设计</w:t>
            </w:r>
          </w:p>
          <w:p>
            <w:pPr>
              <w:rPr>
                <w:rFonts w:ascii="宋体" w:hAnsi="宋体"/>
                <w:color w:val="auto"/>
                <w:sz w:val="21"/>
                <w:szCs w:val="21"/>
                <w:highlight w:val="none"/>
              </w:rPr>
            </w:pPr>
            <w:r>
              <w:rPr>
                <w:rFonts w:hint="eastAsia" w:ascii="宋体" w:hAnsi="宋体"/>
                <w:color w:val="auto"/>
                <w:sz w:val="21"/>
                <w:szCs w:val="21"/>
                <w:highlight w:val="none"/>
              </w:rPr>
              <w:t>支持电源DC12V（±25%）/ POE，-A型号支持AC24V（±15%）/POE</w:t>
            </w:r>
          </w:p>
          <w:p>
            <w:pPr>
              <w:rPr>
                <w:rFonts w:ascii="宋体" w:hAnsi="宋体"/>
                <w:color w:val="auto"/>
                <w:sz w:val="21"/>
                <w:szCs w:val="21"/>
                <w:highlight w:val="none"/>
              </w:rPr>
            </w:pPr>
            <w:r>
              <w:rPr>
                <w:rFonts w:hint="eastAsia" w:ascii="宋体" w:hAnsi="宋体"/>
                <w:color w:val="auto"/>
                <w:sz w:val="21"/>
                <w:szCs w:val="21"/>
                <w:highlight w:val="none"/>
              </w:rPr>
              <w:t>支持支架安装：壁装/吊装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49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200万高清网络球机</w:t>
            </w:r>
          </w:p>
        </w:tc>
        <w:tc>
          <w:tcPr>
            <w:tcW w:w="813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采用高性能传感器，图像清晰，最大分辨率可达1920x1080</w:t>
            </w:r>
          </w:p>
          <w:p>
            <w:pPr>
              <w:rPr>
                <w:rFonts w:ascii="宋体" w:hAnsi="宋体"/>
                <w:color w:val="auto"/>
                <w:sz w:val="21"/>
                <w:szCs w:val="21"/>
                <w:highlight w:val="none"/>
              </w:rPr>
            </w:pPr>
            <w:r>
              <w:rPr>
                <w:rFonts w:hint="eastAsia" w:ascii="宋体" w:hAnsi="宋体"/>
                <w:color w:val="auto"/>
                <w:sz w:val="21"/>
                <w:szCs w:val="21"/>
                <w:highlight w:val="none"/>
              </w:rPr>
              <w:t>精密电机驱动，反应灵敏，运转平稳，精度偏差少于0.1度，在任何速度下图像无抖动；支持20倍光学变倍，16倍数字变倍</w:t>
            </w:r>
          </w:p>
          <w:p>
            <w:pPr>
              <w:rPr>
                <w:rFonts w:ascii="宋体" w:hAnsi="宋体"/>
                <w:color w:val="auto"/>
                <w:sz w:val="21"/>
                <w:szCs w:val="21"/>
                <w:highlight w:val="none"/>
              </w:rPr>
            </w:pPr>
            <w:r>
              <w:rPr>
                <w:rFonts w:hint="eastAsia" w:ascii="宋体" w:hAnsi="宋体"/>
                <w:color w:val="auto"/>
                <w:sz w:val="21"/>
                <w:szCs w:val="21"/>
                <w:highlight w:val="none"/>
              </w:rPr>
              <w:t>支持自动光圈、自动聚焦、自动白平衡、背光补偿</w:t>
            </w:r>
          </w:p>
          <w:p>
            <w:pPr>
              <w:rPr>
                <w:rFonts w:ascii="宋体" w:hAnsi="宋体"/>
                <w:color w:val="auto"/>
                <w:sz w:val="21"/>
                <w:szCs w:val="21"/>
                <w:highlight w:val="none"/>
              </w:rPr>
            </w:pPr>
            <w:r>
              <w:rPr>
                <w:rFonts w:hint="eastAsia" w:ascii="宋体" w:hAnsi="宋体"/>
                <w:color w:val="auto"/>
                <w:sz w:val="21"/>
                <w:szCs w:val="21"/>
                <w:highlight w:val="none"/>
              </w:rPr>
              <w:t>支持超低照度，0.05Lux/F1.4(彩色)，0.01Lux/F1.4(黑白)，0 Lux with IR</w:t>
            </w:r>
          </w:p>
          <w:p>
            <w:pPr>
              <w:rPr>
                <w:rFonts w:ascii="宋体" w:hAnsi="宋体"/>
                <w:color w:val="auto"/>
                <w:sz w:val="21"/>
                <w:szCs w:val="21"/>
                <w:highlight w:val="none"/>
              </w:rPr>
            </w:pPr>
            <w:r>
              <w:rPr>
                <w:rFonts w:hint="eastAsia" w:ascii="宋体" w:hAnsi="宋体"/>
                <w:color w:val="auto"/>
                <w:sz w:val="21"/>
                <w:szCs w:val="21"/>
                <w:highlight w:val="none"/>
              </w:rPr>
              <w:t>信噪比≥53.8db,延时≤241ms</w:t>
            </w:r>
          </w:p>
          <w:p>
            <w:pPr>
              <w:rPr>
                <w:rFonts w:ascii="宋体" w:hAnsi="宋体"/>
                <w:color w:val="auto"/>
                <w:sz w:val="21"/>
                <w:szCs w:val="21"/>
                <w:highlight w:val="none"/>
              </w:rPr>
            </w:pPr>
            <w:r>
              <w:rPr>
                <w:rFonts w:hint="eastAsia" w:ascii="宋体" w:hAnsi="宋体"/>
                <w:color w:val="auto"/>
                <w:sz w:val="21"/>
                <w:szCs w:val="21"/>
                <w:highlight w:val="none"/>
              </w:rPr>
              <w:t>支持双码流技术</w:t>
            </w:r>
          </w:p>
          <w:p>
            <w:pPr>
              <w:rPr>
                <w:rFonts w:ascii="宋体" w:hAnsi="宋体"/>
                <w:color w:val="auto"/>
                <w:sz w:val="21"/>
                <w:szCs w:val="21"/>
                <w:highlight w:val="none"/>
              </w:rPr>
            </w:pPr>
            <w:r>
              <w:rPr>
                <w:rFonts w:hint="eastAsia" w:ascii="宋体" w:hAnsi="宋体"/>
                <w:color w:val="auto"/>
                <w:sz w:val="21"/>
                <w:szCs w:val="21"/>
                <w:highlight w:val="none"/>
              </w:rPr>
              <w:t>支持H.265/H.264/MJPEG视频压缩算法</w:t>
            </w:r>
          </w:p>
          <w:p>
            <w:pPr>
              <w:rPr>
                <w:rFonts w:ascii="宋体" w:hAnsi="宋体"/>
                <w:color w:val="auto"/>
                <w:sz w:val="21"/>
                <w:szCs w:val="21"/>
                <w:highlight w:val="none"/>
              </w:rPr>
            </w:pPr>
            <w:r>
              <w:rPr>
                <w:rFonts w:hint="eastAsia" w:ascii="宋体" w:hAnsi="宋体"/>
                <w:color w:val="auto"/>
                <w:sz w:val="21"/>
                <w:szCs w:val="21"/>
                <w:highlight w:val="none"/>
              </w:rPr>
              <w:t>支持多级别视频质量配置</w:t>
            </w:r>
          </w:p>
          <w:p>
            <w:pPr>
              <w:rPr>
                <w:rFonts w:ascii="宋体" w:hAnsi="宋体"/>
                <w:color w:val="auto"/>
                <w:sz w:val="21"/>
                <w:szCs w:val="21"/>
                <w:highlight w:val="none"/>
              </w:rPr>
            </w:pPr>
            <w:r>
              <w:rPr>
                <w:rFonts w:hint="eastAsia" w:ascii="宋体" w:hAnsi="宋体"/>
                <w:color w:val="auto"/>
                <w:sz w:val="21"/>
                <w:szCs w:val="21"/>
                <w:highlight w:val="none"/>
              </w:rPr>
              <w:t>支持实时视频输出分辨率为1080p和720p</w:t>
            </w:r>
          </w:p>
          <w:p>
            <w:pPr>
              <w:rPr>
                <w:rFonts w:ascii="宋体" w:hAnsi="宋体"/>
                <w:color w:val="auto"/>
                <w:sz w:val="21"/>
                <w:szCs w:val="21"/>
                <w:highlight w:val="none"/>
              </w:rPr>
            </w:pPr>
            <w:r>
              <w:rPr>
                <w:rFonts w:hint="eastAsia" w:ascii="宋体" w:hAnsi="宋体"/>
                <w:color w:val="auto"/>
                <w:sz w:val="21"/>
                <w:szCs w:val="21"/>
                <w:highlight w:val="none"/>
              </w:rPr>
              <w:t>内置高速云台，旋转速度灵活，可根据用户监控的角度快速响应；</w:t>
            </w:r>
          </w:p>
          <w:p>
            <w:pPr>
              <w:rPr>
                <w:rFonts w:ascii="宋体" w:hAnsi="宋体"/>
                <w:color w:val="auto"/>
                <w:sz w:val="21"/>
                <w:szCs w:val="21"/>
                <w:highlight w:val="none"/>
              </w:rPr>
            </w:pPr>
            <w:r>
              <w:rPr>
                <w:rFonts w:hint="eastAsia" w:ascii="宋体" w:hAnsi="宋体"/>
                <w:color w:val="auto"/>
                <w:sz w:val="21"/>
                <w:szCs w:val="21"/>
                <w:highlight w:val="none"/>
              </w:rPr>
              <w:t>支持300个 预置位，满足客户多方位定点的监控，水平预置点速度最高可达240°/s,垂直预置点速度最高可达200°/s</w:t>
            </w:r>
          </w:p>
          <w:p>
            <w:pPr>
              <w:rPr>
                <w:rFonts w:ascii="宋体" w:hAnsi="宋体"/>
                <w:color w:val="auto"/>
                <w:sz w:val="21"/>
                <w:szCs w:val="21"/>
                <w:highlight w:val="none"/>
              </w:rPr>
            </w:pPr>
            <w:r>
              <w:rPr>
                <w:rFonts w:hint="eastAsia" w:ascii="宋体" w:hAnsi="宋体"/>
                <w:color w:val="auto"/>
                <w:sz w:val="21"/>
                <w:szCs w:val="21"/>
                <w:highlight w:val="none"/>
              </w:rPr>
              <w:t>支持守望功能，预置点/花样扫描/巡航扫描/自动扫描/垂直扫描/随机扫描/帧扫描/全景扫描可在空闲状态停留指定时间后自动调用(包括上电后进入的空闲状态)</w:t>
            </w:r>
          </w:p>
          <w:p>
            <w:pPr>
              <w:rPr>
                <w:rFonts w:ascii="宋体" w:hAnsi="宋体"/>
                <w:color w:val="auto"/>
                <w:sz w:val="21"/>
                <w:szCs w:val="21"/>
                <w:highlight w:val="none"/>
              </w:rPr>
            </w:pPr>
            <w:r>
              <w:rPr>
                <w:rFonts w:hint="eastAsia" w:ascii="宋体" w:hAnsi="宋体"/>
                <w:color w:val="auto"/>
                <w:sz w:val="21"/>
                <w:szCs w:val="21"/>
                <w:highlight w:val="none"/>
              </w:rPr>
              <w:t>支持Micro SD/SDHC/SDXC卡（最大支持128G）卡本地存储，能有效解决由于网络故障引起的视频丢失问题</w:t>
            </w:r>
          </w:p>
          <w:p>
            <w:pPr>
              <w:rPr>
                <w:rFonts w:ascii="宋体" w:hAnsi="宋体"/>
                <w:color w:val="auto"/>
                <w:sz w:val="21"/>
                <w:szCs w:val="21"/>
                <w:highlight w:val="none"/>
              </w:rPr>
            </w:pPr>
            <w:r>
              <w:rPr>
                <w:rFonts w:hint="eastAsia" w:ascii="宋体" w:hAnsi="宋体"/>
                <w:color w:val="auto"/>
                <w:sz w:val="21"/>
                <w:szCs w:val="21"/>
                <w:highlight w:val="none"/>
              </w:rPr>
              <w:t>支持NAS存储录像，录像可断网续传</w:t>
            </w:r>
          </w:p>
          <w:p>
            <w:pPr>
              <w:rPr>
                <w:rFonts w:ascii="宋体" w:hAnsi="宋体"/>
                <w:color w:val="auto"/>
                <w:sz w:val="21"/>
                <w:szCs w:val="21"/>
                <w:highlight w:val="none"/>
              </w:rPr>
            </w:pPr>
            <w:r>
              <w:rPr>
                <w:rFonts w:hint="eastAsia" w:ascii="宋体" w:hAnsi="宋体"/>
                <w:color w:val="auto"/>
                <w:sz w:val="21"/>
                <w:szCs w:val="21"/>
                <w:highlight w:val="none"/>
              </w:rPr>
              <w:t>室外球达到IP66防护等级</w:t>
            </w:r>
          </w:p>
          <w:p>
            <w:pPr>
              <w:rPr>
                <w:rFonts w:ascii="宋体" w:hAnsi="宋体"/>
                <w:color w:val="auto"/>
                <w:sz w:val="21"/>
                <w:szCs w:val="21"/>
                <w:highlight w:val="none"/>
              </w:rPr>
            </w:pPr>
            <w:r>
              <w:rPr>
                <w:rFonts w:hint="eastAsia" w:ascii="宋体" w:hAnsi="宋体"/>
                <w:color w:val="auto"/>
                <w:sz w:val="21"/>
                <w:szCs w:val="21"/>
                <w:highlight w:val="none"/>
              </w:rPr>
              <w:t>支持TVS4000V防雷、防突破、防浪涌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49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网络硬盘录像机</w:t>
            </w:r>
          </w:p>
        </w:tc>
        <w:tc>
          <w:tcPr>
            <w:tcW w:w="8134"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可接驳符合ONVIF、RTSP标准及众多主流厂商的网络摄像机</w:t>
            </w:r>
          </w:p>
          <w:p>
            <w:pPr>
              <w:rPr>
                <w:rFonts w:ascii="宋体" w:hAnsi="宋体"/>
                <w:color w:val="auto"/>
                <w:sz w:val="21"/>
                <w:szCs w:val="21"/>
                <w:highlight w:val="none"/>
              </w:rPr>
            </w:pPr>
            <w:r>
              <w:rPr>
                <w:rFonts w:hint="eastAsia" w:ascii="宋体" w:hAnsi="宋体"/>
                <w:color w:val="auto"/>
                <w:sz w:val="21"/>
                <w:szCs w:val="21"/>
                <w:highlight w:val="none"/>
              </w:rPr>
              <w:t>支持VGA、HDMI同步输出， HDMI视频输出分辨率最高可达4K， VGA视频输出分辨率最高可达1920*1080</w:t>
            </w:r>
          </w:p>
          <w:p>
            <w:pPr>
              <w:rPr>
                <w:rFonts w:ascii="宋体" w:hAnsi="宋体"/>
                <w:color w:val="auto"/>
                <w:sz w:val="21"/>
                <w:szCs w:val="21"/>
                <w:highlight w:val="none"/>
              </w:rPr>
            </w:pPr>
            <w:r>
              <w:rPr>
                <w:rFonts w:hint="eastAsia" w:ascii="宋体" w:hAnsi="宋体"/>
                <w:color w:val="auto"/>
                <w:sz w:val="21"/>
                <w:szCs w:val="21"/>
                <w:highlight w:val="none"/>
              </w:rPr>
              <w:t>支持双HDMI非同源高清输出</w:t>
            </w:r>
          </w:p>
          <w:p>
            <w:pPr>
              <w:rPr>
                <w:rFonts w:ascii="宋体" w:hAnsi="宋体"/>
                <w:color w:val="auto"/>
                <w:sz w:val="21"/>
                <w:szCs w:val="21"/>
                <w:highlight w:val="none"/>
              </w:rPr>
            </w:pPr>
            <w:r>
              <w:rPr>
                <w:rFonts w:hint="eastAsia" w:ascii="宋体" w:hAnsi="宋体"/>
                <w:color w:val="auto"/>
                <w:sz w:val="21"/>
                <w:szCs w:val="21"/>
                <w:highlight w:val="none"/>
              </w:rPr>
              <w:t>支持H.265视频解码，支持H.265、H.264编码前端混合自适应接入</w:t>
            </w:r>
          </w:p>
          <w:p>
            <w:pPr>
              <w:rPr>
                <w:rFonts w:ascii="宋体" w:hAnsi="宋体"/>
                <w:color w:val="auto"/>
                <w:sz w:val="21"/>
                <w:szCs w:val="21"/>
                <w:highlight w:val="none"/>
              </w:rPr>
            </w:pPr>
            <w:r>
              <w:rPr>
                <w:rFonts w:hint="eastAsia" w:ascii="宋体" w:hAnsi="宋体"/>
                <w:color w:val="auto"/>
                <w:sz w:val="21"/>
                <w:szCs w:val="21"/>
                <w:highlight w:val="none"/>
              </w:rPr>
              <w:t>支持一键添加网络摄像机</w:t>
            </w:r>
          </w:p>
          <w:p>
            <w:pPr>
              <w:rPr>
                <w:rFonts w:ascii="宋体" w:hAnsi="宋体"/>
                <w:color w:val="auto"/>
                <w:sz w:val="21"/>
                <w:szCs w:val="21"/>
                <w:highlight w:val="none"/>
              </w:rPr>
            </w:pPr>
            <w:r>
              <w:rPr>
                <w:rFonts w:hint="eastAsia" w:ascii="宋体" w:hAnsi="宋体"/>
                <w:color w:val="auto"/>
                <w:sz w:val="21"/>
                <w:szCs w:val="21"/>
                <w:highlight w:val="none"/>
              </w:rPr>
              <w:t>支持最高800万像素网络摄像机预览、录像及回放</w:t>
            </w:r>
          </w:p>
          <w:p>
            <w:pPr>
              <w:rPr>
                <w:rFonts w:ascii="宋体" w:hAnsi="宋体"/>
                <w:color w:val="auto"/>
                <w:sz w:val="21"/>
                <w:szCs w:val="21"/>
                <w:highlight w:val="none"/>
              </w:rPr>
            </w:pPr>
            <w:r>
              <w:rPr>
                <w:rFonts w:hint="eastAsia" w:ascii="宋体" w:hAnsi="宋体"/>
                <w:color w:val="auto"/>
                <w:sz w:val="21"/>
                <w:szCs w:val="21"/>
                <w:highlight w:val="none"/>
              </w:rPr>
              <w:t>网络视频接入带宽最高可达256Mbps，支持最高64路高清网络视频全实时通道录像</w:t>
            </w:r>
          </w:p>
          <w:p>
            <w:pPr>
              <w:rPr>
                <w:rFonts w:ascii="宋体" w:hAnsi="宋体"/>
                <w:color w:val="auto"/>
                <w:sz w:val="21"/>
                <w:szCs w:val="21"/>
                <w:highlight w:val="none"/>
              </w:rPr>
            </w:pPr>
            <w:r>
              <w:rPr>
                <w:rFonts w:hint="eastAsia" w:ascii="宋体" w:hAnsi="宋体"/>
                <w:color w:val="auto"/>
                <w:sz w:val="21"/>
                <w:szCs w:val="21"/>
                <w:highlight w:val="none"/>
              </w:rPr>
              <w:t>最大支持32路通道同步回放，支持16路200万H.265高清视频同步解码</w:t>
            </w:r>
          </w:p>
          <w:p>
            <w:pPr>
              <w:rPr>
                <w:rFonts w:ascii="宋体" w:hAnsi="宋体"/>
                <w:color w:val="auto"/>
                <w:sz w:val="21"/>
                <w:szCs w:val="21"/>
                <w:highlight w:val="none"/>
              </w:rPr>
            </w:pPr>
            <w:r>
              <w:rPr>
                <w:rFonts w:hint="eastAsia" w:ascii="宋体" w:hAnsi="宋体"/>
                <w:color w:val="auto"/>
                <w:sz w:val="21"/>
                <w:szCs w:val="21"/>
                <w:highlight w:val="none"/>
              </w:rPr>
              <w:t>支持智能分析，内置1路人脸检测或2路周界检测（部分型号），可实现基于人脸数据或周界事件的检索与录像回放</w:t>
            </w:r>
          </w:p>
          <w:p>
            <w:pPr>
              <w:rPr>
                <w:rFonts w:ascii="宋体" w:hAnsi="宋体"/>
                <w:color w:val="auto"/>
                <w:sz w:val="21"/>
                <w:szCs w:val="21"/>
                <w:highlight w:val="none"/>
              </w:rPr>
            </w:pPr>
            <w:r>
              <w:rPr>
                <w:rFonts w:hint="eastAsia" w:ascii="宋体" w:hAnsi="宋体"/>
                <w:color w:val="auto"/>
                <w:sz w:val="21"/>
                <w:szCs w:val="21"/>
                <w:highlight w:val="none"/>
              </w:rPr>
              <w:t>标准2U机箱设计，支持机架式安装</w:t>
            </w:r>
          </w:p>
          <w:p>
            <w:pPr>
              <w:rPr>
                <w:rFonts w:ascii="宋体" w:hAnsi="宋体"/>
                <w:color w:val="auto"/>
                <w:sz w:val="21"/>
                <w:szCs w:val="21"/>
                <w:highlight w:val="none"/>
              </w:rPr>
            </w:pPr>
            <w:r>
              <w:rPr>
                <w:rFonts w:hint="eastAsia" w:ascii="宋体" w:hAnsi="宋体"/>
                <w:color w:val="auto"/>
                <w:sz w:val="21"/>
                <w:szCs w:val="21"/>
                <w:highlight w:val="none"/>
              </w:rPr>
              <w:t>支持外接报警设备</w:t>
            </w:r>
          </w:p>
          <w:p>
            <w:pPr>
              <w:rPr>
                <w:rFonts w:ascii="宋体" w:hAnsi="宋体"/>
                <w:color w:val="auto"/>
                <w:sz w:val="21"/>
                <w:szCs w:val="21"/>
                <w:highlight w:val="none"/>
              </w:rPr>
            </w:pPr>
            <w:r>
              <w:rPr>
                <w:rFonts w:hint="eastAsia" w:ascii="宋体" w:hAnsi="宋体"/>
                <w:color w:val="auto"/>
                <w:sz w:val="21"/>
                <w:szCs w:val="21"/>
                <w:highlight w:val="none"/>
              </w:rPr>
              <w:t>支持8个SATA 硬盘，1个ESATA接口，硬盘容量无限制</w:t>
            </w:r>
          </w:p>
          <w:p>
            <w:pPr>
              <w:rPr>
                <w:rFonts w:ascii="宋体" w:hAnsi="宋体"/>
                <w:color w:val="auto"/>
                <w:sz w:val="21"/>
                <w:szCs w:val="21"/>
                <w:highlight w:val="none"/>
              </w:rPr>
            </w:pPr>
            <w:r>
              <w:rPr>
                <w:rFonts w:hint="eastAsia" w:ascii="宋体" w:hAnsi="宋体"/>
                <w:color w:val="auto"/>
                <w:sz w:val="21"/>
                <w:szCs w:val="21"/>
                <w:highlight w:val="none"/>
              </w:rPr>
              <w:t>支持硬盘休眠技术，大幅度延长硬盘使用寿命、降低整机功耗</w:t>
            </w:r>
          </w:p>
          <w:p>
            <w:pPr>
              <w:rPr>
                <w:rFonts w:ascii="宋体" w:hAnsi="宋体"/>
                <w:color w:val="auto"/>
                <w:sz w:val="21"/>
                <w:szCs w:val="21"/>
                <w:highlight w:val="none"/>
              </w:rPr>
            </w:pPr>
            <w:r>
              <w:rPr>
                <w:rFonts w:hint="eastAsia" w:ascii="宋体" w:hAnsi="宋体"/>
                <w:color w:val="auto"/>
                <w:sz w:val="21"/>
                <w:szCs w:val="21"/>
                <w:highlight w:val="none"/>
              </w:rPr>
              <w:t>支持硬盘双冗余技术，实现重要数据的双备份，有效保障录像安全</w:t>
            </w:r>
          </w:p>
          <w:p>
            <w:pPr>
              <w:rPr>
                <w:rFonts w:ascii="宋体" w:hAnsi="宋体"/>
                <w:color w:val="auto"/>
                <w:sz w:val="21"/>
                <w:szCs w:val="21"/>
                <w:highlight w:val="none"/>
              </w:rPr>
            </w:pPr>
            <w:r>
              <w:rPr>
                <w:rFonts w:hint="eastAsia" w:ascii="宋体" w:hAnsi="宋体"/>
                <w:color w:val="auto"/>
                <w:sz w:val="21"/>
                <w:szCs w:val="21"/>
                <w:highlight w:val="none"/>
              </w:rPr>
              <w:t>支持硬盘分组及通道分组存储管理技术，可实现不同通道不同录像时长的控制功能</w:t>
            </w:r>
          </w:p>
          <w:p>
            <w:pPr>
              <w:rPr>
                <w:rFonts w:ascii="宋体" w:hAnsi="宋体"/>
                <w:color w:val="auto"/>
                <w:sz w:val="21"/>
                <w:szCs w:val="21"/>
                <w:highlight w:val="none"/>
              </w:rPr>
            </w:pPr>
            <w:r>
              <w:rPr>
                <w:rFonts w:hint="eastAsia" w:ascii="宋体" w:hAnsi="宋体"/>
                <w:color w:val="auto"/>
                <w:sz w:val="21"/>
                <w:szCs w:val="21"/>
                <w:highlight w:val="none"/>
              </w:rPr>
              <w:t>支持硬盘S.M.A.R.T技术，并支持硬盘坏道跳过，大幅度减少因硬盘故障导致的数据丢失</w:t>
            </w:r>
          </w:p>
          <w:p>
            <w:pPr>
              <w:rPr>
                <w:rFonts w:ascii="宋体" w:hAnsi="宋体"/>
                <w:color w:val="auto"/>
                <w:sz w:val="21"/>
                <w:szCs w:val="21"/>
                <w:highlight w:val="none"/>
              </w:rPr>
            </w:pPr>
            <w:r>
              <w:rPr>
                <w:rFonts w:hint="eastAsia" w:ascii="宋体" w:hAnsi="宋体"/>
                <w:color w:val="auto"/>
                <w:sz w:val="21"/>
                <w:szCs w:val="21"/>
                <w:highlight w:val="none"/>
              </w:rPr>
              <w:t>采用嵌入式Linux操作系统和专有的带数据库的文件系统，查询、检索更为快速和准确，数据安全更有保障</w:t>
            </w:r>
          </w:p>
          <w:p>
            <w:pPr>
              <w:rPr>
                <w:rFonts w:ascii="宋体" w:hAnsi="宋体"/>
                <w:color w:val="auto"/>
                <w:sz w:val="21"/>
                <w:szCs w:val="21"/>
                <w:highlight w:val="none"/>
              </w:rPr>
            </w:pPr>
            <w:r>
              <w:rPr>
                <w:rFonts w:hint="eastAsia" w:ascii="宋体" w:hAnsi="宋体"/>
                <w:color w:val="auto"/>
                <w:sz w:val="21"/>
                <w:szCs w:val="21"/>
                <w:highlight w:val="none"/>
              </w:rPr>
              <w:t>支持第三方云存储服务，支持抓图同步、录像备份功能，支持Dropbox、Google Drive等多厂家云盘</w:t>
            </w:r>
          </w:p>
          <w:p>
            <w:pPr>
              <w:rPr>
                <w:rFonts w:ascii="宋体" w:hAnsi="宋体"/>
                <w:color w:val="auto"/>
                <w:sz w:val="21"/>
                <w:szCs w:val="21"/>
                <w:highlight w:val="none"/>
              </w:rPr>
            </w:pPr>
            <w:r>
              <w:rPr>
                <w:rFonts w:hint="eastAsia" w:ascii="宋体" w:hAnsi="宋体"/>
                <w:color w:val="auto"/>
                <w:sz w:val="21"/>
                <w:szCs w:val="21"/>
                <w:highlight w:val="none"/>
              </w:rPr>
              <w:t>内置VSS 云服务，支持P2P服务，实现浏览器、手机客户端(VSS Mobile)、PC客户端互联网访问，支持报警消息推送、邮件报警等</w:t>
            </w:r>
          </w:p>
          <w:p>
            <w:pPr>
              <w:rPr>
                <w:rFonts w:ascii="宋体" w:hAnsi="宋体"/>
                <w:color w:val="auto"/>
                <w:sz w:val="21"/>
                <w:szCs w:val="21"/>
                <w:highlight w:val="none"/>
              </w:rPr>
            </w:pPr>
            <w:r>
              <w:rPr>
                <w:rFonts w:hint="eastAsia" w:ascii="宋体" w:hAnsi="宋体"/>
                <w:color w:val="auto"/>
                <w:sz w:val="21"/>
                <w:szCs w:val="21"/>
                <w:highlight w:val="none"/>
              </w:rPr>
              <w:t>专业型、综合型数字录像设备,当设备探测到视频入侵报警和/或收到报警联动触发信号时,应能启动设备相应的通道进行联动记录。设备应能预录报警触发前≥5s的视(音)频</w:t>
            </w:r>
          </w:p>
          <w:p>
            <w:pPr>
              <w:rPr>
                <w:rFonts w:ascii="宋体" w:hAnsi="宋体"/>
                <w:color w:val="auto"/>
                <w:sz w:val="21"/>
                <w:szCs w:val="21"/>
                <w:highlight w:val="none"/>
              </w:rPr>
            </w:pPr>
            <w:r>
              <w:rPr>
                <w:rFonts w:hint="eastAsia" w:ascii="宋体" w:hAnsi="宋体"/>
                <w:color w:val="auto"/>
                <w:sz w:val="21"/>
                <w:szCs w:val="21"/>
                <w:highlight w:val="none"/>
              </w:rPr>
              <w:t>支持网络即插即用、 SMTP、SSL邮件报警</w:t>
            </w:r>
          </w:p>
          <w:p>
            <w:pPr>
              <w:rPr>
                <w:rFonts w:ascii="宋体" w:hAnsi="宋体"/>
                <w:color w:val="auto"/>
                <w:sz w:val="21"/>
                <w:szCs w:val="21"/>
                <w:highlight w:val="none"/>
              </w:rPr>
            </w:pPr>
            <w:r>
              <w:rPr>
                <w:rFonts w:hint="eastAsia" w:ascii="宋体" w:hAnsi="宋体"/>
                <w:color w:val="auto"/>
                <w:sz w:val="21"/>
                <w:szCs w:val="21"/>
                <w:highlight w:val="none"/>
              </w:rPr>
              <w:t>需具备3C认证报告，应具有报警联动的接口,能支持无源的开路和/或闭路信号接入,能实时响应并启动记录和输出联动信号。其报警响应时间、记录启动延时、报警前预录时间等应在产品标准中明确规定,并在产品技术文件中明示。</w:t>
            </w:r>
          </w:p>
        </w:tc>
      </w:tr>
    </w:tbl>
    <w:p>
      <w:pPr>
        <w:pStyle w:val="5"/>
        <w:rPr>
          <w:color w:val="auto"/>
          <w:highlight w:val="none"/>
        </w:rPr>
      </w:pPr>
      <w:r>
        <w:rPr>
          <w:rFonts w:hint="eastAsia"/>
          <w:color w:val="auto"/>
          <w:highlight w:val="none"/>
        </w:rPr>
        <w:t>消息推送系统</w:t>
      </w:r>
    </w:p>
    <w:p>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监测平台告警信息推送至指定服务人员、执法人员、应急平台或主管领导， 车辆异常信息及周边应急信息推送至驾驶员。</w:t>
      </w:r>
    </w:p>
    <w:p>
      <w:pPr>
        <w:pStyle w:val="3"/>
        <w:rPr>
          <w:color w:val="auto"/>
          <w:highlight w:val="none"/>
        </w:rPr>
      </w:pPr>
      <w:r>
        <w:rPr>
          <w:rFonts w:hint="eastAsia"/>
          <w:color w:val="auto"/>
          <w:highlight w:val="none"/>
        </w:rPr>
        <w:t>应急联动</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按照平战结合的应急管理理念，基于应急一张图搭建可视化的应急响应系统，包括应急管理、应急预案、应急指挥、应急监测。日常应用主要实现应急资源、应急预案、应急案例的数字化、可视化、精细化管理。事故发生实现事故联合响应、图上资源分析、风险分析、事故影响分析，一键生成救援处置方案，辅助事故救援。</w:t>
      </w:r>
    </w:p>
    <w:p>
      <w:pPr>
        <w:pStyle w:val="4"/>
        <w:rPr>
          <w:color w:val="auto"/>
          <w:highlight w:val="none"/>
        </w:rPr>
      </w:pPr>
      <w:r>
        <w:rPr>
          <w:rFonts w:hint="eastAsia"/>
          <w:color w:val="auto"/>
          <w:highlight w:val="none"/>
        </w:rPr>
        <w:t>应急管理</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483"/>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80" w:type="dxa"/>
            <w:tcBorders>
              <w:top w:val="single" w:color="auto" w:sz="4" w:space="0"/>
              <w:left w:val="single" w:color="auto" w:sz="4" w:space="0"/>
              <w:bottom w:val="single" w:color="auto" w:sz="4" w:space="0"/>
              <w:right w:val="single" w:color="auto" w:sz="4" w:space="0"/>
            </w:tcBorders>
            <w:vAlign w:val="center"/>
          </w:tcPr>
          <w:p>
            <w:pPr>
              <w:pStyle w:val="15"/>
              <w:jc w:val="center"/>
              <w:rPr>
                <w:b/>
                <w:bCs/>
                <w:color w:val="auto"/>
                <w:highlight w:val="none"/>
              </w:rPr>
            </w:pPr>
            <w:r>
              <w:rPr>
                <w:b/>
                <w:bCs/>
                <w:color w:val="auto"/>
                <w:highlight w:val="none"/>
              </w:rPr>
              <w:t>序号</w:t>
            </w:r>
          </w:p>
        </w:tc>
        <w:tc>
          <w:tcPr>
            <w:tcW w:w="1483"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内容</w:t>
            </w:r>
          </w:p>
        </w:tc>
        <w:tc>
          <w:tcPr>
            <w:tcW w:w="7165"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0"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1</w:t>
            </w:r>
          </w:p>
        </w:tc>
        <w:tc>
          <w:tcPr>
            <w:tcW w:w="1483"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应急库</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建立不同方面的资料信息库，包含风险源、危化品、应急物资、应急知识库、事故案例等，并支持对信息的增加、删除、编辑、查询。</w:t>
            </w:r>
          </w:p>
          <w:p>
            <w:pPr>
              <w:pStyle w:val="15"/>
              <w:rPr>
                <w:color w:val="auto"/>
                <w:highlight w:val="none"/>
              </w:rPr>
            </w:pPr>
            <w:r>
              <w:rPr>
                <w:rFonts w:hint="eastAsia"/>
                <w:color w:val="auto"/>
                <w:highlight w:val="none"/>
              </w:rPr>
              <w:t>1</w:t>
            </w:r>
            <w:r>
              <w:rPr>
                <w:rFonts w:hint="eastAsia" w:ascii="宋体" w:hAnsi="宋体"/>
                <w:color w:val="auto"/>
                <w:highlight w:val="none"/>
              </w:rPr>
              <w:t>）风险源：包括基础信息、化学物质、环境风险防范、应急处置救援资源、周边环境及保护目标、厂区图等。</w:t>
            </w:r>
          </w:p>
          <w:p>
            <w:pPr>
              <w:pStyle w:val="15"/>
              <w:rPr>
                <w:color w:val="auto"/>
                <w:highlight w:val="none"/>
              </w:rPr>
            </w:pPr>
            <w:r>
              <w:rPr>
                <w:rFonts w:hint="eastAsia"/>
                <w:color w:val="auto"/>
                <w:highlight w:val="none"/>
              </w:rPr>
              <w:t>2</w:t>
            </w:r>
            <w:r>
              <w:rPr>
                <w:rFonts w:hint="eastAsia" w:ascii="宋体" w:hAnsi="宋体"/>
                <w:color w:val="auto"/>
                <w:highlight w:val="none"/>
              </w:rPr>
              <w:t>）危化品：包括理化常数、环境影响、监测方法、环境标准、应急处置方法等。</w:t>
            </w:r>
            <w:r>
              <w:rPr>
                <w:color w:val="auto"/>
                <w:highlight w:val="none"/>
              </w:rPr>
              <w:t> </w:t>
            </w:r>
          </w:p>
          <w:p>
            <w:pPr>
              <w:pStyle w:val="15"/>
              <w:rPr>
                <w:color w:val="auto"/>
                <w:highlight w:val="none"/>
              </w:rPr>
            </w:pPr>
            <w:r>
              <w:rPr>
                <w:rFonts w:hint="eastAsia"/>
                <w:color w:val="auto"/>
                <w:highlight w:val="none"/>
              </w:rPr>
              <w:t>3</w:t>
            </w:r>
            <w:r>
              <w:rPr>
                <w:rFonts w:hint="eastAsia" w:ascii="宋体" w:hAnsi="宋体"/>
                <w:color w:val="auto"/>
                <w:highlight w:val="none"/>
              </w:rPr>
              <w:t>）应急物资：包括物资装备类型、物资名称、物资数据、所处仓库、联系人、联系电话等。</w:t>
            </w:r>
          </w:p>
          <w:p>
            <w:pPr>
              <w:pStyle w:val="15"/>
              <w:rPr>
                <w:color w:val="auto"/>
                <w:highlight w:val="none"/>
              </w:rPr>
            </w:pPr>
            <w:r>
              <w:rPr>
                <w:rFonts w:hint="eastAsia"/>
                <w:color w:val="auto"/>
                <w:highlight w:val="none"/>
              </w:rPr>
              <w:t xml:space="preserve"> 4</w:t>
            </w:r>
            <w:r>
              <w:rPr>
                <w:rFonts w:hint="eastAsia" w:ascii="宋体" w:hAnsi="宋体"/>
                <w:color w:val="auto"/>
                <w:highlight w:val="none"/>
              </w:rPr>
              <w:t>）应急知识库：包括应急处理处置技术、应急监测方法、政策法规、规范性文件、环保标准、突发环境事件预防知识等；</w:t>
            </w:r>
            <w:r>
              <w:rPr>
                <w:color w:val="auto"/>
                <w:highlight w:val="none"/>
              </w:rPr>
              <w:t> </w:t>
            </w:r>
          </w:p>
          <w:p>
            <w:pPr>
              <w:pStyle w:val="15"/>
              <w:rPr>
                <w:color w:val="auto"/>
                <w:highlight w:val="none"/>
              </w:rPr>
            </w:pPr>
            <w:r>
              <w:rPr>
                <w:rFonts w:hint="eastAsia"/>
                <w:color w:val="auto"/>
                <w:highlight w:val="none"/>
              </w:rPr>
              <w:t>5</w:t>
            </w:r>
            <w:r>
              <w:rPr>
                <w:rFonts w:hint="eastAsia" w:ascii="宋体" w:hAnsi="宋体"/>
                <w:color w:val="auto"/>
                <w:highlight w:val="none"/>
              </w:rPr>
              <w:t>）事故案例：，包括事故名称、事故类型、事故等级、事故时间、事故来源、所属区域、主要污染物、伤亡人数、转移人员、经济损失、事故地点、事故原因、对环境的影响、应急处置情况、事故总结信息等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80"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2</w:t>
            </w:r>
          </w:p>
        </w:tc>
        <w:tc>
          <w:tcPr>
            <w:tcW w:w="1483"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应急资源</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对应急资源建立详细的资料信息库，包括应急人员、应急车辆、避难场所、单兵设施等，支持对应急资源信息的增加、删除、编辑、查询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0"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3</w:t>
            </w:r>
          </w:p>
        </w:tc>
        <w:tc>
          <w:tcPr>
            <w:tcW w:w="1483"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应急专家</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应急专家库分国际级、省级、市级、后补专家，包括专家姓名、单位、职称、专业特长、联系方式、参与的应急案例等；支持对应急专家信息的增加、删除、编辑、查询。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0"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4</w:t>
            </w:r>
          </w:p>
        </w:tc>
        <w:tc>
          <w:tcPr>
            <w:tcW w:w="1483"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应急机构</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应急机构分为处置机构、监测机构、联动机构、救援队伍，对组织机构的增加、删除、编辑、查询。</w:t>
            </w:r>
          </w:p>
        </w:tc>
      </w:tr>
    </w:tbl>
    <w:p>
      <w:pPr>
        <w:pStyle w:val="4"/>
        <w:rPr>
          <w:color w:val="auto"/>
          <w:szCs w:val="32"/>
          <w:highlight w:val="none"/>
        </w:rPr>
      </w:pPr>
      <w:r>
        <w:rPr>
          <w:rFonts w:hint="eastAsia"/>
          <w:color w:val="auto"/>
          <w:highlight w:val="none"/>
        </w:rPr>
        <w:t>应急预案</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应急预案分为政府预案、园区预案、企业预案；包括预案名称、编制或发布时间、编制或发布单位、预案内容等；支持对应急预案信息的增加、删除、编辑、查询。</w:t>
      </w:r>
    </w:p>
    <w:p>
      <w:pPr>
        <w:pStyle w:val="4"/>
        <w:rPr>
          <w:color w:val="auto"/>
          <w:highlight w:val="none"/>
        </w:rPr>
      </w:pPr>
      <w:r>
        <w:rPr>
          <w:rFonts w:hint="eastAsia"/>
          <w:color w:val="auto"/>
          <w:highlight w:val="none"/>
        </w:rPr>
        <w:t>应急指挥</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481"/>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b/>
                <w:bCs/>
                <w:color w:val="auto"/>
                <w:highlight w:val="none"/>
              </w:rPr>
            </w:pPr>
            <w:r>
              <w:rPr>
                <w:b/>
                <w:bCs/>
                <w:color w:val="auto"/>
                <w:highlight w:val="none"/>
              </w:rPr>
              <w:t>序号</w:t>
            </w:r>
          </w:p>
        </w:tc>
        <w:tc>
          <w:tcPr>
            <w:tcW w:w="1481"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内容</w:t>
            </w:r>
          </w:p>
        </w:tc>
        <w:tc>
          <w:tcPr>
            <w:tcW w:w="7165"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1</w:t>
            </w:r>
          </w:p>
        </w:tc>
        <w:tc>
          <w:tcPr>
            <w:tcW w:w="1481" w:type="dxa"/>
            <w:tcBorders>
              <w:top w:val="single" w:color="auto" w:sz="4" w:space="0"/>
              <w:left w:val="nil"/>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事件管理</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1</w:t>
            </w:r>
            <w:r>
              <w:rPr>
                <w:rFonts w:hint="eastAsia" w:ascii="宋体" w:hAnsi="宋体"/>
                <w:color w:val="auto"/>
                <w:highlight w:val="none"/>
              </w:rPr>
              <w:t>、接报：对突发环境事件信息进行接警受理录入，包括事故名称、信息来源、事故地点、事故时间、事故类型、接报时间、污染物、事故描述等详细信息；</w:t>
            </w:r>
          </w:p>
          <w:p>
            <w:pPr>
              <w:pStyle w:val="15"/>
              <w:rPr>
                <w:color w:val="auto"/>
                <w:highlight w:val="none"/>
              </w:rPr>
            </w:pPr>
            <w:r>
              <w:rPr>
                <w:rFonts w:hint="eastAsia"/>
                <w:color w:val="auto"/>
                <w:highlight w:val="none"/>
              </w:rPr>
              <w:t>2</w:t>
            </w:r>
            <w:r>
              <w:rPr>
                <w:rFonts w:hint="eastAsia" w:ascii="宋体" w:hAnsi="宋体"/>
                <w:color w:val="auto"/>
                <w:highlight w:val="none"/>
              </w:rPr>
              <w:t>、初报：对事件初步核实处置情况进行上报，主要内容包括事故接报情况、事故基本核实情况、事故现场处置情况、下一步工作、最新进展情况等。</w:t>
            </w:r>
          </w:p>
          <w:p>
            <w:pPr>
              <w:pStyle w:val="15"/>
              <w:rPr>
                <w:color w:val="auto"/>
                <w:highlight w:val="none"/>
              </w:rPr>
            </w:pPr>
            <w:r>
              <w:rPr>
                <w:rFonts w:hint="eastAsia"/>
                <w:color w:val="auto"/>
                <w:highlight w:val="none"/>
              </w:rPr>
              <w:t>3</w:t>
            </w:r>
            <w:r>
              <w:rPr>
                <w:rFonts w:hint="eastAsia" w:ascii="宋体" w:hAnsi="宋体"/>
                <w:color w:val="auto"/>
                <w:highlight w:val="none"/>
              </w:rPr>
              <w:t>、续报：在初报的基础上适时对事件后续进展情况进行上报，主要内容包括事故基本情况、后续处置情况、现场监测情况、下一步工作、最新进展情况等。</w:t>
            </w:r>
          </w:p>
          <w:p>
            <w:pPr>
              <w:pStyle w:val="15"/>
              <w:rPr>
                <w:color w:val="auto"/>
                <w:highlight w:val="none"/>
              </w:rPr>
            </w:pPr>
            <w:r>
              <w:rPr>
                <w:rFonts w:hint="eastAsia"/>
                <w:color w:val="auto"/>
                <w:highlight w:val="none"/>
              </w:rPr>
              <w:t>4</w:t>
            </w:r>
            <w:r>
              <w:rPr>
                <w:rFonts w:hint="eastAsia" w:ascii="宋体" w:hAnsi="宋体"/>
                <w:color w:val="auto"/>
                <w:highlight w:val="none"/>
              </w:rPr>
              <w:t>、终报：在应急终止后对事故结果和处置完毕后对周边环境的影响情况进行上报。</w:t>
            </w:r>
          </w:p>
          <w:p>
            <w:pPr>
              <w:pStyle w:val="15"/>
              <w:rPr>
                <w:color w:val="auto"/>
                <w:highlight w:val="none"/>
              </w:rPr>
            </w:pPr>
            <w:r>
              <w:rPr>
                <w:rFonts w:hint="eastAsia"/>
                <w:color w:val="auto"/>
                <w:highlight w:val="none"/>
              </w:rPr>
              <w:t>5</w:t>
            </w:r>
            <w:r>
              <w:rPr>
                <w:rFonts w:hint="eastAsia" w:ascii="宋体" w:hAnsi="宋体"/>
                <w:color w:val="auto"/>
                <w:highlight w:val="none"/>
              </w:rPr>
              <w:t>、事件箱：事件箱记录保存所有事件档案，可查看事件信息列表，包括事件编号、事故名称、事故时间、事故类型、信息来源、接报途径、污染类型、事故状态（已接报、已初报、应急终止、已终报、总结归档完成）、相关附件（初报文档、续报文档、终报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2</w:t>
            </w:r>
          </w:p>
        </w:tc>
        <w:tc>
          <w:tcPr>
            <w:tcW w:w="1481" w:type="dxa"/>
            <w:tcBorders>
              <w:top w:val="single" w:color="auto" w:sz="4" w:space="0"/>
              <w:left w:val="nil"/>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处置指挥</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1</w:t>
            </w:r>
            <w:r>
              <w:rPr>
                <w:rFonts w:hint="eastAsia" w:ascii="宋体" w:hAnsi="宋体"/>
                <w:color w:val="auto"/>
                <w:highlight w:val="none"/>
              </w:rPr>
              <w:t>、事件加载：统自动加载需要指挥处置的事件列表信息，指挥员选择相应事件后，系统自动加载事件的信息，并在事件基本信息看板中显示。</w:t>
            </w:r>
          </w:p>
          <w:p>
            <w:pPr>
              <w:pStyle w:val="15"/>
              <w:rPr>
                <w:color w:val="auto"/>
                <w:highlight w:val="none"/>
              </w:rPr>
            </w:pPr>
            <w:r>
              <w:rPr>
                <w:rFonts w:hint="eastAsia"/>
                <w:color w:val="auto"/>
                <w:highlight w:val="none"/>
              </w:rPr>
              <w:t>2</w:t>
            </w:r>
            <w:r>
              <w:rPr>
                <w:rFonts w:hint="eastAsia" w:ascii="宋体" w:hAnsi="宋体"/>
                <w:color w:val="auto"/>
                <w:highlight w:val="none"/>
              </w:rPr>
              <w:t>、预案加载：系统根据事件信息与指挥员信息自动加载可执行的预案列表信息，指挥员选择相应预案后，系统自动加载预案中的组织结构信息与相应的资源信息。</w:t>
            </w:r>
          </w:p>
          <w:p>
            <w:pPr>
              <w:pStyle w:val="15"/>
              <w:rPr>
                <w:color w:val="auto"/>
                <w:highlight w:val="none"/>
              </w:rPr>
            </w:pPr>
            <w:r>
              <w:rPr>
                <w:rFonts w:hint="eastAsia"/>
                <w:color w:val="auto"/>
                <w:highlight w:val="none"/>
              </w:rPr>
              <w:t>3</w:t>
            </w:r>
            <w:r>
              <w:rPr>
                <w:rFonts w:hint="eastAsia" w:ascii="宋体" w:hAnsi="宋体"/>
                <w:color w:val="auto"/>
                <w:highlight w:val="none"/>
              </w:rPr>
              <w:t>、基本信息看板和信息推送：显示当前处置事件的基本情况，包括：事件发生时间、已持续时长、发生地点、事件性质、主要污染物及数量、污染源、事件起因及系统推荐的相关参考信息提醒（如相关案例）等</w:t>
            </w:r>
          </w:p>
          <w:p>
            <w:pPr>
              <w:pStyle w:val="15"/>
              <w:rPr>
                <w:color w:val="auto"/>
                <w:highlight w:val="none"/>
              </w:rPr>
            </w:pPr>
            <w:r>
              <w:rPr>
                <w:rFonts w:hint="eastAsia"/>
                <w:color w:val="auto"/>
                <w:highlight w:val="none"/>
              </w:rPr>
              <w:t>4</w:t>
            </w:r>
            <w:r>
              <w:rPr>
                <w:rFonts w:hint="eastAsia" w:ascii="宋体" w:hAnsi="宋体"/>
                <w:color w:val="auto"/>
                <w:highlight w:val="none"/>
              </w:rPr>
              <w:t>、应急成员信息看板和通信调度：显示当前应急预案的相关应急成员，包括应急角色、姓名、职务、单位等；可与应急成员联系，快速便捷地进行调度指挥。</w:t>
            </w:r>
          </w:p>
          <w:p>
            <w:pPr>
              <w:pStyle w:val="15"/>
              <w:rPr>
                <w:color w:val="auto"/>
                <w:highlight w:val="none"/>
              </w:rPr>
            </w:pPr>
            <w:r>
              <w:rPr>
                <w:rFonts w:hint="eastAsia"/>
                <w:color w:val="auto"/>
                <w:highlight w:val="none"/>
              </w:rPr>
              <w:t>5</w:t>
            </w:r>
            <w:r>
              <w:rPr>
                <w:rFonts w:hint="eastAsia" w:ascii="宋体" w:hAnsi="宋体"/>
                <w:color w:val="auto"/>
                <w:highlight w:val="none"/>
              </w:rPr>
              <w:t>、应急监测信息看板：反映整体污染情况，使指挥员对污染程度有客观准确地判定。</w:t>
            </w:r>
          </w:p>
          <w:p>
            <w:pPr>
              <w:pStyle w:val="15"/>
              <w:rPr>
                <w:color w:val="auto"/>
                <w:highlight w:val="none"/>
              </w:rPr>
            </w:pPr>
            <w:r>
              <w:rPr>
                <w:rFonts w:hint="eastAsia"/>
                <w:color w:val="auto"/>
                <w:highlight w:val="none"/>
              </w:rPr>
              <w:t>6</w:t>
            </w:r>
            <w:r>
              <w:rPr>
                <w:rFonts w:hint="eastAsia" w:ascii="宋体" w:hAnsi="宋体"/>
                <w:color w:val="auto"/>
                <w:highlight w:val="none"/>
              </w:rPr>
              <w:t>、气象数据接入：系统支持气象数据接入，包括天气、温度、风向等因素，为判断污染扩散以及制定救援方案提供决策辅助</w:t>
            </w:r>
          </w:p>
          <w:p>
            <w:pPr>
              <w:pStyle w:val="15"/>
              <w:rPr>
                <w:color w:val="auto"/>
                <w:highlight w:val="none"/>
              </w:rPr>
            </w:pPr>
            <w:r>
              <w:rPr>
                <w:rFonts w:hint="eastAsia"/>
                <w:color w:val="auto"/>
                <w:highlight w:val="none"/>
              </w:rPr>
              <w:t>7</w:t>
            </w:r>
            <w:r>
              <w:rPr>
                <w:rFonts w:hint="eastAsia" w:ascii="宋体" w:hAnsi="宋体"/>
                <w:color w:val="auto"/>
                <w:highlight w:val="none"/>
              </w:rPr>
              <w:t>、资源一张图：专题资源查询和调度基于电子地图，根据指定的专题类型对相关资源进行查询和调度。</w:t>
            </w:r>
          </w:p>
          <w:p>
            <w:pPr>
              <w:pStyle w:val="15"/>
              <w:rPr>
                <w:color w:val="auto"/>
                <w:highlight w:val="none"/>
              </w:rPr>
            </w:pPr>
            <w:r>
              <w:rPr>
                <w:rFonts w:hint="eastAsia"/>
                <w:color w:val="auto"/>
                <w:highlight w:val="none"/>
              </w:rPr>
              <w:t>8</w:t>
            </w:r>
            <w:r>
              <w:rPr>
                <w:rFonts w:hint="eastAsia" w:ascii="宋体" w:hAnsi="宋体"/>
                <w:color w:val="auto"/>
                <w:highlight w:val="none"/>
              </w:rPr>
              <w:t>、地图标绘：系统提供电子地图的标绘和编辑功能，根据应急指挥需要方便地编辑各种方案，如</w:t>
            </w:r>
            <w:r>
              <w:rPr>
                <w:rFonts w:hint="eastAsia" w:cs="Calibri"/>
                <w:color w:val="auto"/>
                <w:highlight w:val="none"/>
              </w:rPr>
              <w:t>:</w:t>
            </w:r>
            <w:r>
              <w:rPr>
                <w:rFonts w:hint="eastAsia" w:ascii="宋体" w:hAnsi="宋体"/>
                <w:color w:val="auto"/>
                <w:highlight w:val="none"/>
              </w:rPr>
              <w:t>态势图、配置图、战术图等，并可在处警或指挥过程中显示和执行。</w:t>
            </w:r>
          </w:p>
          <w:p>
            <w:pPr>
              <w:pStyle w:val="15"/>
              <w:rPr>
                <w:color w:val="auto"/>
                <w:highlight w:val="none"/>
              </w:rPr>
            </w:pPr>
            <w:r>
              <w:rPr>
                <w:rFonts w:hint="eastAsia"/>
                <w:color w:val="auto"/>
                <w:highlight w:val="none"/>
              </w:rPr>
              <w:t>9</w:t>
            </w:r>
            <w:r>
              <w:rPr>
                <w:rFonts w:hint="eastAsia" w:ascii="宋体" w:hAnsi="宋体"/>
                <w:color w:val="auto"/>
                <w:highlight w:val="none"/>
              </w:rPr>
              <w:t>、模型分析：基于电子地图，根据事故源污染物泄漏情况、事故现场及周边的地理特征、气象情况，借助大气污染扩散模型对环境污染扩散进行模拟预测分析。</w:t>
            </w:r>
          </w:p>
          <w:p>
            <w:pPr>
              <w:pStyle w:val="15"/>
              <w:rPr>
                <w:color w:val="auto"/>
                <w:highlight w:val="none"/>
              </w:rPr>
            </w:pPr>
            <w:r>
              <w:rPr>
                <w:rFonts w:hint="eastAsia"/>
                <w:color w:val="auto"/>
                <w:highlight w:val="none"/>
              </w:rPr>
              <w:t>10</w:t>
            </w:r>
            <w:r>
              <w:rPr>
                <w:rFonts w:hint="eastAsia" w:ascii="宋体" w:hAnsi="宋体"/>
                <w:color w:val="auto"/>
                <w:highlight w:val="none"/>
              </w:rPr>
              <w:t>、事件纪要：对事件的进展情况、发展态势以及指挥部对应急处置的重大问题讨论、行动决议等进行记录</w:t>
            </w:r>
          </w:p>
          <w:p>
            <w:pPr>
              <w:pStyle w:val="15"/>
              <w:rPr>
                <w:color w:val="auto"/>
                <w:highlight w:val="none"/>
              </w:rPr>
            </w:pPr>
            <w:r>
              <w:rPr>
                <w:rFonts w:hint="eastAsia"/>
                <w:color w:val="auto"/>
                <w:highlight w:val="none"/>
              </w:rPr>
              <w:t>11</w:t>
            </w:r>
            <w:r>
              <w:rPr>
                <w:rFonts w:hint="eastAsia" w:ascii="宋体" w:hAnsi="宋体"/>
                <w:color w:val="auto"/>
                <w:highlight w:val="none"/>
              </w:rPr>
              <w:t>、事件报送：应急处置过程中，需及时将事故信息、处置情况、下一步措施等按照规范化的格式上报给上级和相关单位。</w:t>
            </w:r>
          </w:p>
        </w:tc>
      </w:tr>
    </w:tbl>
    <w:p>
      <w:pPr>
        <w:pStyle w:val="4"/>
        <w:rPr>
          <w:color w:val="auto"/>
          <w:szCs w:val="32"/>
          <w:highlight w:val="none"/>
        </w:rPr>
      </w:pPr>
      <w:r>
        <w:rPr>
          <w:rFonts w:hint="eastAsia"/>
          <w:color w:val="auto"/>
          <w:highlight w:val="none"/>
        </w:rPr>
        <w:t>应急监测</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监测数据上报在事故现场及时将采集的样品数据或者采集分析得出的污染物浓度数据输入到系统中。</w:t>
      </w:r>
    </w:p>
    <w:p>
      <w:pPr>
        <w:pStyle w:val="4"/>
        <w:rPr>
          <w:color w:val="auto"/>
          <w:highlight w:val="none"/>
        </w:rPr>
      </w:pPr>
      <w:r>
        <w:rPr>
          <w:rFonts w:hint="eastAsia"/>
          <w:color w:val="auto"/>
          <w:highlight w:val="none"/>
        </w:rPr>
        <w:t>移动端A</w:t>
      </w:r>
      <w:r>
        <w:rPr>
          <w:color w:val="auto"/>
          <w:highlight w:val="none"/>
        </w:rPr>
        <w:t>PP</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481"/>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b/>
                <w:bCs/>
                <w:color w:val="auto"/>
                <w:highlight w:val="none"/>
              </w:rPr>
            </w:pPr>
            <w:r>
              <w:rPr>
                <w:b/>
                <w:bCs/>
                <w:color w:val="auto"/>
                <w:highlight w:val="none"/>
              </w:rPr>
              <w:t>序号</w:t>
            </w:r>
          </w:p>
        </w:tc>
        <w:tc>
          <w:tcPr>
            <w:tcW w:w="1481"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内容</w:t>
            </w:r>
          </w:p>
        </w:tc>
        <w:tc>
          <w:tcPr>
            <w:tcW w:w="7165"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1</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信息看板</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应支持查看</w:t>
            </w:r>
            <w:r>
              <w:rPr>
                <w:rFonts w:hint="eastAsia" w:ascii="宋体" w:hAnsi="宋体"/>
                <w:color w:val="auto"/>
                <w:highlight w:val="none"/>
              </w:rPr>
              <w:t>最新事件列表及地图分布、应急资源目录与数量、历年应急事件统计以及系统功能菜单。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2</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应急资源查询</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应急资源查询应支持对风险源信息、危险品信息、组织机构、应急资源、应急预案、应急专家、事故案例、应急知识库的快速查询。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3</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监测上报</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ascii="宋体" w:hAnsi="宋体"/>
                <w:color w:val="auto"/>
                <w:highlight w:val="none"/>
              </w:rPr>
              <w:t>监测数据上报应支持，在事故现场及时将采集的样品数据或者采集分析得出的污染物浓度数据输入到系统中，并通过无线网络实时同步到环境应急指挥中心。</w:t>
            </w:r>
          </w:p>
        </w:tc>
      </w:tr>
    </w:tbl>
    <w:p>
      <w:pPr>
        <w:pStyle w:val="4"/>
        <w:rPr>
          <w:color w:val="auto"/>
          <w:szCs w:val="32"/>
          <w:highlight w:val="none"/>
        </w:rPr>
      </w:pPr>
      <w:r>
        <w:rPr>
          <w:rFonts w:hint="eastAsia"/>
          <w:color w:val="auto"/>
          <w:highlight w:val="none"/>
        </w:rPr>
        <w:t>智慧党建</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智慧党建平台的建设内容概括为：数据+平台+终端。</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数据：梳理各级党员、流动党员、党组织等数据的标准信息，通过数据清洗进行建档立卡以及数据关联，并对这些信息能够维护更新，同时也能为组织部提供新增党员及党组织时的审核功能，满足其日常工作的需求，数据是平台运行的保障，规范化、标准化的数据体系是平台可持续发展的基础。</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平台：支持面向公众、党员、党组织的不同角色的应用，功能包括：信息宣传、文件查看、在线学习、组织活动、党务服务、统计分析、在线互动以及运维管理等等。构建一网延伸、多元参与的格局。</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移动端：面向广大党员提供移动办公工具，主要功能包括：党建信息、党群联系、党员空间（积分排名、组织活动、在线学习、查看比学、选拔任用、在线反馈、党员论坛、个人资料、党费缴纳、通讯录）；面向广大领导用户提供大屏展示系统，可全局掌握党建工作进展情况。</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453"/>
        <w:gridCol w:w="6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4" w:type="dxa"/>
            <w:tcBorders>
              <w:top w:val="single" w:color="auto" w:sz="4" w:space="0"/>
              <w:left w:val="single" w:color="auto" w:sz="4" w:space="0"/>
              <w:bottom w:val="single" w:color="auto" w:sz="4" w:space="0"/>
              <w:right w:val="single" w:color="auto" w:sz="4" w:space="0"/>
            </w:tcBorders>
            <w:vAlign w:val="center"/>
          </w:tcPr>
          <w:p>
            <w:pPr>
              <w:pStyle w:val="15"/>
              <w:jc w:val="center"/>
              <w:rPr>
                <w:rFonts w:ascii="宋体" w:hAnsi="宋体"/>
                <w:b/>
                <w:bCs/>
                <w:color w:val="auto"/>
                <w:highlight w:val="none"/>
              </w:rPr>
            </w:pPr>
            <w:r>
              <w:rPr>
                <w:rFonts w:hint="eastAsia" w:ascii="宋体" w:hAnsi="宋体"/>
                <w:b/>
                <w:bCs/>
                <w:color w:val="auto"/>
                <w:highlight w:val="none"/>
              </w:rPr>
              <w:t>序号</w:t>
            </w:r>
          </w:p>
        </w:tc>
        <w:tc>
          <w:tcPr>
            <w:tcW w:w="2453" w:type="dxa"/>
            <w:tcBorders>
              <w:top w:val="single" w:color="auto" w:sz="4" w:space="0"/>
              <w:left w:val="nil"/>
              <w:bottom w:val="single" w:color="auto" w:sz="4" w:space="0"/>
              <w:right w:val="single" w:color="auto" w:sz="4" w:space="0"/>
            </w:tcBorders>
          </w:tcPr>
          <w:p>
            <w:pPr>
              <w:pStyle w:val="15"/>
              <w:jc w:val="center"/>
              <w:rPr>
                <w:rFonts w:ascii="宋体" w:hAnsi="宋体"/>
                <w:b/>
                <w:bCs/>
                <w:color w:val="auto"/>
                <w:highlight w:val="none"/>
              </w:rPr>
            </w:pPr>
            <w:r>
              <w:rPr>
                <w:rFonts w:hint="eastAsia" w:ascii="宋体" w:hAnsi="宋体"/>
                <w:b/>
                <w:bCs/>
                <w:color w:val="auto"/>
                <w:highlight w:val="none"/>
              </w:rPr>
              <w:t>内容</w:t>
            </w:r>
          </w:p>
        </w:tc>
        <w:tc>
          <w:tcPr>
            <w:tcW w:w="6441" w:type="dxa"/>
            <w:tcBorders>
              <w:top w:val="single" w:color="auto" w:sz="4" w:space="0"/>
              <w:left w:val="nil"/>
              <w:bottom w:val="single" w:color="auto" w:sz="4" w:space="0"/>
              <w:right w:val="single" w:color="auto" w:sz="4" w:space="0"/>
            </w:tcBorders>
          </w:tcPr>
          <w:p>
            <w:pPr>
              <w:pStyle w:val="15"/>
              <w:jc w:val="center"/>
              <w:rPr>
                <w:rFonts w:ascii="宋体" w:hAnsi="宋体"/>
                <w:b/>
                <w:bCs/>
                <w:color w:val="auto"/>
                <w:highlight w:val="none"/>
              </w:rPr>
            </w:pPr>
            <w:r>
              <w:rPr>
                <w:rFonts w:hint="eastAsia" w:ascii="宋体" w:hAnsi="宋体"/>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4" w:type="dxa"/>
            <w:tcBorders>
              <w:top w:val="single" w:color="auto" w:sz="4" w:space="0"/>
              <w:left w:val="single" w:color="auto" w:sz="4" w:space="0"/>
              <w:bottom w:val="single" w:color="auto" w:sz="4" w:space="0"/>
              <w:right w:val="single" w:color="auto" w:sz="4" w:space="0"/>
            </w:tcBorders>
            <w:vAlign w:val="center"/>
          </w:tcPr>
          <w:p>
            <w:pPr>
              <w:pStyle w:val="15"/>
              <w:jc w:val="center"/>
              <w:rPr>
                <w:rFonts w:ascii="宋体" w:hAnsi="宋体"/>
                <w:color w:val="auto"/>
                <w:highlight w:val="none"/>
              </w:rPr>
            </w:pPr>
            <w:r>
              <w:rPr>
                <w:rFonts w:hint="eastAsia" w:ascii="宋体" w:hAnsi="宋体"/>
                <w:color w:val="auto"/>
                <w:highlight w:val="none"/>
              </w:rPr>
              <w:t>1</w:t>
            </w:r>
          </w:p>
        </w:tc>
        <w:tc>
          <w:tcPr>
            <w:tcW w:w="245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公众服务门户网站</w:t>
            </w:r>
          </w:p>
        </w:tc>
        <w:tc>
          <w:tcPr>
            <w:tcW w:w="6441"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为公众提供党务服务/政策宣传、信息传播、工作公开透明等。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4" w:type="dxa"/>
            <w:tcBorders>
              <w:top w:val="single" w:color="auto" w:sz="4" w:space="0"/>
              <w:left w:val="single" w:color="auto" w:sz="4" w:space="0"/>
              <w:bottom w:val="single" w:color="auto" w:sz="4" w:space="0"/>
              <w:right w:val="single" w:color="auto" w:sz="4" w:space="0"/>
            </w:tcBorders>
            <w:vAlign w:val="center"/>
          </w:tcPr>
          <w:p>
            <w:pPr>
              <w:pStyle w:val="15"/>
              <w:jc w:val="center"/>
              <w:rPr>
                <w:rFonts w:ascii="宋体" w:hAnsi="宋体"/>
                <w:color w:val="auto"/>
                <w:highlight w:val="none"/>
              </w:rPr>
            </w:pPr>
            <w:r>
              <w:rPr>
                <w:rFonts w:hint="eastAsia" w:ascii="宋体" w:hAnsi="宋体"/>
                <w:color w:val="auto"/>
                <w:highlight w:val="none"/>
              </w:rPr>
              <w:t>2</w:t>
            </w:r>
          </w:p>
        </w:tc>
        <w:tc>
          <w:tcPr>
            <w:tcW w:w="245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党员服务子系统</w:t>
            </w:r>
          </w:p>
        </w:tc>
        <w:tc>
          <w:tcPr>
            <w:tcW w:w="6441"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为广大党员用户提供的一站式、一键式的服务平台。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4" w:type="dxa"/>
            <w:tcBorders>
              <w:top w:val="single" w:color="auto" w:sz="4" w:space="0"/>
              <w:left w:val="single" w:color="auto" w:sz="4" w:space="0"/>
              <w:bottom w:val="single" w:color="auto" w:sz="4" w:space="0"/>
              <w:right w:val="single" w:color="auto" w:sz="4" w:space="0"/>
            </w:tcBorders>
            <w:vAlign w:val="center"/>
          </w:tcPr>
          <w:p>
            <w:pPr>
              <w:pStyle w:val="15"/>
              <w:jc w:val="center"/>
              <w:rPr>
                <w:rFonts w:ascii="宋体" w:hAnsi="宋体"/>
                <w:color w:val="auto"/>
                <w:highlight w:val="none"/>
              </w:rPr>
            </w:pPr>
            <w:r>
              <w:rPr>
                <w:rFonts w:hint="eastAsia" w:ascii="宋体" w:hAnsi="宋体"/>
                <w:color w:val="auto"/>
                <w:highlight w:val="none"/>
              </w:rPr>
              <w:t>3</w:t>
            </w:r>
          </w:p>
        </w:tc>
        <w:tc>
          <w:tcPr>
            <w:tcW w:w="245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党建工作子管理系统</w:t>
            </w:r>
          </w:p>
        </w:tc>
        <w:tc>
          <w:tcPr>
            <w:tcW w:w="6441"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面向各级党组织用户的使用，为党建日常工作提供信息化办公平台，避免以往的纸质模式。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4" w:type="dxa"/>
            <w:tcBorders>
              <w:top w:val="single" w:color="auto" w:sz="4" w:space="0"/>
              <w:left w:val="single" w:color="auto" w:sz="4" w:space="0"/>
              <w:bottom w:val="single" w:color="auto" w:sz="4" w:space="0"/>
              <w:right w:val="single" w:color="auto" w:sz="4" w:space="0"/>
            </w:tcBorders>
            <w:vAlign w:val="center"/>
          </w:tcPr>
          <w:p>
            <w:pPr>
              <w:pStyle w:val="15"/>
              <w:jc w:val="center"/>
              <w:rPr>
                <w:rFonts w:ascii="宋体" w:hAnsi="宋体"/>
                <w:color w:val="auto"/>
                <w:highlight w:val="none"/>
              </w:rPr>
            </w:pPr>
            <w:r>
              <w:rPr>
                <w:rFonts w:hint="eastAsia" w:ascii="宋体" w:hAnsi="宋体"/>
                <w:color w:val="auto"/>
                <w:highlight w:val="none"/>
              </w:rPr>
              <w:t>4</w:t>
            </w:r>
          </w:p>
        </w:tc>
        <w:tc>
          <w:tcPr>
            <w:tcW w:w="245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终端建设</w:t>
            </w:r>
          </w:p>
        </w:tc>
        <w:tc>
          <w:tcPr>
            <w:tcW w:w="6441" w:type="dxa"/>
            <w:tcBorders>
              <w:top w:val="single" w:color="auto" w:sz="4" w:space="0"/>
              <w:left w:val="nil"/>
              <w:bottom w:val="single" w:color="auto" w:sz="4" w:space="0"/>
              <w:right w:val="single" w:color="auto" w:sz="4" w:space="0"/>
            </w:tcBorders>
            <w:vAlign w:val="center"/>
          </w:tcPr>
          <w:p>
            <w:pPr>
              <w:pStyle w:val="15"/>
              <w:numPr>
                <w:ilvl w:val="0"/>
                <w:numId w:val="3"/>
              </w:numPr>
              <w:rPr>
                <w:rFonts w:ascii="宋体" w:hAnsi="宋体"/>
                <w:color w:val="auto"/>
                <w:highlight w:val="none"/>
              </w:rPr>
            </w:pPr>
            <w:r>
              <w:rPr>
                <w:rFonts w:hint="eastAsia" w:ascii="宋体" w:hAnsi="宋体"/>
                <w:color w:val="auto"/>
                <w:highlight w:val="none"/>
              </w:rPr>
              <w:t>党务通（微信版）：建设智慧党建微信客户端作为党员的专业微信服务门户。</w:t>
            </w:r>
          </w:p>
          <w:p>
            <w:pPr>
              <w:pStyle w:val="15"/>
              <w:numPr>
                <w:ilvl w:val="0"/>
                <w:numId w:val="3"/>
              </w:numPr>
              <w:rPr>
                <w:rFonts w:ascii="宋体" w:hAnsi="宋体"/>
                <w:color w:val="auto"/>
                <w:highlight w:val="none"/>
              </w:rPr>
            </w:pPr>
            <w:r>
              <w:rPr>
                <w:rFonts w:hint="eastAsia" w:ascii="宋体" w:hAnsi="宋体"/>
                <w:color w:val="auto"/>
                <w:highlight w:val="none"/>
              </w:rPr>
              <w:t>党建大屏：为领导用户提供的党建大屏系统，展示党建工作的动态，辅助领导科学决策。</w:t>
            </w:r>
          </w:p>
        </w:tc>
      </w:tr>
    </w:tbl>
    <w:p>
      <w:pPr>
        <w:pStyle w:val="3"/>
        <w:rPr>
          <w:color w:val="auto"/>
          <w:highlight w:val="none"/>
        </w:rPr>
      </w:pPr>
      <w:r>
        <w:rPr>
          <w:rFonts w:hint="eastAsia"/>
          <w:color w:val="auto"/>
          <w:highlight w:val="none"/>
        </w:rPr>
        <w:t>公共监管</w:t>
      </w:r>
    </w:p>
    <w:p>
      <w:pPr>
        <w:pStyle w:val="4"/>
        <w:rPr>
          <w:color w:val="auto"/>
          <w:highlight w:val="none"/>
        </w:rPr>
      </w:pPr>
      <w:r>
        <w:rPr>
          <w:rFonts w:hint="eastAsia"/>
          <w:color w:val="auto"/>
          <w:highlight w:val="none"/>
        </w:rPr>
        <w:t>基础支撑</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481"/>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b/>
                <w:bCs/>
                <w:color w:val="auto"/>
                <w:highlight w:val="none"/>
              </w:rPr>
            </w:pPr>
            <w:r>
              <w:rPr>
                <w:b/>
                <w:bCs/>
                <w:color w:val="auto"/>
                <w:highlight w:val="none"/>
              </w:rPr>
              <w:t>序号</w:t>
            </w:r>
          </w:p>
        </w:tc>
        <w:tc>
          <w:tcPr>
            <w:tcW w:w="1481"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内容</w:t>
            </w:r>
          </w:p>
        </w:tc>
        <w:tc>
          <w:tcPr>
            <w:tcW w:w="7165"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1</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系统配置</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维护一体化平台监测监控相关的基础信息，包括大气环境监测（监测点位、区域、监测因子、监测设备、计量单位、报警限值及空气质量标准等）、污染源监控（企业管理、废气排口等）以及其他配置。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2</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基础信息</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包含基础信息（污染物分类、行政区划等）、信息代码、企业资源管理、企业菜单配置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3</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权限管理</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包含组织机构、权限管理。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4</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数据采集</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包含实时数据管理、原始数据查询、实时数据接入向导、服务控制管理、业务关联管理</w:t>
            </w:r>
          </w:p>
        </w:tc>
      </w:tr>
    </w:tbl>
    <w:p>
      <w:pPr>
        <w:pStyle w:val="4"/>
        <w:rPr>
          <w:color w:val="auto"/>
          <w:highlight w:val="none"/>
        </w:rPr>
      </w:pPr>
      <w:r>
        <w:rPr>
          <w:rFonts w:hint="eastAsia"/>
          <w:color w:val="auto"/>
          <w:highlight w:val="none"/>
        </w:rPr>
        <w:t>数据集成对接平台</w:t>
      </w:r>
    </w:p>
    <w:p>
      <w:pPr>
        <w:pStyle w:val="5"/>
        <w:rPr>
          <w:color w:val="auto"/>
          <w:highlight w:val="none"/>
        </w:rPr>
      </w:pPr>
      <w:r>
        <w:rPr>
          <w:rFonts w:hint="eastAsia"/>
          <w:color w:val="auto"/>
          <w:highlight w:val="none"/>
        </w:rPr>
        <w:t>监控数据采集传输系统</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481"/>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b/>
                <w:bCs/>
                <w:color w:val="auto"/>
                <w:highlight w:val="none"/>
              </w:rPr>
            </w:pPr>
            <w:r>
              <w:rPr>
                <w:b/>
                <w:bCs/>
                <w:color w:val="auto"/>
                <w:highlight w:val="none"/>
              </w:rPr>
              <w:t>序号</w:t>
            </w:r>
          </w:p>
        </w:tc>
        <w:tc>
          <w:tcPr>
            <w:tcW w:w="1481"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内容</w:t>
            </w:r>
          </w:p>
        </w:tc>
        <w:tc>
          <w:tcPr>
            <w:tcW w:w="7165"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1</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接入管理</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实时查看当前数据接入情况，并可查看监测点位原始报文，实现数据转发。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2</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转发管理</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实时查看当前数据接入情况，包括：接入协议、接收端口、数据类型、MN号、上传IP、上传端口、接入时间、当前状态等。同时可以查看监测点位原始报文。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3</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数据查询</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实现数据转发，转发内容包括：接入数据类型、MN号、转发IP、转发端口、转发协议等。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4</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数据接入</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可视化界面流程，实现数据向导式配置，配置类型包括：类型配置、协议配置、存储配置，配置完成执行存储数据库创建工作。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5</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类型配置</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实时数据接入向导配置基础，包括接入数据类型名称和接入数据类型编码。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6</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协议配置</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使用配置文件，配置接入协议，包括接入数据类型名称、接入数据类型编码、接入协议ID、接入协议名称、接入协议端口。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7</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存储配置</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数据存储配置，根据输入的数据类型名称和实时数据库名称，进行数据分表。配置成功后，显示接入数据类型、实时数据库名称、驱动、数据库地址、用户名及密码。</w:t>
            </w:r>
          </w:p>
        </w:tc>
      </w:tr>
    </w:tbl>
    <w:p>
      <w:pPr>
        <w:pStyle w:val="5"/>
        <w:rPr>
          <w:color w:val="auto"/>
          <w:highlight w:val="none"/>
        </w:rPr>
      </w:pPr>
      <w:r>
        <w:rPr>
          <w:rFonts w:hint="eastAsia"/>
          <w:color w:val="auto"/>
          <w:highlight w:val="none"/>
        </w:rPr>
        <w:t>与已有软件系统的集成</w:t>
      </w:r>
    </w:p>
    <w:p>
      <w:pPr>
        <w:spacing w:line="360" w:lineRule="auto"/>
        <w:ind w:firstLine="480"/>
        <w:rPr>
          <w:rFonts w:ascii="宋体" w:hAnsi="宋体"/>
          <w:color w:val="auto"/>
          <w:sz w:val="24"/>
          <w:szCs w:val="24"/>
          <w:highlight w:val="none"/>
        </w:rPr>
      </w:pPr>
      <w:r>
        <w:rPr>
          <w:rFonts w:ascii="宋体" w:hAnsi="宋体"/>
          <w:color w:val="auto"/>
          <w:sz w:val="24"/>
          <w:szCs w:val="24"/>
          <w:highlight w:val="none"/>
        </w:rPr>
        <w:t>园区目前已有的软件系统如下</w:t>
      </w:r>
      <w:r>
        <w:rPr>
          <w:rFonts w:hint="eastAsia" w:ascii="宋体" w:hAnsi="宋体"/>
          <w:color w:val="auto"/>
          <w:sz w:val="24"/>
          <w:szCs w:val="24"/>
          <w:highlight w:val="none"/>
        </w:rPr>
        <w:t>：</w:t>
      </w:r>
    </w:p>
    <w:p>
      <w:pPr>
        <w:spacing w:line="360" w:lineRule="auto"/>
        <w:ind w:firstLine="480"/>
        <w:rPr>
          <w:rFonts w:ascii="宋体" w:hAnsi="宋体"/>
          <w:color w:val="auto"/>
          <w:sz w:val="24"/>
          <w:szCs w:val="24"/>
          <w:highlight w:val="none"/>
        </w:rPr>
      </w:pPr>
      <w:r>
        <w:rPr>
          <w:rFonts w:ascii="宋体" w:hAnsi="宋体"/>
          <w:color w:val="auto"/>
          <w:sz w:val="24"/>
          <w:szCs w:val="24"/>
          <w:highlight w:val="none"/>
        </w:rPr>
        <w:t>鄂尔多斯市重点污染源环保平台、准格尔旗智慧安监平台、园区视频监控系统平台、园区生产企业生产自动化系统等。</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514"/>
        <w:gridCol w:w="1184"/>
        <w:gridCol w:w="1731"/>
        <w:gridCol w:w="1344"/>
        <w:gridCol w:w="2005"/>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81" w:type="dxa"/>
            <w:shd w:val="clear" w:color="auto" w:fill="auto"/>
            <w:vAlign w:val="center"/>
          </w:tcPr>
          <w:p>
            <w:pPr>
              <w:pStyle w:val="15"/>
              <w:jc w:val="center"/>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序号</w:t>
            </w:r>
          </w:p>
        </w:tc>
        <w:tc>
          <w:tcPr>
            <w:tcW w:w="1514" w:type="dxa"/>
            <w:shd w:val="clear" w:color="auto" w:fill="auto"/>
            <w:vAlign w:val="center"/>
          </w:tcPr>
          <w:p>
            <w:pPr>
              <w:pStyle w:val="15"/>
              <w:jc w:val="center"/>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系统名称</w:t>
            </w:r>
          </w:p>
        </w:tc>
        <w:tc>
          <w:tcPr>
            <w:tcW w:w="1184" w:type="dxa"/>
            <w:shd w:val="clear" w:color="auto" w:fill="auto"/>
            <w:vAlign w:val="center"/>
          </w:tcPr>
          <w:p>
            <w:pPr>
              <w:pStyle w:val="15"/>
              <w:jc w:val="center"/>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使用科室</w:t>
            </w:r>
          </w:p>
        </w:tc>
        <w:tc>
          <w:tcPr>
            <w:tcW w:w="1731" w:type="dxa"/>
            <w:shd w:val="clear" w:color="auto" w:fill="auto"/>
            <w:vAlign w:val="center"/>
          </w:tcPr>
          <w:p>
            <w:pPr>
              <w:pStyle w:val="15"/>
              <w:jc w:val="center"/>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主要用途</w:t>
            </w:r>
          </w:p>
        </w:tc>
        <w:tc>
          <w:tcPr>
            <w:tcW w:w="1344" w:type="dxa"/>
            <w:shd w:val="clear" w:color="auto" w:fill="auto"/>
            <w:vAlign w:val="center"/>
          </w:tcPr>
          <w:p>
            <w:pPr>
              <w:pStyle w:val="15"/>
              <w:jc w:val="center"/>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来源</w:t>
            </w:r>
          </w:p>
        </w:tc>
        <w:tc>
          <w:tcPr>
            <w:tcW w:w="2005" w:type="dxa"/>
            <w:shd w:val="clear" w:color="auto" w:fill="auto"/>
            <w:vAlign w:val="center"/>
          </w:tcPr>
          <w:p>
            <w:pPr>
              <w:pStyle w:val="15"/>
              <w:jc w:val="center"/>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集成需求</w:t>
            </w:r>
          </w:p>
        </w:tc>
        <w:tc>
          <w:tcPr>
            <w:tcW w:w="1069" w:type="dxa"/>
            <w:vAlign w:val="center"/>
          </w:tcPr>
          <w:p>
            <w:pPr>
              <w:pStyle w:val="15"/>
              <w:jc w:val="center"/>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628" w:type="dxa"/>
            <w:gridSpan w:val="7"/>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环保平台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81"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1</w:t>
            </w:r>
          </w:p>
        </w:tc>
        <w:tc>
          <w:tcPr>
            <w:tcW w:w="1514"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重点污染源自动监控与基础数据库系统V3.2</w:t>
            </w:r>
          </w:p>
        </w:tc>
        <w:tc>
          <w:tcPr>
            <w:tcW w:w="1184"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环保局</w:t>
            </w:r>
          </w:p>
        </w:tc>
        <w:tc>
          <w:tcPr>
            <w:tcW w:w="1731"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查看园区各企业废气、废水的污染排放情况，并作统计报表，统计分析等功能</w:t>
            </w:r>
          </w:p>
        </w:tc>
        <w:tc>
          <w:tcPr>
            <w:tcW w:w="1344"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鄂尔多斯市发，园区通过内网地址登陆</w:t>
            </w:r>
          </w:p>
        </w:tc>
        <w:tc>
          <w:tcPr>
            <w:tcW w:w="2005"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最大程度利用原有平台的数据和功能；</w:t>
            </w:r>
          </w:p>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为新增溯源系统提供数据</w:t>
            </w:r>
          </w:p>
        </w:tc>
        <w:tc>
          <w:tcPr>
            <w:tcW w:w="1069" w:type="dxa"/>
            <w:vAlign w:val="center"/>
          </w:tcPr>
          <w:p>
            <w:pPr>
              <w:pStyle w:val="15"/>
              <w:rPr>
                <w:rFonts w:ascii="Times New Roman" w:hAnsi="Times New Roman" w:cs="Times New Roman" w:eastAsiaTheme="maj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81"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2</w:t>
            </w:r>
          </w:p>
        </w:tc>
        <w:tc>
          <w:tcPr>
            <w:tcW w:w="1514"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空气站数据系统</w:t>
            </w:r>
          </w:p>
        </w:tc>
        <w:tc>
          <w:tcPr>
            <w:tcW w:w="1184"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环保局</w:t>
            </w:r>
          </w:p>
        </w:tc>
        <w:tc>
          <w:tcPr>
            <w:tcW w:w="1731"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查看园区管委会楼顶常规6参数站的数据</w:t>
            </w:r>
          </w:p>
        </w:tc>
        <w:tc>
          <w:tcPr>
            <w:tcW w:w="1344"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鄂尔多斯市发，园区通过内网地址登陆</w:t>
            </w:r>
          </w:p>
        </w:tc>
        <w:tc>
          <w:tcPr>
            <w:tcW w:w="2005"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最大程度利用原有平台的数据和功能；</w:t>
            </w:r>
          </w:p>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为新增溯源系统提供数据</w:t>
            </w:r>
          </w:p>
        </w:tc>
        <w:tc>
          <w:tcPr>
            <w:tcW w:w="1069" w:type="dxa"/>
            <w:vAlign w:val="center"/>
          </w:tcPr>
          <w:p>
            <w:pPr>
              <w:pStyle w:val="15"/>
              <w:rPr>
                <w:rFonts w:ascii="Times New Roman" w:hAnsi="Times New Roman" w:cs="Times New Roman" w:eastAsiaTheme="maj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628" w:type="dxa"/>
            <w:gridSpan w:val="7"/>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安监平台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81"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3</w:t>
            </w:r>
          </w:p>
        </w:tc>
        <w:tc>
          <w:tcPr>
            <w:tcW w:w="1514"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安全生产信息化监管平台</w:t>
            </w:r>
          </w:p>
        </w:tc>
        <w:tc>
          <w:tcPr>
            <w:tcW w:w="1184"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安监局</w:t>
            </w:r>
          </w:p>
        </w:tc>
        <w:tc>
          <w:tcPr>
            <w:tcW w:w="1731"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主要包括一企一档、监察执法、隐患排查、危险源管控、应急救援、在线备查、调度管理、查询统计等</w:t>
            </w:r>
          </w:p>
        </w:tc>
        <w:tc>
          <w:tcPr>
            <w:tcW w:w="1344" w:type="dxa"/>
            <w:shd w:val="clear" w:color="auto" w:fill="auto"/>
            <w:vAlign w:val="center"/>
          </w:tcPr>
          <w:p>
            <w:pPr>
              <w:pStyle w:val="15"/>
              <w:rPr>
                <w:rFonts w:ascii="Times New Roman" w:hAnsi="Times New Roman" w:cs="Times New Roman" w:eastAsiaTheme="majorEastAsia"/>
                <w:color w:val="auto"/>
                <w:highlight w:val="none"/>
              </w:rPr>
            </w:pPr>
            <w:r>
              <w:rPr>
                <w:rFonts w:hint="eastAsia" w:ascii="Times New Roman" w:hAnsi="Times New Roman" w:cs="Times New Roman" w:eastAsiaTheme="majorEastAsia"/>
                <w:color w:val="auto"/>
                <w:highlight w:val="none"/>
              </w:rPr>
              <w:t>准格尔</w:t>
            </w:r>
            <w:r>
              <w:rPr>
                <w:rFonts w:ascii="Times New Roman" w:hAnsi="Times New Roman" w:cs="Times New Roman" w:eastAsiaTheme="majorEastAsia"/>
                <w:color w:val="auto"/>
                <w:highlight w:val="none"/>
              </w:rPr>
              <w:t>旗建设，园区通过内网地址登陆</w:t>
            </w:r>
          </w:p>
        </w:tc>
        <w:tc>
          <w:tcPr>
            <w:tcW w:w="2005" w:type="dxa"/>
            <w:shd w:val="clear" w:color="auto" w:fill="auto"/>
            <w:vAlign w:val="center"/>
          </w:tcPr>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最大程度利用原有平台的数据和功能；</w:t>
            </w:r>
          </w:p>
          <w:p>
            <w:pPr>
              <w:pStyle w:val="15"/>
              <w:rPr>
                <w:rFonts w:ascii="Times New Roman" w:hAnsi="Times New Roman" w:cs="Times New Roman" w:eastAsiaTheme="majorEastAsia"/>
                <w:color w:val="auto"/>
                <w:highlight w:val="none"/>
              </w:rPr>
            </w:pPr>
            <w:r>
              <w:rPr>
                <w:rFonts w:ascii="Times New Roman" w:hAnsi="Times New Roman" w:cs="Times New Roman" w:eastAsiaTheme="majorEastAsia"/>
                <w:color w:val="auto"/>
                <w:highlight w:val="none"/>
              </w:rPr>
              <w:t>为新增园区安监平台提供数据</w:t>
            </w:r>
          </w:p>
        </w:tc>
        <w:tc>
          <w:tcPr>
            <w:tcW w:w="1069" w:type="dxa"/>
          </w:tcPr>
          <w:p>
            <w:pPr>
              <w:pStyle w:val="15"/>
              <w:rPr>
                <w:rFonts w:ascii="Times New Roman" w:hAnsi="Times New Roman" w:cs="Times New Roman" w:eastAsiaTheme="majorEastAsia"/>
                <w:color w:val="auto"/>
                <w:highlight w:val="none"/>
              </w:rPr>
            </w:pPr>
          </w:p>
        </w:tc>
      </w:tr>
    </w:tbl>
    <w:p>
      <w:pPr>
        <w:pStyle w:val="4"/>
        <w:rPr>
          <w:color w:val="auto"/>
          <w:highlight w:val="none"/>
        </w:rPr>
      </w:pPr>
      <w:r>
        <w:rPr>
          <w:rFonts w:hint="eastAsia"/>
          <w:color w:val="auto"/>
          <w:highlight w:val="none"/>
        </w:rPr>
        <w:t>园区“一张图”</w:t>
      </w:r>
    </w:p>
    <w:p>
      <w:pPr>
        <w:pStyle w:val="13"/>
        <w:numPr>
          <w:ilvl w:val="0"/>
          <w:numId w:val="4"/>
        </w:numPr>
        <w:ind w:firstLineChars="0"/>
        <w:rPr>
          <w:color w:val="auto"/>
          <w:highlight w:val="none"/>
        </w:rPr>
      </w:pPr>
      <w:r>
        <w:rPr>
          <w:rFonts w:hint="eastAsia"/>
          <w:color w:val="auto"/>
          <w:highlight w:val="none"/>
        </w:rPr>
        <w:t>G</w:t>
      </w:r>
      <w:r>
        <w:rPr>
          <w:color w:val="auto"/>
          <w:highlight w:val="none"/>
        </w:rPr>
        <w:t>IS</w:t>
      </w:r>
      <w:r>
        <w:rPr>
          <w:rFonts w:hint="eastAsia"/>
          <w:color w:val="auto"/>
          <w:highlight w:val="none"/>
        </w:rPr>
        <w:t>地图</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结合GIS地图，直观展示园区综合管理、环保、安全、能源、应急等业务信息，从空间、时间、类型等多维度进行分析呈现，为园区管理者综合决策提供依据。</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481"/>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b/>
                <w:bCs/>
                <w:color w:val="auto"/>
                <w:highlight w:val="none"/>
              </w:rPr>
            </w:pPr>
            <w:r>
              <w:rPr>
                <w:b/>
                <w:bCs/>
                <w:color w:val="auto"/>
                <w:highlight w:val="none"/>
              </w:rPr>
              <w:t>序号</w:t>
            </w:r>
          </w:p>
        </w:tc>
        <w:tc>
          <w:tcPr>
            <w:tcW w:w="1481"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内容</w:t>
            </w:r>
          </w:p>
        </w:tc>
        <w:tc>
          <w:tcPr>
            <w:tcW w:w="7165"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1</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综合管理</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依托</w:t>
            </w:r>
            <w:r>
              <w:rPr>
                <w:rFonts w:hint="eastAsia" w:cs="Calibri"/>
                <w:color w:val="auto"/>
                <w:highlight w:val="none"/>
              </w:rPr>
              <w:t>GIS</w:t>
            </w:r>
            <w:r>
              <w:rPr>
                <w:rFonts w:hint="eastAsia" w:ascii="宋体" w:hAnsi="宋体"/>
                <w:color w:val="auto"/>
                <w:highlight w:val="none"/>
              </w:rPr>
              <w:t>地图，对园区综合管理信息进行多维度分析和展示，如园区企业、公共设施运行情况，企业综合评价结果，管廊管网运行情况等，并可叠加企业、监测点位、视频等多个图层，实现园区信息的立体化展示。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2</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园区环保</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依托</w:t>
            </w:r>
            <w:r>
              <w:rPr>
                <w:rFonts w:hint="eastAsia" w:cs="Calibri"/>
                <w:color w:val="auto"/>
                <w:highlight w:val="none"/>
              </w:rPr>
              <w:t>GIS</w:t>
            </w:r>
            <w:r>
              <w:rPr>
                <w:rFonts w:hint="eastAsia" w:ascii="宋体" w:hAnsi="宋体"/>
                <w:color w:val="auto"/>
                <w:highlight w:val="none"/>
              </w:rPr>
              <w:t>地图，对园区环保管理信息进行多维度分析和展示，如大气环境、污染源排口、移动监测等测点分布及运行状态展示；点位超标、异常、断线等信息提醒；企业环保业务挂图作战、环保评价信息分析和展示等。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3</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园区安全</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依托</w:t>
            </w:r>
            <w:r>
              <w:rPr>
                <w:rFonts w:hint="eastAsia" w:cs="Calibri"/>
                <w:color w:val="auto"/>
                <w:highlight w:val="none"/>
              </w:rPr>
              <w:t>GIS</w:t>
            </w:r>
            <w:r>
              <w:rPr>
                <w:rFonts w:hint="eastAsia" w:ascii="宋体" w:hAnsi="宋体"/>
                <w:color w:val="auto"/>
                <w:highlight w:val="none"/>
              </w:rPr>
              <w:t>地图，对园区安全管理信息进行多维度分析和展示，如重大危险源分布以及参数监测，安全视频监控，安全点位报警，风险源等级分布，企业安全业务信息、安全评价信息分析和展示等。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4</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园区应急</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依托</w:t>
            </w:r>
            <w:r>
              <w:rPr>
                <w:rFonts w:hint="eastAsia" w:cs="Calibri"/>
                <w:color w:val="auto"/>
                <w:highlight w:val="none"/>
              </w:rPr>
              <w:t>GIS</w:t>
            </w:r>
            <w:r>
              <w:rPr>
                <w:rFonts w:hint="eastAsia" w:ascii="宋体" w:hAnsi="宋体"/>
                <w:color w:val="auto"/>
                <w:highlight w:val="none"/>
              </w:rPr>
              <w:t>地图，对园区应急管理信息进行多维度分析和展示，如应急物资、资源分布情况，应急预案完成情况，应急演练完成情况以及企业应急相关业务、应急评价信息分析和展示等。</w:t>
            </w:r>
          </w:p>
        </w:tc>
      </w:tr>
    </w:tbl>
    <w:p>
      <w:pPr>
        <w:pStyle w:val="13"/>
        <w:numPr>
          <w:ilvl w:val="0"/>
          <w:numId w:val="4"/>
        </w:numPr>
        <w:ind w:firstLineChars="0"/>
        <w:rPr>
          <w:color w:val="auto"/>
          <w:highlight w:val="none"/>
        </w:rPr>
      </w:pPr>
      <w:r>
        <w:rPr>
          <w:color w:val="auto"/>
          <w:highlight w:val="none"/>
        </w:rPr>
        <w:t>GIS</w:t>
      </w:r>
      <w:r>
        <w:rPr>
          <w:rFonts w:hint="eastAsia"/>
          <w:color w:val="auto"/>
          <w:highlight w:val="none"/>
        </w:rPr>
        <w:t>地图数据</w:t>
      </w:r>
    </w:p>
    <w:p>
      <w:pPr>
        <w:pStyle w:val="16"/>
        <w:numPr>
          <w:ilvl w:val="0"/>
          <w:numId w:val="5"/>
        </w:numPr>
        <w:adjustRightInd w:val="0"/>
        <w:snapToGrid w:val="0"/>
        <w:spacing w:before="156" w:beforeLines="50" w:line="360" w:lineRule="auto"/>
        <w:ind w:firstLineChars="0"/>
        <w:jc w:val="left"/>
        <w:rPr>
          <w:rFonts w:ascii="Times New Roman" w:hAnsi="Times New Roman"/>
          <w:color w:val="auto"/>
          <w:sz w:val="24"/>
          <w:szCs w:val="24"/>
          <w:highlight w:val="none"/>
        </w:rPr>
      </w:pPr>
      <w:r>
        <w:rPr>
          <w:rFonts w:hint="eastAsia" w:ascii="宋体" w:hAnsi="宋体"/>
          <w:color w:val="auto"/>
          <w:kern w:val="0"/>
          <w:sz w:val="24"/>
          <w:szCs w:val="24"/>
          <w:highlight w:val="none"/>
        </w:rPr>
        <w:t>所选用的</w:t>
      </w:r>
      <w:r>
        <w:rPr>
          <w:rFonts w:hint="eastAsia" w:ascii="Times New Roman" w:hAnsi="Times New Roman"/>
          <w:color w:val="auto"/>
          <w:kern w:val="0"/>
          <w:sz w:val="24"/>
          <w:szCs w:val="24"/>
          <w:highlight w:val="none"/>
        </w:rPr>
        <w:t>GIS</w:t>
      </w:r>
      <w:r>
        <w:rPr>
          <w:rFonts w:hint="eastAsia" w:ascii="宋体" w:hAnsi="宋体"/>
          <w:color w:val="auto"/>
          <w:kern w:val="0"/>
          <w:sz w:val="24"/>
          <w:szCs w:val="24"/>
          <w:highlight w:val="none"/>
        </w:rPr>
        <w:t>平台必须是</w:t>
      </w:r>
      <w:r>
        <w:rPr>
          <w:rFonts w:ascii="宋体" w:hAnsi="宋体"/>
          <w:color w:val="auto"/>
          <w:kern w:val="0"/>
          <w:sz w:val="24"/>
          <w:szCs w:val="24"/>
          <w:highlight w:val="none"/>
        </w:rPr>
        <w:t>国产</w:t>
      </w:r>
      <w:r>
        <w:rPr>
          <w:rFonts w:hint="eastAsia" w:ascii="宋体" w:hAnsi="宋体"/>
          <w:color w:val="auto"/>
          <w:kern w:val="0"/>
          <w:sz w:val="24"/>
          <w:szCs w:val="24"/>
          <w:highlight w:val="none"/>
        </w:rPr>
        <w:t>、</w:t>
      </w:r>
      <w:r>
        <w:rPr>
          <w:rFonts w:ascii="宋体" w:hAnsi="宋体"/>
          <w:color w:val="auto"/>
          <w:kern w:val="0"/>
          <w:sz w:val="24"/>
          <w:szCs w:val="24"/>
          <w:highlight w:val="none"/>
        </w:rPr>
        <w:t>安全自主可控的</w:t>
      </w:r>
      <w:r>
        <w:rPr>
          <w:rFonts w:ascii="Times New Roman" w:hAnsi="Times New Roman"/>
          <w:color w:val="auto"/>
          <w:kern w:val="0"/>
          <w:sz w:val="24"/>
          <w:szCs w:val="24"/>
          <w:highlight w:val="none"/>
        </w:rPr>
        <w:t>GIS</w:t>
      </w:r>
      <w:r>
        <w:rPr>
          <w:rFonts w:ascii="宋体" w:hAnsi="宋体"/>
          <w:color w:val="auto"/>
          <w:kern w:val="0"/>
          <w:sz w:val="24"/>
          <w:szCs w:val="24"/>
          <w:highlight w:val="none"/>
        </w:rPr>
        <w:t>平台</w:t>
      </w:r>
      <w:r>
        <w:rPr>
          <w:rFonts w:hint="eastAsia" w:ascii="宋体" w:hAnsi="宋体"/>
          <w:color w:val="auto"/>
          <w:kern w:val="0"/>
          <w:sz w:val="24"/>
          <w:szCs w:val="24"/>
          <w:highlight w:val="none"/>
        </w:rPr>
        <w:t>，具有自主知识产权；</w:t>
      </w:r>
    </w:p>
    <w:p>
      <w:pPr>
        <w:pStyle w:val="16"/>
        <w:numPr>
          <w:ilvl w:val="0"/>
          <w:numId w:val="5"/>
        </w:numPr>
        <w:adjustRightInd w:val="0"/>
        <w:snapToGrid w:val="0"/>
        <w:spacing w:before="156" w:beforeLines="50" w:line="360" w:lineRule="auto"/>
        <w:ind w:firstLineChars="0"/>
        <w:jc w:val="left"/>
        <w:rPr>
          <w:rFonts w:ascii="Times New Roman" w:hAnsi="Times New Roman"/>
          <w:color w:val="auto"/>
          <w:kern w:val="0"/>
          <w:sz w:val="24"/>
          <w:szCs w:val="24"/>
          <w:highlight w:val="none"/>
        </w:rPr>
      </w:pPr>
      <w:r>
        <w:rPr>
          <w:rFonts w:ascii="宋体" w:hAnsi="宋体"/>
          <w:color w:val="auto"/>
          <w:kern w:val="0"/>
          <w:sz w:val="24"/>
          <w:szCs w:val="24"/>
          <w:highlight w:val="none"/>
        </w:rPr>
        <w:t>原生支持</w:t>
      </w:r>
      <w:r>
        <w:rPr>
          <w:rFonts w:ascii="Times New Roman" w:hAnsi="Times New Roman"/>
          <w:color w:val="auto"/>
          <w:kern w:val="0"/>
          <w:sz w:val="24"/>
          <w:szCs w:val="24"/>
          <w:highlight w:val="none"/>
        </w:rPr>
        <w:t>Windows</w:t>
      </w:r>
      <w:r>
        <w:rPr>
          <w:rFonts w:ascii="宋体" w:hAnsi="宋体"/>
          <w:color w:val="auto"/>
          <w:kern w:val="0"/>
          <w:sz w:val="24"/>
          <w:szCs w:val="24"/>
          <w:highlight w:val="none"/>
        </w:rPr>
        <w:t>、</w:t>
      </w:r>
      <w:r>
        <w:rPr>
          <w:rFonts w:ascii="Times New Roman" w:hAnsi="Times New Roman"/>
          <w:color w:val="auto"/>
          <w:kern w:val="0"/>
          <w:sz w:val="24"/>
          <w:szCs w:val="24"/>
          <w:highlight w:val="none"/>
        </w:rPr>
        <w:t>Linux</w:t>
      </w:r>
      <w:r>
        <w:rPr>
          <w:rFonts w:ascii="宋体" w:hAnsi="宋体"/>
          <w:color w:val="auto"/>
          <w:kern w:val="0"/>
          <w:sz w:val="24"/>
          <w:szCs w:val="24"/>
          <w:highlight w:val="none"/>
        </w:rPr>
        <w:t>（</w:t>
      </w:r>
      <w:r>
        <w:rPr>
          <w:rFonts w:ascii="Times New Roman" w:hAnsi="Times New Roman"/>
          <w:color w:val="auto"/>
          <w:kern w:val="0"/>
          <w:sz w:val="24"/>
          <w:szCs w:val="24"/>
          <w:highlight w:val="none"/>
        </w:rPr>
        <w:t>Ubuntu</w:t>
      </w:r>
      <w:r>
        <w:rPr>
          <w:rFonts w:ascii="宋体" w:hAnsi="宋体"/>
          <w:color w:val="auto"/>
          <w:kern w:val="0"/>
          <w:sz w:val="24"/>
          <w:szCs w:val="24"/>
          <w:highlight w:val="none"/>
        </w:rPr>
        <w:t>、</w:t>
      </w:r>
      <w:r>
        <w:rPr>
          <w:rFonts w:ascii="Times New Roman" w:hAnsi="Times New Roman"/>
          <w:color w:val="auto"/>
          <w:kern w:val="0"/>
          <w:sz w:val="24"/>
          <w:szCs w:val="24"/>
          <w:highlight w:val="none"/>
        </w:rPr>
        <w:t>RedHat</w:t>
      </w:r>
      <w:r>
        <w:rPr>
          <w:rFonts w:ascii="宋体" w:hAnsi="宋体"/>
          <w:color w:val="auto"/>
          <w:kern w:val="0"/>
          <w:sz w:val="24"/>
          <w:szCs w:val="24"/>
          <w:highlight w:val="none"/>
        </w:rPr>
        <w:t>、</w:t>
      </w:r>
      <w:r>
        <w:rPr>
          <w:rFonts w:ascii="Times New Roman" w:hAnsi="Times New Roman"/>
          <w:color w:val="auto"/>
          <w:kern w:val="0"/>
          <w:sz w:val="24"/>
          <w:szCs w:val="24"/>
          <w:highlight w:val="none"/>
        </w:rPr>
        <w:t>Suse</w:t>
      </w:r>
      <w:r>
        <w:rPr>
          <w:rFonts w:ascii="宋体" w:hAnsi="宋体"/>
          <w:color w:val="auto"/>
          <w:kern w:val="0"/>
          <w:sz w:val="24"/>
          <w:szCs w:val="24"/>
          <w:highlight w:val="none"/>
        </w:rPr>
        <w:t>、</w:t>
      </w:r>
      <w:r>
        <w:rPr>
          <w:rFonts w:ascii="Times New Roman" w:hAnsi="Times New Roman"/>
          <w:color w:val="auto"/>
          <w:kern w:val="0"/>
          <w:sz w:val="24"/>
          <w:szCs w:val="24"/>
          <w:highlight w:val="none"/>
        </w:rPr>
        <w:t>CentOS</w:t>
      </w:r>
      <w:r>
        <w:rPr>
          <w:rFonts w:ascii="宋体" w:hAnsi="宋体"/>
          <w:color w:val="auto"/>
          <w:kern w:val="0"/>
          <w:sz w:val="24"/>
          <w:szCs w:val="24"/>
          <w:highlight w:val="none"/>
        </w:rPr>
        <w:t>、中标麒麟）、</w:t>
      </w:r>
      <w:r>
        <w:rPr>
          <w:rFonts w:ascii="Times New Roman" w:hAnsi="Times New Roman"/>
          <w:color w:val="auto"/>
          <w:kern w:val="0"/>
          <w:sz w:val="24"/>
          <w:szCs w:val="24"/>
          <w:highlight w:val="none"/>
        </w:rPr>
        <w:t>Unix</w:t>
      </w:r>
      <w:r>
        <w:rPr>
          <w:rFonts w:ascii="宋体" w:hAnsi="宋体"/>
          <w:color w:val="auto"/>
          <w:kern w:val="0"/>
          <w:sz w:val="24"/>
          <w:szCs w:val="24"/>
          <w:highlight w:val="none"/>
        </w:rPr>
        <w:t>（</w:t>
      </w:r>
      <w:r>
        <w:rPr>
          <w:rFonts w:ascii="Times New Roman" w:hAnsi="Times New Roman"/>
          <w:color w:val="auto"/>
          <w:kern w:val="0"/>
          <w:sz w:val="24"/>
          <w:szCs w:val="24"/>
          <w:highlight w:val="none"/>
        </w:rPr>
        <w:t>AIX</w:t>
      </w:r>
      <w:r>
        <w:rPr>
          <w:rFonts w:ascii="宋体" w:hAnsi="宋体"/>
          <w:color w:val="auto"/>
          <w:kern w:val="0"/>
          <w:sz w:val="24"/>
          <w:szCs w:val="24"/>
          <w:highlight w:val="none"/>
        </w:rPr>
        <w:t>）等多种</w:t>
      </w:r>
      <w:r>
        <w:rPr>
          <w:rFonts w:hint="eastAsia" w:ascii="Times New Roman" w:hAnsi="Times New Roman"/>
          <w:color w:val="auto"/>
          <w:kern w:val="0"/>
          <w:sz w:val="24"/>
          <w:szCs w:val="24"/>
          <w:highlight w:val="none"/>
        </w:rPr>
        <w:t>64</w:t>
      </w:r>
      <w:r>
        <w:rPr>
          <w:rFonts w:hint="eastAsia" w:ascii="宋体" w:hAnsi="宋体"/>
          <w:color w:val="auto"/>
          <w:kern w:val="0"/>
          <w:sz w:val="24"/>
          <w:szCs w:val="24"/>
          <w:highlight w:val="none"/>
        </w:rPr>
        <w:t>位</w:t>
      </w:r>
      <w:r>
        <w:rPr>
          <w:rFonts w:ascii="宋体" w:hAnsi="宋体"/>
          <w:color w:val="auto"/>
          <w:kern w:val="0"/>
          <w:sz w:val="24"/>
          <w:szCs w:val="24"/>
          <w:highlight w:val="none"/>
        </w:rPr>
        <w:t>操作系统；</w:t>
      </w:r>
    </w:p>
    <w:p>
      <w:pPr>
        <w:pStyle w:val="16"/>
        <w:numPr>
          <w:ilvl w:val="0"/>
          <w:numId w:val="5"/>
        </w:numPr>
        <w:adjustRightInd w:val="0"/>
        <w:snapToGrid w:val="0"/>
        <w:spacing w:before="156" w:beforeLines="50" w:line="360" w:lineRule="auto"/>
        <w:ind w:firstLineChars="0"/>
        <w:jc w:val="left"/>
        <w:rPr>
          <w:rFonts w:ascii="Times New Roman" w:hAnsi="Times New Roman"/>
          <w:color w:val="auto"/>
          <w:kern w:val="0"/>
          <w:sz w:val="24"/>
          <w:szCs w:val="24"/>
          <w:highlight w:val="none"/>
        </w:rPr>
      </w:pPr>
      <w:r>
        <w:rPr>
          <w:rFonts w:ascii="宋体" w:hAnsi="宋体"/>
          <w:color w:val="auto"/>
          <w:kern w:val="0"/>
          <w:sz w:val="24"/>
          <w:szCs w:val="24"/>
          <w:highlight w:val="none"/>
        </w:rPr>
        <w:t>支持多种关系型数据库，包括：</w:t>
      </w:r>
      <w:r>
        <w:rPr>
          <w:rFonts w:ascii="Times New Roman" w:hAnsi="Times New Roman"/>
          <w:color w:val="auto"/>
          <w:kern w:val="0"/>
          <w:sz w:val="24"/>
          <w:szCs w:val="24"/>
          <w:highlight w:val="none"/>
        </w:rPr>
        <w:t>SQL Server</w:t>
      </w:r>
      <w:r>
        <w:rPr>
          <w:rFonts w:ascii="宋体" w:hAnsi="宋体"/>
          <w:color w:val="auto"/>
          <w:kern w:val="0"/>
          <w:sz w:val="24"/>
          <w:szCs w:val="24"/>
          <w:highlight w:val="none"/>
        </w:rPr>
        <w:t>、</w:t>
      </w:r>
      <w:r>
        <w:rPr>
          <w:rFonts w:ascii="Times New Roman" w:hAnsi="Times New Roman"/>
          <w:color w:val="auto"/>
          <w:kern w:val="0"/>
          <w:sz w:val="24"/>
          <w:szCs w:val="24"/>
          <w:highlight w:val="none"/>
        </w:rPr>
        <w:t>Oracle</w:t>
      </w:r>
      <w:r>
        <w:rPr>
          <w:rFonts w:ascii="宋体" w:hAnsi="宋体"/>
          <w:color w:val="auto"/>
          <w:kern w:val="0"/>
          <w:sz w:val="24"/>
          <w:szCs w:val="24"/>
          <w:highlight w:val="none"/>
        </w:rPr>
        <w:t>、</w:t>
      </w:r>
      <w:r>
        <w:rPr>
          <w:rFonts w:ascii="Times New Roman" w:hAnsi="Times New Roman"/>
          <w:color w:val="auto"/>
          <w:kern w:val="0"/>
          <w:sz w:val="24"/>
          <w:szCs w:val="24"/>
          <w:highlight w:val="none"/>
        </w:rPr>
        <w:t>Oracle Spatial</w:t>
      </w:r>
      <w:r>
        <w:rPr>
          <w:rFonts w:ascii="宋体" w:hAnsi="宋体"/>
          <w:color w:val="auto"/>
          <w:kern w:val="0"/>
          <w:sz w:val="24"/>
          <w:szCs w:val="24"/>
          <w:highlight w:val="none"/>
        </w:rPr>
        <w:t>、</w:t>
      </w:r>
      <w:r>
        <w:rPr>
          <w:rFonts w:ascii="Times New Roman" w:hAnsi="Times New Roman"/>
          <w:color w:val="auto"/>
          <w:kern w:val="0"/>
          <w:sz w:val="24"/>
          <w:szCs w:val="24"/>
          <w:highlight w:val="none"/>
        </w:rPr>
        <w:t>KingbaseES</w:t>
      </w:r>
      <w:r>
        <w:rPr>
          <w:rFonts w:ascii="宋体" w:hAnsi="宋体"/>
          <w:color w:val="auto"/>
          <w:kern w:val="0"/>
          <w:sz w:val="24"/>
          <w:szCs w:val="24"/>
          <w:highlight w:val="none"/>
        </w:rPr>
        <w:t>、</w:t>
      </w:r>
      <w:r>
        <w:rPr>
          <w:rFonts w:ascii="Times New Roman" w:hAnsi="Times New Roman"/>
          <w:color w:val="auto"/>
          <w:kern w:val="0"/>
          <w:sz w:val="24"/>
          <w:szCs w:val="24"/>
          <w:highlight w:val="none"/>
        </w:rPr>
        <w:t>BeyonDB</w:t>
      </w:r>
      <w:r>
        <w:rPr>
          <w:rFonts w:ascii="宋体" w:hAnsi="宋体"/>
          <w:color w:val="auto"/>
          <w:kern w:val="0"/>
          <w:sz w:val="24"/>
          <w:szCs w:val="24"/>
          <w:highlight w:val="none"/>
        </w:rPr>
        <w:t>、</w:t>
      </w:r>
      <w:r>
        <w:rPr>
          <w:rFonts w:ascii="Times New Roman" w:hAnsi="Times New Roman"/>
          <w:color w:val="auto"/>
          <w:kern w:val="0"/>
          <w:sz w:val="24"/>
          <w:szCs w:val="24"/>
          <w:highlight w:val="none"/>
        </w:rPr>
        <w:t>IBM DB2</w:t>
      </w:r>
      <w:r>
        <w:rPr>
          <w:rFonts w:ascii="宋体" w:hAnsi="宋体"/>
          <w:color w:val="auto"/>
          <w:kern w:val="0"/>
          <w:sz w:val="24"/>
          <w:szCs w:val="24"/>
          <w:highlight w:val="none"/>
        </w:rPr>
        <w:t>、</w:t>
      </w:r>
      <w:r>
        <w:rPr>
          <w:rFonts w:ascii="Times New Roman" w:hAnsi="Times New Roman"/>
          <w:color w:val="auto"/>
          <w:kern w:val="0"/>
          <w:sz w:val="24"/>
          <w:szCs w:val="24"/>
          <w:highlight w:val="none"/>
        </w:rPr>
        <w:t>PostgreSQL</w:t>
      </w:r>
      <w:r>
        <w:rPr>
          <w:rFonts w:ascii="宋体" w:hAnsi="宋体"/>
          <w:color w:val="auto"/>
          <w:kern w:val="0"/>
          <w:sz w:val="24"/>
          <w:szCs w:val="24"/>
          <w:highlight w:val="none"/>
        </w:rPr>
        <w:t>、</w:t>
      </w:r>
      <w:r>
        <w:rPr>
          <w:rFonts w:ascii="Times New Roman" w:hAnsi="Times New Roman"/>
          <w:color w:val="auto"/>
          <w:kern w:val="0"/>
          <w:sz w:val="24"/>
          <w:szCs w:val="24"/>
          <w:highlight w:val="none"/>
        </w:rPr>
        <w:t>MySQL</w:t>
      </w:r>
      <w:r>
        <w:rPr>
          <w:rFonts w:ascii="宋体" w:hAnsi="宋体"/>
          <w:color w:val="auto"/>
          <w:kern w:val="0"/>
          <w:sz w:val="24"/>
          <w:szCs w:val="24"/>
          <w:highlight w:val="none"/>
        </w:rPr>
        <w:t>等；</w:t>
      </w:r>
    </w:p>
    <w:p>
      <w:pPr>
        <w:pStyle w:val="16"/>
        <w:numPr>
          <w:ilvl w:val="0"/>
          <w:numId w:val="5"/>
        </w:numPr>
        <w:adjustRightInd w:val="0"/>
        <w:snapToGrid w:val="0"/>
        <w:spacing w:before="156" w:beforeLines="50" w:line="360" w:lineRule="auto"/>
        <w:ind w:firstLineChars="0"/>
        <w:jc w:val="left"/>
        <w:rPr>
          <w:rFonts w:ascii="Times New Roman" w:hAnsi="Times New Roman"/>
          <w:color w:val="auto"/>
          <w:kern w:val="0"/>
          <w:sz w:val="24"/>
          <w:szCs w:val="24"/>
          <w:highlight w:val="none"/>
        </w:rPr>
      </w:pPr>
      <w:r>
        <w:rPr>
          <w:rFonts w:hint="eastAsia" w:ascii="宋体" w:hAnsi="宋体"/>
          <w:color w:val="auto"/>
          <w:kern w:val="0"/>
          <w:sz w:val="24"/>
          <w:szCs w:val="24"/>
          <w:highlight w:val="none"/>
        </w:rPr>
        <w:t>支持发布空间分析服务，提供对空间要素和数据的分析功能，包括对数据集和几何对象的缓冲区分析、叠加分析、表面分析、插值分析等；</w:t>
      </w:r>
    </w:p>
    <w:p>
      <w:pPr>
        <w:pStyle w:val="16"/>
        <w:numPr>
          <w:ilvl w:val="0"/>
          <w:numId w:val="5"/>
        </w:numPr>
        <w:adjustRightInd w:val="0"/>
        <w:snapToGrid w:val="0"/>
        <w:spacing w:before="156" w:beforeLines="50" w:line="360" w:lineRule="auto"/>
        <w:ind w:firstLineChars="0"/>
        <w:jc w:val="left"/>
        <w:rPr>
          <w:rFonts w:ascii="Times New Roman" w:hAnsi="Times New Roman"/>
          <w:color w:val="auto"/>
          <w:kern w:val="0"/>
          <w:sz w:val="24"/>
          <w:szCs w:val="24"/>
          <w:highlight w:val="none"/>
        </w:rPr>
      </w:pPr>
      <w:r>
        <w:rPr>
          <w:rFonts w:hint="eastAsia" w:ascii="宋体" w:hAnsi="宋体"/>
          <w:color w:val="auto"/>
          <w:kern w:val="0"/>
          <w:sz w:val="24"/>
          <w:szCs w:val="24"/>
          <w:highlight w:val="none"/>
        </w:rPr>
        <w:t>支持</w:t>
      </w:r>
      <w:r>
        <w:rPr>
          <w:rFonts w:hint="eastAsia" w:ascii="Times New Roman" w:hAnsi="Times New Roman"/>
          <w:color w:val="auto"/>
          <w:kern w:val="0"/>
          <w:sz w:val="24"/>
          <w:szCs w:val="24"/>
          <w:highlight w:val="none"/>
        </w:rPr>
        <w:t>UDB</w:t>
      </w:r>
      <w:r>
        <w:rPr>
          <w:rFonts w:hint="eastAsia" w:ascii="宋体" w:hAnsi="宋体"/>
          <w:color w:val="auto"/>
          <w:kern w:val="0"/>
          <w:sz w:val="24"/>
          <w:szCs w:val="24"/>
          <w:highlight w:val="none"/>
        </w:rPr>
        <w:t>、</w:t>
      </w:r>
      <w:r>
        <w:rPr>
          <w:rFonts w:hint="eastAsia" w:ascii="Times New Roman" w:hAnsi="Times New Roman"/>
          <w:color w:val="auto"/>
          <w:kern w:val="0"/>
          <w:sz w:val="24"/>
          <w:szCs w:val="24"/>
          <w:highlight w:val="none"/>
        </w:rPr>
        <w:t>UDD</w:t>
      </w:r>
      <w:r>
        <w:rPr>
          <w:rFonts w:hint="eastAsia" w:ascii="宋体" w:hAnsi="宋体"/>
          <w:color w:val="auto"/>
          <w:kern w:val="0"/>
          <w:sz w:val="24"/>
          <w:szCs w:val="24"/>
          <w:highlight w:val="none"/>
        </w:rPr>
        <w:t>、</w:t>
      </w:r>
      <w:r>
        <w:rPr>
          <w:rFonts w:hint="eastAsia" w:ascii="Times New Roman" w:hAnsi="Times New Roman"/>
          <w:color w:val="auto"/>
          <w:kern w:val="0"/>
          <w:sz w:val="24"/>
          <w:szCs w:val="24"/>
          <w:highlight w:val="none"/>
        </w:rPr>
        <w:t>Shp</w:t>
      </w:r>
      <w:r>
        <w:rPr>
          <w:rFonts w:hint="eastAsia" w:ascii="宋体" w:hAnsi="宋体"/>
          <w:color w:val="auto"/>
          <w:kern w:val="0"/>
          <w:sz w:val="24"/>
          <w:szCs w:val="24"/>
          <w:highlight w:val="none"/>
        </w:rPr>
        <w:t>、</w:t>
      </w:r>
      <w:r>
        <w:rPr>
          <w:rFonts w:hint="eastAsia" w:ascii="Times New Roman" w:hAnsi="Times New Roman"/>
          <w:color w:val="auto"/>
          <w:kern w:val="0"/>
          <w:sz w:val="24"/>
          <w:szCs w:val="24"/>
          <w:highlight w:val="none"/>
        </w:rPr>
        <w:t>Tab</w:t>
      </w:r>
      <w:r>
        <w:rPr>
          <w:rFonts w:hint="eastAsia" w:ascii="宋体" w:hAnsi="宋体"/>
          <w:color w:val="auto"/>
          <w:kern w:val="0"/>
          <w:sz w:val="24"/>
          <w:szCs w:val="24"/>
          <w:highlight w:val="none"/>
        </w:rPr>
        <w:t>、</w:t>
      </w:r>
      <w:r>
        <w:rPr>
          <w:rFonts w:hint="eastAsia" w:ascii="Times New Roman" w:hAnsi="Times New Roman"/>
          <w:color w:val="auto"/>
          <w:kern w:val="0"/>
          <w:sz w:val="24"/>
          <w:szCs w:val="24"/>
          <w:highlight w:val="none"/>
        </w:rPr>
        <w:t>Dwg</w:t>
      </w:r>
      <w:r>
        <w:rPr>
          <w:rFonts w:hint="eastAsia" w:ascii="宋体" w:hAnsi="宋体"/>
          <w:color w:val="auto"/>
          <w:kern w:val="0"/>
          <w:sz w:val="24"/>
          <w:szCs w:val="24"/>
          <w:highlight w:val="none"/>
        </w:rPr>
        <w:t>、</w:t>
      </w:r>
      <w:r>
        <w:rPr>
          <w:rFonts w:hint="eastAsia" w:ascii="Times New Roman" w:hAnsi="Times New Roman"/>
          <w:color w:val="auto"/>
          <w:kern w:val="0"/>
          <w:sz w:val="24"/>
          <w:szCs w:val="24"/>
          <w:highlight w:val="none"/>
        </w:rPr>
        <w:t>Kml</w:t>
      </w:r>
      <w:r>
        <w:rPr>
          <w:rFonts w:hint="eastAsia" w:ascii="宋体" w:hAnsi="宋体"/>
          <w:color w:val="auto"/>
          <w:kern w:val="0"/>
          <w:sz w:val="24"/>
          <w:szCs w:val="24"/>
          <w:highlight w:val="none"/>
        </w:rPr>
        <w:t>、</w:t>
      </w:r>
      <w:r>
        <w:rPr>
          <w:rFonts w:hint="eastAsia" w:ascii="Times New Roman" w:hAnsi="Times New Roman"/>
          <w:color w:val="auto"/>
          <w:kern w:val="0"/>
          <w:sz w:val="24"/>
          <w:szCs w:val="24"/>
          <w:highlight w:val="none"/>
        </w:rPr>
        <w:t>Kmz</w:t>
      </w:r>
      <w:r>
        <w:rPr>
          <w:rFonts w:hint="eastAsia" w:ascii="宋体" w:hAnsi="宋体"/>
          <w:color w:val="auto"/>
          <w:kern w:val="0"/>
          <w:sz w:val="24"/>
          <w:szCs w:val="24"/>
          <w:highlight w:val="none"/>
        </w:rPr>
        <w:t>等主流矢量数据格式的导入、导出；支持</w:t>
      </w:r>
      <w:r>
        <w:rPr>
          <w:rFonts w:hint="eastAsia" w:ascii="Times New Roman" w:hAnsi="Times New Roman"/>
          <w:color w:val="auto"/>
          <w:kern w:val="0"/>
          <w:sz w:val="24"/>
          <w:szCs w:val="24"/>
          <w:highlight w:val="none"/>
        </w:rPr>
        <w:t>Bmp</w:t>
      </w:r>
      <w:r>
        <w:rPr>
          <w:rFonts w:hint="eastAsia" w:ascii="宋体" w:hAnsi="宋体"/>
          <w:color w:val="auto"/>
          <w:kern w:val="0"/>
          <w:sz w:val="24"/>
          <w:szCs w:val="24"/>
          <w:highlight w:val="none"/>
        </w:rPr>
        <w:t>、</w:t>
      </w:r>
      <w:r>
        <w:rPr>
          <w:rFonts w:hint="eastAsia" w:ascii="Times New Roman" w:hAnsi="Times New Roman"/>
          <w:color w:val="auto"/>
          <w:kern w:val="0"/>
          <w:sz w:val="24"/>
          <w:szCs w:val="24"/>
          <w:highlight w:val="none"/>
        </w:rPr>
        <w:t>Jpg</w:t>
      </w:r>
      <w:r>
        <w:rPr>
          <w:rFonts w:hint="eastAsia" w:ascii="宋体" w:hAnsi="宋体"/>
          <w:color w:val="auto"/>
          <w:kern w:val="0"/>
          <w:sz w:val="24"/>
          <w:szCs w:val="24"/>
          <w:highlight w:val="none"/>
        </w:rPr>
        <w:t>、</w:t>
      </w:r>
      <w:r>
        <w:rPr>
          <w:rFonts w:hint="eastAsia" w:ascii="Times New Roman" w:hAnsi="Times New Roman"/>
          <w:color w:val="auto"/>
          <w:kern w:val="0"/>
          <w:sz w:val="24"/>
          <w:szCs w:val="24"/>
          <w:highlight w:val="none"/>
        </w:rPr>
        <w:t>Tiff</w:t>
      </w:r>
      <w:r>
        <w:rPr>
          <w:rFonts w:hint="eastAsia" w:ascii="宋体" w:hAnsi="宋体"/>
          <w:color w:val="auto"/>
          <w:kern w:val="0"/>
          <w:sz w:val="24"/>
          <w:szCs w:val="24"/>
          <w:highlight w:val="none"/>
        </w:rPr>
        <w:t>、</w:t>
      </w:r>
      <w:r>
        <w:rPr>
          <w:rFonts w:hint="eastAsia" w:ascii="Times New Roman" w:hAnsi="Times New Roman"/>
          <w:color w:val="auto"/>
          <w:kern w:val="0"/>
          <w:sz w:val="24"/>
          <w:szCs w:val="24"/>
          <w:highlight w:val="none"/>
        </w:rPr>
        <w:t>Png</w:t>
      </w:r>
      <w:r>
        <w:rPr>
          <w:rFonts w:hint="eastAsia" w:ascii="宋体" w:hAnsi="宋体"/>
          <w:color w:val="auto"/>
          <w:kern w:val="0"/>
          <w:sz w:val="24"/>
          <w:szCs w:val="24"/>
          <w:highlight w:val="none"/>
        </w:rPr>
        <w:t>、</w:t>
      </w:r>
      <w:r>
        <w:rPr>
          <w:rFonts w:hint="eastAsia" w:ascii="Times New Roman" w:hAnsi="Times New Roman"/>
          <w:color w:val="auto"/>
          <w:kern w:val="0"/>
          <w:sz w:val="24"/>
          <w:szCs w:val="24"/>
          <w:highlight w:val="none"/>
        </w:rPr>
        <w:t>Raw</w:t>
      </w:r>
      <w:r>
        <w:rPr>
          <w:rFonts w:hint="eastAsia" w:ascii="宋体" w:hAnsi="宋体"/>
          <w:color w:val="auto"/>
          <w:kern w:val="0"/>
          <w:sz w:val="24"/>
          <w:szCs w:val="24"/>
          <w:highlight w:val="none"/>
        </w:rPr>
        <w:t>等主流栅格数据格式的导入、导出；</w:t>
      </w:r>
    </w:p>
    <w:p>
      <w:pPr>
        <w:pStyle w:val="16"/>
        <w:numPr>
          <w:ilvl w:val="0"/>
          <w:numId w:val="5"/>
        </w:numPr>
        <w:adjustRightInd w:val="0"/>
        <w:snapToGrid w:val="0"/>
        <w:spacing w:before="156" w:beforeLines="50" w:line="360" w:lineRule="auto"/>
        <w:ind w:firstLineChars="0"/>
        <w:jc w:val="left"/>
        <w:rPr>
          <w:rFonts w:ascii="Times New Roman" w:hAnsi="Times New Roman"/>
          <w:color w:val="auto"/>
          <w:kern w:val="0"/>
          <w:sz w:val="24"/>
          <w:szCs w:val="24"/>
          <w:highlight w:val="none"/>
        </w:rPr>
      </w:pPr>
      <w:r>
        <w:rPr>
          <w:rFonts w:ascii="宋体" w:hAnsi="宋体"/>
          <w:color w:val="auto"/>
          <w:kern w:val="0"/>
          <w:sz w:val="24"/>
          <w:szCs w:val="24"/>
          <w:highlight w:val="none"/>
        </w:rPr>
        <w:t>支持将远程</w:t>
      </w:r>
      <w:r>
        <w:rPr>
          <w:rFonts w:ascii="Times New Roman" w:hAnsi="Times New Roman"/>
          <w:color w:val="auto"/>
          <w:kern w:val="0"/>
          <w:sz w:val="24"/>
          <w:szCs w:val="24"/>
          <w:highlight w:val="none"/>
        </w:rPr>
        <w:t>Web</w:t>
      </w:r>
      <w:r>
        <w:rPr>
          <w:rFonts w:ascii="宋体" w:hAnsi="宋体"/>
          <w:color w:val="auto"/>
          <w:kern w:val="0"/>
          <w:sz w:val="24"/>
          <w:szCs w:val="24"/>
          <w:highlight w:val="none"/>
        </w:rPr>
        <w:t>服务作为数据来源二次发布，支持的远程服务类型包括：</w:t>
      </w:r>
      <w:r>
        <w:rPr>
          <w:rFonts w:ascii="Times New Roman" w:hAnsi="Times New Roman"/>
          <w:color w:val="auto"/>
          <w:kern w:val="0"/>
          <w:sz w:val="24"/>
          <w:szCs w:val="24"/>
          <w:highlight w:val="none"/>
        </w:rPr>
        <w:t>REST</w:t>
      </w:r>
      <w:r>
        <w:rPr>
          <w:rFonts w:ascii="宋体" w:hAnsi="宋体"/>
          <w:color w:val="auto"/>
          <w:kern w:val="0"/>
          <w:sz w:val="24"/>
          <w:szCs w:val="24"/>
          <w:highlight w:val="none"/>
        </w:rPr>
        <w:t>服务、</w:t>
      </w:r>
      <w:r>
        <w:rPr>
          <w:rFonts w:ascii="Times New Roman" w:hAnsi="Times New Roman"/>
          <w:color w:val="auto"/>
          <w:kern w:val="0"/>
          <w:sz w:val="24"/>
          <w:szCs w:val="24"/>
          <w:highlight w:val="none"/>
        </w:rPr>
        <w:t>OGC</w:t>
      </w:r>
      <w:r>
        <w:rPr>
          <w:rFonts w:ascii="宋体" w:hAnsi="宋体"/>
          <w:color w:val="auto"/>
          <w:kern w:val="0"/>
          <w:sz w:val="24"/>
          <w:szCs w:val="24"/>
          <w:highlight w:val="none"/>
        </w:rPr>
        <w:t>标准服务、第三方在线服务，如天地图、百度地图</w:t>
      </w:r>
      <w:r>
        <w:rPr>
          <w:rFonts w:hint="eastAsia" w:ascii="宋体" w:hAnsi="宋体"/>
          <w:color w:val="auto"/>
          <w:kern w:val="0"/>
          <w:sz w:val="24"/>
          <w:szCs w:val="24"/>
          <w:highlight w:val="none"/>
        </w:rPr>
        <w:t>；</w:t>
      </w:r>
    </w:p>
    <w:p>
      <w:pPr>
        <w:pStyle w:val="16"/>
        <w:numPr>
          <w:ilvl w:val="0"/>
          <w:numId w:val="5"/>
        </w:numPr>
        <w:adjustRightInd w:val="0"/>
        <w:snapToGrid w:val="0"/>
        <w:spacing w:before="156" w:beforeLines="50" w:line="360" w:lineRule="auto"/>
        <w:ind w:firstLineChars="0"/>
        <w:jc w:val="left"/>
        <w:rPr>
          <w:rFonts w:ascii="Times New Roman" w:hAnsi="Times New Roman"/>
          <w:color w:val="auto"/>
          <w:kern w:val="0"/>
          <w:sz w:val="24"/>
          <w:szCs w:val="24"/>
          <w:highlight w:val="none"/>
        </w:rPr>
      </w:pPr>
      <w:r>
        <w:rPr>
          <w:rFonts w:ascii="宋体" w:hAnsi="宋体"/>
          <w:color w:val="auto"/>
          <w:kern w:val="0"/>
          <w:sz w:val="24"/>
          <w:szCs w:val="24"/>
          <w:highlight w:val="none"/>
        </w:rPr>
        <w:t>支持</w:t>
      </w:r>
      <w:r>
        <w:rPr>
          <w:rFonts w:ascii="Times New Roman" w:hAnsi="Times New Roman"/>
          <w:color w:val="auto"/>
          <w:kern w:val="0"/>
          <w:sz w:val="24"/>
          <w:szCs w:val="24"/>
          <w:highlight w:val="none"/>
        </w:rPr>
        <w:t>OGC</w:t>
      </w:r>
      <w:r>
        <w:rPr>
          <w:rFonts w:ascii="宋体" w:hAnsi="宋体"/>
          <w:color w:val="auto"/>
          <w:kern w:val="0"/>
          <w:sz w:val="24"/>
          <w:szCs w:val="24"/>
          <w:highlight w:val="none"/>
        </w:rPr>
        <w:t>标准等行业标准，包括</w:t>
      </w:r>
      <w:r>
        <w:rPr>
          <w:rFonts w:ascii="Times New Roman" w:hAnsi="Times New Roman"/>
          <w:color w:val="auto"/>
          <w:kern w:val="0"/>
          <w:sz w:val="24"/>
          <w:szCs w:val="24"/>
          <w:highlight w:val="none"/>
        </w:rPr>
        <w:t>:CSW</w:t>
      </w:r>
      <w:r>
        <w:rPr>
          <w:rFonts w:ascii="宋体" w:hAnsi="宋体"/>
          <w:color w:val="auto"/>
          <w:kern w:val="0"/>
          <w:sz w:val="24"/>
          <w:szCs w:val="24"/>
          <w:highlight w:val="none"/>
        </w:rPr>
        <w:t>、</w:t>
      </w:r>
      <w:r>
        <w:rPr>
          <w:rFonts w:ascii="Times New Roman" w:hAnsi="Times New Roman"/>
          <w:color w:val="auto"/>
          <w:kern w:val="0"/>
          <w:sz w:val="24"/>
          <w:szCs w:val="24"/>
          <w:highlight w:val="none"/>
        </w:rPr>
        <w:t>GML</w:t>
      </w:r>
      <w:r>
        <w:rPr>
          <w:rFonts w:ascii="宋体" w:hAnsi="宋体"/>
          <w:color w:val="auto"/>
          <w:kern w:val="0"/>
          <w:sz w:val="24"/>
          <w:szCs w:val="24"/>
          <w:highlight w:val="none"/>
        </w:rPr>
        <w:t>、</w:t>
      </w:r>
      <w:r>
        <w:rPr>
          <w:rFonts w:ascii="Times New Roman" w:hAnsi="Times New Roman"/>
          <w:color w:val="auto"/>
          <w:kern w:val="0"/>
          <w:sz w:val="24"/>
          <w:szCs w:val="24"/>
          <w:highlight w:val="none"/>
        </w:rPr>
        <w:t>KML</w:t>
      </w:r>
      <w:r>
        <w:rPr>
          <w:rFonts w:ascii="宋体" w:hAnsi="宋体"/>
          <w:color w:val="auto"/>
          <w:kern w:val="0"/>
          <w:sz w:val="24"/>
          <w:szCs w:val="24"/>
          <w:highlight w:val="none"/>
        </w:rPr>
        <w:t>、</w:t>
      </w:r>
      <w:r>
        <w:rPr>
          <w:rFonts w:ascii="Times New Roman" w:hAnsi="Times New Roman"/>
          <w:color w:val="auto"/>
          <w:kern w:val="0"/>
          <w:sz w:val="24"/>
          <w:szCs w:val="24"/>
          <w:highlight w:val="none"/>
        </w:rPr>
        <w:t>SLD</w:t>
      </w:r>
      <w:r>
        <w:rPr>
          <w:rFonts w:ascii="宋体" w:hAnsi="宋体"/>
          <w:color w:val="auto"/>
          <w:kern w:val="0"/>
          <w:sz w:val="24"/>
          <w:szCs w:val="24"/>
          <w:highlight w:val="none"/>
        </w:rPr>
        <w:t>、</w:t>
      </w:r>
      <w:r>
        <w:rPr>
          <w:rFonts w:ascii="Times New Roman" w:hAnsi="Times New Roman"/>
          <w:color w:val="auto"/>
          <w:kern w:val="0"/>
          <w:sz w:val="24"/>
          <w:szCs w:val="24"/>
          <w:highlight w:val="none"/>
        </w:rPr>
        <w:t>WCS</w:t>
      </w:r>
      <w:r>
        <w:rPr>
          <w:rFonts w:ascii="宋体" w:hAnsi="宋体"/>
          <w:color w:val="auto"/>
          <w:kern w:val="0"/>
          <w:sz w:val="24"/>
          <w:szCs w:val="24"/>
          <w:highlight w:val="none"/>
        </w:rPr>
        <w:t>、</w:t>
      </w:r>
      <w:r>
        <w:rPr>
          <w:rFonts w:ascii="Times New Roman" w:hAnsi="Times New Roman"/>
          <w:color w:val="auto"/>
          <w:kern w:val="0"/>
          <w:sz w:val="24"/>
          <w:szCs w:val="24"/>
          <w:highlight w:val="none"/>
        </w:rPr>
        <w:t>WFS</w:t>
      </w:r>
      <w:r>
        <w:rPr>
          <w:rFonts w:ascii="宋体" w:hAnsi="宋体"/>
          <w:color w:val="auto"/>
          <w:kern w:val="0"/>
          <w:sz w:val="24"/>
          <w:szCs w:val="24"/>
          <w:highlight w:val="none"/>
        </w:rPr>
        <w:t>、</w:t>
      </w:r>
      <w:r>
        <w:rPr>
          <w:rFonts w:ascii="Times New Roman" w:hAnsi="Times New Roman"/>
          <w:color w:val="auto"/>
          <w:kern w:val="0"/>
          <w:sz w:val="24"/>
          <w:szCs w:val="24"/>
          <w:highlight w:val="none"/>
        </w:rPr>
        <w:t>WMS</w:t>
      </w:r>
      <w:r>
        <w:rPr>
          <w:rFonts w:ascii="宋体" w:hAnsi="宋体"/>
          <w:color w:val="auto"/>
          <w:kern w:val="0"/>
          <w:sz w:val="24"/>
          <w:szCs w:val="24"/>
          <w:highlight w:val="none"/>
        </w:rPr>
        <w:t>、</w:t>
      </w:r>
      <w:r>
        <w:rPr>
          <w:rFonts w:ascii="Times New Roman" w:hAnsi="Times New Roman"/>
          <w:color w:val="auto"/>
          <w:kern w:val="0"/>
          <w:sz w:val="24"/>
          <w:szCs w:val="24"/>
          <w:highlight w:val="none"/>
        </w:rPr>
        <w:t>WMTS</w:t>
      </w:r>
      <w:r>
        <w:rPr>
          <w:rFonts w:ascii="宋体" w:hAnsi="宋体"/>
          <w:color w:val="auto"/>
          <w:kern w:val="0"/>
          <w:sz w:val="24"/>
          <w:szCs w:val="24"/>
          <w:highlight w:val="none"/>
        </w:rPr>
        <w:t>、</w:t>
      </w:r>
      <w:r>
        <w:rPr>
          <w:rFonts w:ascii="Times New Roman" w:hAnsi="Times New Roman"/>
          <w:color w:val="auto"/>
          <w:kern w:val="0"/>
          <w:sz w:val="24"/>
          <w:szCs w:val="24"/>
          <w:highlight w:val="none"/>
        </w:rPr>
        <w:t>WPS</w:t>
      </w:r>
      <w:r>
        <w:rPr>
          <w:rFonts w:ascii="宋体" w:hAnsi="宋体"/>
          <w:color w:val="auto"/>
          <w:kern w:val="0"/>
          <w:sz w:val="24"/>
          <w:szCs w:val="24"/>
          <w:highlight w:val="none"/>
        </w:rPr>
        <w:t>、</w:t>
      </w:r>
      <w:r>
        <w:rPr>
          <w:rFonts w:ascii="Times New Roman" w:hAnsi="Times New Roman"/>
          <w:color w:val="auto"/>
          <w:kern w:val="0"/>
          <w:sz w:val="24"/>
          <w:szCs w:val="24"/>
          <w:highlight w:val="none"/>
        </w:rPr>
        <w:t>GeoPackage</w:t>
      </w:r>
      <w:r>
        <w:rPr>
          <w:rFonts w:ascii="宋体" w:hAnsi="宋体"/>
          <w:color w:val="auto"/>
          <w:kern w:val="0"/>
          <w:sz w:val="24"/>
          <w:szCs w:val="24"/>
          <w:highlight w:val="none"/>
        </w:rPr>
        <w:t>、</w:t>
      </w:r>
      <w:r>
        <w:rPr>
          <w:rFonts w:ascii="Times New Roman" w:hAnsi="Times New Roman"/>
          <w:color w:val="auto"/>
          <w:kern w:val="0"/>
          <w:sz w:val="24"/>
          <w:szCs w:val="24"/>
          <w:highlight w:val="none"/>
        </w:rPr>
        <w:t>GeoRSS</w:t>
      </w:r>
      <w:r>
        <w:rPr>
          <w:rFonts w:ascii="宋体" w:hAnsi="宋体"/>
          <w:color w:val="auto"/>
          <w:kern w:val="0"/>
          <w:sz w:val="24"/>
          <w:szCs w:val="24"/>
          <w:highlight w:val="none"/>
        </w:rPr>
        <w:t>；</w:t>
      </w:r>
    </w:p>
    <w:p>
      <w:pPr>
        <w:pStyle w:val="16"/>
        <w:numPr>
          <w:ilvl w:val="0"/>
          <w:numId w:val="5"/>
        </w:numPr>
        <w:adjustRightInd w:val="0"/>
        <w:snapToGrid w:val="0"/>
        <w:spacing w:before="156" w:beforeLines="50" w:line="360" w:lineRule="auto"/>
        <w:ind w:firstLineChars="0"/>
        <w:jc w:val="left"/>
        <w:rPr>
          <w:rFonts w:ascii="Times New Roman" w:hAnsi="Times New Roman"/>
          <w:color w:val="auto"/>
          <w:kern w:val="0"/>
          <w:sz w:val="24"/>
          <w:szCs w:val="24"/>
          <w:highlight w:val="none"/>
        </w:rPr>
      </w:pPr>
      <w:r>
        <w:rPr>
          <w:rFonts w:ascii="宋体" w:hAnsi="宋体"/>
          <w:color w:val="auto"/>
          <w:kern w:val="0"/>
          <w:sz w:val="24"/>
          <w:szCs w:val="24"/>
          <w:highlight w:val="none"/>
        </w:rPr>
        <w:t>具备自主知识产权的服务器集群技术</w:t>
      </w:r>
      <w:r>
        <w:rPr>
          <w:rFonts w:hint="eastAsia" w:ascii="宋体" w:hAnsi="宋体"/>
          <w:color w:val="auto"/>
          <w:kern w:val="0"/>
          <w:sz w:val="24"/>
          <w:szCs w:val="24"/>
          <w:highlight w:val="none"/>
        </w:rPr>
        <w:t>，</w:t>
      </w:r>
      <w:r>
        <w:rPr>
          <w:rFonts w:ascii="宋体" w:hAnsi="宋体"/>
          <w:color w:val="auto"/>
          <w:kern w:val="0"/>
          <w:sz w:val="24"/>
          <w:szCs w:val="24"/>
          <w:highlight w:val="none"/>
        </w:rPr>
        <w:t>支持跨硬件平台、跨操作系统平台的异构集群；</w:t>
      </w:r>
    </w:p>
    <w:p>
      <w:pPr>
        <w:pStyle w:val="16"/>
        <w:numPr>
          <w:ilvl w:val="0"/>
          <w:numId w:val="5"/>
        </w:numPr>
        <w:adjustRightInd w:val="0"/>
        <w:snapToGrid w:val="0"/>
        <w:spacing w:before="156" w:beforeLines="50" w:line="360" w:lineRule="auto"/>
        <w:ind w:firstLineChars="0"/>
        <w:jc w:val="left"/>
        <w:rPr>
          <w:color w:val="auto"/>
          <w:kern w:val="0"/>
          <w:highlight w:val="none"/>
        </w:rPr>
      </w:pPr>
      <w:r>
        <w:rPr>
          <w:rFonts w:ascii="宋体" w:hAnsi="宋体"/>
          <w:color w:val="auto"/>
          <w:kern w:val="0"/>
          <w:sz w:val="24"/>
          <w:szCs w:val="24"/>
          <w:highlight w:val="none"/>
        </w:rPr>
        <w:t>客户端支持丰富的可视化技术，包括：麻点图、矢量图、属性图、态势图、标签图以及高性能矢量渲染技术、时空数据可视化；</w:t>
      </w:r>
    </w:p>
    <w:p>
      <w:pPr>
        <w:pStyle w:val="17"/>
        <w:numPr>
          <w:ilvl w:val="0"/>
          <w:numId w:val="5"/>
        </w:numPr>
        <w:spacing w:before="156" w:after="156"/>
        <w:rPr>
          <w:color w:val="auto"/>
          <w:highlight w:val="none"/>
        </w:rPr>
      </w:pPr>
      <w:r>
        <w:rPr>
          <w:rFonts w:hint="eastAsia" w:ascii="宋体" w:hAnsi="宋体"/>
          <w:color w:val="auto"/>
          <w:highlight w:val="none"/>
        </w:rPr>
        <w:t>支持大数据存储（</w:t>
      </w:r>
      <w:r>
        <w:rPr>
          <w:rFonts w:hint="eastAsia"/>
          <w:color w:val="auto"/>
          <w:highlight w:val="none"/>
        </w:rPr>
        <w:t>PostgreSQL</w:t>
      </w:r>
      <w:r>
        <w:rPr>
          <w:rFonts w:hint="eastAsia" w:ascii="宋体" w:hAnsi="宋体"/>
          <w:color w:val="auto"/>
          <w:highlight w:val="none"/>
        </w:rPr>
        <w:t>、</w:t>
      </w:r>
      <w:r>
        <w:rPr>
          <w:rFonts w:hint="eastAsia"/>
          <w:color w:val="auto"/>
          <w:highlight w:val="none"/>
        </w:rPr>
        <w:t>HDFS</w:t>
      </w:r>
      <w:r>
        <w:rPr>
          <w:rFonts w:hint="eastAsia" w:ascii="宋体" w:hAnsi="宋体"/>
          <w:color w:val="auto"/>
          <w:highlight w:val="none"/>
        </w:rPr>
        <w:t>、</w:t>
      </w:r>
      <w:r>
        <w:rPr>
          <w:rFonts w:hint="eastAsia"/>
          <w:color w:val="auto"/>
          <w:highlight w:val="none"/>
        </w:rPr>
        <w:t>MongoDB</w:t>
      </w:r>
      <w:r>
        <w:rPr>
          <w:rFonts w:hint="eastAsia" w:ascii="宋体" w:hAnsi="宋体"/>
          <w:color w:val="auto"/>
          <w:highlight w:val="none"/>
        </w:rPr>
        <w:t>、</w:t>
      </w:r>
      <w:r>
        <w:rPr>
          <w:rFonts w:hint="eastAsia"/>
          <w:color w:val="auto"/>
          <w:highlight w:val="none"/>
        </w:rPr>
        <w:t>elasticsearch</w:t>
      </w:r>
      <w:r>
        <w:rPr>
          <w:rFonts w:hint="eastAsia" w:ascii="宋体" w:hAnsi="宋体"/>
          <w:color w:val="auto"/>
          <w:highlight w:val="none"/>
        </w:rPr>
        <w:t>等），支持大数据软件</w:t>
      </w:r>
      <w:r>
        <w:rPr>
          <w:rFonts w:hint="eastAsia"/>
          <w:color w:val="auto"/>
          <w:highlight w:val="none"/>
        </w:rPr>
        <w:t>Spark</w:t>
      </w:r>
      <w:r>
        <w:rPr>
          <w:rFonts w:hint="eastAsia" w:ascii="宋体" w:hAnsi="宋体"/>
          <w:color w:val="auto"/>
          <w:highlight w:val="none"/>
        </w:rPr>
        <w:t>；</w:t>
      </w:r>
    </w:p>
    <w:p>
      <w:pPr>
        <w:pStyle w:val="17"/>
        <w:numPr>
          <w:ilvl w:val="0"/>
          <w:numId w:val="5"/>
        </w:numPr>
        <w:spacing w:before="156" w:after="156"/>
        <w:rPr>
          <w:color w:val="auto"/>
          <w:highlight w:val="none"/>
        </w:rPr>
      </w:pPr>
      <w:r>
        <w:rPr>
          <w:rFonts w:hint="eastAsia"/>
          <w:color w:val="auto"/>
          <w:highlight w:val="none"/>
        </w:rPr>
        <w:t xml:space="preserve">GIS </w:t>
      </w:r>
      <w:r>
        <w:rPr>
          <w:rFonts w:hint="eastAsia" w:ascii="宋体" w:hAnsi="宋体"/>
          <w:color w:val="auto"/>
          <w:highlight w:val="none"/>
        </w:rPr>
        <w:t xml:space="preserve">软件直接嵌入 </w:t>
      </w:r>
      <w:r>
        <w:rPr>
          <w:rFonts w:hint="eastAsia"/>
          <w:color w:val="auto"/>
          <w:highlight w:val="none"/>
        </w:rPr>
        <w:t>Spark</w:t>
      </w:r>
      <w:r>
        <w:rPr>
          <w:rFonts w:hint="eastAsia" w:ascii="宋体" w:hAnsi="宋体"/>
          <w:color w:val="auto"/>
          <w:highlight w:val="none"/>
        </w:rPr>
        <w:t>内运行，而非在外围作大数据分析结果可视化工具；</w:t>
      </w:r>
    </w:p>
    <w:p>
      <w:pPr>
        <w:pStyle w:val="17"/>
        <w:numPr>
          <w:ilvl w:val="0"/>
          <w:numId w:val="5"/>
        </w:numPr>
        <w:spacing w:before="156" w:after="156"/>
        <w:rPr>
          <w:rFonts w:eastAsia="雅黑"/>
          <w:color w:val="auto"/>
          <w:highlight w:val="none"/>
        </w:rPr>
      </w:pPr>
      <w:r>
        <w:rPr>
          <w:rFonts w:hint="eastAsia" w:ascii="宋体" w:hAnsi="宋体"/>
          <w:color w:val="auto"/>
          <w:highlight w:val="none"/>
        </w:rPr>
        <w:t>具有良好的中文支持，拥有简体中文版的软件、文档、手册，提供中文培训与产品资料；</w:t>
      </w:r>
    </w:p>
    <w:p>
      <w:pPr>
        <w:pStyle w:val="17"/>
        <w:numPr>
          <w:ilvl w:val="0"/>
          <w:numId w:val="5"/>
        </w:numPr>
        <w:spacing w:before="156" w:after="156"/>
        <w:rPr>
          <w:color w:val="auto"/>
          <w:highlight w:val="none"/>
        </w:rPr>
      </w:pPr>
      <w:r>
        <w:rPr>
          <w:rFonts w:hint="eastAsia"/>
          <w:color w:val="auto"/>
          <w:highlight w:val="none"/>
        </w:rPr>
        <w:t>地图内容必须包含大路工业园区内全部地图数据，比例尺要求：1:</w:t>
      </w:r>
      <w:r>
        <w:rPr>
          <w:color w:val="auto"/>
          <w:highlight w:val="none"/>
        </w:rPr>
        <w:t>2000</w:t>
      </w:r>
      <w:r>
        <w:rPr>
          <w:rFonts w:hint="eastAsia"/>
          <w:color w:val="auto"/>
          <w:highlight w:val="none"/>
          <w:lang w:eastAsia="zh-CN"/>
        </w:rPr>
        <w:t>（预留拓展至</w:t>
      </w:r>
      <w:r>
        <w:rPr>
          <w:rFonts w:hint="eastAsia"/>
          <w:color w:val="auto"/>
          <w:highlight w:val="none"/>
          <w:lang w:val="en-US" w:eastAsia="zh-CN"/>
        </w:rPr>
        <w:t>1:500</w:t>
      </w:r>
      <w:r>
        <w:rPr>
          <w:rFonts w:hint="eastAsia"/>
          <w:color w:val="auto"/>
          <w:highlight w:val="none"/>
          <w:lang w:eastAsia="zh-CN"/>
        </w:rPr>
        <w:t>）</w:t>
      </w:r>
      <w:r>
        <w:rPr>
          <w:color w:val="auto"/>
          <w:highlight w:val="none"/>
        </w:rPr>
        <w:t>.</w:t>
      </w:r>
    </w:p>
    <w:p>
      <w:pPr>
        <w:pStyle w:val="4"/>
        <w:rPr>
          <w:color w:val="auto"/>
          <w:highlight w:val="none"/>
        </w:rPr>
      </w:pPr>
      <w:r>
        <w:rPr>
          <w:rFonts w:hint="eastAsia"/>
          <w:color w:val="auto"/>
          <w:highlight w:val="none"/>
        </w:rPr>
        <w:t>分级预警管控</w:t>
      </w:r>
    </w:p>
    <w:tbl>
      <w:tblPr>
        <w:tblStyle w:val="9"/>
        <w:tblW w:w="9628" w:type="dxa"/>
        <w:tblInd w:w="0" w:type="dxa"/>
        <w:tblLayout w:type="fixed"/>
        <w:tblCellMar>
          <w:top w:w="0" w:type="dxa"/>
          <w:left w:w="108" w:type="dxa"/>
          <w:bottom w:w="0" w:type="dxa"/>
          <w:right w:w="108" w:type="dxa"/>
        </w:tblCellMar>
      </w:tblPr>
      <w:tblGrid>
        <w:gridCol w:w="798"/>
        <w:gridCol w:w="1284"/>
        <w:gridCol w:w="7546"/>
      </w:tblGrid>
      <w:tr>
        <w:tblPrEx>
          <w:tblCellMar>
            <w:top w:w="0" w:type="dxa"/>
            <w:left w:w="108" w:type="dxa"/>
            <w:bottom w:w="0" w:type="dxa"/>
            <w:right w:w="108" w:type="dxa"/>
          </w:tblCellMar>
        </w:tblPrEx>
        <w:trPr>
          <w:trHeight w:val="255" w:hRule="atLeast"/>
        </w:trPr>
        <w:tc>
          <w:tcPr>
            <w:tcW w:w="7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284"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7546"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CellMar>
            <w:top w:w="0" w:type="dxa"/>
            <w:left w:w="108" w:type="dxa"/>
            <w:bottom w:w="0" w:type="dxa"/>
            <w:right w:w="108" w:type="dxa"/>
          </w:tblCellMar>
        </w:tblPrEx>
        <w:trPr>
          <w:trHeight w:val="28" w:hRule="atLeast"/>
        </w:trPr>
        <w:tc>
          <w:tcPr>
            <w:tcW w:w="79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报警管控</w:t>
            </w:r>
          </w:p>
        </w:tc>
        <w:tc>
          <w:tcPr>
            <w:tcW w:w="754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1、任务中心</w:t>
            </w:r>
          </w:p>
        </w:tc>
      </w:tr>
      <w:tr>
        <w:tblPrEx>
          <w:tblCellMar>
            <w:top w:w="0" w:type="dxa"/>
            <w:left w:w="108" w:type="dxa"/>
            <w:bottom w:w="0" w:type="dxa"/>
            <w:right w:w="108" w:type="dxa"/>
          </w:tblCellMar>
        </w:tblPrEx>
        <w:trPr>
          <w:trHeight w:val="28"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系统对接所在园区的环境监测系统，根据配置的报警规则和任务规则，生成相应的报警任务</w:t>
            </w:r>
          </w:p>
        </w:tc>
      </w:tr>
      <w:tr>
        <w:tblPrEx>
          <w:tblCellMar>
            <w:top w:w="0" w:type="dxa"/>
            <w:left w:w="108" w:type="dxa"/>
            <w:bottom w:w="0" w:type="dxa"/>
            <w:right w:w="108" w:type="dxa"/>
          </w:tblCellMar>
        </w:tblPrEx>
        <w:trPr>
          <w:trHeight w:val="28"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2、我的任务</w:t>
            </w:r>
          </w:p>
        </w:tc>
      </w:tr>
      <w:tr>
        <w:tblPrEx>
          <w:tblCellMar>
            <w:top w:w="0" w:type="dxa"/>
            <w:left w:w="108" w:type="dxa"/>
            <w:bottom w:w="0" w:type="dxa"/>
            <w:right w:w="108" w:type="dxa"/>
          </w:tblCellMar>
        </w:tblPrEx>
        <w:trPr>
          <w:trHeight w:val="28"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登陆账户需要处理的各类报警任务，并将处置记录进行提交，系统应支持当前任务处置记录填报以及历史处置情况</w:t>
            </w:r>
          </w:p>
        </w:tc>
      </w:tr>
      <w:tr>
        <w:tblPrEx>
          <w:tblCellMar>
            <w:top w:w="0" w:type="dxa"/>
            <w:left w:w="108" w:type="dxa"/>
            <w:bottom w:w="0" w:type="dxa"/>
            <w:right w:w="108" w:type="dxa"/>
          </w:tblCellMar>
        </w:tblPrEx>
        <w:trPr>
          <w:trHeight w:val="28"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3、报警查询</w:t>
            </w:r>
          </w:p>
        </w:tc>
      </w:tr>
      <w:tr>
        <w:tblPrEx>
          <w:tblCellMar>
            <w:top w:w="0" w:type="dxa"/>
            <w:left w:w="108" w:type="dxa"/>
            <w:bottom w:w="0" w:type="dxa"/>
            <w:right w:w="108" w:type="dxa"/>
          </w:tblCellMar>
        </w:tblPrEx>
        <w:trPr>
          <w:trHeight w:val="28"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按数据源、站点、报警类型、报警时间段来查询系统所发生的报警信息，支持以Excel文件的方式导出和删除记录</w:t>
            </w:r>
          </w:p>
        </w:tc>
      </w:tr>
      <w:tr>
        <w:tblPrEx>
          <w:tblCellMar>
            <w:top w:w="0" w:type="dxa"/>
            <w:left w:w="108" w:type="dxa"/>
            <w:bottom w:w="0" w:type="dxa"/>
            <w:right w:w="108" w:type="dxa"/>
          </w:tblCellMar>
        </w:tblPrEx>
        <w:trPr>
          <w:trHeight w:val="28" w:hRule="atLeast"/>
        </w:trPr>
        <w:tc>
          <w:tcPr>
            <w:tcW w:w="79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相关配置</w:t>
            </w:r>
          </w:p>
        </w:tc>
        <w:tc>
          <w:tcPr>
            <w:tcW w:w="754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1、报警产生配置</w:t>
            </w:r>
          </w:p>
        </w:tc>
      </w:tr>
      <w:tr>
        <w:tblPrEx>
          <w:tblCellMar>
            <w:top w:w="0" w:type="dxa"/>
            <w:left w:w="108" w:type="dxa"/>
            <w:bottom w:w="0" w:type="dxa"/>
            <w:right w:w="108" w:type="dxa"/>
          </w:tblCellMar>
        </w:tblPrEx>
        <w:trPr>
          <w:trHeight w:val="28"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系统管理员配置报警产生规则，报警产生规则、监测因子、报警等级、数据源，支持超标报警、趋势报警以及断线报警</w:t>
            </w:r>
          </w:p>
        </w:tc>
      </w:tr>
      <w:tr>
        <w:tblPrEx>
          <w:tblCellMar>
            <w:top w:w="0" w:type="dxa"/>
            <w:left w:w="108" w:type="dxa"/>
            <w:bottom w:w="0" w:type="dxa"/>
            <w:right w:w="108" w:type="dxa"/>
          </w:tblCellMar>
        </w:tblPrEx>
        <w:trPr>
          <w:trHeight w:val="28"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2、报警通知配置</w:t>
            </w:r>
          </w:p>
        </w:tc>
      </w:tr>
      <w:tr>
        <w:tblPrEx>
          <w:tblCellMar>
            <w:top w:w="0" w:type="dxa"/>
            <w:left w:w="108" w:type="dxa"/>
            <w:bottom w:w="0" w:type="dxa"/>
            <w:right w:w="108" w:type="dxa"/>
          </w:tblCellMar>
        </w:tblPrEx>
        <w:trPr>
          <w:trHeight w:val="28"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管理员给每个监测点进行报警通知配置，支持通知场景自定义</w:t>
            </w:r>
          </w:p>
        </w:tc>
      </w:tr>
      <w:tr>
        <w:tblPrEx>
          <w:tblCellMar>
            <w:top w:w="0" w:type="dxa"/>
            <w:left w:w="108" w:type="dxa"/>
            <w:bottom w:w="0" w:type="dxa"/>
            <w:right w:w="108" w:type="dxa"/>
          </w:tblCellMar>
        </w:tblPrEx>
        <w:trPr>
          <w:trHeight w:val="28"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3、任务产生配置</w:t>
            </w:r>
          </w:p>
        </w:tc>
      </w:tr>
      <w:tr>
        <w:tblPrEx>
          <w:tblCellMar>
            <w:top w:w="0" w:type="dxa"/>
            <w:left w:w="108" w:type="dxa"/>
            <w:bottom w:w="0" w:type="dxa"/>
            <w:right w:w="108" w:type="dxa"/>
          </w:tblCellMar>
        </w:tblPrEx>
        <w:trPr>
          <w:trHeight w:val="28"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可配置任务产生的条件，任务产生配置的内容包括任务规则名称、任务类型、任务级别、报警规则名称</w:t>
            </w:r>
          </w:p>
        </w:tc>
      </w:tr>
      <w:tr>
        <w:tblPrEx>
          <w:tblCellMar>
            <w:top w:w="0" w:type="dxa"/>
            <w:left w:w="108" w:type="dxa"/>
            <w:bottom w:w="0" w:type="dxa"/>
            <w:right w:w="108" w:type="dxa"/>
          </w:tblCellMar>
        </w:tblPrEx>
        <w:trPr>
          <w:trHeight w:val="28"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4、任务通知配置</w:t>
            </w:r>
          </w:p>
        </w:tc>
      </w:tr>
      <w:tr>
        <w:tblPrEx>
          <w:tblCellMar>
            <w:top w:w="0" w:type="dxa"/>
            <w:left w:w="108" w:type="dxa"/>
            <w:bottom w:w="0" w:type="dxa"/>
            <w:right w:w="108" w:type="dxa"/>
          </w:tblCellMar>
        </w:tblPrEx>
        <w:trPr>
          <w:trHeight w:val="28"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可配置各类任务的通知方式以及通知时段、场景、人员</w:t>
            </w:r>
          </w:p>
        </w:tc>
      </w:tr>
      <w:tr>
        <w:tblPrEx>
          <w:tblCellMar>
            <w:top w:w="0" w:type="dxa"/>
            <w:left w:w="108" w:type="dxa"/>
            <w:bottom w:w="0" w:type="dxa"/>
            <w:right w:w="108" w:type="dxa"/>
          </w:tblCellMar>
        </w:tblPrEx>
        <w:trPr>
          <w:trHeight w:val="28"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5、字典管理</w:t>
            </w:r>
          </w:p>
        </w:tc>
      </w:tr>
      <w:tr>
        <w:tblPrEx>
          <w:tblCellMar>
            <w:top w:w="0" w:type="dxa"/>
            <w:left w:w="108" w:type="dxa"/>
            <w:bottom w:w="0" w:type="dxa"/>
            <w:right w:w="108" w:type="dxa"/>
          </w:tblCellMar>
        </w:tblPrEx>
        <w:trPr>
          <w:trHeight w:val="28" w:hRule="atLeast"/>
        </w:trPr>
        <w:tc>
          <w:tcPr>
            <w:tcW w:w="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54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对系统中报警级别/类型、任务级别/类型、数据源、通知方式进行维护</w:t>
            </w:r>
          </w:p>
        </w:tc>
      </w:tr>
    </w:tbl>
    <w:p>
      <w:pPr>
        <w:pStyle w:val="4"/>
        <w:rPr>
          <w:color w:val="auto"/>
          <w:szCs w:val="32"/>
          <w:highlight w:val="none"/>
        </w:rPr>
      </w:pPr>
      <w:r>
        <w:rPr>
          <w:rFonts w:hint="eastAsia"/>
          <w:color w:val="auto"/>
          <w:highlight w:val="none"/>
        </w:rPr>
        <w:t>一园一档</w:t>
      </w:r>
    </w:p>
    <w:p>
      <w:pPr>
        <w:spacing w:line="360" w:lineRule="auto"/>
        <w:ind w:firstLine="480"/>
        <w:rPr>
          <w:rFonts w:ascii="宋体" w:hAnsi="宋体"/>
          <w:color w:val="auto"/>
          <w:sz w:val="24"/>
          <w:szCs w:val="24"/>
          <w:highlight w:val="none"/>
        </w:rPr>
      </w:pPr>
      <w:r>
        <w:rPr>
          <w:rFonts w:ascii="宋体" w:hAnsi="宋体"/>
          <w:color w:val="auto"/>
          <w:sz w:val="24"/>
          <w:szCs w:val="24"/>
          <w:highlight w:val="none"/>
        </w:rPr>
        <w:t>一园一档包括园区档案、企业档案、消息通知等管理模块，实现园区、企业信息的管理以及消息的上传下达。</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481"/>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b/>
                <w:bCs/>
                <w:color w:val="auto"/>
                <w:highlight w:val="none"/>
              </w:rPr>
            </w:pPr>
            <w:r>
              <w:rPr>
                <w:b/>
                <w:bCs/>
                <w:color w:val="auto"/>
                <w:highlight w:val="none"/>
              </w:rPr>
              <w:t>序号</w:t>
            </w:r>
          </w:p>
        </w:tc>
        <w:tc>
          <w:tcPr>
            <w:tcW w:w="1481"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内容</w:t>
            </w:r>
          </w:p>
        </w:tc>
        <w:tc>
          <w:tcPr>
            <w:tcW w:w="7165"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1</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园区档案</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包含园区的基本信息、相关批文、环评信息、产业规划、管网资料、应急预案等基础信息，并可以汇集园区企业的危废、固废、危化品、特征污染物名录等信息，为园区管理者提供信息快速查询获取，企业重点信息汇总管理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2</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企业档案</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包含企业基本情况、重大危险源信息、污染排放信息、风险隐患等信息，并对企业内的废气排放等进行动态监测监控，实现企业档案“一表清”、“一数一源、一源多用”、企业动态监管。</w:t>
            </w:r>
          </w:p>
          <w:p>
            <w:pPr>
              <w:pStyle w:val="15"/>
              <w:rPr>
                <w:color w:val="auto"/>
                <w:highlight w:val="none"/>
              </w:rPr>
            </w:pPr>
            <w:r>
              <w:rPr>
                <w:rFonts w:hint="eastAsia"/>
                <w:color w:val="auto"/>
                <w:highlight w:val="none"/>
              </w:rPr>
              <w:t>1</w:t>
            </w:r>
            <w:r>
              <w:rPr>
                <w:rFonts w:hint="eastAsia" w:ascii="宋体" w:hAnsi="宋体"/>
                <w:color w:val="auto"/>
                <w:highlight w:val="none"/>
              </w:rPr>
              <w:t>）档案管理</w:t>
            </w:r>
          </w:p>
          <w:p>
            <w:pPr>
              <w:pStyle w:val="15"/>
              <w:rPr>
                <w:color w:val="auto"/>
                <w:highlight w:val="none"/>
              </w:rPr>
            </w:pPr>
            <w:r>
              <w:rPr>
                <w:rFonts w:hint="eastAsia"/>
                <w:color w:val="auto"/>
                <w:highlight w:val="none"/>
              </w:rPr>
              <w:t>按照“一企一档”的管理方式规范化、标准化管理企业基本信息、管理属性、安全信息档案，环境保护信息档案等。</w:t>
            </w:r>
          </w:p>
          <w:p>
            <w:pPr>
              <w:pStyle w:val="15"/>
              <w:rPr>
                <w:color w:val="auto"/>
                <w:highlight w:val="none"/>
              </w:rPr>
            </w:pPr>
            <w:r>
              <w:rPr>
                <w:rFonts w:hint="eastAsia"/>
                <w:color w:val="auto"/>
                <w:highlight w:val="none"/>
              </w:rPr>
              <w:t>2</w:t>
            </w:r>
            <w:r>
              <w:rPr>
                <w:rFonts w:hint="eastAsia" w:ascii="宋体" w:hAnsi="宋体"/>
                <w:color w:val="auto"/>
                <w:highlight w:val="none"/>
              </w:rPr>
              <w:t>）注销企业</w:t>
            </w:r>
          </w:p>
          <w:p>
            <w:pPr>
              <w:pStyle w:val="15"/>
              <w:rPr>
                <w:color w:val="auto"/>
                <w:highlight w:val="none"/>
              </w:rPr>
            </w:pPr>
            <w:r>
              <w:rPr>
                <w:rFonts w:hint="eastAsia"/>
                <w:color w:val="auto"/>
                <w:highlight w:val="none"/>
              </w:rPr>
              <w:t>查看企业注销的理由、注销的记录，可还原注销的企业。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3</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消息通知</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园区管理端可以向企业批量发送通知公告、手动提醒、系统消息等，并且可以统计显示消息的阅读状态，方便园区消息的上传下达。</w:t>
            </w:r>
          </w:p>
        </w:tc>
      </w:tr>
    </w:tbl>
    <w:p>
      <w:pPr>
        <w:pStyle w:val="4"/>
        <w:rPr>
          <w:color w:val="auto"/>
          <w:szCs w:val="32"/>
          <w:highlight w:val="none"/>
        </w:rPr>
      </w:pPr>
      <w:r>
        <w:rPr>
          <w:rFonts w:hint="eastAsia"/>
          <w:color w:val="auto"/>
          <w:highlight w:val="none"/>
        </w:rPr>
        <w:t>视频中心</w:t>
      </w:r>
    </w:p>
    <w:p>
      <w:pPr>
        <w:pStyle w:val="5"/>
        <w:rPr>
          <w:color w:val="auto"/>
          <w:highlight w:val="none"/>
        </w:rPr>
      </w:pPr>
      <w:r>
        <w:rPr>
          <w:rFonts w:hint="eastAsia"/>
          <w:color w:val="auto"/>
          <w:highlight w:val="none"/>
        </w:rPr>
        <w:t>高空瞭望视频监控</w:t>
      </w:r>
    </w:p>
    <w:p>
      <w:pPr>
        <w:ind w:firstLine="482"/>
        <w:rPr>
          <w:rFonts w:ascii="宋体" w:hAnsi="宋体"/>
          <w:b/>
          <w:bCs/>
          <w:color w:val="auto"/>
          <w:highlight w:val="none"/>
        </w:rPr>
      </w:pPr>
      <w:r>
        <w:rPr>
          <w:rFonts w:hint="eastAsia" w:ascii="宋体" w:hAnsi="宋体"/>
          <w:b/>
          <w:bCs/>
          <w:color w:val="auto"/>
          <w:highlight w:val="none"/>
        </w:rPr>
        <w:t>网络链路要求：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视频监控图像传输对网络链路要求较高，至少2M光纤链路。</w:t>
      </w:r>
    </w:p>
    <w:p>
      <w:pPr>
        <w:pStyle w:val="6"/>
        <w:rPr>
          <w:color w:val="auto"/>
          <w:highlight w:val="none"/>
        </w:rPr>
      </w:pPr>
      <w:r>
        <w:rPr>
          <w:rFonts w:hint="eastAsia"/>
          <w:color w:val="auto"/>
          <w:highlight w:val="none"/>
        </w:rPr>
        <w:t>系统配置清单</w:t>
      </w:r>
    </w:p>
    <w:tbl>
      <w:tblPr>
        <w:tblStyle w:val="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606"/>
        <w:gridCol w:w="5702"/>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606"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产品大类</w:t>
            </w:r>
          </w:p>
        </w:tc>
        <w:tc>
          <w:tcPr>
            <w:tcW w:w="5702"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产品名称</w:t>
            </w:r>
          </w:p>
        </w:tc>
        <w:tc>
          <w:tcPr>
            <w:tcW w:w="1065"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606" w:type="dxa"/>
            <w:tcBorders>
              <w:top w:val="single" w:color="auto" w:sz="4" w:space="0"/>
              <w:left w:val="nil"/>
              <w:bottom w:val="single" w:color="auto" w:sz="4" w:space="0"/>
              <w:right w:val="single" w:color="auto" w:sz="4" w:space="0"/>
            </w:tcBorders>
            <w:shd w:val="clear" w:color="auto" w:fill="FFFFFF"/>
            <w:vAlign w:val="center"/>
          </w:tcPr>
          <w:p>
            <w:pPr>
              <w:rPr>
                <w:rFonts w:ascii="宋体" w:hAnsi="宋体"/>
                <w:color w:val="auto"/>
                <w:sz w:val="21"/>
                <w:szCs w:val="21"/>
                <w:highlight w:val="none"/>
              </w:rPr>
            </w:pPr>
            <w:r>
              <w:rPr>
                <w:rFonts w:hint="eastAsia" w:ascii="宋体" w:hAnsi="宋体"/>
                <w:color w:val="auto"/>
                <w:sz w:val="21"/>
                <w:szCs w:val="21"/>
                <w:highlight w:val="none"/>
              </w:rPr>
              <w:t>云台</w:t>
            </w:r>
          </w:p>
        </w:tc>
        <w:tc>
          <w:tcPr>
            <w:tcW w:w="5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不低于</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00万重载星光级红外云台摄像机</w:t>
            </w:r>
          </w:p>
        </w:tc>
        <w:tc>
          <w:tcPr>
            <w:tcW w:w="106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606" w:type="dxa"/>
            <w:tcBorders>
              <w:top w:val="single" w:color="auto" w:sz="4" w:space="0"/>
              <w:left w:val="nil"/>
              <w:bottom w:val="single" w:color="auto" w:sz="4" w:space="0"/>
              <w:right w:val="single" w:color="auto" w:sz="4" w:space="0"/>
            </w:tcBorders>
            <w:shd w:val="clear" w:color="auto" w:fill="FFFFFF"/>
            <w:vAlign w:val="center"/>
          </w:tcPr>
          <w:p>
            <w:pPr>
              <w:rPr>
                <w:rFonts w:ascii="宋体" w:hAnsi="宋体"/>
                <w:color w:val="auto"/>
                <w:sz w:val="21"/>
                <w:szCs w:val="21"/>
                <w:highlight w:val="none"/>
              </w:rPr>
            </w:pPr>
            <w:r>
              <w:rPr>
                <w:rFonts w:hint="eastAsia" w:ascii="宋体" w:hAnsi="宋体"/>
                <w:color w:val="auto"/>
                <w:sz w:val="21"/>
                <w:szCs w:val="21"/>
                <w:highlight w:val="none"/>
              </w:rPr>
              <w:t>NVR</w:t>
            </w:r>
          </w:p>
        </w:tc>
        <w:tc>
          <w:tcPr>
            <w:tcW w:w="5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网络硬盘录像机</w:t>
            </w:r>
          </w:p>
        </w:tc>
        <w:tc>
          <w:tcPr>
            <w:tcW w:w="106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606" w:type="dxa"/>
            <w:tcBorders>
              <w:top w:val="single" w:color="auto" w:sz="4" w:space="0"/>
              <w:left w:val="nil"/>
              <w:bottom w:val="single" w:color="auto" w:sz="4" w:space="0"/>
              <w:right w:val="single" w:color="auto" w:sz="4" w:space="0"/>
            </w:tcBorders>
            <w:shd w:val="clear" w:color="auto" w:fill="FFFFFF"/>
            <w:vAlign w:val="center"/>
          </w:tcPr>
          <w:p>
            <w:pPr>
              <w:rPr>
                <w:rFonts w:ascii="宋体" w:hAnsi="宋体"/>
                <w:color w:val="auto"/>
                <w:sz w:val="21"/>
                <w:szCs w:val="21"/>
                <w:highlight w:val="none"/>
              </w:rPr>
            </w:pPr>
            <w:r>
              <w:rPr>
                <w:rFonts w:hint="eastAsia" w:ascii="宋体" w:hAnsi="宋体"/>
                <w:color w:val="auto"/>
                <w:sz w:val="21"/>
                <w:szCs w:val="21"/>
                <w:highlight w:val="none"/>
              </w:rPr>
              <w:t>硬盘</w:t>
            </w:r>
          </w:p>
        </w:tc>
        <w:tc>
          <w:tcPr>
            <w:tcW w:w="5702"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不低于4T监控专用硬盘</w:t>
            </w:r>
          </w:p>
        </w:tc>
        <w:tc>
          <w:tcPr>
            <w:tcW w:w="106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2套</w:t>
            </w:r>
          </w:p>
        </w:tc>
      </w:tr>
    </w:tbl>
    <w:p>
      <w:pPr>
        <w:pStyle w:val="6"/>
        <w:rPr>
          <w:color w:val="auto"/>
          <w:highlight w:val="none"/>
        </w:rPr>
      </w:pPr>
      <w:r>
        <w:rPr>
          <w:rFonts w:hint="eastAsia"/>
          <w:color w:val="auto"/>
          <w:highlight w:val="none"/>
        </w:rPr>
        <w:t>设备参数</w:t>
      </w:r>
    </w:p>
    <w:p>
      <w:pPr>
        <w:pStyle w:val="7"/>
        <w:rPr>
          <w:color w:val="auto"/>
          <w:highlight w:val="none"/>
        </w:rPr>
      </w:pPr>
      <w:r>
        <w:rPr>
          <w:rFonts w:hint="eastAsia"/>
          <w:color w:val="auto"/>
          <w:highlight w:val="none"/>
        </w:rPr>
        <w:t>云台</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215"/>
        <w:gridCol w:w="7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tcPr>
          <w:p>
            <w:pPr>
              <w:jc w:val="center"/>
              <w:rPr>
                <w:rFonts w:ascii="宋体" w:hAnsi="宋体"/>
                <w:b/>
                <w:bCs/>
                <w:sz w:val="21"/>
                <w:szCs w:val="21"/>
                <w:highlight w:val="none"/>
              </w:rPr>
            </w:pPr>
            <w:r>
              <w:rPr>
                <w:rFonts w:hint="eastAsia" w:ascii="宋体" w:hAnsi="宋体"/>
                <w:b/>
                <w:bCs/>
                <w:sz w:val="21"/>
                <w:szCs w:val="21"/>
                <w:highlight w:val="none"/>
              </w:rPr>
              <w:t>序号</w:t>
            </w:r>
          </w:p>
        </w:tc>
        <w:tc>
          <w:tcPr>
            <w:tcW w:w="1215" w:type="dxa"/>
            <w:tcBorders>
              <w:top w:val="single" w:color="auto" w:sz="4" w:space="0"/>
              <w:left w:val="nil"/>
              <w:bottom w:val="single" w:color="auto" w:sz="4" w:space="0"/>
              <w:right w:val="single" w:color="auto" w:sz="4" w:space="0"/>
            </w:tcBorders>
          </w:tcPr>
          <w:p>
            <w:pPr>
              <w:jc w:val="center"/>
              <w:rPr>
                <w:rFonts w:ascii="宋体" w:hAnsi="宋体"/>
                <w:b/>
                <w:bCs/>
                <w:sz w:val="21"/>
                <w:szCs w:val="21"/>
                <w:highlight w:val="none"/>
              </w:rPr>
            </w:pPr>
            <w:r>
              <w:rPr>
                <w:rFonts w:hint="eastAsia" w:ascii="宋体" w:hAnsi="宋体"/>
                <w:b/>
                <w:bCs/>
                <w:sz w:val="21"/>
                <w:szCs w:val="21"/>
                <w:highlight w:val="none"/>
              </w:rPr>
              <w:t>指标</w:t>
            </w:r>
          </w:p>
        </w:tc>
        <w:tc>
          <w:tcPr>
            <w:tcW w:w="7620" w:type="dxa"/>
            <w:tcBorders>
              <w:top w:val="single" w:color="auto" w:sz="4" w:space="0"/>
              <w:left w:val="nil"/>
              <w:bottom w:val="single" w:color="auto" w:sz="4" w:space="0"/>
              <w:right w:val="single" w:color="auto" w:sz="4" w:space="0"/>
            </w:tcBorders>
          </w:tcPr>
          <w:p>
            <w:pPr>
              <w:jc w:val="center"/>
              <w:rPr>
                <w:rFonts w:ascii="宋体" w:hAnsi="宋体"/>
                <w:b/>
                <w:bCs/>
                <w:sz w:val="21"/>
                <w:szCs w:val="21"/>
                <w:highlight w:val="none"/>
              </w:rPr>
            </w:pPr>
            <w:r>
              <w:rPr>
                <w:rFonts w:hint="eastAsia" w:ascii="宋体" w:hAnsi="宋体"/>
                <w:b/>
                <w:bCs/>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highlight w:val="none"/>
              </w:rPr>
            </w:pPr>
            <w:r>
              <w:rPr>
                <w:rFonts w:hint="eastAsia" w:ascii="宋体" w:hAnsi="宋体"/>
                <w:sz w:val="21"/>
                <w:szCs w:val="21"/>
                <w:highlight w:val="none"/>
              </w:rPr>
              <w:t>1</w:t>
            </w:r>
          </w:p>
        </w:tc>
        <w:tc>
          <w:tcPr>
            <w:tcW w:w="1215" w:type="dxa"/>
            <w:tcBorders>
              <w:top w:val="single" w:color="auto" w:sz="4" w:space="0"/>
              <w:left w:val="nil"/>
              <w:bottom w:val="single" w:color="auto" w:sz="4" w:space="0"/>
              <w:right w:val="single" w:color="auto" w:sz="4" w:space="0"/>
            </w:tcBorders>
            <w:vAlign w:val="center"/>
          </w:tcPr>
          <w:p>
            <w:pP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图像传感器</w:t>
            </w:r>
          </w:p>
        </w:tc>
        <w:tc>
          <w:tcPr>
            <w:tcW w:w="7620"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lang w:val="en-US" w:eastAsia="zh-CN"/>
              </w:rPr>
              <w:t>不低于</w:t>
            </w:r>
            <w:r>
              <w:rPr>
                <w:rFonts w:hint="eastAsia" w:ascii="宋体" w:hAnsi="宋体"/>
                <w:sz w:val="21"/>
                <w:szCs w:val="21"/>
                <w:highlight w:val="none"/>
              </w:rPr>
              <w:t xml:space="preserve">2/3＂ progressive Scan CMOS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highlight w:val="none"/>
              </w:rPr>
            </w:pPr>
            <w:r>
              <w:rPr>
                <w:rFonts w:hint="eastAsia" w:ascii="宋体" w:hAnsi="宋体"/>
                <w:sz w:val="21"/>
                <w:szCs w:val="21"/>
                <w:highlight w:val="none"/>
              </w:rPr>
              <w:t>2</w:t>
            </w:r>
          </w:p>
        </w:tc>
        <w:tc>
          <w:tcPr>
            <w:tcW w:w="1215"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最低照度</w:t>
            </w:r>
          </w:p>
        </w:tc>
        <w:tc>
          <w:tcPr>
            <w:tcW w:w="7620"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 xml:space="preserve"> 彩色：0.0005Lux @ (F1.5，AGC ON),黑白：0.0001Lux @(F1.5，AGC 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highlight w:val="none"/>
              </w:rPr>
            </w:pPr>
            <w:r>
              <w:rPr>
                <w:rFonts w:hint="eastAsia" w:ascii="宋体" w:hAnsi="宋体"/>
                <w:sz w:val="21"/>
                <w:szCs w:val="21"/>
                <w:highlight w:val="none"/>
              </w:rPr>
              <w:t>3</w:t>
            </w:r>
          </w:p>
        </w:tc>
        <w:tc>
          <w:tcPr>
            <w:tcW w:w="1215"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分辨率及帧率</w:t>
            </w:r>
          </w:p>
        </w:tc>
        <w:tc>
          <w:tcPr>
            <w:tcW w:w="7620"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 xml:space="preserve"> 主码流： 50Hz: 25fps(4096×2160)；60Hz: 30fps(4096×2160)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highlight w:val="none"/>
              </w:rPr>
            </w:pPr>
            <w:r>
              <w:rPr>
                <w:rFonts w:hint="eastAsia" w:ascii="宋体" w:hAnsi="宋体"/>
                <w:sz w:val="21"/>
                <w:szCs w:val="21"/>
                <w:highlight w:val="none"/>
              </w:rPr>
              <w:t>4</w:t>
            </w:r>
          </w:p>
        </w:tc>
        <w:tc>
          <w:tcPr>
            <w:tcW w:w="1215" w:type="dxa"/>
            <w:tcBorders>
              <w:top w:val="single" w:color="auto" w:sz="4" w:space="0"/>
              <w:left w:val="nil"/>
              <w:bottom w:val="single" w:color="auto" w:sz="4" w:space="0"/>
              <w:right w:val="single" w:color="auto" w:sz="4" w:space="0"/>
            </w:tcBorders>
            <w:vAlign w:val="center"/>
          </w:tcPr>
          <w:p>
            <w:pPr>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像素</w:t>
            </w:r>
          </w:p>
        </w:tc>
        <w:tc>
          <w:tcPr>
            <w:tcW w:w="7620" w:type="dxa"/>
            <w:tcBorders>
              <w:top w:val="single" w:color="auto" w:sz="4" w:space="0"/>
              <w:left w:val="nil"/>
              <w:bottom w:val="single" w:color="auto" w:sz="4" w:space="0"/>
              <w:right w:val="single" w:color="auto" w:sz="4" w:space="0"/>
            </w:tcBorders>
            <w:vAlign w:val="center"/>
          </w:tcPr>
          <w:p>
            <w:pP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不低于800万像素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highlight w:val="none"/>
              </w:rPr>
            </w:pPr>
            <w:r>
              <w:rPr>
                <w:rFonts w:hint="eastAsia" w:ascii="宋体" w:hAnsi="宋体"/>
                <w:sz w:val="21"/>
                <w:szCs w:val="21"/>
                <w:highlight w:val="none"/>
              </w:rPr>
              <w:t>5</w:t>
            </w:r>
          </w:p>
        </w:tc>
        <w:tc>
          <w:tcPr>
            <w:tcW w:w="1215"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视频压缩</w:t>
            </w:r>
          </w:p>
        </w:tc>
        <w:tc>
          <w:tcPr>
            <w:tcW w:w="7620"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lang w:val="en-US" w:eastAsia="zh-CN"/>
              </w:rPr>
              <w:t>至少包含</w:t>
            </w:r>
            <w:r>
              <w:rPr>
                <w:rFonts w:hint="eastAsia" w:ascii="宋体" w:hAnsi="宋体"/>
                <w:sz w:val="21"/>
                <w:szCs w:val="21"/>
                <w:highlight w:val="none"/>
              </w:rPr>
              <w:t xml:space="preserve">H.265（Main Profile）/H.264（Baseline、Main、High Profile）/MJPEG/ H.264/ H. 265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highlight w:val="none"/>
              </w:rPr>
            </w:pPr>
            <w:r>
              <w:rPr>
                <w:rFonts w:hint="eastAsia" w:ascii="宋体" w:hAnsi="宋体"/>
                <w:sz w:val="21"/>
                <w:szCs w:val="21"/>
                <w:highlight w:val="none"/>
              </w:rPr>
              <w:t>6</w:t>
            </w:r>
          </w:p>
        </w:tc>
        <w:tc>
          <w:tcPr>
            <w:tcW w:w="1215"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焦距</w:t>
            </w:r>
          </w:p>
        </w:tc>
        <w:tc>
          <w:tcPr>
            <w:tcW w:w="7620"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lang w:val="en-US" w:eastAsia="zh-CN"/>
              </w:rPr>
              <w:t>不低于</w:t>
            </w:r>
            <w:r>
              <w:rPr>
                <w:rFonts w:hint="eastAsia" w:ascii="宋体" w:hAnsi="宋体"/>
                <w:sz w:val="21"/>
                <w:szCs w:val="21"/>
                <w:highlight w:val="none"/>
              </w:rPr>
              <w:t xml:space="preserve">7.5~277.5mm，37倍光学变倍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highlight w:val="none"/>
              </w:rPr>
            </w:pPr>
            <w:r>
              <w:rPr>
                <w:rFonts w:hint="eastAsia" w:ascii="宋体" w:hAnsi="宋体"/>
                <w:sz w:val="21"/>
                <w:szCs w:val="21"/>
                <w:highlight w:val="none"/>
              </w:rPr>
              <w:t>7</w:t>
            </w:r>
          </w:p>
        </w:tc>
        <w:tc>
          <w:tcPr>
            <w:tcW w:w="1215"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图像增强</w:t>
            </w:r>
          </w:p>
        </w:tc>
        <w:tc>
          <w:tcPr>
            <w:tcW w:w="7620"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lang w:val="en-US" w:eastAsia="zh-CN"/>
              </w:rPr>
              <w:t>需要有</w:t>
            </w:r>
            <w:r>
              <w:rPr>
                <w:rFonts w:hint="eastAsia" w:ascii="宋体" w:hAnsi="宋体"/>
                <w:sz w:val="21"/>
                <w:szCs w:val="21"/>
                <w:highlight w:val="none"/>
              </w:rPr>
              <w:t xml:space="preserve">透雾、电子防抖、背光补偿、强光抑制、120dB超宽动态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highlight w:val="none"/>
              </w:rPr>
            </w:pPr>
            <w:r>
              <w:rPr>
                <w:rFonts w:hint="eastAsia" w:ascii="宋体" w:hAnsi="宋体"/>
                <w:sz w:val="21"/>
                <w:szCs w:val="21"/>
                <w:highlight w:val="none"/>
              </w:rPr>
              <w:t>8</w:t>
            </w:r>
          </w:p>
        </w:tc>
        <w:tc>
          <w:tcPr>
            <w:tcW w:w="1215"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水平及垂直范围</w:t>
            </w:r>
          </w:p>
        </w:tc>
        <w:tc>
          <w:tcPr>
            <w:tcW w:w="7620"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水平0°~360°连续旋转 垂直+40°～-90°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highlight w:val="none"/>
              </w:rPr>
            </w:pPr>
            <w:r>
              <w:rPr>
                <w:rFonts w:hint="eastAsia" w:ascii="宋体" w:hAnsi="宋体"/>
                <w:sz w:val="21"/>
                <w:szCs w:val="21"/>
                <w:highlight w:val="none"/>
              </w:rPr>
              <w:t>9</w:t>
            </w:r>
          </w:p>
        </w:tc>
        <w:tc>
          <w:tcPr>
            <w:tcW w:w="1215"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水平速度</w:t>
            </w:r>
          </w:p>
        </w:tc>
        <w:tc>
          <w:tcPr>
            <w:tcW w:w="7620"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lang w:val="en-US" w:eastAsia="zh-CN"/>
              </w:rPr>
              <w:t>不低于</w:t>
            </w:r>
            <w:r>
              <w:rPr>
                <w:rFonts w:hint="eastAsia" w:ascii="宋体" w:hAnsi="宋体"/>
                <w:sz w:val="21"/>
                <w:szCs w:val="21"/>
                <w:highlight w:val="none"/>
              </w:rPr>
              <w:t>水平0.1°~100°/s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highlight w:val="none"/>
              </w:rPr>
            </w:pPr>
            <w:r>
              <w:rPr>
                <w:rFonts w:hint="eastAsia" w:ascii="宋体" w:hAnsi="宋体"/>
                <w:sz w:val="21"/>
                <w:szCs w:val="21"/>
                <w:highlight w:val="none"/>
              </w:rPr>
              <w:t>10</w:t>
            </w:r>
          </w:p>
        </w:tc>
        <w:tc>
          <w:tcPr>
            <w:tcW w:w="1215"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垂直速度</w:t>
            </w:r>
          </w:p>
        </w:tc>
        <w:tc>
          <w:tcPr>
            <w:tcW w:w="7620"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 xml:space="preserve">垂直0.1°~50°/s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highlight w:val="none"/>
              </w:rPr>
            </w:pPr>
            <w:r>
              <w:rPr>
                <w:rFonts w:hint="eastAsia" w:ascii="宋体" w:hAnsi="宋体"/>
                <w:sz w:val="21"/>
                <w:szCs w:val="21"/>
                <w:highlight w:val="none"/>
              </w:rPr>
              <w:t>11</w:t>
            </w:r>
          </w:p>
        </w:tc>
        <w:tc>
          <w:tcPr>
            <w:tcW w:w="1215"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电源接口</w:t>
            </w:r>
          </w:p>
        </w:tc>
        <w:tc>
          <w:tcPr>
            <w:tcW w:w="7620"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 xml:space="preserve">AC24V±25% ，110W 4.58A max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highlight w:val="none"/>
              </w:rPr>
            </w:pPr>
            <w:r>
              <w:rPr>
                <w:rFonts w:hint="eastAsia" w:ascii="宋体" w:hAnsi="宋体"/>
                <w:sz w:val="21"/>
                <w:szCs w:val="21"/>
                <w:highlight w:val="none"/>
              </w:rPr>
              <w:t>12</w:t>
            </w:r>
          </w:p>
        </w:tc>
        <w:tc>
          <w:tcPr>
            <w:tcW w:w="1215"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网络接口</w:t>
            </w:r>
          </w:p>
        </w:tc>
        <w:tc>
          <w:tcPr>
            <w:tcW w:w="7620"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 xml:space="preserve">RJ45网口，自适应10M/100M网络数据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highlight w:val="none"/>
              </w:rPr>
            </w:pPr>
            <w:r>
              <w:rPr>
                <w:rFonts w:hint="eastAsia" w:ascii="宋体" w:hAnsi="宋体"/>
                <w:sz w:val="21"/>
                <w:szCs w:val="21"/>
                <w:highlight w:val="none"/>
              </w:rPr>
              <w:t>13</w:t>
            </w:r>
          </w:p>
        </w:tc>
        <w:tc>
          <w:tcPr>
            <w:tcW w:w="1215"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音频输入/输出</w:t>
            </w:r>
          </w:p>
        </w:tc>
        <w:tc>
          <w:tcPr>
            <w:tcW w:w="7620" w:type="dxa"/>
            <w:tcBorders>
              <w:top w:val="single" w:color="auto" w:sz="4" w:space="0"/>
              <w:left w:val="nil"/>
              <w:bottom w:val="single" w:color="auto" w:sz="4" w:space="0"/>
              <w:right w:val="single" w:color="auto" w:sz="4" w:space="0"/>
            </w:tcBorders>
            <w:vAlign w:val="center"/>
          </w:tcPr>
          <w:p>
            <w:pPr>
              <w:rPr>
                <w:rFonts w:ascii="宋体" w:hAnsi="宋体"/>
                <w:sz w:val="21"/>
                <w:szCs w:val="21"/>
                <w:highlight w:val="none"/>
              </w:rPr>
            </w:pPr>
            <w:r>
              <w:rPr>
                <w:rFonts w:hint="eastAsia" w:ascii="宋体" w:hAnsi="宋体"/>
                <w:sz w:val="21"/>
                <w:szCs w:val="21"/>
                <w:highlight w:val="none"/>
              </w:rPr>
              <w:t>1路音频输入；1路音频输出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14</w:t>
            </w:r>
          </w:p>
        </w:tc>
        <w:tc>
          <w:tcPr>
            <w:tcW w:w="1215" w:type="dxa"/>
            <w:tcBorders>
              <w:top w:val="single" w:color="auto" w:sz="4" w:space="0"/>
              <w:left w:val="nil"/>
              <w:bottom w:val="single" w:color="auto" w:sz="4" w:space="0"/>
              <w:right w:val="single" w:color="auto" w:sz="4" w:space="0"/>
            </w:tcBorders>
            <w:vAlign w:val="center"/>
          </w:tcPr>
          <w:p>
            <w:pPr>
              <w:rPr>
                <w:rFonts w:hint="eastAsia" w:ascii="宋体" w:hAnsi="宋体"/>
                <w:sz w:val="21"/>
                <w:szCs w:val="21"/>
                <w:highlight w:val="none"/>
              </w:rPr>
            </w:pPr>
            <w:r>
              <w:rPr>
                <w:rFonts w:hint="eastAsia" w:ascii="宋体" w:hAnsi="宋体"/>
                <w:sz w:val="21"/>
                <w:szCs w:val="21"/>
                <w:highlight w:val="none"/>
              </w:rPr>
              <w:t>报警输入/输出</w:t>
            </w:r>
          </w:p>
        </w:tc>
        <w:tc>
          <w:tcPr>
            <w:tcW w:w="7620" w:type="dxa"/>
            <w:tcBorders>
              <w:top w:val="single" w:color="auto" w:sz="4" w:space="0"/>
              <w:left w:val="nil"/>
              <w:bottom w:val="single" w:color="auto" w:sz="4" w:space="0"/>
              <w:right w:val="single" w:color="auto" w:sz="4" w:space="0"/>
            </w:tcBorders>
            <w:vAlign w:val="center"/>
          </w:tcPr>
          <w:p>
            <w:pPr>
              <w:rPr>
                <w:rFonts w:hint="eastAsia" w:ascii="宋体" w:hAnsi="宋体"/>
                <w:sz w:val="21"/>
                <w:szCs w:val="21"/>
                <w:highlight w:val="none"/>
              </w:rPr>
            </w:pPr>
            <w:r>
              <w:rPr>
                <w:rFonts w:hint="eastAsia" w:ascii="宋体" w:hAnsi="宋体"/>
                <w:sz w:val="21"/>
                <w:szCs w:val="21"/>
                <w:highlight w:val="none"/>
              </w:rPr>
              <w:t>7路报警输入；2路报警输出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15</w:t>
            </w:r>
          </w:p>
        </w:tc>
        <w:tc>
          <w:tcPr>
            <w:tcW w:w="1215" w:type="dxa"/>
            <w:tcBorders>
              <w:top w:val="single" w:color="auto" w:sz="4" w:space="0"/>
              <w:left w:val="nil"/>
              <w:bottom w:val="single" w:color="auto" w:sz="4" w:space="0"/>
              <w:right w:val="single" w:color="auto" w:sz="4" w:space="0"/>
            </w:tcBorders>
            <w:vAlign w:val="center"/>
          </w:tcPr>
          <w:p>
            <w:pPr>
              <w:rPr>
                <w:rFonts w:hint="eastAsia" w:ascii="宋体" w:hAnsi="宋体"/>
                <w:sz w:val="21"/>
                <w:szCs w:val="21"/>
                <w:highlight w:val="none"/>
              </w:rPr>
            </w:pPr>
            <w:r>
              <w:rPr>
                <w:rFonts w:hint="eastAsia" w:ascii="宋体" w:hAnsi="宋体"/>
                <w:sz w:val="21"/>
                <w:szCs w:val="21"/>
                <w:highlight w:val="none"/>
              </w:rPr>
              <w:t>补光距离</w:t>
            </w:r>
          </w:p>
        </w:tc>
        <w:tc>
          <w:tcPr>
            <w:tcW w:w="7620" w:type="dxa"/>
            <w:tcBorders>
              <w:top w:val="single" w:color="auto" w:sz="4" w:space="0"/>
              <w:left w:val="nil"/>
              <w:bottom w:val="single" w:color="auto" w:sz="4" w:space="0"/>
              <w:right w:val="single" w:color="auto" w:sz="4" w:space="0"/>
            </w:tcBorders>
            <w:vAlign w:val="center"/>
          </w:tcPr>
          <w:p>
            <w:pPr>
              <w:rPr>
                <w:rFonts w:hint="eastAsia" w:ascii="宋体" w:hAnsi="宋体"/>
                <w:sz w:val="21"/>
                <w:szCs w:val="21"/>
                <w:highlight w:val="none"/>
              </w:rPr>
            </w:pPr>
            <w:r>
              <w:rPr>
                <w:rFonts w:hint="eastAsia" w:ascii="宋体" w:hAnsi="宋体"/>
                <w:sz w:val="21"/>
                <w:szCs w:val="21"/>
                <w:highlight w:val="none"/>
              </w:rPr>
              <w:t xml:space="preserve"> 1000米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16</w:t>
            </w:r>
          </w:p>
        </w:tc>
        <w:tc>
          <w:tcPr>
            <w:tcW w:w="1215" w:type="dxa"/>
            <w:tcBorders>
              <w:top w:val="single" w:color="auto" w:sz="4" w:space="0"/>
              <w:left w:val="nil"/>
              <w:bottom w:val="single" w:color="auto" w:sz="4" w:space="0"/>
              <w:right w:val="single" w:color="auto" w:sz="4" w:space="0"/>
            </w:tcBorders>
            <w:vAlign w:val="center"/>
          </w:tcPr>
          <w:p>
            <w:pPr>
              <w:rPr>
                <w:rFonts w:hint="eastAsia" w:ascii="宋体" w:hAnsi="宋体"/>
                <w:sz w:val="21"/>
                <w:szCs w:val="21"/>
                <w:highlight w:val="none"/>
              </w:rPr>
            </w:pPr>
            <w:r>
              <w:rPr>
                <w:rFonts w:hint="eastAsia" w:ascii="宋体" w:hAnsi="宋体"/>
                <w:sz w:val="21"/>
                <w:szCs w:val="21"/>
                <w:highlight w:val="none"/>
              </w:rPr>
              <w:t>防护等级</w:t>
            </w:r>
          </w:p>
        </w:tc>
        <w:tc>
          <w:tcPr>
            <w:tcW w:w="7620" w:type="dxa"/>
            <w:tcBorders>
              <w:top w:val="single" w:color="auto" w:sz="4" w:space="0"/>
              <w:left w:val="nil"/>
              <w:bottom w:val="single" w:color="auto" w:sz="4" w:space="0"/>
              <w:right w:val="single" w:color="auto" w:sz="4" w:space="0"/>
            </w:tcBorders>
            <w:vAlign w:val="center"/>
          </w:tcPr>
          <w:p>
            <w:pPr>
              <w:rPr>
                <w:rFonts w:hint="eastAsia" w:ascii="宋体" w:hAnsi="宋体"/>
                <w:sz w:val="21"/>
                <w:szCs w:val="21"/>
                <w:highlight w:val="none"/>
              </w:rPr>
            </w:pPr>
            <w:r>
              <w:rPr>
                <w:rFonts w:hint="eastAsia" w:ascii="宋体" w:hAnsi="宋体"/>
                <w:sz w:val="21"/>
                <w:szCs w:val="21"/>
                <w:highlight w:val="none"/>
              </w:rPr>
              <w:t xml:space="preserve">IP66、防雷、防浪涌、防突波 </w:t>
            </w:r>
          </w:p>
        </w:tc>
      </w:tr>
    </w:tbl>
    <w:p>
      <w:pPr>
        <w:pStyle w:val="7"/>
        <w:rPr>
          <w:color w:val="auto"/>
          <w:szCs w:val="24"/>
          <w:highlight w:val="none"/>
        </w:rPr>
      </w:pPr>
      <w:r>
        <w:rPr>
          <w:rFonts w:hint="eastAsia"/>
          <w:color w:val="auto"/>
          <w:highlight w:val="none"/>
        </w:rPr>
        <w:t>网络硬盘录像机</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681"/>
        <w:gridCol w:w="7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681"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7169"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机架结构</w:t>
            </w:r>
          </w:p>
        </w:tc>
        <w:tc>
          <w:tcPr>
            <w:tcW w:w="716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2U标准机架式IP存储，嵌入式处理器，嵌入式软硬件设计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接入带宽</w:t>
            </w:r>
          </w:p>
        </w:tc>
        <w:tc>
          <w:tcPr>
            <w:tcW w:w="716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支持至少8路高清，128M带宽网络视频接入，256M网络带宽输出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硬盘驱动器</w:t>
            </w:r>
          </w:p>
        </w:tc>
        <w:tc>
          <w:tcPr>
            <w:tcW w:w="716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支持至少8个SATA盘位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RAID类型</w:t>
            </w:r>
          </w:p>
        </w:tc>
        <w:tc>
          <w:tcPr>
            <w:tcW w:w="716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支持RAID 0、1、5、6、10多种RAID模式及全局热备，多重保护数据安全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68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录像模式</w:t>
            </w:r>
          </w:p>
        </w:tc>
        <w:tc>
          <w:tcPr>
            <w:tcW w:w="7169"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支持关键视频添加标签和加锁保护、整机热备、断网续传等功能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681"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网口</w:t>
            </w:r>
          </w:p>
        </w:tc>
        <w:tc>
          <w:tcPr>
            <w:tcW w:w="7169"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不少于2个千兆以太网口，充分满足网络预览、回放以及备份应用</w:t>
            </w:r>
          </w:p>
        </w:tc>
      </w:tr>
    </w:tbl>
    <w:p>
      <w:pPr>
        <w:pStyle w:val="7"/>
        <w:rPr>
          <w:color w:val="auto"/>
          <w:szCs w:val="24"/>
          <w:highlight w:val="none"/>
        </w:rPr>
      </w:pPr>
      <w:r>
        <w:rPr>
          <w:rFonts w:hint="eastAsia"/>
          <w:color w:val="auto"/>
          <w:highlight w:val="none"/>
        </w:rPr>
        <w:t>视频专用存储硬盘</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3.5英寸 不低于4TB 容量</w:t>
      </w:r>
    </w:p>
    <w:p>
      <w:pPr>
        <w:pStyle w:val="5"/>
        <w:rPr>
          <w:color w:val="auto"/>
          <w:highlight w:val="none"/>
        </w:rPr>
      </w:pPr>
      <w:r>
        <w:rPr>
          <w:rFonts w:hint="eastAsia"/>
          <w:color w:val="auto"/>
          <w:highlight w:val="none"/>
        </w:rPr>
        <w:t>视频监控管理平台</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7"/>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087"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6783"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087" w:type="dxa"/>
            <w:tcBorders>
              <w:top w:val="single" w:color="auto" w:sz="4" w:space="0"/>
              <w:left w:val="nil"/>
              <w:bottom w:val="single" w:color="auto" w:sz="4" w:space="0"/>
              <w:right w:val="single" w:color="auto" w:sz="4" w:space="0"/>
            </w:tcBorders>
            <w:shd w:val="clear" w:color="auto" w:fill="FFFFFF"/>
            <w:vAlign w:val="center"/>
          </w:tcPr>
          <w:p>
            <w:pPr>
              <w:rPr>
                <w:rFonts w:ascii="宋体" w:hAnsi="宋体"/>
                <w:color w:val="auto"/>
                <w:sz w:val="21"/>
                <w:szCs w:val="21"/>
                <w:highlight w:val="none"/>
              </w:rPr>
            </w:pPr>
            <w:r>
              <w:rPr>
                <w:rFonts w:hint="eastAsia" w:ascii="宋体" w:hAnsi="宋体"/>
                <w:color w:val="auto"/>
                <w:sz w:val="21"/>
                <w:szCs w:val="21"/>
                <w:highlight w:val="none"/>
              </w:rPr>
              <w:t>视频监控</w:t>
            </w:r>
          </w:p>
        </w:tc>
        <w:tc>
          <w:tcPr>
            <w:tcW w:w="6783" w:type="dxa"/>
            <w:tcBorders>
              <w:top w:val="single" w:color="auto" w:sz="4" w:space="0"/>
              <w:left w:val="nil"/>
              <w:bottom w:val="single" w:color="auto" w:sz="4" w:space="0"/>
              <w:right w:val="single" w:color="auto" w:sz="4" w:space="0"/>
            </w:tcBorders>
            <w:shd w:val="clear" w:color="auto" w:fill="FFFFFF"/>
            <w:vAlign w:val="center"/>
          </w:tcPr>
          <w:p>
            <w:pPr>
              <w:rPr>
                <w:rFonts w:ascii="宋体" w:hAnsi="宋体"/>
                <w:color w:val="auto"/>
                <w:sz w:val="21"/>
                <w:szCs w:val="21"/>
                <w:highlight w:val="none"/>
              </w:rPr>
            </w:pPr>
            <w:r>
              <w:rPr>
                <w:rFonts w:hint="eastAsia" w:ascii="宋体" w:hAnsi="宋体"/>
                <w:color w:val="auto"/>
                <w:sz w:val="21"/>
                <w:szCs w:val="21"/>
                <w:highlight w:val="none"/>
              </w:rPr>
              <w:t>通过视频实时监控污染企业的主要排污口、监测设备、环境质量监测点、危险源以及公共区域等，支持污染物浓度数据叠加。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087" w:type="dxa"/>
            <w:tcBorders>
              <w:top w:val="single" w:color="auto" w:sz="4" w:space="0"/>
              <w:left w:val="nil"/>
              <w:bottom w:val="single" w:color="auto" w:sz="4" w:space="0"/>
              <w:right w:val="single" w:color="auto" w:sz="4" w:space="0"/>
            </w:tcBorders>
            <w:shd w:val="clear" w:color="auto" w:fill="FFFFFF"/>
            <w:vAlign w:val="center"/>
          </w:tcPr>
          <w:p>
            <w:pPr>
              <w:rPr>
                <w:rFonts w:ascii="宋体" w:hAnsi="宋体"/>
                <w:color w:val="auto"/>
                <w:sz w:val="21"/>
                <w:szCs w:val="21"/>
                <w:highlight w:val="none"/>
              </w:rPr>
            </w:pPr>
            <w:r>
              <w:rPr>
                <w:rFonts w:hint="eastAsia" w:ascii="宋体" w:hAnsi="宋体"/>
                <w:color w:val="auto"/>
                <w:sz w:val="21"/>
                <w:szCs w:val="21"/>
                <w:highlight w:val="none"/>
              </w:rPr>
              <w:t>录像管理</w:t>
            </w:r>
          </w:p>
        </w:tc>
        <w:tc>
          <w:tcPr>
            <w:tcW w:w="6783" w:type="dxa"/>
            <w:tcBorders>
              <w:top w:val="single" w:color="auto" w:sz="4" w:space="0"/>
              <w:left w:val="nil"/>
              <w:bottom w:val="single" w:color="auto" w:sz="4" w:space="0"/>
              <w:right w:val="single" w:color="auto" w:sz="4" w:space="0"/>
            </w:tcBorders>
            <w:shd w:val="clear" w:color="auto" w:fill="FFFFFF"/>
            <w:vAlign w:val="center"/>
          </w:tcPr>
          <w:p>
            <w:pPr>
              <w:rPr>
                <w:rFonts w:ascii="宋体" w:hAnsi="宋体"/>
                <w:color w:val="auto"/>
                <w:sz w:val="21"/>
                <w:szCs w:val="21"/>
                <w:highlight w:val="none"/>
              </w:rPr>
            </w:pPr>
            <w:r>
              <w:rPr>
                <w:rFonts w:hint="eastAsia" w:ascii="宋体" w:hAnsi="宋体"/>
                <w:color w:val="auto"/>
                <w:sz w:val="21"/>
                <w:szCs w:val="21"/>
                <w:highlight w:val="none"/>
              </w:rPr>
              <w:t>查询系统中所有产生的视频信息，可以快进、快退、暂停、播放、停止。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65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087" w:type="dxa"/>
            <w:tcBorders>
              <w:top w:val="single" w:color="auto" w:sz="4" w:space="0"/>
              <w:left w:val="nil"/>
              <w:bottom w:val="single" w:color="auto" w:sz="4" w:space="0"/>
              <w:right w:val="single" w:color="auto" w:sz="4" w:space="0"/>
            </w:tcBorders>
            <w:shd w:val="clear" w:color="auto" w:fill="FFFFFF"/>
            <w:vAlign w:val="center"/>
          </w:tcPr>
          <w:p>
            <w:pPr>
              <w:rPr>
                <w:rFonts w:ascii="宋体" w:hAnsi="宋体"/>
                <w:color w:val="auto"/>
                <w:sz w:val="21"/>
                <w:szCs w:val="21"/>
                <w:highlight w:val="none"/>
              </w:rPr>
            </w:pPr>
            <w:r>
              <w:rPr>
                <w:rFonts w:hint="eastAsia" w:ascii="宋体" w:hAnsi="宋体"/>
                <w:color w:val="auto"/>
                <w:sz w:val="21"/>
                <w:szCs w:val="21"/>
                <w:highlight w:val="none"/>
              </w:rPr>
              <w:t>相关配置</w:t>
            </w:r>
          </w:p>
        </w:tc>
        <w:tc>
          <w:tcPr>
            <w:tcW w:w="6783" w:type="dxa"/>
            <w:tcBorders>
              <w:top w:val="single" w:color="auto" w:sz="4" w:space="0"/>
              <w:left w:val="nil"/>
              <w:bottom w:val="single" w:color="auto" w:sz="4" w:space="0"/>
              <w:right w:val="single" w:color="auto" w:sz="4" w:space="0"/>
            </w:tcBorders>
            <w:shd w:val="clear" w:color="auto" w:fill="FFFFFF"/>
            <w:vAlign w:val="center"/>
          </w:tcPr>
          <w:p>
            <w:pPr>
              <w:rPr>
                <w:rFonts w:ascii="宋体" w:hAnsi="宋体"/>
                <w:color w:val="auto"/>
                <w:sz w:val="21"/>
                <w:szCs w:val="21"/>
                <w:highlight w:val="none"/>
              </w:rPr>
            </w:pPr>
            <w:r>
              <w:rPr>
                <w:rFonts w:hint="eastAsia" w:ascii="宋体" w:hAnsi="宋体"/>
                <w:color w:val="auto"/>
                <w:sz w:val="21"/>
                <w:szCs w:val="21"/>
                <w:highlight w:val="none"/>
              </w:rPr>
              <w:t>对当前系统所有设备进行统一有效管理，支持有系统配置权限的用户对设备进行配置和查询，主要包括DVR设置、设备类型、设备用途、监测因子。</w:t>
            </w:r>
          </w:p>
        </w:tc>
      </w:tr>
    </w:tbl>
    <w:p>
      <w:pPr>
        <w:pStyle w:val="3"/>
        <w:rPr>
          <w:color w:val="auto"/>
          <w:szCs w:val="32"/>
          <w:highlight w:val="none"/>
        </w:rPr>
      </w:pPr>
      <w:r>
        <w:rPr>
          <w:rFonts w:hint="eastAsia"/>
          <w:color w:val="auto"/>
          <w:highlight w:val="none"/>
        </w:rPr>
        <w:t>决策支撑</w:t>
      </w:r>
    </w:p>
    <w:p>
      <w:pPr>
        <w:pStyle w:val="4"/>
        <w:rPr>
          <w:color w:val="auto"/>
          <w:highlight w:val="none"/>
        </w:rPr>
      </w:pPr>
      <w:r>
        <w:rPr>
          <w:rFonts w:hint="eastAsia"/>
          <w:color w:val="auto"/>
          <w:highlight w:val="none"/>
        </w:rPr>
        <w:t>园区数据资源中心</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建设内容全面、业务广泛、数据规范、组织合理的信息资源体系，为管理、信息公开提供数据服务和信息支撑。</w:t>
      </w:r>
    </w:p>
    <w:p>
      <w:pPr>
        <w:pStyle w:val="5"/>
        <w:rPr>
          <w:color w:val="auto"/>
          <w:highlight w:val="none"/>
        </w:rPr>
      </w:pPr>
      <w:r>
        <w:rPr>
          <w:rFonts w:hint="eastAsia"/>
          <w:color w:val="auto"/>
          <w:highlight w:val="none"/>
        </w:rPr>
        <w:t>标准规范体系建设</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平台标准体系主要包括数据标准、服务标准及管理标准等三大类，主要用于规范系统建设过程中的技术要求和数据标准，屏蔽各部门、各系统、各业务之间的差异性，按需、有序、及时、有效的共享信息。</w:t>
      </w:r>
    </w:p>
    <w:p>
      <w:pPr>
        <w:pStyle w:val="5"/>
        <w:rPr>
          <w:color w:val="auto"/>
          <w:highlight w:val="none"/>
        </w:rPr>
      </w:pPr>
      <w:r>
        <w:rPr>
          <w:rFonts w:hint="eastAsia"/>
          <w:color w:val="auto"/>
          <w:highlight w:val="none"/>
        </w:rPr>
        <w:t>数据采集整合</w:t>
      </w:r>
    </w:p>
    <w:tbl>
      <w:tblPr>
        <w:tblStyle w:val="9"/>
        <w:tblW w:w="9628" w:type="dxa"/>
        <w:tblInd w:w="0" w:type="dxa"/>
        <w:tblLayout w:type="fixed"/>
        <w:tblCellMar>
          <w:top w:w="0" w:type="dxa"/>
          <w:left w:w="108" w:type="dxa"/>
          <w:bottom w:w="0" w:type="dxa"/>
          <w:right w:w="108" w:type="dxa"/>
        </w:tblCellMar>
      </w:tblPr>
      <w:tblGrid>
        <w:gridCol w:w="763"/>
        <w:gridCol w:w="1700"/>
        <w:gridCol w:w="7165"/>
      </w:tblGrid>
      <w:tr>
        <w:tblPrEx>
          <w:tblCellMar>
            <w:top w:w="0" w:type="dxa"/>
            <w:left w:w="108" w:type="dxa"/>
            <w:bottom w:w="0" w:type="dxa"/>
            <w:right w:w="108" w:type="dxa"/>
          </w:tblCellMar>
        </w:tblPrEx>
        <w:trPr>
          <w:trHeight w:val="28"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700"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7165"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CellMar>
            <w:top w:w="0" w:type="dxa"/>
            <w:left w:w="108" w:type="dxa"/>
            <w:bottom w:w="0" w:type="dxa"/>
            <w:right w:w="108" w:type="dxa"/>
          </w:tblCellMar>
        </w:tblPrEx>
        <w:trPr>
          <w:trHeight w:val="28" w:hRule="atLeast"/>
        </w:trPr>
        <w:tc>
          <w:tcPr>
            <w:tcW w:w="763" w:type="dxa"/>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700"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数据在线填报</w:t>
            </w:r>
          </w:p>
        </w:tc>
        <w:tc>
          <w:tcPr>
            <w:tcW w:w="7165"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针对特有的业务数据且该数据不具备数据交换的特征，系统通过定制数据录入表单让用户直接进行在线数据填报，完成数据采集入库</w:t>
            </w:r>
          </w:p>
        </w:tc>
      </w:tr>
      <w:tr>
        <w:tblPrEx>
          <w:tblCellMar>
            <w:top w:w="0" w:type="dxa"/>
            <w:left w:w="108" w:type="dxa"/>
            <w:bottom w:w="0" w:type="dxa"/>
            <w:right w:w="108" w:type="dxa"/>
          </w:tblCellMar>
        </w:tblPrEx>
        <w:trPr>
          <w:trHeight w:val="28" w:hRule="atLeast"/>
        </w:trPr>
        <w:tc>
          <w:tcPr>
            <w:tcW w:w="763" w:type="dxa"/>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700"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数据交换整合</w:t>
            </w:r>
          </w:p>
        </w:tc>
        <w:tc>
          <w:tcPr>
            <w:tcW w:w="7165" w:type="dxa"/>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包括定时采集、手动采集、文件导入</w:t>
            </w:r>
          </w:p>
        </w:tc>
      </w:tr>
    </w:tbl>
    <w:p>
      <w:pPr>
        <w:pStyle w:val="5"/>
        <w:rPr>
          <w:color w:val="auto"/>
          <w:highlight w:val="none"/>
        </w:rPr>
      </w:pPr>
      <w:r>
        <w:rPr>
          <w:rFonts w:hint="eastAsia"/>
          <w:color w:val="auto"/>
          <w:highlight w:val="none"/>
        </w:rPr>
        <w:t>数据资源管理</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700"/>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700"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7165"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70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基础信息管理</w:t>
            </w:r>
          </w:p>
        </w:tc>
        <w:tc>
          <w:tcPr>
            <w:tcW w:w="716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维护和管理各业务应用系统在处理业务中均需要使用的各类基础性信息过对基础信息的管理，形成一致的数据资源中心的基础信息库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70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元数据管理</w:t>
            </w:r>
          </w:p>
        </w:tc>
        <w:tc>
          <w:tcPr>
            <w:tcW w:w="716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包括元数据分类、元数据的采集与同步、元数据信息的管理与发布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70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数据查询</w:t>
            </w:r>
          </w:p>
        </w:tc>
        <w:tc>
          <w:tcPr>
            <w:tcW w:w="716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系统为数据中心的数据提供可视化查询功能，如定制查询、动态模板查询等，同时支持数据导出等操作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70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数据资源管理</w:t>
            </w:r>
          </w:p>
        </w:tc>
        <w:tc>
          <w:tcPr>
            <w:tcW w:w="716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系统采用统一的元数据标准对信息资源进行描述，数据中心的数据均视为资源进行统一管理</w:t>
            </w:r>
          </w:p>
        </w:tc>
      </w:tr>
    </w:tbl>
    <w:p>
      <w:pPr>
        <w:pStyle w:val="5"/>
        <w:rPr>
          <w:color w:val="auto"/>
          <w:highlight w:val="none"/>
        </w:rPr>
      </w:pPr>
      <w:r>
        <w:rPr>
          <w:rFonts w:hint="eastAsia"/>
          <w:color w:val="auto"/>
          <w:highlight w:val="none"/>
        </w:rPr>
        <w:t>文档管理</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文系统提供基于文档元数据的检索和基于文档内容的全文检索，并对查询结果进行在线浏览和下载。</w:t>
      </w:r>
    </w:p>
    <w:p>
      <w:pPr>
        <w:pStyle w:val="5"/>
        <w:rPr>
          <w:color w:val="auto"/>
          <w:highlight w:val="none"/>
        </w:rPr>
      </w:pPr>
      <w:r>
        <w:rPr>
          <w:rFonts w:hint="eastAsia"/>
          <w:color w:val="auto"/>
          <w:highlight w:val="none"/>
        </w:rPr>
        <w:t>资源共享中心</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700"/>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700"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7165"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70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全文检索</w:t>
            </w:r>
          </w:p>
        </w:tc>
        <w:tc>
          <w:tcPr>
            <w:tcW w:w="716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针对数据中心所采集的非结构化数据（如资源附件、扫描件等），系统提供基于文档元数据（如分类、标签、类型、时间等）的检索和基于文档内容的全文检索，并对查询结果进行在线浏览和下载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70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资源中心</w:t>
            </w:r>
          </w:p>
        </w:tc>
        <w:tc>
          <w:tcPr>
            <w:tcW w:w="716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包括资源检索、资源注册、个人中心</w:t>
            </w:r>
          </w:p>
        </w:tc>
      </w:tr>
    </w:tbl>
    <w:p>
      <w:pPr>
        <w:pStyle w:val="5"/>
        <w:rPr>
          <w:color w:val="auto"/>
          <w:highlight w:val="none"/>
        </w:rPr>
      </w:pPr>
      <w:r>
        <w:rPr>
          <w:rFonts w:hint="eastAsia"/>
          <w:color w:val="auto"/>
          <w:highlight w:val="none"/>
        </w:rPr>
        <w:t>统计分析</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481"/>
        <w:gridCol w:w="885"/>
        <w:gridCol w:w="6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b/>
                <w:bCs/>
                <w:color w:val="auto"/>
                <w:highlight w:val="none"/>
              </w:rPr>
            </w:pPr>
            <w:r>
              <w:rPr>
                <w:b/>
                <w:bCs/>
                <w:color w:val="auto"/>
                <w:highlight w:val="none"/>
              </w:rPr>
              <w:t>序号</w:t>
            </w:r>
          </w:p>
        </w:tc>
        <w:tc>
          <w:tcPr>
            <w:tcW w:w="1481"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内容</w:t>
            </w:r>
          </w:p>
        </w:tc>
        <w:tc>
          <w:tcPr>
            <w:tcW w:w="7165" w:type="dxa"/>
            <w:gridSpan w:val="2"/>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1</w:t>
            </w:r>
          </w:p>
        </w:tc>
        <w:tc>
          <w:tcPr>
            <w:tcW w:w="1481" w:type="dxa"/>
            <w:vMerge w:val="restart"/>
            <w:tcBorders>
              <w:top w:val="single" w:color="auto" w:sz="4" w:space="0"/>
              <w:left w:val="nil"/>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环境质量综合分析</w:t>
            </w:r>
          </w:p>
          <w:p>
            <w:pPr>
              <w:rPr>
                <w:rFonts w:ascii="宋体" w:hAnsi="宋体"/>
                <w:color w:val="auto"/>
                <w:sz w:val="21"/>
                <w:szCs w:val="21"/>
                <w:highlight w:val="none"/>
              </w:rPr>
            </w:pPr>
          </w:p>
        </w:tc>
        <w:tc>
          <w:tcPr>
            <w:tcW w:w="7165" w:type="dxa"/>
            <w:gridSpan w:val="2"/>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通过对环境监测数据和相关信息的综合分析，科学、客观、完整地分析环境质量在时间、空间的分布规律和特征，提高为园区管理部门制定环境决策和实施环境管理服务的针对性和效能。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color w:val="auto"/>
                <w:highlight w:val="none"/>
              </w:rPr>
              <w:t>2</w:t>
            </w:r>
          </w:p>
        </w:tc>
        <w:tc>
          <w:tcPr>
            <w:tcW w:w="1481" w:type="dxa"/>
            <w:vMerge w:val="continue"/>
            <w:tcBorders>
              <w:left w:val="nil"/>
              <w:right w:val="single" w:color="auto" w:sz="4" w:space="0"/>
            </w:tcBorders>
            <w:vAlign w:val="center"/>
          </w:tcPr>
          <w:p>
            <w:pPr>
              <w:rPr>
                <w:rFonts w:ascii="宋体" w:hAnsi="宋体"/>
                <w:color w:val="auto"/>
                <w:sz w:val="21"/>
                <w:szCs w:val="21"/>
                <w:highlight w:val="none"/>
              </w:rPr>
            </w:pPr>
          </w:p>
        </w:tc>
        <w:tc>
          <w:tcPr>
            <w:tcW w:w="7165" w:type="dxa"/>
            <w:gridSpan w:val="2"/>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通过对环境质量变化的原因分析，揭示环境质量变化与各影响环境质量变化因素的相关性，分析有关环境政策、规划、措施实施的环境效果，为环境污染防治提出重点方向和目标建议。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3</w:t>
            </w:r>
          </w:p>
        </w:tc>
        <w:tc>
          <w:tcPr>
            <w:tcW w:w="1481" w:type="dxa"/>
            <w:vMerge w:val="continue"/>
            <w:tcBorders>
              <w:left w:val="nil"/>
              <w:right w:val="single" w:color="auto" w:sz="4" w:space="0"/>
            </w:tcBorders>
            <w:vAlign w:val="center"/>
          </w:tcPr>
          <w:p>
            <w:pPr>
              <w:rPr>
                <w:rFonts w:ascii="宋体" w:hAnsi="宋体"/>
                <w:color w:val="auto"/>
                <w:sz w:val="21"/>
                <w:szCs w:val="21"/>
                <w:highlight w:val="none"/>
              </w:rPr>
            </w:pPr>
          </w:p>
        </w:tc>
        <w:tc>
          <w:tcPr>
            <w:tcW w:w="7165" w:type="dxa"/>
            <w:gridSpan w:val="2"/>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根据环境质量综合分析的需要，促进环境监测战略、方针、技术路线和监测技术方法的完善和发展。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4</w:t>
            </w:r>
          </w:p>
        </w:tc>
        <w:tc>
          <w:tcPr>
            <w:tcW w:w="1481" w:type="dxa"/>
            <w:vMerge w:val="continue"/>
            <w:tcBorders>
              <w:left w:val="nil"/>
              <w:right w:val="single" w:color="auto" w:sz="4" w:space="0"/>
            </w:tcBorders>
            <w:vAlign w:val="center"/>
          </w:tcPr>
          <w:p>
            <w:pPr>
              <w:rPr>
                <w:rFonts w:ascii="宋体" w:hAnsi="宋体"/>
                <w:color w:val="auto"/>
                <w:sz w:val="21"/>
                <w:szCs w:val="21"/>
                <w:highlight w:val="none"/>
              </w:rPr>
            </w:pPr>
          </w:p>
        </w:tc>
        <w:tc>
          <w:tcPr>
            <w:tcW w:w="7165" w:type="dxa"/>
            <w:gridSpan w:val="2"/>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提高环境质量报告和发布信息的科学化、公众化的水平。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5</w:t>
            </w:r>
          </w:p>
        </w:tc>
        <w:tc>
          <w:tcPr>
            <w:tcW w:w="1481" w:type="dxa"/>
            <w:vMerge w:val="continue"/>
            <w:tcBorders>
              <w:left w:val="nil"/>
              <w:right w:val="single" w:color="auto" w:sz="4" w:space="0"/>
            </w:tcBorders>
            <w:vAlign w:val="center"/>
          </w:tcPr>
          <w:p>
            <w:pPr>
              <w:rPr>
                <w:rFonts w:ascii="宋体" w:hAnsi="宋体"/>
                <w:color w:val="auto"/>
                <w:sz w:val="21"/>
                <w:szCs w:val="21"/>
                <w:highlight w:val="none"/>
              </w:rPr>
            </w:pPr>
          </w:p>
        </w:tc>
        <w:tc>
          <w:tcPr>
            <w:tcW w:w="7165" w:type="dxa"/>
            <w:gridSpan w:val="2"/>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数据资源中心通过与环境地理信息系统相结合，建设园区环境综合分析平台，有效地利用数据分析模型和展现手段实现对环保数据的利用，实现灵活快速的查询和分析，并通过高度可视化方式进行直观展示。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6</w:t>
            </w:r>
          </w:p>
        </w:tc>
        <w:tc>
          <w:tcPr>
            <w:tcW w:w="1481" w:type="dxa"/>
            <w:vMerge w:val="continue"/>
            <w:tcBorders>
              <w:left w:val="nil"/>
              <w:right w:val="single" w:color="auto" w:sz="4" w:space="0"/>
            </w:tcBorders>
            <w:vAlign w:val="center"/>
          </w:tcPr>
          <w:p>
            <w:pPr>
              <w:rPr>
                <w:rFonts w:ascii="宋体" w:hAnsi="宋体"/>
                <w:color w:val="auto"/>
                <w:sz w:val="21"/>
                <w:szCs w:val="21"/>
                <w:highlight w:val="none"/>
              </w:rPr>
            </w:pPr>
          </w:p>
        </w:tc>
        <w:tc>
          <w:tcPr>
            <w:tcW w:w="7165" w:type="dxa"/>
            <w:gridSpan w:val="2"/>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环境质量综合分析主要包括：大气环境质量分析、生态环境质量分析等。在对各类环境质量进行分析时，还可关联污染源数据进行联合分析。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7</w:t>
            </w:r>
          </w:p>
        </w:tc>
        <w:tc>
          <w:tcPr>
            <w:tcW w:w="1481" w:type="dxa"/>
            <w:vMerge w:val="continue"/>
            <w:tcBorders>
              <w:left w:val="nil"/>
              <w:right w:val="single" w:color="auto" w:sz="4" w:space="0"/>
            </w:tcBorders>
            <w:vAlign w:val="center"/>
          </w:tcPr>
          <w:p>
            <w:pPr>
              <w:rPr>
                <w:rFonts w:ascii="宋体" w:hAnsi="宋体"/>
                <w:color w:val="auto"/>
                <w:sz w:val="21"/>
                <w:szCs w:val="21"/>
                <w:highlight w:val="none"/>
              </w:rPr>
            </w:pPr>
          </w:p>
        </w:tc>
        <w:tc>
          <w:tcPr>
            <w:tcW w:w="7165" w:type="dxa"/>
            <w:gridSpan w:val="2"/>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大气环境质量综合分析实现对园区大气特征因子与空气质量的综合分析，主要包括大气特征因子分布分析、特征因子排放浓度统计、空气监测数据统计、厂界特征因子预警统计等。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8</w:t>
            </w:r>
          </w:p>
        </w:tc>
        <w:tc>
          <w:tcPr>
            <w:tcW w:w="1481" w:type="dxa"/>
            <w:vMerge w:val="restart"/>
            <w:tcBorders>
              <w:left w:val="nil"/>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安监业务数据统计分析</w:t>
            </w:r>
          </w:p>
          <w:p>
            <w:pPr>
              <w:rPr>
                <w:rFonts w:ascii="宋体" w:hAnsi="宋体"/>
                <w:color w:val="auto"/>
                <w:sz w:val="21"/>
                <w:szCs w:val="21"/>
                <w:highlight w:val="none"/>
              </w:rPr>
            </w:pPr>
          </w:p>
        </w:tc>
        <w:tc>
          <w:tcPr>
            <w:tcW w:w="7165" w:type="dxa"/>
            <w:gridSpan w:val="2"/>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按照属地管理原则，园区用户可对本园区内各业务信息进行精确或模糊方式查询，支持数据库的全文检索功能。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9</w:t>
            </w:r>
          </w:p>
        </w:tc>
        <w:tc>
          <w:tcPr>
            <w:tcW w:w="1481" w:type="dxa"/>
            <w:vMerge w:val="continue"/>
            <w:tcBorders>
              <w:left w:val="nil"/>
              <w:right w:val="single" w:color="auto" w:sz="4" w:space="0"/>
            </w:tcBorders>
            <w:vAlign w:val="center"/>
          </w:tcPr>
          <w:p>
            <w:pPr>
              <w:rPr>
                <w:rFonts w:ascii="宋体" w:hAnsi="宋体"/>
                <w:color w:val="auto"/>
                <w:sz w:val="21"/>
                <w:szCs w:val="21"/>
                <w:highlight w:val="none"/>
              </w:rPr>
            </w:pPr>
          </w:p>
        </w:tc>
        <w:tc>
          <w:tcPr>
            <w:tcW w:w="7165" w:type="dxa"/>
            <w:gridSpan w:val="2"/>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各级用户可对辖区内的业务信息按照各种方式进行统计分析，支持多字段组合查询统计功能，统计结果可打印输出。实现统计结果饼图、柱状图等方式的灵活直观展示，支持页面打印输出。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10</w:t>
            </w:r>
          </w:p>
        </w:tc>
        <w:tc>
          <w:tcPr>
            <w:tcW w:w="1481" w:type="dxa"/>
            <w:vMerge w:val="continue"/>
            <w:tcBorders>
              <w:left w:val="nil"/>
              <w:right w:val="single" w:color="auto" w:sz="4" w:space="0"/>
            </w:tcBorders>
            <w:vAlign w:val="center"/>
          </w:tcPr>
          <w:p>
            <w:pPr>
              <w:rPr>
                <w:rFonts w:ascii="宋体" w:hAnsi="宋体"/>
                <w:color w:val="auto"/>
                <w:sz w:val="21"/>
                <w:szCs w:val="21"/>
                <w:highlight w:val="none"/>
              </w:rPr>
            </w:pPr>
          </w:p>
        </w:tc>
        <w:tc>
          <w:tcPr>
            <w:tcW w:w="885" w:type="dxa"/>
            <w:vMerge w:val="restart"/>
            <w:tcBorders>
              <w:top w:val="single" w:color="auto" w:sz="4" w:space="0"/>
              <w:left w:val="nil"/>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业务信息的统计</w:t>
            </w:r>
          </w:p>
        </w:tc>
        <w:tc>
          <w:tcPr>
            <w:tcW w:w="628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企业基础信息统计；可根据企业所属行业、企业所在位置、企业规模、经济类型、安全类别和标准化等级等基础信息进行统计分析。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11</w:t>
            </w:r>
          </w:p>
        </w:tc>
        <w:tc>
          <w:tcPr>
            <w:tcW w:w="1481" w:type="dxa"/>
            <w:vMerge w:val="continue"/>
            <w:tcBorders>
              <w:left w:val="nil"/>
              <w:right w:val="single" w:color="auto" w:sz="4" w:space="0"/>
            </w:tcBorders>
            <w:vAlign w:val="center"/>
          </w:tcPr>
          <w:p>
            <w:pPr>
              <w:rPr>
                <w:rFonts w:ascii="宋体" w:hAnsi="宋体"/>
                <w:color w:val="auto"/>
                <w:sz w:val="21"/>
                <w:szCs w:val="21"/>
                <w:highlight w:val="none"/>
              </w:rPr>
            </w:pPr>
          </w:p>
        </w:tc>
        <w:tc>
          <w:tcPr>
            <w:tcW w:w="885" w:type="dxa"/>
            <w:vMerge w:val="continue"/>
            <w:tcBorders>
              <w:left w:val="nil"/>
              <w:right w:val="single" w:color="auto" w:sz="4" w:space="0"/>
            </w:tcBorders>
            <w:vAlign w:val="center"/>
          </w:tcPr>
          <w:p>
            <w:pPr>
              <w:rPr>
                <w:rFonts w:ascii="宋体" w:hAnsi="宋体"/>
                <w:color w:val="auto"/>
                <w:sz w:val="21"/>
                <w:szCs w:val="21"/>
                <w:highlight w:val="none"/>
              </w:rPr>
            </w:pPr>
          </w:p>
        </w:tc>
        <w:tc>
          <w:tcPr>
            <w:tcW w:w="628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企业分类分级信息统计；可根据对企业行业分类的无限分级实现对企业分类分级的信息进行统计分析。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12</w:t>
            </w:r>
          </w:p>
        </w:tc>
        <w:tc>
          <w:tcPr>
            <w:tcW w:w="1481" w:type="dxa"/>
            <w:vMerge w:val="continue"/>
            <w:tcBorders>
              <w:left w:val="nil"/>
              <w:right w:val="single" w:color="auto" w:sz="4" w:space="0"/>
            </w:tcBorders>
            <w:vAlign w:val="center"/>
          </w:tcPr>
          <w:p>
            <w:pPr>
              <w:rPr>
                <w:rFonts w:ascii="宋体" w:hAnsi="宋体"/>
                <w:color w:val="auto"/>
                <w:sz w:val="21"/>
                <w:szCs w:val="21"/>
                <w:highlight w:val="none"/>
              </w:rPr>
            </w:pPr>
          </w:p>
        </w:tc>
        <w:tc>
          <w:tcPr>
            <w:tcW w:w="885" w:type="dxa"/>
            <w:vMerge w:val="continue"/>
            <w:tcBorders>
              <w:left w:val="nil"/>
              <w:right w:val="single" w:color="auto" w:sz="4" w:space="0"/>
            </w:tcBorders>
            <w:vAlign w:val="center"/>
          </w:tcPr>
          <w:p>
            <w:pPr>
              <w:rPr>
                <w:rFonts w:ascii="宋体" w:hAnsi="宋体"/>
                <w:color w:val="auto"/>
                <w:sz w:val="21"/>
                <w:szCs w:val="21"/>
                <w:highlight w:val="none"/>
              </w:rPr>
            </w:pPr>
          </w:p>
        </w:tc>
        <w:tc>
          <w:tcPr>
            <w:tcW w:w="628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重大事故隐患信息统计；可根据事故隐患整改完成、未完成数量统计。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color w:val="auto"/>
                <w:highlight w:val="none"/>
              </w:rPr>
            </w:pPr>
            <w:r>
              <w:rPr>
                <w:rFonts w:hint="eastAsia"/>
                <w:color w:val="auto"/>
                <w:highlight w:val="none"/>
              </w:rPr>
              <w:t>13</w:t>
            </w:r>
          </w:p>
        </w:tc>
        <w:tc>
          <w:tcPr>
            <w:tcW w:w="1481" w:type="dxa"/>
            <w:vMerge w:val="continue"/>
            <w:tcBorders>
              <w:left w:val="nil"/>
              <w:right w:val="single" w:color="auto" w:sz="4" w:space="0"/>
            </w:tcBorders>
            <w:vAlign w:val="center"/>
          </w:tcPr>
          <w:p>
            <w:pPr>
              <w:rPr>
                <w:rFonts w:ascii="宋体" w:hAnsi="宋体"/>
                <w:color w:val="auto"/>
                <w:sz w:val="21"/>
                <w:szCs w:val="21"/>
                <w:highlight w:val="none"/>
              </w:rPr>
            </w:pPr>
          </w:p>
        </w:tc>
        <w:tc>
          <w:tcPr>
            <w:tcW w:w="885" w:type="dxa"/>
            <w:vMerge w:val="continue"/>
            <w:tcBorders>
              <w:left w:val="nil"/>
              <w:bottom w:val="single" w:color="auto" w:sz="4" w:space="0"/>
              <w:right w:val="single" w:color="auto" w:sz="4" w:space="0"/>
            </w:tcBorders>
            <w:vAlign w:val="center"/>
          </w:tcPr>
          <w:p>
            <w:pPr>
              <w:rPr>
                <w:rFonts w:ascii="宋体" w:hAnsi="宋体"/>
                <w:color w:val="auto"/>
                <w:sz w:val="21"/>
                <w:szCs w:val="21"/>
                <w:highlight w:val="none"/>
              </w:rPr>
            </w:pPr>
          </w:p>
        </w:tc>
        <w:tc>
          <w:tcPr>
            <w:tcW w:w="628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企业人员培训信息统计；可根据培训类别培训人员数量统计。</w:t>
            </w:r>
          </w:p>
        </w:tc>
      </w:tr>
    </w:tbl>
    <w:p>
      <w:pPr>
        <w:pStyle w:val="5"/>
        <w:rPr>
          <w:color w:val="auto"/>
          <w:highlight w:val="none"/>
        </w:rPr>
      </w:pPr>
      <w:r>
        <w:rPr>
          <w:rFonts w:hint="eastAsia"/>
          <w:color w:val="auto"/>
          <w:highlight w:val="none"/>
        </w:rPr>
        <w:t>企业综合档案</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700"/>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700"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7165"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70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快速查询</w:t>
            </w:r>
          </w:p>
        </w:tc>
        <w:tc>
          <w:tcPr>
            <w:tcW w:w="716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将用户使用最为频繁的查询方法提取出来，做成若干个固定的查询式样，其中的查询步骤、条件、结果的表现形式都是根据用户的需求事先做好的。用户只需输入或选择相应的查询条件，如名称、所在区域、污染物类型、控制级别等等，就可以得到相应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70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自定义查询</w:t>
            </w:r>
          </w:p>
        </w:tc>
        <w:tc>
          <w:tcPr>
            <w:tcW w:w="716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用户可根据需要，定制查询条件，系统会及时响应并输出结果呈现到界面上。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70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地图与表格双向查询</w:t>
            </w:r>
          </w:p>
        </w:tc>
        <w:tc>
          <w:tcPr>
            <w:tcW w:w="7165"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通过在地图上或列表中查看企业基本信息，可通过污染源的空间属性或业务属性作为查询条件，精确或模糊查询出符合条件的企业信息，得到符合条件的企业在地图上分布显示，不同类型的企业可在地图上以不同的颜色区分。</w:t>
            </w:r>
          </w:p>
        </w:tc>
      </w:tr>
    </w:tbl>
    <w:p>
      <w:pPr>
        <w:pStyle w:val="5"/>
        <w:rPr>
          <w:color w:val="auto"/>
          <w:highlight w:val="none"/>
        </w:rPr>
      </w:pPr>
      <w:r>
        <w:rPr>
          <w:rFonts w:hint="eastAsia"/>
          <w:color w:val="auto"/>
          <w:highlight w:val="none"/>
        </w:rPr>
        <w:t>资源交换共享</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系统基于通用的XML及Schema，定制出一套平台的交换标准，支持SOAP、RMI、Rest Service、Web Service等信息传输方式，将各类数据信息资源封装为服务接口，满足各类应用的数据访问需要。</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对于各类服务接口，系统提供接口元数据信息的查询、服务接口调用日志的查看等辅助功能。</w:t>
      </w:r>
    </w:p>
    <w:p>
      <w:pPr>
        <w:pStyle w:val="5"/>
        <w:rPr>
          <w:color w:val="auto"/>
          <w:highlight w:val="none"/>
        </w:rPr>
      </w:pPr>
      <w:r>
        <w:rPr>
          <w:rFonts w:hint="eastAsia"/>
          <w:color w:val="auto"/>
          <w:highlight w:val="none"/>
        </w:rPr>
        <w:t>系统管理</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维护系统中需进行自定义配置的数据和信息，以便其他功能予以引用。主要包括企业关联管理、功能因子组配置、首页主题配置、污染源档案菜单配置等。</w:t>
      </w:r>
    </w:p>
    <w:p>
      <w:pPr>
        <w:pStyle w:val="4"/>
        <w:rPr>
          <w:color w:val="auto"/>
          <w:highlight w:val="none"/>
        </w:rPr>
      </w:pPr>
      <w:r>
        <w:rPr>
          <w:rFonts w:hint="eastAsia"/>
          <w:color w:val="auto"/>
          <w:highlight w:val="none"/>
        </w:rPr>
        <w:t>大屏展示系统</w:t>
      </w:r>
    </w:p>
    <w:p>
      <w:pPr>
        <w:spacing w:line="360" w:lineRule="auto"/>
        <w:ind w:firstLine="480"/>
        <w:rPr>
          <w:rFonts w:ascii="宋体" w:hAnsi="宋体"/>
          <w:color w:val="auto"/>
          <w:sz w:val="24"/>
          <w:szCs w:val="24"/>
          <w:highlight w:val="none"/>
        </w:rPr>
      </w:pPr>
      <w:r>
        <w:rPr>
          <w:rFonts w:ascii="宋体" w:hAnsi="宋体"/>
          <w:color w:val="auto"/>
          <w:sz w:val="24"/>
          <w:szCs w:val="24"/>
          <w:highlight w:val="none"/>
        </w:rPr>
        <w:t>园区智慧环保综合展示平台包括：园区介绍、环境概览、环境监管</w:t>
      </w:r>
      <w:r>
        <w:rPr>
          <w:rFonts w:hint="eastAsia" w:ascii="宋体" w:hAnsi="宋体"/>
          <w:color w:val="auto"/>
          <w:sz w:val="24"/>
          <w:szCs w:val="24"/>
          <w:highlight w:val="none"/>
        </w:rPr>
        <w:t>、企业评价，</w:t>
      </w:r>
      <w:r>
        <w:rPr>
          <w:rFonts w:ascii="宋体" w:hAnsi="宋体"/>
          <w:color w:val="auto"/>
          <w:sz w:val="24"/>
          <w:szCs w:val="24"/>
          <w:highlight w:val="none"/>
        </w:rPr>
        <w:t>通过大屏直观展示园区智慧环保管理理念及建设成果。</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481"/>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jc w:val="center"/>
              <w:rPr>
                <w:b/>
                <w:bCs/>
                <w:color w:val="auto"/>
                <w:highlight w:val="none"/>
              </w:rPr>
            </w:pPr>
            <w:r>
              <w:rPr>
                <w:b/>
                <w:bCs/>
                <w:color w:val="auto"/>
                <w:highlight w:val="none"/>
              </w:rPr>
              <w:t>序号</w:t>
            </w:r>
          </w:p>
        </w:tc>
        <w:tc>
          <w:tcPr>
            <w:tcW w:w="1481"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内容</w:t>
            </w:r>
          </w:p>
        </w:tc>
        <w:tc>
          <w:tcPr>
            <w:tcW w:w="7165" w:type="dxa"/>
            <w:tcBorders>
              <w:top w:val="single" w:color="auto" w:sz="4" w:space="0"/>
              <w:left w:val="nil"/>
              <w:bottom w:val="single" w:color="auto" w:sz="4" w:space="0"/>
              <w:right w:val="single" w:color="auto" w:sz="4" w:space="0"/>
            </w:tcBorders>
            <w:vAlign w:val="center"/>
          </w:tcPr>
          <w:p>
            <w:pPr>
              <w:pStyle w:val="15"/>
              <w:jc w:val="center"/>
              <w:rPr>
                <w:b/>
                <w:bCs/>
                <w:color w:val="auto"/>
                <w:highlight w:val="none"/>
              </w:rPr>
            </w:pPr>
            <w:r>
              <w:rPr>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rPr>
                <w:color w:val="auto"/>
                <w:highlight w:val="none"/>
              </w:rPr>
            </w:pPr>
            <w:r>
              <w:rPr>
                <w:color w:val="auto"/>
                <w:highlight w:val="none"/>
              </w:rPr>
              <w:t>1</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园区介绍</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ascii="Times New Roman" w:hAnsi="Times New Roman" w:cs="Times New Roman"/>
                <w:color w:val="auto"/>
                <w:highlight w:val="none"/>
              </w:rPr>
              <w:t>包</w:t>
            </w:r>
            <w:r>
              <w:rPr>
                <w:rFonts w:hint="eastAsia"/>
                <w:color w:val="auto"/>
                <w:highlight w:val="none"/>
              </w:rPr>
              <w:t>括园区基本信息、发展定位、园区经济等指标的变化，近期园区的主要环保相关的大事件以及旨在建设生态园区方面的一些投入产出情况。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rPr>
                <w:color w:val="auto"/>
                <w:highlight w:val="none"/>
              </w:rPr>
            </w:pPr>
            <w:r>
              <w:rPr>
                <w:color w:val="auto"/>
                <w:highlight w:val="none"/>
              </w:rPr>
              <w:t>2</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环境概览</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1</w:t>
            </w:r>
            <w:r>
              <w:rPr>
                <w:rFonts w:hint="eastAsia" w:ascii="宋体" w:hAnsi="宋体"/>
                <w:color w:val="auto"/>
                <w:highlight w:val="none"/>
              </w:rPr>
              <w:t>）园区空气质量情况，如园区全年优良天数、优良率以及同比去年变化情况和全年首要污染物分布；</w:t>
            </w:r>
          </w:p>
          <w:p>
            <w:pPr>
              <w:pStyle w:val="15"/>
              <w:rPr>
                <w:color w:val="auto"/>
                <w:highlight w:val="none"/>
              </w:rPr>
            </w:pPr>
            <w:r>
              <w:rPr>
                <w:rFonts w:hint="eastAsia"/>
                <w:color w:val="auto"/>
                <w:highlight w:val="none"/>
              </w:rPr>
              <w:t>2</w:t>
            </w:r>
            <w:r>
              <w:rPr>
                <w:rFonts w:hint="eastAsia" w:ascii="宋体" w:hAnsi="宋体"/>
                <w:color w:val="auto"/>
                <w:highlight w:val="none"/>
              </w:rPr>
              <w:t>）园区各污染物的环境容量以及当前排放量</w:t>
            </w:r>
            <w:r>
              <w:rPr>
                <w:rFonts w:hint="eastAsia"/>
                <w:color w:val="auto"/>
                <w:highlight w:val="none"/>
              </w:rPr>
              <w:t>；</w:t>
            </w:r>
          </w:p>
          <w:p>
            <w:pPr>
              <w:pStyle w:val="15"/>
              <w:rPr>
                <w:color w:val="auto"/>
                <w:highlight w:val="none"/>
              </w:rPr>
            </w:pPr>
            <w:r>
              <w:rPr>
                <w:rFonts w:hint="eastAsia"/>
                <w:color w:val="auto"/>
                <w:highlight w:val="none"/>
              </w:rPr>
              <w:t>3</w:t>
            </w:r>
            <w:r>
              <w:rPr>
                <w:rFonts w:hint="eastAsia" w:ascii="宋体" w:hAnsi="宋体"/>
                <w:color w:val="auto"/>
                <w:highlight w:val="none"/>
              </w:rPr>
              <w:t>）近期环境变化情况，包括空气质量、废气污染物等</w:t>
            </w:r>
            <w:r>
              <w:rPr>
                <w:rFonts w:hint="eastAsia"/>
                <w:color w:val="auto"/>
                <w:highlight w:val="none"/>
              </w:rPr>
              <w:t>；</w:t>
            </w:r>
          </w:p>
          <w:p>
            <w:pPr>
              <w:pStyle w:val="15"/>
              <w:rPr>
                <w:color w:val="auto"/>
                <w:highlight w:val="none"/>
              </w:rPr>
            </w:pPr>
            <w:r>
              <w:rPr>
                <w:rFonts w:hint="eastAsia"/>
                <w:color w:val="auto"/>
                <w:highlight w:val="none"/>
              </w:rPr>
              <w:t>4</w:t>
            </w:r>
            <w:r>
              <w:rPr>
                <w:rFonts w:hint="eastAsia" w:ascii="宋体" w:hAnsi="宋体"/>
                <w:color w:val="auto"/>
                <w:highlight w:val="none"/>
              </w:rPr>
              <w:t>）结合地图展示园区排污大户、许可预警、超标企业信息。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rPr>
                <w:color w:val="auto"/>
                <w:highlight w:val="none"/>
              </w:rPr>
            </w:pPr>
            <w:r>
              <w:rPr>
                <w:rFonts w:hint="eastAsia"/>
                <w:color w:val="auto"/>
                <w:highlight w:val="none"/>
              </w:rPr>
              <w:t>3</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环境监管</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展示园区环境监管情况和成效，包括立体监测网、综合管控、污染防治以及环境地图。</w:t>
            </w:r>
          </w:p>
          <w:p>
            <w:pPr>
              <w:pStyle w:val="15"/>
              <w:rPr>
                <w:color w:val="auto"/>
                <w:highlight w:val="none"/>
              </w:rPr>
            </w:pPr>
            <w:r>
              <w:rPr>
                <w:rFonts w:hint="eastAsia"/>
                <w:color w:val="auto"/>
                <w:highlight w:val="none"/>
              </w:rPr>
              <w:t>1</w:t>
            </w:r>
            <w:r>
              <w:rPr>
                <w:rFonts w:hint="eastAsia" w:ascii="宋体" w:hAnsi="宋体"/>
                <w:color w:val="auto"/>
                <w:highlight w:val="none"/>
              </w:rPr>
              <w:t>）立体监测网：体现园区监测监管能力，环境监测开展情况，监测点的实时状态等；</w:t>
            </w:r>
          </w:p>
          <w:p>
            <w:pPr>
              <w:pStyle w:val="15"/>
              <w:rPr>
                <w:color w:val="auto"/>
                <w:highlight w:val="none"/>
              </w:rPr>
            </w:pPr>
            <w:r>
              <w:rPr>
                <w:rFonts w:hint="eastAsia"/>
                <w:color w:val="auto"/>
                <w:highlight w:val="none"/>
              </w:rPr>
              <w:t>2</w:t>
            </w:r>
            <w:r>
              <w:rPr>
                <w:rFonts w:hint="eastAsia" w:ascii="宋体" w:hAnsi="宋体"/>
                <w:color w:val="auto"/>
                <w:highlight w:val="none"/>
              </w:rPr>
              <w:t>）综合管控：如排污许可证管理，展示各行业许可证数量分布以及许可证发放比例</w:t>
            </w:r>
            <w:r>
              <w:rPr>
                <w:rFonts w:hint="eastAsia"/>
                <w:color w:val="auto"/>
                <w:highlight w:val="none"/>
              </w:rPr>
              <w:t>；</w:t>
            </w:r>
          </w:p>
          <w:p>
            <w:pPr>
              <w:pStyle w:val="15"/>
              <w:rPr>
                <w:color w:val="auto"/>
                <w:highlight w:val="none"/>
              </w:rPr>
            </w:pPr>
            <w:r>
              <w:rPr>
                <w:rFonts w:hint="eastAsia"/>
                <w:color w:val="auto"/>
                <w:highlight w:val="none"/>
              </w:rPr>
              <w:t>3</w:t>
            </w:r>
            <w:r>
              <w:rPr>
                <w:rFonts w:hint="eastAsia" w:ascii="宋体" w:hAnsi="宋体"/>
                <w:color w:val="auto"/>
                <w:highlight w:val="none"/>
              </w:rPr>
              <w:t>）结合地图展示园区监测设备实时运行状态、报警情况。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2" w:type="dxa"/>
            <w:tcBorders>
              <w:top w:val="single" w:color="auto" w:sz="4" w:space="0"/>
              <w:left w:val="single" w:color="auto" w:sz="4" w:space="0"/>
              <w:bottom w:val="single" w:color="auto" w:sz="4" w:space="0"/>
              <w:right w:val="single" w:color="auto" w:sz="4" w:space="0"/>
            </w:tcBorders>
            <w:vAlign w:val="center"/>
          </w:tcPr>
          <w:p>
            <w:pPr>
              <w:pStyle w:val="15"/>
              <w:rPr>
                <w:color w:val="auto"/>
                <w:highlight w:val="none"/>
              </w:rPr>
            </w:pPr>
            <w:r>
              <w:rPr>
                <w:rFonts w:hint="eastAsia"/>
                <w:color w:val="auto"/>
                <w:highlight w:val="none"/>
              </w:rPr>
              <w:t>4</w:t>
            </w:r>
          </w:p>
        </w:tc>
        <w:tc>
          <w:tcPr>
            <w:tcW w:w="1481"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企业评价</w:t>
            </w:r>
          </w:p>
        </w:tc>
        <w:tc>
          <w:tcPr>
            <w:tcW w:w="7165" w:type="dxa"/>
            <w:tcBorders>
              <w:top w:val="single" w:color="auto" w:sz="4" w:space="0"/>
              <w:left w:val="nil"/>
              <w:bottom w:val="single" w:color="auto" w:sz="4" w:space="0"/>
              <w:right w:val="single" w:color="auto" w:sz="4" w:space="0"/>
            </w:tcBorders>
            <w:vAlign w:val="center"/>
          </w:tcPr>
          <w:p>
            <w:pPr>
              <w:pStyle w:val="15"/>
              <w:rPr>
                <w:color w:val="auto"/>
                <w:highlight w:val="none"/>
              </w:rPr>
            </w:pPr>
            <w:r>
              <w:rPr>
                <w:rFonts w:hint="eastAsia"/>
                <w:color w:val="auto"/>
                <w:highlight w:val="none"/>
              </w:rPr>
              <w:t>展示园区环境、安全、能源等评价信息，包括评价近况、评价工作、结果分析。</w:t>
            </w:r>
          </w:p>
        </w:tc>
      </w:tr>
    </w:tbl>
    <w:p>
      <w:pPr>
        <w:ind w:firstLine="480"/>
        <w:rPr>
          <w:color w:val="auto"/>
          <w:szCs w:val="28"/>
          <w:highlight w:val="none"/>
        </w:rPr>
      </w:pPr>
      <w:r>
        <w:rPr>
          <w:rFonts w:hint="eastAsia"/>
          <w:color w:val="auto"/>
          <w:highlight w:val="none"/>
        </w:rPr>
        <w:t xml:space="preserve"> </w:t>
      </w:r>
    </w:p>
    <w:p>
      <w:pPr>
        <w:pStyle w:val="4"/>
        <w:rPr>
          <w:color w:val="auto"/>
          <w:highlight w:val="none"/>
        </w:rPr>
      </w:pPr>
      <w:r>
        <w:rPr>
          <w:rFonts w:hint="eastAsia"/>
          <w:color w:val="auto"/>
          <w:highlight w:val="none"/>
        </w:rPr>
        <w:t>企业信用评价</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通过对企业状况进行全面诊断，以发现企业症结之所在，从而为企业优化改造提供指导。</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24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4" w:type="dxa"/>
            <w:tcBorders>
              <w:top w:val="single" w:color="auto" w:sz="4" w:space="0"/>
              <w:left w:val="single" w:color="auto" w:sz="4" w:space="0"/>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240"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7654"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24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诊断评价</w:t>
            </w:r>
          </w:p>
        </w:tc>
        <w:tc>
          <w:tcPr>
            <w:tcW w:w="7654"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1、企业评价：通过列表方式显示评价任务信息，包括任务的序号、任务名称、任务编号、评分方法、评价方案、评价周期、处理状态。系统根据维护的计划生成任务。</w:t>
            </w:r>
          </w:p>
          <w:p>
            <w:pPr>
              <w:rPr>
                <w:rFonts w:ascii="宋体" w:hAnsi="宋体"/>
                <w:color w:val="auto"/>
                <w:sz w:val="21"/>
                <w:szCs w:val="21"/>
                <w:highlight w:val="none"/>
              </w:rPr>
            </w:pPr>
            <w:r>
              <w:rPr>
                <w:rFonts w:hint="eastAsia" w:ascii="宋体" w:hAnsi="宋体"/>
                <w:color w:val="auto"/>
                <w:sz w:val="21"/>
                <w:szCs w:val="21"/>
                <w:highlight w:val="none"/>
              </w:rPr>
              <w:t>2、评价分析：提供多维度评价分析及企业排名，帮助园区管理者找出重点管理企业，重点管理项目。</w:t>
            </w:r>
          </w:p>
          <w:p>
            <w:pPr>
              <w:rPr>
                <w:rFonts w:ascii="宋体" w:hAnsi="宋体"/>
                <w:color w:val="auto"/>
                <w:sz w:val="21"/>
                <w:szCs w:val="21"/>
                <w:highlight w:val="none"/>
              </w:rPr>
            </w:pPr>
            <w:r>
              <w:rPr>
                <w:rFonts w:hint="eastAsia" w:ascii="宋体" w:hAnsi="宋体"/>
                <w:color w:val="auto"/>
                <w:sz w:val="21"/>
                <w:szCs w:val="21"/>
                <w:highlight w:val="none"/>
              </w:rPr>
              <w:t>3、评价报表：支持历次评价结果的查看、导出以及企业的详细评价报表，每次评价的评分方法、评价方案、评价周期。</w:t>
            </w:r>
          </w:p>
          <w:p>
            <w:pPr>
              <w:rPr>
                <w:rFonts w:ascii="宋体" w:hAnsi="宋体"/>
                <w:color w:val="auto"/>
                <w:sz w:val="21"/>
                <w:szCs w:val="21"/>
                <w:highlight w:val="none"/>
              </w:rPr>
            </w:pPr>
            <w:r>
              <w:rPr>
                <w:rFonts w:hint="eastAsia" w:ascii="宋体" w:hAnsi="宋体"/>
                <w:color w:val="auto"/>
                <w:sz w:val="21"/>
                <w:szCs w:val="21"/>
                <w:highlight w:val="none"/>
              </w:rPr>
              <w:t>4、计划管理：包括计划名称、计划编码、评价频次（单次或多次）、评价周期，评分方法、评价方案，以及参评企业名单。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24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相关配置</w:t>
            </w:r>
          </w:p>
        </w:tc>
        <w:tc>
          <w:tcPr>
            <w:tcW w:w="7654"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包括企业库、指标库、参数库、评价项标准、评价结果标准、评价方案、计划管理等模块，实现系统的基础配置。</w:t>
            </w:r>
          </w:p>
        </w:tc>
      </w:tr>
    </w:tbl>
    <w:p>
      <w:pPr>
        <w:pStyle w:val="3"/>
        <w:rPr>
          <w:color w:val="auto"/>
          <w:szCs w:val="32"/>
          <w:highlight w:val="none"/>
        </w:rPr>
      </w:pPr>
      <w:r>
        <w:rPr>
          <w:rFonts w:hint="eastAsia"/>
          <w:color w:val="auto"/>
          <w:highlight w:val="none"/>
        </w:rPr>
        <w:t>监控预警指挥中心</w:t>
      </w:r>
    </w:p>
    <w:p>
      <w:pPr>
        <w:pStyle w:val="4"/>
        <w:rPr>
          <w:color w:val="auto"/>
          <w:highlight w:val="none"/>
        </w:rPr>
      </w:pPr>
      <w:r>
        <w:rPr>
          <w:rFonts w:hint="eastAsia"/>
          <w:color w:val="auto"/>
          <w:highlight w:val="none"/>
        </w:rPr>
        <w:t>基础IT软硬件建设清单</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3"/>
        <w:gridCol w:w="4727"/>
        <w:gridCol w:w="809"/>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tcBorders>
              <w:top w:val="single" w:color="auto" w:sz="4" w:space="0"/>
              <w:left w:val="single" w:color="auto" w:sz="4" w:space="0"/>
              <w:bottom w:val="single" w:color="auto" w:sz="4" w:space="0"/>
              <w:right w:val="single" w:color="auto" w:sz="4" w:space="0"/>
            </w:tcBorders>
            <w:vAlign w:val="center"/>
          </w:tcPr>
          <w:p>
            <w:pPr>
              <w:pStyle w:val="15"/>
              <w:jc w:val="center"/>
              <w:rPr>
                <w:rFonts w:ascii="宋体" w:hAnsi="宋体"/>
                <w:b/>
                <w:bCs/>
                <w:color w:val="auto"/>
                <w:highlight w:val="none"/>
              </w:rPr>
            </w:pPr>
            <w:r>
              <w:rPr>
                <w:rFonts w:hint="eastAsia" w:ascii="宋体" w:hAnsi="宋体"/>
                <w:b/>
                <w:bCs/>
                <w:color w:val="auto"/>
                <w:highlight w:val="none"/>
              </w:rPr>
              <w:t>建设项目</w:t>
            </w:r>
          </w:p>
        </w:tc>
        <w:tc>
          <w:tcPr>
            <w:tcW w:w="4727" w:type="dxa"/>
            <w:tcBorders>
              <w:top w:val="single" w:color="auto" w:sz="4" w:space="0"/>
              <w:left w:val="nil"/>
              <w:bottom w:val="single" w:color="auto" w:sz="4" w:space="0"/>
              <w:right w:val="single" w:color="auto" w:sz="4" w:space="0"/>
            </w:tcBorders>
            <w:vAlign w:val="center"/>
          </w:tcPr>
          <w:p>
            <w:pPr>
              <w:pStyle w:val="15"/>
              <w:jc w:val="center"/>
              <w:rPr>
                <w:rFonts w:ascii="宋体" w:hAnsi="宋体"/>
                <w:b/>
                <w:bCs/>
                <w:color w:val="auto"/>
                <w:highlight w:val="none"/>
              </w:rPr>
            </w:pPr>
            <w:r>
              <w:rPr>
                <w:rFonts w:hint="eastAsia" w:ascii="宋体" w:hAnsi="宋体"/>
                <w:b/>
                <w:bCs/>
                <w:color w:val="auto"/>
                <w:highlight w:val="none"/>
              </w:rPr>
              <w:t>建设内容</w:t>
            </w:r>
          </w:p>
        </w:tc>
        <w:tc>
          <w:tcPr>
            <w:tcW w:w="809" w:type="dxa"/>
            <w:tcBorders>
              <w:top w:val="single" w:color="auto" w:sz="4" w:space="0"/>
              <w:left w:val="nil"/>
              <w:bottom w:val="single" w:color="auto" w:sz="4" w:space="0"/>
              <w:right w:val="single" w:color="auto" w:sz="4" w:space="0"/>
            </w:tcBorders>
            <w:vAlign w:val="center"/>
          </w:tcPr>
          <w:p>
            <w:pPr>
              <w:pStyle w:val="15"/>
              <w:jc w:val="center"/>
              <w:rPr>
                <w:rFonts w:ascii="宋体" w:hAnsi="宋体"/>
                <w:b/>
                <w:bCs/>
                <w:color w:val="auto"/>
                <w:highlight w:val="none"/>
              </w:rPr>
            </w:pPr>
            <w:r>
              <w:rPr>
                <w:rFonts w:hint="eastAsia" w:ascii="宋体" w:hAnsi="宋体"/>
                <w:b/>
                <w:bCs/>
                <w:color w:val="auto"/>
                <w:highlight w:val="none"/>
              </w:rPr>
              <w:t>数量</w:t>
            </w:r>
          </w:p>
        </w:tc>
        <w:tc>
          <w:tcPr>
            <w:tcW w:w="909" w:type="dxa"/>
            <w:tcBorders>
              <w:top w:val="single" w:color="auto" w:sz="4" w:space="0"/>
              <w:left w:val="nil"/>
              <w:bottom w:val="single" w:color="auto" w:sz="4" w:space="0"/>
              <w:right w:val="single" w:color="auto" w:sz="4" w:space="0"/>
            </w:tcBorders>
            <w:vAlign w:val="center"/>
          </w:tcPr>
          <w:p>
            <w:pPr>
              <w:pStyle w:val="15"/>
              <w:jc w:val="center"/>
              <w:rPr>
                <w:rFonts w:ascii="宋体" w:hAnsi="宋体"/>
                <w:b/>
                <w:bCs/>
                <w:color w:val="auto"/>
                <w:highlight w:val="none"/>
              </w:rPr>
            </w:pPr>
            <w:r>
              <w:rPr>
                <w:rFonts w:hint="eastAsia" w:ascii="宋体" w:hAnsi="宋体"/>
                <w:b/>
                <w:bCs/>
                <w:color w:val="auto"/>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83" w:type="dxa"/>
            <w:vMerge w:val="restart"/>
            <w:tcBorders>
              <w:top w:val="nil"/>
              <w:left w:val="single" w:color="auto" w:sz="4" w:space="0"/>
              <w:bottom w:val="single" w:color="auto" w:sz="4" w:space="0"/>
              <w:right w:val="single" w:color="auto" w:sz="4" w:space="0"/>
            </w:tcBorders>
            <w:shd w:val="clear" w:color="auto" w:fill="FFFFFF"/>
            <w:vAlign w:val="center"/>
          </w:tcPr>
          <w:p>
            <w:pPr>
              <w:pStyle w:val="15"/>
              <w:rPr>
                <w:rFonts w:ascii="宋体" w:hAnsi="宋体"/>
                <w:color w:val="auto"/>
                <w:highlight w:val="none"/>
              </w:rPr>
            </w:pPr>
            <w:r>
              <w:rPr>
                <w:rFonts w:hint="eastAsia" w:ascii="宋体" w:hAnsi="宋体"/>
                <w:color w:val="auto"/>
                <w:highlight w:val="none"/>
              </w:rPr>
              <w:t xml:space="preserve">大屏显示系统   </w:t>
            </w: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LED大屏</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sz w:val="20"/>
                <w:highlight w:val="none"/>
              </w:rPr>
              <w:t>29.6284</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m</w:t>
            </w:r>
            <w:r>
              <w:rPr>
                <w:rFonts w:hint="eastAsia" w:ascii="宋体" w:hAnsi="宋体"/>
                <w:color w:val="auto"/>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配套软件</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1</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控制系统</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10</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拼接控制器</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1</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钢结构</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30.7724</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配电系统</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1</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线缆辅料</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1</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监控中心装修费用</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1</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0.5㎡屏幕备品备件</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1</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restart"/>
            <w:tcBorders>
              <w:top w:val="nil"/>
              <w:left w:val="single" w:color="auto" w:sz="4" w:space="0"/>
              <w:bottom w:val="single" w:color="auto" w:sz="4" w:space="0"/>
              <w:right w:val="single" w:color="auto" w:sz="4" w:space="0"/>
            </w:tcBorders>
            <w:shd w:val="clear" w:color="auto" w:fill="FFFFFF"/>
            <w:vAlign w:val="center"/>
          </w:tcPr>
          <w:p>
            <w:pPr>
              <w:pStyle w:val="15"/>
              <w:rPr>
                <w:rFonts w:ascii="宋体" w:hAnsi="宋体"/>
                <w:color w:val="auto"/>
                <w:highlight w:val="none"/>
              </w:rPr>
            </w:pPr>
            <w:r>
              <w:rPr>
                <w:rFonts w:hint="eastAsia" w:ascii="宋体" w:hAnsi="宋体"/>
                <w:color w:val="auto"/>
                <w:highlight w:val="none"/>
              </w:rPr>
              <w:t>服务器及存储</w:t>
            </w: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数据库服务器</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 xml:space="preserve">2 </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应用服务器</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 xml:space="preserve">10 </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shd w:val="clear" w:color="auto" w:fill="FFFFFF"/>
            <w:vAlign w:val="bottom"/>
          </w:tcPr>
          <w:p>
            <w:pPr>
              <w:pStyle w:val="15"/>
              <w:rPr>
                <w:rFonts w:ascii="宋体" w:hAnsi="宋体"/>
                <w:color w:val="auto"/>
                <w:highlight w:val="none"/>
              </w:rPr>
            </w:pPr>
            <w:r>
              <w:rPr>
                <w:rFonts w:hint="eastAsia" w:ascii="宋体" w:hAnsi="宋体"/>
                <w:color w:val="auto"/>
                <w:highlight w:val="none"/>
              </w:rPr>
              <w:t>平台接入引擎服务器</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 xml:space="preserve">2 </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restart"/>
            <w:tcBorders>
              <w:top w:val="nil"/>
              <w:left w:val="single" w:color="auto" w:sz="4" w:space="0"/>
              <w:bottom w:val="single" w:color="auto" w:sz="4" w:space="0"/>
              <w:right w:val="single" w:color="auto" w:sz="4" w:space="0"/>
            </w:tcBorders>
            <w:shd w:val="clear" w:color="auto" w:fill="FFFFFF"/>
            <w:vAlign w:val="center"/>
          </w:tcPr>
          <w:p>
            <w:pPr>
              <w:pStyle w:val="15"/>
              <w:rPr>
                <w:rFonts w:ascii="宋体" w:hAnsi="宋体"/>
                <w:color w:val="auto"/>
                <w:highlight w:val="none"/>
              </w:rPr>
            </w:pPr>
            <w:r>
              <w:rPr>
                <w:rFonts w:hint="eastAsia" w:ascii="宋体" w:hAnsi="宋体"/>
                <w:color w:val="auto"/>
                <w:highlight w:val="none"/>
              </w:rPr>
              <w:t>网络及安全设备</w:t>
            </w: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核心交换机</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szCs w:val="21"/>
                <w:highlight w:val="none"/>
              </w:rPr>
            </w:pPr>
            <w:r>
              <w:rPr>
                <w:rFonts w:hint="eastAsia" w:ascii="宋体" w:hAnsi="宋体"/>
                <w:color w:val="auto"/>
                <w:highlight w:val="none"/>
              </w:rPr>
              <w:t>1</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节点交换机</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szCs w:val="21"/>
                <w:highlight w:val="none"/>
              </w:rPr>
            </w:pPr>
            <w:r>
              <w:rPr>
                <w:rFonts w:hint="eastAsia" w:ascii="宋体" w:hAnsi="宋体"/>
                <w:color w:val="auto"/>
                <w:highlight w:val="none"/>
              </w:rPr>
              <w:t>1</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外网防火墙</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 xml:space="preserve">1 </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内网入侵防御系统</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1</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外网WEB应用系统</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1</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外网网闸</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1</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内网防火墙</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 xml:space="preserve">1 </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内网网闸</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1</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存储备份一体机</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 xml:space="preserve">1 </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杀毒软件</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15</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restart"/>
            <w:tcBorders>
              <w:top w:val="nil"/>
              <w:left w:val="single" w:color="auto" w:sz="4" w:space="0"/>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人工智能监测系统硬件配置</w:t>
            </w: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视频接入和解码/数据接入行为分析/WEB平台服务器</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 xml:space="preserve">2 </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服务器操作系统</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 xml:space="preserve">2 </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数据库软件</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 xml:space="preserve">1 </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交换机</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 xml:space="preserve">1 </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KVM切换器</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 xml:space="preserve">1 </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网闸</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 xml:space="preserve">1 </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视频AI、GPU服务器</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 xml:space="preserve">1 </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200万红外高清半球型网络摄像机</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 xml:space="preserve">4 </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restart"/>
            <w:tcBorders>
              <w:top w:val="nil"/>
              <w:left w:val="single" w:color="auto" w:sz="4" w:space="0"/>
              <w:bottom w:val="single" w:color="auto" w:sz="4" w:space="0"/>
              <w:right w:val="single" w:color="auto" w:sz="4" w:space="0"/>
            </w:tcBorders>
            <w:shd w:val="clear" w:color="auto" w:fill="FFFFFF"/>
            <w:vAlign w:val="center"/>
          </w:tcPr>
          <w:p>
            <w:pPr>
              <w:pStyle w:val="15"/>
              <w:rPr>
                <w:rFonts w:ascii="宋体" w:hAnsi="宋体"/>
                <w:color w:val="auto"/>
                <w:highlight w:val="none"/>
              </w:rPr>
            </w:pPr>
            <w:r>
              <w:rPr>
                <w:rFonts w:hint="eastAsia" w:ascii="宋体" w:hAnsi="宋体"/>
                <w:color w:val="auto"/>
                <w:highlight w:val="none"/>
              </w:rPr>
              <w:t>基础支撑软件</w:t>
            </w: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服务器操作系统</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 xml:space="preserve">14 </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数据库软件</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 xml:space="preserve">2 </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双机热备软件</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1</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restart"/>
            <w:tcBorders>
              <w:top w:val="nil"/>
              <w:left w:val="single" w:color="auto" w:sz="4" w:space="0"/>
              <w:bottom w:val="single" w:color="auto" w:sz="4" w:space="0"/>
              <w:right w:val="single" w:color="auto" w:sz="4" w:space="0"/>
            </w:tcBorders>
            <w:shd w:val="clear" w:color="auto" w:fill="FFFFFF"/>
            <w:vAlign w:val="center"/>
          </w:tcPr>
          <w:p>
            <w:pPr>
              <w:jc w:val="left"/>
              <w:rPr>
                <w:rFonts w:ascii="宋体" w:hAnsi="宋体"/>
                <w:color w:val="auto"/>
                <w:kern w:val="0"/>
                <w:sz w:val="20"/>
                <w:highlight w:val="none"/>
              </w:rPr>
            </w:pPr>
            <w:r>
              <w:rPr>
                <w:rFonts w:hint="eastAsia" w:ascii="宋体" w:hAnsi="宋体"/>
                <w:color w:val="auto"/>
                <w:kern w:val="0"/>
                <w:sz w:val="20"/>
                <w:highlight w:val="none"/>
              </w:rPr>
              <w:t>视频会议</w:t>
            </w: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MCU</w:t>
            </w:r>
          </w:p>
        </w:tc>
        <w:tc>
          <w:tcPr>
            <w:tcW w:w="809" w:type="dxa"/>
            <w:tcBorders>
              <w:top w:val="single" w:color="auto" w:sz="4" w:space="0"/>
              <w:left w:val="nil"/>
              <w:bottom w:val="single" w:color="auto" w:sz="4" w:space="0"/>
              <w:right w:val="single" w:color="auto" w:sz="4" w:space="0"/>
            </w:tcBorders>
            <w:vAlign w:val="center"/>
          </w:tcPr>
          <w:p>
            <w:pPr>
              <w:rPr>
                <w:rFonts w:ascii="宋体" w:hAnsi="宋体"/>
                <w:color w:val="auto"/>
                <w:kern w:val="0"/>
                <w:sz w:val="20"/>
                <w:highlight w:val="none"/>
              </w:rPr>
            </w:pPr>
            <w:r>
              <w:rPr>
                <w:rFonts w:hint="eastAsia" w:ascii="宋体" w:hAnsi="宋体"/>
                <w:color w:val="auto"/>
                <w:kern w:val="0"/>
                <w:sz w:val="20"/>
                <w:highlight w:val="none"/>
              </w:rPr>
              <w:t xml:space="preserve">1 </w:t>
            </w:r>
          </w:p>
        </w:tc>
        <w:tc>
          <w:tcPr>
            <w:tcW w:w="909" w:type="dxa"/>
            <w:tcBorders>
              <w:top w:val="single" w:color="auto" w:sz="4" w:space="0"/>
              <w:left w:val="nil"/>
              <w:bottom w:val="single" w:color="auto" w:sz="4" w:space="0"/>
              <w:right w:val="single" w:color="auto" w:sz="4" w:space="0"/>
            </w:tcBorders>
            <w:vAlign w:val="center"/>
          </w:tcPr>
          <w:p>
            <w:pPr>
              <w:rPr>
                <w:rFonts w:ascii="宋体" w:hAnsi="宋体"/>
                <w:color w:val="auto"/>
                <w:kern w:val="0"/>
                <w:sz w:val="20"/>
                <w:highlight w:val="none"/>
              </w:rPr>
            </w:pPr>
            <w:r>
              <w:rPr>
                <w:rFonts w:hint="eastAsia" w:ascii="宋体" w:hAnsi="宋体"/>
                <w:color w:val="auto"/>
                <w:kern w:val="0"/>
                <w:sz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kern w:val="0"/>
                <w:sz w:val="20"/>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音视频会议系统终端</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sz w:val="20"/>
                <w:szCs w:val="20"/>
                <w:highlight w:val="none"/>
              </w:rPr>
              <w:t xml:space="preserve">1 </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sz w:val="20"/>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kern w:val="0"/>
                <w:sz w:val="20"/>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全向麦克风/八爪鱼</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sz w:val="20"/>
                <w:szCs w:val="20"/>
                <w:highlight w:val="none"/>
              </w:rPr>
              <w:t xml:space="preserve">1 </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kern w:val="0"/>
                <w:sz w:val="20"/>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高清摄像头</w:t>
            </w:r>
          </w:p>
        </w:tc>
        <w:tc>
          <w:tcPr>
            <w:tcW w:w="8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sz w:val="20"/>
                <w:szCs w:val="20"/>
                <w:highlight w:val="none"/>
              </w:rPr>
              <w:t xml:space="preserve">1 </w:t>
            </w:r>
          </w:p>
        </w:tc>
        <w:tc>
          <w:tcPr>
            <w:tcW w:w="90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sz w:val="20"/>
                <w:szCs w:val="20"/>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restart"/>
            <w:tcBorders>
              <w:top w:val="nil"/>
              <w:left w:val="single" w:color="auto" w:sz="4" w:space="0"/>
              <w:bottom w:val="single" w:color="auto" w:sz="4" w:space="0"/>
              <w:right w:val="single" w:color="auto" w:sz="4" w:space="0"/>
            </w:tcBorders>
            <w:shd w:val="clear" w:color="auto" w:fill="FFFFFF"/>
            <w:vAlign w:val="center"/>
          </w:tcPr>
          <w:p>
            <w:pPr>
              <w:pStyle w:val="15"/>
              <w:jc w:val="left"/>
              <w:rPr>
                <w:rFonts w:ascii="宋体" w:hAnsi="宋体"/>
                <w:color w:val="auto"/>
                <w:highlight w:val="none"/>
              </w:rPr>
            </w:pPr>
            <w:r>
              <w:rPr>
                <w:rFonts w:hint="eastAsia" w:ascii="宋体" w:hAnsi="宋体"/>
                <w:color w:val="auto"/>
                <w:highlight w:val="none"/>
              </w:rPr>
              <w:t>广播系统</w:t>
            </w: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音箱</w:t>
            </w:r>
          </w:p>
        </w:tc>
        <w:tc>
          <w:tcPr>
            <w:tcW w:w="8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 xml:space="preserve">2 </w:t>
            </w:r>
          </w:p>
        </w:tc>
        <w:tc>
          <w:tcPr>
            <w:tcW w:w="9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功率放大器</w:t>
            </w:r>
          </w:p>
        </w:tc>
        <w:tc>
          <w:tcPr>
            <w:tcW w:w="8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 xml:space="preserve">1 </w:t>
            </w:r>
          </w:p>
        </w:tc>
        <w:tc>
          <w:tcPr>
            <w:tcW w:w="9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8路调音台</w:t>
            </w:r>
          </w:p>
        </w:tc>
        <w:tc>
          <w:tcPr>
            <w:tcW w:w="8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 xml:space="preserve">1 </w:t>
            </w:r>
          </w:p>
        </w:tc>
        <w:tc>
          <w:tcPr>
            <w:tcW w:w="9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数字音频处理器</w:t>
            </w:r>
          </w:p>
        </w:tc>
        <w:tc>
          <w:tcPr>
            <w:tcW w:w="8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 xml:space="preserve">1 </w:t>
            </w:r>
          </w:p>
        </w:tc>
        <w:tc>
          <w:tcPr>
            <w:tcW w:w="9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蓝光DVD</w:t>
            </w:r>
          </w:p>
        </w:tc>
        <w:tc>
          <w:tcPr>
            <w:tcW w:w="8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 xml:space="preserve">1 </w:t>
            </w:r>
          </w:p>
        </w:tc>
        <w:tc>
          <w:tcPr>
            <w:tcW w:w="9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双手持无线话筒</w:t>
            </w:r>
          </w:p>
        </w:tc>
        <w:tc>
          <w:tcPr>
            <w:tcW w:w="8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 xml:space="preserve">2 </w:t>
            </w:r>
          </w:p>
        </w:tc>
        <w:tc>
          <w:tcPr>
            <w:tcW w:w="9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有线鹅颈话筒</w:t>
            </w:r>
          </w:p>
        </w:tc>
        <w:tc>
          <w:tcPr>
            <w:tcW w:w="8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 xml:space="preserve">8 </w:t>
            </w:r>
          </w:p>
        </w:tc>
        <w:tc>
          <w:tcPr>
            <w:tcW w:w="9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8路净化电源时序器</w:t>
            </w:r>
          </w:p>
        </w:tc>
        <w:tc>
          <w:tcPr>
            <w:tcW w:w="8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 xml:space="preserve">1 </w:t>
            </w:r>
          </w:p>
        </w:tc>
        <w:tc>
          <w:tcPr>
            <w:tcW w:w="9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设备机柜</w:t>
            </w:r>
          </w:p>
        </w:tc>
        <w:tc>
          <w:tcPr>
            <w:tcW w:w="8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 xml:space="preserve">1 </w:t>
            </w:r>
          </w:p>
        </w:tc>
        <w:tc>
          <w:tcPr>
            <w:tcW w:w="909" w:type="dxa"/>
            <w:tcBorders>
              <w:top w:val="single" w:color="auto" w:sz="4" w:space="0"/>
              <w:left w:val="nil"/>
              <w:bottom w:val="single" w:color="auto" w:sz="4" w:space="0"/>
              <w:right w:val="single" w:color="auto" w:sz="4" w:space="0"/>
            </w:tcBorders>
            <w:vAlign w:val="center"/>
          </w:tcPr>
          <w:p>
            <w:pPr>
              <w:jc w:val="left"/>
              <w:rPr>
                <w:rFonts w:ascii="宋体" w:hAnsi="宋体"/>
                <w:color w:val="auto"/>
                <w:kern w:val="0"/>
                <w:sz w:val="20"/>
                <w:highlight w:val="none"/>
              </w:rPr>
            </w:pPr>
            <w:r>
              <w:rPr>
                <w:rFonts w:hint="eastAsia" w:ascii="宋体" w:hAnsi="宋体"/>
                <w:color w:val="auto"/>
                <w:kern w:val="0"/>
                <w:sz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restart"/>
            <w:tcBorders>
              <w:top w:val="nil"/>
              <w:left w:val="single" w:color="auto" w:sz="4" w:space="0"/>
              <w:bottom w:val="single" w:color="auto" w:sz="4" w:space="0"/>
              <w:right w:val="single" w:color="auto" w:sz="4" w:space="0"/>
            </w:tcBorders>
            <w:shd w:val="clear" w:color="auto" w:fill="FFFFFF"/>
            <w:vAlign w:val="center"/>
          </w:tcPr>
          <w:p>
            <w:pPr>
              <w:pStyle w:val="15"/>
              <w:rPr>
                <w:rFonts w:ascii="宋体" w:hAnsi="宋体"/>
                <w:color w:val="auto"/>
                <w:szCs w:val="21"/>
                <w:highlight w:val="none"/>
              </w:rPr>
            </w:pPr>
            <w:r>
              <w:rPr>
                <w:rFonts w:hint="eastAsia" w:ascii="宋体" w:hAnsi="宋体"/>
                <w:color w:val="auto"/>
                <w:highlight w:val="none"/>
              </w:rPr>
              <w:t>其他</w:t>
            </w: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短信租赁服务（一年10万条）</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 xml:space="preserve">1 </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UPS</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 xml:space="preserve">1 </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精密空调</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 xml:space="preserve">1 </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KVM</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2</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机柜</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 xml:space="preserve">7 </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3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4727"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机房装修</w:t>
            </w:r>
          </w:p>
        </w:tc>
        <w:tc>
          <w:tcPr>
            <w:tcW w:w="8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 xml:space="preserve">1 </w:t>
            </w:r>
          </w:p>
        </w:tc>
        <w:tc>
          <w:tcPr>
            <w:tcW w:w="909" w:type="dxa"/>
            <w:tcBorders>
              <w:top w:val="single" w:color="auto" w:sz="4" w:space="0"/>
              <w:left w:val="nil"/>
              <w:bottom w:val="single" w:color="auto" w:sz="4" w:space="0"/>
              <w:right w:val="single" w:color="auto" w:sz="4" w:space="0"/>
            </w:tcBorders>
            <w:vAlign w:val="bottom"/>
          </w:tcPr>
          <w:p>
            <w:pPr>
              <w:pStyle w:val="15"/>
              <w:rPr>
                <w:rFonts w:ascii="宋体" w:hAnsi="宋体"/>
                <w:color w:val="auto"/>
                <w:highlight w:val="none"/>
              </w:rPr>
            </w:pPr>
            <w:r>
              <w:rPr>
                <w:rFonts w:hint="eastAsia" w:ascii="宋体" w:hAnsi="宋体"/>
                <w:color w:val="auto"/>
                <w:highlight w:val="none"/>
              </w:rPr>
              <w:t>套</w:t>
            </w:r>
          </w:p>
        </w:tc>
      </w:tr>
    </w:tbl>
    <w:p>
      <w:pPr>
        <w:rPr>
          <w:color w:val="auto"/>
          <w:highlight w:val="none"/>
        </w:rPr>
      </w:pPr>
    </w:p>
    <w:p>
      <w:pPr>
        <w:pStyle w:val="4"/>
        <w:rPr>
          <w:color w:val="auto"/>
          <w:szCs w:val="32"/>
          <w:highlight w:val="none"/>
        </w:rPr>
      </w:pPr>
      <w:r>
        <w:rPr>
          <w:rFonts w:hint="eastAsia"/>
          <w:color w:val="auto"/>
          <w:highlight w:val="none"/>
        </w:rPr>
        <w:t>IT产品技术要求</w:t>
      </w:r>
    </w:p>
    <w:p>
      <w:pPr>
        <w:pStyle w:val="5"/>
        <w:rPr>
          <w:color w:val="auto"/>
          <w:highlight w:val="none"/>
        </w:rPr>
      </w:pPr>
      <w:r>
        <w:rPr>
          <w:rFonts w:hint="eastAsia"/>
          <w:color w:val="auto"/>
          <w:highlight w:val="none"/>
        </w:rPr>
        <w:t>大屏显示系统</w:t>
      </w:r>
    </w:p>
    <w:p>
      <w:pPr>
        <w:pStyle w:val="6"/>
        <w:rPr>
          <w:color w:val="auto"/>
          <w:highlight w:val="none"/>
        </w:rPr>
      </w:pPr>
      <w:r>
        <w:rPr>
          <w:color w:val="auto"/>
          <w:highlight w:val="none"/>
        </w:rPr>
        <w:t>LED</w:t>
      </w:r>
      <w:r>
        <w:rPr>
          <w:rFonts w:hint="eastAsia"/>
          <w:color w:val="auto"/>
          <w:highlight w:val="none"/>
          <w:lang w:eastAsia="zh-CN"/>
        </w:rPr>
        <w:t>大</w:t>
      </w:r>
      <w:r>
        <w:rPr>
          <w:rFonts w:hint="eastAsia"/>
          <w:color w:val="auto"/>
          <w:highlight w:val="none"/>
        </w:rPr>
        <w:t>屏</w:t>
      </w:r>
    </w:p>
    <w:tbl>
      <w:tblPr>
        <w:tblStyle w:val="10"/>
        <w:tblW w:w="9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108"/>
        <w:gridCol w:w="3458"/>
        <w:gridCol w:w="4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pStyle w:val="15"/>
              <w:jc w:val="center"/>
              <w:rPr>
                <w:color w:val="auto"/>
                <w:highlight w:val="none"/>
              </w:rPr>
            </w:pPr>
            <w:r>
              <w:rPr>
                <w:rFonts w:hint="eastAsia" w:ascii="宋体" w:hAnsi="宋体"/>
                <w:b/>
                <w:bCs/>
                <w:color w:val="auto"/>
                <w:highlight w:val="none"/>
              </w:rPr>
              <w:t>序号</w:t>
            </w:r>
          </w:p>
        </w:tc>
        <w:tc>
          <w:tcPr>
            <w:tcW w:w="1108" w:type="dxa"/>
            <w:vAlign w:val="center"/>
          </w:tcPr>
          <w:p>
            <w:pPr>
              <w:pStyle w:val="15"/>
              <w:jc w:val="center"/>
              <w:rPr>
                <w:rFonts w:ascii="宋体" w:hAnsi="宋体"/>
                <w:b/>
                <w:bCs/>
                <w:color w:val="auto"/>
                <w:highlight w:val="none"/>
              </w:rPr>
            </w:pPr>
            <w:r>
              <w:rPr>
                <w:rFonts w:hint="eastAsia" w:ascii="宋体" w:hAnsi="宋体"/>
                <w:b/>
                <w:bCs/>
                <w:color w:val="auto"/>
                <w:highlight w:val="none"/>
              </w:rPr>
              <w:t>模块</w:t>
            </w:r>
          </w:p>
        </w:tc>
        <w:tc>
          <w:tcPr>
            <w:tcW w:w="3458" w:type="dxa"/>
            <w:vAlign w:val="center"/>
          </w:tcPr>
          <w:p>
            <w:pPr>
              <w:pStyle w:val="15"/>
              <w:jc w:val="center"/>
              <w:rPr>
                <w:color w:val="auto"/>
                <w:highlight w:val="none"/>
              </w:rPr>
            </w:pPr>
            <w:r>
              <w:rPr>
                <w:rFonts w:hint="eastAsia" w:ascii="宋体" w:hAnsi="宋体"/>
                <w:b/>
                <w:bCs/>
                <w:color w:val="auto"/>
                <w:highlight w:val="none"/>
              </w:rPr>
              <w:t>参数</w:t>
            </w:r>
          </w:p>
        </w:tc>
        <w:tc>
          <w:tcPr>
            <w:tcW w:w="4132" w:type="dxa"/>
            <w:vAlign w:val="center"/>
          </w:tcPr>
          <w:p>
            <w:pPr>
              <w:pStyle w:val="15"/>
              <w:jc w:val="center"/>
              <w:rPr>
                <w:color w:val="auto"/>
                <w:highlight w:val="none"/>
              </w:rPr>
            </w:pPr>
            <w:r>
              <w:rPr>
                <w:rFonts w:hint="eastAsia" w:ascii="宋体" w:hAnsi="宋体"/>
                <w:b/>
                <w:bCs/>
                <w:color w:val="auto"/>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108" w:type="dxa"/>
            <w:vMerge w:val="restart"/>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模组组成</w:t>
            </w:r>
          </w:p>
        </w:tc>
        <w:tc>
          <w:tcPr>
            <w:tcW w:w="3458" w:type="dxa"/>
            <w:vAlign w:val="center"/>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像素结构 </w:t>
            </w:r>
          </w:p>
        </w:tc>
        <w:tc>
          <w:tcPr>
            <w:tcW w:w="4132" w:type="dxa"/>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表贴三合一 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 xml:space="preserve">像素间距（mm） </w:t>
            </w:r>
          </w:p>
        </w:tc>
        <w:tc>
          <w:tcPr>
            <w:tcW w:w="4132" w:type="dxa"/>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≤1.575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模组分辨率（W×</w:t>
            </w:r>
            <w:r>
              <w:rPr>
                <w:rFonts w:ascii="宋体" w:hAnsi="宋体" w:cs="宋体"/>
                <w:color w:val="auto"/>
                <w:kern w:val="0"/>
                <w:sz w:val="21"/>
                <w:szCs w:val="21"/>
                <w:highlight w:val="none"/>
              </w:rPr>
              <w:t>H</w:t>
            </w:r>
            <w:r>
              <w:rPr>
                <w:rFonts w:hint="eastAsia" w:ascii="宋体" w:hAnsi="宋体" w:cs="宋体"/>
                <w:color w:val="auto"/>
                <w:kern w:val="0"/>
                <w:sz w:val="21"/>
                <w:szCs w:val="21"/>
                <w:highlight w:val="none"/>
              </w:rPr>
              <w:t>）</w:t>
            </w:r>
          </w:p>
        </w:tc>
        <w:tc>
          <w:tcPr>
            <w:tcW w:w="4132" w:type="dxa"/>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≥192×</w:t>
            </w:r>
            <w:r>
              <w:rPr>
                <w:rFonts w:ascii="宋体" w:hAnsi="宋体" w:cs="宋体"/>
                <w:color w:val="auto"/>
                <w:kern w:val="0"/>
                <w:sz w:val="21"/>
                <w:szCs w:val="21"/>
                <w:highlight w:val="none"/>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模组尺寸（mm）（</w:t>
            </w:r>
            <w:r>
              <w:rPr>
                <w:rFonts w:ascii="宋体" w:hAnsi="宋体" w:cs="宋体"/>
                <w:color w:val="auto"/>
                <w:kern w:val="0"/>
                <w:sz w:val="21"/>
                <w:szCs w:val="21"/>
                <w:highlight w:val="none"/>
              </w:rPr>
              <w:t>W</w:t>
            </w: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H</w:t>
            </w:r>
            <w:r>
              <w:rPr>
                <w:rFonts w:hint="eastAsia" w:ascii="宋体" w:hAnsi="宋体" w:cs="宋体"/>
                <w:color w:val="auto"/>
                <w:kern w:val="0"/>
                <w:sz w:val="21"/>
                <w:szCs w:val="21"/>
                <w:highlight w:val="none"/>
              </w:rPr>
              <w:t xml:space="preserve">） </w:t>
            </w:r>
          </w:p>
        </w:tc>
        <w:tc>
          <w:tcPr>
            <w:tcW w:w="4132" w:type="dxa"/>
          </w:tcPr>
          <w:p>
            <w:pPr>
              <w:widowControl/>
              <w:jc w:val="left"/>
              <w:rPr>
                <w:rFonts w:ascii="宋体" w:hAnsi="宋体" w:cs="宋体"/>
                <w:color w:val="auto"/>
                <w:kern w:val="0"/>
                <w:sz w:val="21"/>
                <w:szCs w:val="21"/>
                <w:highlight w:val="none"/>
              </w:rPr>
            </w:pPr>
            <w:r>
              <w:rPr>
                <w:rFonts w:ascii="宋体" w:hAnsi="宋体" w:cs="宋体"/>
                <w:color w:val="auto"/>
                <w:kern w:val="0"/>
                <w:sz w:val="21"/>
                <w:szCs w:val="21"/>
                <w:highlight w:val="none"/>
              </w:rPr>
              <w:t>302.4</w:t>
            </w: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 xml:space="preserve">170.1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模组重量（Kg） </w:t>
            </w:r>
          </w:p>
        </w:tc>
        <w:tc>
          <w:tcPr>
            <w:tcW w:w="4132" w:type="dxa"/>
          </w:tcPr>
          <w:p>
            <w:pPr>
              <w:widowControl/>
              <w:jc w:val="left"/>
              <w:rPr>
                <w:rFonts w:ascii="宋体" w:hAnsi="宋体" w:cs="宋体"/>
                <w:color w:val="auto"/>
                <w:kern w:val="0"/>
                <w:sz w:val="21"/>
                <w:szCs w:val="21"/>
                <w:highlight w:val="none"/>
              </w:rPr>
            </w:pPr>
            <w:r>
              <w:rPr>
                <w:rFonts w:ascii="宋体" w:hAnsi="宋体" w:cs="宋体"/>
                <w:color w:val="auto"/>
                <w:kern w:val="0"/>
                <w:sz w:val="21"/>
                <w:szCs w:val="21"/>
                <w:highlight w:val="none"/>
              </w:rPr>
              <w:t xml:space="preserve">0.52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1108" w:type="dxa"/>
            <w:vMerge w:val="restart"/>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单元组成</w:t>
            </w:r>
          </w:p>
        </w:tc>
        <w:tc>
          <w:tcPr>
            <w:tcW w:w="3458" w:type="dxa"/>
            <w:vAlign w:val="center"/>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单元模组组成（W×</w:t>
            </w:r>
            <w:r>
              <w:rPr>
                <w:rFonts w:ascii="宋体" w:hAnsi="宋体" w:cs="宋体"/>
                <w:color w:val="auto"/>
                <w:kern w:val="0"/>
                <w:sz w:val="21"/>
                <w:szCs w:val="21"/>
                <w:highlight w:val="none"/>
              </w:rPr>
              <w:t>H</w:t>
            </w:r>
            <w:r>
              <w:rPr>
                <w:rFonts w:hint="eastAsia" w:ascii="宋体" w:hAnsi="宋体" w:cs="宋体"/>
                <w:color w:val="auto"/>
                <w:kern w:val="0"/>
                <w:sz w:val="21"/>
                <w:szCs w:val="21"/>
                <w:highlight w:val="none"/>
              </w:rPr>
              <w:t>）</w:t>
            </w:r>
          </w:p>
        </w:tc>
        <w:tc>
          <w:tcPr>
            <w:tcW w:w="4132" w:type="dxa"/>
          </w:tcPr>
          <w:p>
            <w:pPr>
              <w:widowControl/>
              <w:jc w:val="left"/>
              <w:rPr>
                <w:rFonts w:ascii="宋体" w:hAnsi="宋体" w:cs="宋体"/>
                <w:color w:val="auto"/>
                <w:kern w:val="0"/>
                <w:sz w:val="21"/>
                <w:szCs w:val="21"/>
                <w:highlight w:val="none"/>
              </w:rPr>
            </w:pP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单元分辨率（W×</w:t>
            </w:r>
            <w:r>
              <w:rPr>
                <w:rFonts w:ascii="宋体" w:hAnsi="宋体" w:cs="宋体"/>
                <w:color w:val="auto"/>
                <w:kern w:val="0"/>
                <w:sz w:val="21"/>
                <w:szCs w:val="21"/>
                <w:highlight w:val="none"/>
              </w:rPr>
              <w:t>H</w:t>
            </w:r>
            <w:r>
              <w:rPr>
                <w:rFonts w:hint="eastAsia" w:ascii="宋体" w:hAnsi="宋体" w:cs="宋体"/>
                <w:color w:val="auto"/>
                <w:kern w:val="0"/>
                <w:sz w:val="21"/>
                <w:szCs w:val="21"/>
                <w:highlight w:val="none"/>
              </w:rPr>
              <w:t>）</w:t>
            </w:r>
          </w:p>
        </w:tc>
        <w:tc>
          <w:tcPr>
            <w:tcW w:w="4132" w:type="dxa"/>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384×</w:t>
            </w:r>
            <w:r>
              <w:rPr>
                <w:rFonts w:ascii="宋体" w:hAnsi="宋体" w:cs="宋体"/>
                <w:color w:val="auto"/>
                <w:kern w:val="0"/>
                <w:sz w:val="21"/>
                <w:szCs w:val="21"/>
                <w:highlight w:val="none"/>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单元尺寸（mm）（</w:t>
            </w:r>
            <w:r>
              <w:rPr>
                <w:rFonts w:ascii="宋体" w:hAnsi="宋体" w:cs="宋体"/>
                <w:color w:val="auto"/>
                <w:kern w:val="0"/>
                <w:sz w:val="21"/>
                <w:szCs w:val="21"/>
                <w:highlight w:val="none"/>
              </w:rPr>
              <w:t>W</w:t>
            </w: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H</w:t>
            </w: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D</w:t>
            </w:r>
            <w:r>
              <w:rPr>
                <w:rFonts w:hint="eastAsia" w:ascii="宋体" w:hAnsi="宋体" w:cs="宋体"/>
                <w:color w:val="auto"/>
                <w:kern w:val="0"/>
                <w:sz w:val="21"/>
                <w:szCs w:val="21"/>
                <w:highlight w:val="none"/>
              </w:rPr>
              <w:t>）</w:t>
            </w:r>
          </w:p>
        </w:tc>
        <w:tc>
          <w:tcPr>
            <w:tcW w:w="4132" w:type="dxa"/>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604.8×</w:t>
            </w:r>
            <w:r>
              <w:rPr>
                <w:rFonts w:ascii="宋体" w:hAnsi="宋体" w:cs="宋体"/>
                <w:color w:val="auto"/>
                <w:kern w:val="0"/>
                <w:sz w:val="21"/>
                <w:szCs w:val="21"/>
                <w:highlight w:val="none"/>
              </w:rPr>
              <w:t>340.2</w:t>
            </w: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单元面积（m</w:t>
            </w: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w:t>
            </w:r>
          </w:p>
        </w:tc>
        <w:tc>
          <w:tcPr>
            <w:tcW w:w="4132" w:type="dxa"/>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0.2058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常规重量（kg/㎡） </w:t>
            </w:r>
          </w:p>
        </w:tc>
        <w:tc>
          <w:tcPr>
            <w:tcW w:w="4132" w:type="dxa"/>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像素密度（点/㎡） </w:t>
            </w:r>
          </w:p>
        </w:tc>
        <w:tc>
          <w:tcPr>
            <w:tcW w:w="4132" w:type="dxa"/>
          </w:tcPr>
          <w:p>
            <w:pPr>
              <w:widowControl/>
              <w:jc w:val="left"/>
              <w:rPr>
                <w:rFonts w:ascii="宋体" w:hAnsi="宋体" w:cs="宋体"/>
                <w:color w:val="auto"/>
                <w:kern w:val="0"/>
                <w:sz w:val="21"/>
                <w:szCs w:val="21"/>
                <w:highlight w:val="none"/>
              </w:rPr>
            </w:pPr>
            <w:r>
              <w:rPr>
                <w:rFonts w:ascii="宋体" w:hAnsi="宋体" w:cs="宋体"/>
                <w:color w:val="auto"/>
                <w:kern w:val="0"/>
                <w:sz w:val="21"/>
                <w:szCs w:val="21"/>
                <w:highlight w:val="none"/>
              </w:rPr>
              <w:t xml:space="preserve">403124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箱体平整度（</w:t>
            </w:r>
            <w:r>
              <w:rPr>
                <w:rFonts w:ascii="宋体" w:hAnsi="宋体" w:cs="宋体"/>
                <w:color w:val="auto"/>
                <w:kern w:val="0"/>
                <w:sz w:val="21"/>
                <w:szCs w:val="21"/>
                <w:highlight w:val="none"/>
              </w:rPr>
              <w:t>mm</w:t>
            </w:r>
            <w:r>
              <w:rPr>
                <w:rFonts w:hint="eastAsia" w:ascii="宋体" w:hAnsi="宋体" w:cs="宋体"/>
                <w:color w:val="auto"/>
                <w:kern w:val="0"/>
                <w:sz w:val="21"/>
                <w:szCs w:val="21"/>
                <w:highlight w:val="none"/>
              </w:rPr>
              <w:t>）</w:t>
            </w:r>
          </w:p>
        </w:tc>
        <w:tc>
          <w:tcPr>
            <w:tcW w:w="4132" w:type="dxa"/>
          </w:tcPr>
          <w:p>
            <w:pPr>
              <w:widowControl/>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 xml:space="preserve">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w:t>
            </w:r>
          </w:p>
        </w:tc>
        <w:tc>
          <w:tcPr>
            <w:tcW w:w="1108" w:type="dxa"/>
            <w:vMerge w:val="restart"/>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光学参数</w:t>
            </w:r>
          </w:p>
        </w:tc>
        <w:tc>
          <w:tcPr>
            <w:tcW w:w="3458" w:type="dxa"/>
            <w:vAlign w:val="center"/>
          </w:tcPr>
          <w:p>
            <w:pPr>
              <w:widowControl/>
              <w:jc w:val="left"/>
              <w:rPr>
                <w:rFonts w:ascii="宋体" w:hAnsi="宋体" w:cs="宋体"/>
                <w:color w:val="auto"/>
                <w:kern w:val="0"/>
                <w:sz w:val="21"/>
                <w:szCs w:val="21"/>
                <w:highlight w:val="none"/>
              </w:rPr>
            </w:pPr>
            <w:r>
              <w:rPr>
                <w:rFonts w:ascii="华文细黑" w:hAnsi="华文细黑" w:eastAsia="华文细黑" w:cs="华文细黑"/>
                <w:color w:val="auto"/>
                <w:kern w:val="0"/>
                <w:sz w:val="19"/>
                <w:szCs w:val="19"/>
                <w:highlight w:val="none"/>
                <w:lang w:bidi="ar"/>
              </w:rPr>
              <w:t xml:space="preserve">单点亮度校正 </w:t>
            </w:r>
          </w:p>
        </w:tc>
        <w:tc>
          <w:tcPr>
            <w:tcW w:w="4132" w:type="dxa"/>
          </w:tcPr>
          <w:p>
            <w:pPr>
              <w:widowControl/>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14</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 xml:space="preserve">单点颜色校正 </w:t>
            </w:r>
          </w:p>
        </w:tc>
        <w:tc>
          <w:tcPr>
            <w:tcW w:w="4132" w:type="dxa"/>
          </w:tcPr>
          <w:p>
            <w:pPr>
              <w:widowControl/>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 xml:space="preserve">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15</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白平衡亮度（</w:t>
            </w:r>
            <w:r>
              <w:rPr>
                <w:rFonts w:ascii="Arial" w:hAnsi="Arial" w:cs="Arial"/>
                <w:color w:val="auto"/>
                <w:kern w:val="0"/>
                <w:sz w:val="19"/>
                <w:szCs w:val="19"/>
                <w:highlight w:val="none"/>
                <w:lang w:bidi="ar"/>
              </w:rPr>
              <w:t>nits</w:t>
            </w:r>
            <w:r>
              <w:rPr>
                <w:rFonts w:hint="eastAsia" w:ascii="华文细黑" w:hAnsi="华文细黑" w:eastAsia="华文细黑" w:cs="华文细黑"/>
                <w:color w:val="auto"/>
                <w:kern w:val="0"/>
                <w:sz w:val="19"/>
                <w:szCs w:val="19"/>
                <w:highlight w:val="none"/>
                <w:lang w:bidi="ar"/>
              </w:rPr>
              <w:t xml:space="preserve">）（校正后） </w:t>
            </w:r>
          </w:p>
        </w:tc>
        <w:tc>
          <w:tcPr>
            <w:tcW w:w="4132" w:type="dxa"/>
          </w:tcPr>
          <w:p>
            <w:pPr>
              <w:widowControl/>
              <w:jc w:val="left"/>
              <w:rPr>
                <w:rFonts w:ascii="宋体" w:hAnsi="宋体" w:cs="宋体"/>
                <w:color w:val="auto"/>
                <w:kern w:val="0"/>
                <w:sz w:val="21"/>
                <w:szCs w:val="21"/>
                <w:highlight w:val="none"/>
              </w:rPr>
            </w:pPr>
            <w:r>
              <w:rPr>
                <w:rFonts w:ascii="Arial" w:hAnsi="Arial" w:cs="Arial"/>
                <w:color w:val="auto"/>
                <w:kern w:val="0"/>
                <w:sz w:val="19"/>
                <w:szCs w:val="19"/>
                <w:highlight w:val="none"/>
                <w:lang w:bidi="ar"/>
              </w:rPr>
              <w:t xml:space="preserve">600～800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16</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色温（</w:t>
            </w:r>
            <w:r>
              <w:rPr>
                <w:rFonts w:ascii="Arial" w:hAnsi="Arial" w:cs="Arial"/>
                <w:color w:val="auto"/>
                <w:kern w:val="0"/>
                <w:sz w:val="19"/>
                <w:szCs w:val="19"/>
                <w:highlight w:val="none"/>
                <w:lang w:bidi="ar"/>
              </w:rPr>
              <w:t>K</w:t>
            </w:r>
            <w:r>
              <w:rPr>
                <w:rFonts w:hint="eastAsia" w:ascii="华文细黑" w:hAnsi="华文细黑" w:eastAsia="华文细黑" w:cs="华文细黑"/>
                <w:color w:val="auto"/>
                <w:kern w:val="0"/>
                <w:sz w:val="19"/>
                <w:szCs w:val="19"/>
                <w:highlight w:val="none"/>
                <w:lang w:bidi="ar"/>
              </w:rPr>
              <w:t xml:space="preserve">） </w:t>
            </w:r>
          </w:p>
        </w:tc>
        <w:tc>
          <w:tcPr>
            <w:tcW w:w="4132" w:type="dxa"/>
          </w:tcPr>
          <w:p>
            <w:pPr>
              <w:widowControl/>
              <w:jc w:val="left"/>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 xml:space="preserve">3000—10000 可调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17</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 xml:space="preserve">水平视角（ °） </w:t>
            </w:r>
          </w:p>
        </w:tc>
        <w:tc>
          <w:tcPr>
            <w:tcW w:w="4132" w:type="dxa"/>
          </w:tcPr>
          <w:p>
            <w:pPr>
              <w:widowControl/>
              <w:jc w:val="left"/>
              <w:rPr>
                <w:rFonts w:ascii="宋体" w:hAnsi="宋体" w:cs="宋体"/>
                <w:color w:val="auto"/>
                <w:kern w:val="0"/>
                <w:sz w:val="21"/>
                <w:szCs w:val="21"/>
                <w:highlight w:val="none"/>
              </w:rPr>
            </w:pPr>
            <w:r>
              <w:rPr>
                <w:rFonts w:ascii="Arial" w:hAnsi="Arial" w:cs="Arial"/>
                <w:color w:val="auto"/>
                <w:kern w:val="0"/>
                <w:sz w:val="19"/>
                <w:szCs w:val="19"/>
                <w:highlight w:val="none"/>
                <w:lang w:bidi="ar"/>
              </w:rPr>
              <w:t xml:space="preserve">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18</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 xml:space="preserve">垂直视角（ °） </w:t>
            </w:r>
          </w:p>
        </w:tc>
        <w:tc>
          <w:tcPr>
            <w:tcW w:w="4132" w:type="dxa"/>
          </w:tcPr>
          <w:p>
            <w:pPr>
              <w:widowControl/>
              <w:jc w:val="left"/>
              <w:rPr>
                <w:rFonts w:ascii="宋体" w:hAnsi="宋体" w:cs="宋体"/>
                <w:color w:val="auto"/>
                <w:kern w:val="0"/>
                <w:sz w:val="21"/>
                <w:szCs w:val="21"/>
                <w:highlight w:val="none"/>
              </w:rPr>
            </w:pPr>
            <w:r>
              <w:rPr>
                <w:rFonts w:ascii="Arial" w:hAnsi="Arial" w:cs="Arial"/>
                <w:color w:val="auto"/>
                <w:kern w:val="0"/>
                <w:sz w:val="19"/>
                <w:szCs w:val="19"/>
                <w:highlight w:val="none"/>
                <w:lang w:bidi="ar"/>
              </w:rPr>
              <w:t xml:space="preserve">140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19</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 xml:space="preserve">发光点中心距偏差（校正后） </w:t>
            </w:r>
          </w:p>
        </w:tc>
        <w:tc>
          <w:tcPr>
            <w:tcW w:w="4132" w:type="dxa"/>
          </w:tcPr>
          <w:p>
            <w:pPr>
              <w:widowControl/>
              <w:jc w:val="left"/>
              <w:rPr>
                <w:rFonts w:ascii="宋体" w:hAnsi="宋体" w:cs="宋体"/>
                <w:color w:val="auto"/>
                <w:kern w:val="0"/>
                <w:sz w:val="21"/>
                <w:szCs w:val="21"/>
                <w:highlight w:val="none"/>
              </w:rPr>
            </w:pPr>
            <w:r>
              <w:rPr>
                <w:rFonts w:ascii="Arial" w:hAnsi="Arial" w:cs="Arial"/>
                <w:color w:val="auto"/>
                <w:kern w:val="0"/>
                <w:sz w:val="19"/>
                <w:szCs w:val="19"/>
                <w:highlight w:val="none"/>
                <w:lang w:bidi="ar"/>
              </w:rPr>
              <w:t xml:space="preserve">&lt;3%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 xml:space="preserve">亮度均匀性（校正后） </w:t>
            </w:r>
          </w:p>
        </w:tc>
        <w:tc>
          <w:tcPr>
            <w:tcW w:w="4132" w:type="dxa"/>
          </w:tcPr>
          <w:p>
            <w:pPr>
              <w:widowControl/>
              <w:jc w:val="left"/>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w:t>
            </w:r>
            <w:r>
              <w:rPr>
                <w:rFonts w:ascii="Arial" w:hAnsi="Arial" w:cs="Arial"/>
                <w:color w:val="auto"/>
                <w:kern w:val="0"/>
                <w:sz w:val="19"/>
                <w:szCs w:val="19"/>
                <w:highlight w:val="none"/>
                <w:lang w:bidi="ar"/>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21</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 xml:space="preserve">色度均匀性（校正后） </w:t>
            </w:r>
          </w:p>
        </w:tc>
        <w:tc>
          <w:tcPr>
            <w:tcW w:w="4132" w:type="dxa"/>
          </w:tcPr>
          <w:p>
            <w:pPr>
              <w:widowControl/>
              <w:jc w:val="left"/>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w:t>
            </w:r>
            <w:r>
              <w:rPr>
                <w:rFonts w:ascii="Arial" w:hAnsi="Arial" w:cs="Arial"/>
                <w:color w:val="auto"/>
                <w:kern w:val="0"/>
                <w:sz w:val="19"/>
                <w:szCs w:val="19"/>
                <w:highlight w:val="none"/>
                <w:lang w:bidi="ar"/>
              </w:rPr>
              <w:t xml:space="preserve">0.003Cx,Cy </w:t>
            </w:r>
            <w:r>
              <w:rPr>
                <w:rFonts w:hint="eastAsia" w:ascii="华文细黑" w:hAnsi="华文细黑" w:eastAsia="华文细黑" w:cs="华文细黑"/>
                <w:color w:val="auto"/>
                <w:kern w:val="0"/>
                <w:sz w:val="19"/>
                <w:szCs w:val="19"/>
                <w:highlight w:val="none"/>
                <w:lang w:bidi="ar"/>
              </w:rPr>
              <w:t xml:space="preserve">之内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22</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 xml:space="preserve">对比度 </w:t>
            </w:r>
          </w:p>
        </w:tc>
        <w:tc>
          <w:tcPr>
            <w:tcW w:w="4132" w:type="dxa"/>
          </w:tcPr>
          <w:p>
            <w:pPr>
              <w:widowControl/>
              <w:jc w:val="left"/>
              <w:rPr>
                <w:rFonts w:ascii="宋体" w:hAnsi="宋体" w:cs="宋体"/>
                <w:color w:val="auto"/>
                <w:kern w:val="0"/>
                <w:sz w:val="21"/>
                <w:szCs w:val="21"/>
                <w:highlight w:val="none"/>
              </w:rPr>
            </w:pPr>
            <w:r>
              <w:rPr>
                <w:rFonts w:ascii="Arial" w:hAnsi="Arial" w:cs="Arial"/>
                <w:color w:val="auto"/>
                <w:kern w:val="0"/>
                <w:sz w:val="19"/>
                <w:szCs w:val="19"/>
                <w:highlight w:val="none"/>
                <w:lang w:bidi="ar"/>
              </w:rPr>
              <w:t xml:space="preserve">7000:1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23</w:t>
            </w:r>
          </w:p>
        </w:tc>
        <w:tc>
          <w:tcPr>
            <w:tcW w:w="1108" w:type="dxa"/>
            <w:vMerge w:val="restart"/>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电气参数</w:t>
            </w:r>
          </w:p>
        </w:tc>
        <w:tc>
          <w:tcPr>
            <w:tcW w:w="3458" w:type="dxa"/>
            <w:vAlign w:val="center"/>
          </w:tcPr>
          <w:p>
            <w:pPr>
              <w:widowControl/>
              <w:jc w:val="left"/>
              <w:rPr>
                <w:rFonts w:ascii="宋体" w:hAnsi="宋体" w:cs="宋体"/>
                <w:color w:val="auto"/>
                <w:kern w:val="0"/>
                <w:sz w:val="21"/>
                <w:szCs w:val="21"/>
                <w:highlight w:val="none"/>
              </w:rPr>
            </w:pPr>
            <w:r>
              <w:rPr>
                <w:rFonts w:ascii="华文细黑" w:hAnsi="华文细黑" w:eastAsia="华文细黑" w:cs="华文细黑"/>
                <w:color w:val="auto"/>
                <w:kern w:val="0"/>
                <w:sz w:val="19"/>
                <w:szCs w:val="19"/>
                <w:highlight w:val="none"/>
                <w:lang w:bidi="ar"/>
              </w:rPr>
              <w:t>峰值功耗（</w:t>
            </w:r>
            <w:r>
              <w:rPr>
                <w:rFonts w:ascii="Arial" w:hAnsi="Arial" w:cs="Arial"/>
                <w:color w:val="auto"/>
                <w:kern w:val="0"/>
                <w:sz w:val="19"/>
                <w:szCs w:val="19"/>
                <w:highlight w:val="none"/>
                <w:lang w:bidi="ar"/>
              </w:rPr>
              <w:t>W/m</w:t>
            </w:r>
            <w:r>
              <w:rPr>
                <w:rFonts w:ascii="Arial" w:hAnsi="Arial" w:cs="Arial"/>
                <w:color w:val="auto"/>
                <w:kern w:val="0"/>
                <w:sz w:val="13"/>
                <w:szCs w:val="13"/>
                <w:highlight w:val="none"/>
                <w:lang w:bidi="ar"/>
              </w:rPr>
              <w:t>2</w:t>
            </w:r>
            <w:r>
              <w:rPr>
                <w:rFonts w:hint="eastAsia" w:ascii="华文细黑" w:hAnsi="华文细黑" w:eastAsia="华文细黑" w:cs="华文细黑"/>
                <w:color w:val="auto"/>
                <w:kern w:val="0"/>
                <w:sz w:val="19"/>
                <w:szCs w:val="19"/>
                <w:highlight w:val="none"/>
                <w:lang w:bidi="ar"/>
              </w:rPr>
              <w:t xml:space="preserve">） </w:t>
            </w:r>
          </w:p>
        </w:tc>
        <w:tc>
          <w:tcPr>
            <w:tcW w:w="4132" w:type="dxa"/>
          </w:tcPr>
          <w:p>
            <w:pPr>
              <w:widowControl/>
              <w:jc w:val="left"/>
              <w:rPr>
                <w:rFonts w:ascii="宋体" w:hAnsi="宋体" w:cs="宋体"/>
                <w:color w:val="auto"/>
                <w:kern w:val="0"/>
                <w:sz w:val="21"/>
                <w:szCs w:val="21"/>
                <w:highlight w:val="none"/>
              </w:rPr>
            </w:pPr>
            <w:r>
              <w:rPr>
                <w:rFonts w:ascii="Arial" w:hAnsi="Arial" w:cs="Arial"/>
                <w:color w:val="auto"/>
                <w:kern w:val="0"/>
                <w:sz w:val="19"/>
                <w:szCs w:val="19"/>
                <w:highlight w:val="none"/>
                <w:lang w:bidi="ar"/>
              </w:rPr>
              <w:t xml:space="preserve">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24</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平均功耗（</w:t>
            </w:r>
            <w:r>
              <w:rPr>
                <w:rFonts w:ascii="Arial" w:hAnsi="Arial" w:cs="Arial"/>
                <w:color w:val="auto"/>
                <w:kern w:val="0"/>
                <w:sz w:val="19"/>
                <w:szCs w:val="19"/>
                <w:highlight w:val="none"/>
                <w:lang w:bidi="ar"/>
              </w:rPr>
              <w:t>W/m</w:t>
            </w:r>
            <w:r>
              <w:rPr>
                <w:rFonts w:ascii="Arial" w:hAnsi="Arial" w:cs="Arial"/>
                <w:color w:val="auto"/>
                <w:kern w:val="0"/>
                <w:sz w:val="13"/>
                <w:szCs w:val="13"/>
                <w:highlight w:val="none"/>
                <w:lang w:bidi="ar"/>
              </w:rPr>
              <w:t>2</w:t>
            </w:r>
            <w:r>
              <w:rPr>
                <w:rFonts w:hint="eastAsia" w:ascii="华文细黑" w:hAnsi="华文细黑" w:eastAsia="华文细黑" w:cs="华文细黑"/>
                <w:color w:val="auto"/>
                <w:kern w:val="0"/>
                <w:sz w:val="19"/>
                <w:szCs w:val="19"/>
                <w:highlight w:val="none"/>
                <w:lang w:bidi="ar"/>
              </w:rPr>
              <w:t>）</w:t>
            </w:r>
          </w:p>
        </w:tc>
        <w:tc>
          <w:tcPr>
            <w:tcW w:w="4132" w:type="dxa"/>
          </w:tcPr>
          <w:p>
            <w:pPr>
              <w:widowControl/>
              <w:jc w:val="left"/>
              <w:rPr>
                <w:rFonts w:ascii="宋体" w:hAnsi="宋体" w:cs="宋体"/>
                <w:color w:val="auto"/>
                <w:kern w:val="0"/>
                <w:sz w:val="21"/>
                <w:szCs w:val="21"/>
                <w:highlight w:val="none"/>
              </w:rPr>
            </w:pPr>
            <w:r>
              <w:rPr>
                <w:rFonts w:ascii="Arial" w:hAnsi="Arial" w:cs="Arial"/>
                <w:color w:val="auto"/>
                <w:kern w:val="0"/>
                <w:sz w:val="19"/>
                <w:szCs w:val="19"/>
                <w:highlight w:val="none"/>
                <w:lang w:bidi="ar"/>
              </w:rPr>
              <w:t xml:space="preserve">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25</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供电要求</w:t>
            </w:r>
          </w:p>
        </w:tc>
        <w:tc>
          <w:tcPr>
            <w:tcW w:w="4132" w:type="dxa"/>
          </w:tcPr>
          <w:p>
            <w:pPr>
              <w:widowControl/>
              <w:jc w:val="left"/>
              <w:rPr>
                <w:rFonts w:ascii="宋体" w:hAnsi="宋体" w:cs="宋体"/>
                <w:color w:val="auto"/>
                <w:kern w:val="0"/>
                <w:sz w:val="21"/>
                <w:szCs w:val="21"/>
                <w:highlight w:val="none"/>
              </w:rPr>
            </w:pPr>
            <w:r>
              <w:rPr>
                <w:rFonts w:ascii="Arial" w:hAnsi="Arial" w:cs="Arial"/>
                <w:color w:val="auto"/>
                <w:kern w:val="0"/>
                <w:sz w:val="19"/>
                <w:szCs w:val="19"/>
                <w:highlight w:val="none"/>
                <w:lang w:bidi="ar"/>
              </w:rPr>
              <w:t>AC100～240V</w:t>
            </w:r>
            <w:r>
              <w:rPr>
                <w:rFonts w:hint="eastAsia" w:ascii="华文细黑" w:hAnsi="华文细黑" w:eastAsia="华文细黑" w:cs="华文细黑"/>
                <w:color w:val="auto"/>
                <w:kern w:val="0"/>
                <w:sz w:val="19"/>
                <w:szCs w:val="19"/>
                <w:highlight w:val="none"/>
                <w:lang w:bidi="ar"/>
              </w:rPr>
              <w:t>（</w:t>
            </w:r>
            <w:r>
              <w:rPr>
                <w:rFonts w:ascii="Arial" w:hAnsi="Arial" w:cs="Arial"/>
                <w:color w:val="auto"/>
                <w:kern w:val="0"/>
                <w:sz w:val="19"/>
                <w:szCs w:val="19"/>
                <w:highlight w:val="none"/>
                <w:lang w:bidi="ar"/>
              </w:rPr>
              <w:t>50/60Hz</w:t>
            </w:r>
            <w:r>
              <w:rPr>
                <w:rFonts w:hint="eastAsia" w:ascii="华文细黑" w:hAnsi="华文细黑" w:eastAsia="华文细黑" w:cs="华文细黑"/>
                <w:color w:val="auto"/>
                <w:kern w:val="0"/>
                <w:sz w:val="19"/>
                <w:szCs w:val="19"/>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26</w:t>
            </w:r>
          </w:p>
        </w:tc>
        <w:tc>
          <w:tcPr>
            <w:tcW w:w="1108" w:type="dxa"/>
            <w:vMerge w:val="restart"/>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处理性能</w:t>
            </w:r>
          </w:p>
        </w:tc>
        <w:tc>
          <w:tcPr>
            <w:tcW w:w="3458" w:type="dxa"/>
            <w:vAlign w:val="center"/>
          </w:tcPr>
          <w:p>
            <w:pPr>
              <w:widowControl/>
              <w:jc w:val="left"/>
              <w:rPr>
                <w:rFonts w:ascii="宋体" w:hAnsi="宋体" w:cs="宋体"/>
                <w:color w:val="auto"/>
                <w:kern w:val="0"/>
                <w:sz w:val="21"/>
                <w:szCs w:val="21"/>
                <w:highlight w:val="none"/>
              </w:rPr>
            </w:pPr>
            <w:r>
              <w:rPr>
                <w:rFonts w:ascii="华文细黑" w:hAnsi="华文细黑" w:eastAsia="华文细黑" w:cs="华文细黑"/>
                <w:color w:val="auto"/>
                <w:kern w:val="0"/>
                <w:sz w:val="19"/>
                <w:szCs w:val="19"/>
                <w:highlight w:val="none"/>
                <w:lang w:bidi="ar"/>
              </w:rPr>
              <w:t xml:space="preserve">驱动方式 </w:t>
            </w:r>
          </w:p>
        </w:tc>
        <w:tc>
          <w:tcPr>
            <w:tcW w:w="4132" w:type="dxa"/>
          </w:tcPr>
          <w:p>
            <w:pPr>
              <w:widowControl/>
              <w:jc w:val="left"/>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 xml:space="preserve">恒流驱动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27</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换帧频率（</w:t>
            </w:r>
            <w:r>
              <w:rPr>
                <w:rFonts w:ascii="Arial" w:hAnsi="Arial" w:cs="Arial"/>
                <w:color w:val="auto"/>
                <w:kern w:val="0"/>
                <w:sz w:val="19"/>
                <w:szCs w:val="19"/>
                <w:highlight w:val="none"/>
                <w:lang w:bidi="ar"/>
              </w:rPr>
              <w:t>Hz</w:t>
            </w:r>
            <w:r>
              <w:rPr>
                <w:rFonts w:hint="eastAsia" w:ascii="华文细黑" w:hAnsi="华文细黑" w:eastAsia="华文细黑" w:cs="华文细黑"/>
                <w:color w:val="auto"/>
                <w:kern w:val="0"/>
                <w:sz w:val="19"/>
                <w:szCs w:val="19"/>
                <w:highlight w:val="none"/>
                <w:lang w:bidi="ar"/>
              </w:rPr>
              <w:t xml:space="preserve">） </w:t>
            </w:r>
          </w:p>
        </w:tc>
        <w:tc>
          <w:tcPr>
            <w:tcW w:w="4132" w:type="dxa"/>
          </w:tcPr>
          <w:p>
            <w:pPr>
              <w:widowControl/>
              <w:jc w:val="left"/>
              <w:rPr>
                <w:rFonts w:ascii="宋体" w:hAnsi="宋体" w:cs="宋体"/>
                <w:color w:val="auto"/>
                <w:kern w:val="0"/>
                <w:sz w:val="21"/>
                <w:szCs w:val="21"/>
                <w:highlight w:val="none"/>
              </w:rPr>
            </w:pPr>
            <w:r>
              <w:rPr>
                <w:rFonts w:ascii="Arial" w:hAnsi="Arial" w:cs="Arial"/>
                <w:color w:val="auto"/>
                <w:kern w:val="0"/>
                <w:sz w:val="19"/>
                <w:szCs w:val="19"/>
                <w:highlight w:val="none"/>
                <w:lang w:bidi="ar"/>
              </w:rPr>
              <w:t xml:space="preserve">50&amp;60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28</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宋体" w:hAnsi="宋体" w:cs="宋体"/>
                <w:color w:val="auto"/>
                <w:kern w:val="0"/>
                <w:sz w:val="21"/>
                <w:szCs w:val="21"/>
                <w:highlight w:val="none"/>
              </w:rPr>
            </w:pPr>
            <w:r>
              <w:rPr>
                <w:rFonts w:hint="eastAsia" w:ascii="华文细黑" w:hAnsi="华文细黑" w:eastAsia="华文细黑" w:cs="华文细黑"/>
                <w:color w:val="auto"/>
                <w:kern w:val="0"/>
                <w:sz w:val="19"/>
                <w:szCs w:val="19"/>
                <w:highlight w:val="none"/>
                <w:lang w:bidi="ar"/>
              </w:rPr>
              <w:t>刷新率（</w:t>
            </w:r>
            <w:r>
              <w:rPr>
                <w:rFonts w:ascii="Arial" w:hAnsi="Arial" w:cs="Arial"/>
                <w:color w:val="auto"/>
                <w:kern w:val="0"/>
                <w:sz w:val="19"/>
                <w:szCs w:val="19"/>
                <w:highlight w:val="none"/>
                <w:lang w:bidi="ar"/>
              </w:rPr>
              <w:t>Hz</w:t>
            </w:r>
            <w:r>
              <w:rPr>
                <w:rFonts w:hint="eastAsia" w:ascii="华文细黑" w:hAnsi="华文细黑" w:eastAsia="华文细黑" w:cs="华文细黑"/>
                <w:color w:val="auto"/>
                <w:kern w:val="0"/>
                <w:sz w:val="19"/>
                <w:szCs w:val="19"/>
                <w:highlight w:val="none"/>
                <w:lang w:bidi="ar"/>
              </w:rPr>
              <w:t xml:space="preserve">） </w:t>
            </w:r>
          </w:p>
        </w:tc>
        <w:tc>
          <w:tcPr>
            <w:tcW w:w="4132" w:type="dxa"/>
          </w:tcPr>
          <w:p>
            <w:pPr>
              <w:widowControl/>
              <w:jc w:val="left"/>
              <w:rPr>
                <w:rFonts w:ascii="宋体" w:hAnsi="宋体" w:cs="宋体"/>
                <w:color w:val="auto"/>
                <w:kern w:val="0"/>
                <w:sz w:val="21"/>
                <w:szCs w:val="21"/>
                <w:highlight w:val="none"/>
              </w:rPr>
            </w:pPr>
            <w:r>
              <w:rPr>
                <w:rFonts w:ascii="Arial" w:hAnsi="Arial" w:cs="Arial"/>
                <w:color w:val="auto"/>
                <w:kern w:val="0"/>
                <w:sz w:val="19"/>
                <w:szCs w:val="19"/>
                <w:highlight w:val="none"/>
                <w:lang w:bidi="ar"/>
              </w:rPr>
              <w:t xml:space="preserve">3000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29</w:t>
            </w:r>
          </w:p>
        </w:tc>
        <w:tc>
          <w:tcPr>
            <w:tcW w:w="1108" w:type="dxa"/>
            <w:vMerge w:val="restart"/>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使用参数</w:t>
            </w:r>
          </w:p>
        </w:tc>
        <w:tc>
          <w:tcPr>
            <w:tcW w:w="3458" w:type="dxa"/>
            <w:vAlign w:val="center"/>
          </w:tcPr>
          <w:p>
            <w:pPr>
              <w:widowControl/>
              <w:jc w:val="left"/>
              <w:rPr>
                <w:rFonts w:ascii="华文细黑" w:hAnsi="华文细黑" w:eastAsia="华文细黑" w:cs="华文细黑"/>
                <w:color w:val="auto"/>
                <w:kern w:val="0"/>
                <w:sz w:val="19"/>
                <w:szCs w:val="19"/>
                <w:highlight w:val="none"/>
                <w:lang w:bidi="ar"/>
              </w:rPr>
            </w:pPr>
            <w:r>
              <w:rPr>
                <w:rFonts w:ascii="华文细黑" w:hAnsi="华文细黑" w:eastAsia="华文细黑" w:cs="华文细黑"/>
                <w:color w:val="auto"/>
                <w:kern w:val="0"/>
                <w:sz w:val="19"/>
                <w:szCs w:val="19"/>
                <w:highlight w:val="none"/>
                <w:lang w:bidi="ar"/>
              </w:rPr>
              <w:t>寿命典型值（</w:t>
            </w:r>
            <w:r>
              <w:rPr>
                <w:rFonts w:ascii="Arial" w:hAnsi="Arial" w:cs="Arial"/>
                <w:color w:val="auto"/>
                <w:kern w:val="0"/>
                <w:sz w:val="19"/>
                <w:szCs w:val="19"/>
                <w:highlight w:val="none"/>
                <w:lang w:bidi="ar"/>
              </w:rPr>
              <w:t>hrs</w:t>
            </w:r>
            <w:r>
              <w:rPr>
                <w:rFonts w:hint="eastAsia" w:ascii="华文细黑" w:hAnsi="华文细黑" w:eastAsia="华文细黑" w:cs="华文细黑"/>
                <w:color w:val="auto"/>
                <w:kern w:val="0"/>
                <w:sz w:val="19"/>
                <w:szCs w:val="19"/>
                <w:highlight w:val="none"/>
                <w:lang w:bidi="ar"/>
              </w:rPr>
              <w:t xml:space="preserve">） </w:t>
            </w:r>
          </w:p>
        </w:tc>
        <w:tc>
          <w:tcPr>
            <w:tcW w:w="4132" w:type="dxa"/>
          </w:tcPr>
          <w:p>
            <w:pPr>
              <w:widowControl/>
              <w:jc w:val="left"/>
              <w:rPr>
                <w:rFonts w:ascii="Arial" w:hAnsi="Arial" w:cs="Arial"/>
                <w:color w:val="auto"/>
                <w:kern w:val="0"/>
                <w:sz w:val="19"/>
                <w:szCs w:val="19"/>
                <w:highlight w:val="none"/>
                <w:lang w:bidi="ar"/>
              </w:rPr>
            </w:pPr>
            <w:r>
              <w:rPr>
                <w:rFonts w:ascii="Arial" w:hAnsi="Arial" w:cs="Arial"/>
                <w:color w:val="auto"/>
                <w:kern w:val="0"/>
                <w:sz w:val="19"/>
                <w:szCs w:val="19"/>
                <w:highlight w:val="none"/>
                <w:lang w:bidi="ar"/>
              </w:rPr>
              <w:t xml:space="preserve">50,000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华文细黑" w:hAnsi="华文细黑" w:eastAsia="华文细黑" w:cs="华文细黑"/>
                <w:color w:val="auto"/>
                <w:kern w:val="0"/>
                <w:sz w:val="19"/>
                <w:szCs w:val="19"/>
                <w:highlight w:val="none"/>
                <w:lang w:bidi="ar"/>
              </w:rPr>
            </w:pPr>
            <w:r>
              <w:rPr>
                <w:rFonts w:hint="eastAsia" w:ascii="华文细黑" w:hAnsi="华文细黑" w:eastAsia="华文细黑" w:cs="华文细黑"/>
                <w:color w:val="auto"/>
                <w:kern w:val="0"/>
                <w:sz w:val="19"/>
                <w:szCs w:val="19"/>
                <w:highlight w:val="none"/>
                <w:lang w:bidi="ar"/>
              </w:rPr>
              <w:t xml:space="preserve">工作温度范围（℃） </w:t>
            </w:r>
          </w:p>
        </w:tc>
        <w:tc>
          <w:tcPr>
            <w:tcW w:w="4132" w:type="dxa"/>
          </w:tcPr>
          <w:p>
            <w:pPr>
              <w:widowControl/>
              <w:jc w:val="left"/>
              <w:rPr>
                <w:rFonts w:ascii="Arial" w:hAnsi="Arial" w:cs="Arial"/>
                <w:color w:val="auto"/>
                <w:kern w:val="0"/>
                <w:sz w:val="19"/>
                <w:szCs w:val="19"/>
                <w:highlight w:val="none"/>
                <w:lang w:bidi="ar"/>
              </w:rPr>
            </w:pPr>
            <w:r>
              <w:rPr>
                <w:rFonts w:ascii="Arial" w:hAnsi="Arial" w:cs="Arial"/>
                <w:color w:val="auto"/>
                <w:kern w:val="0"/>
                <w:sz w:val="19"/>
                <w:szCs w:val="19"/>
                <w:highlight w:val="none"/>
                <w:lang w:bidi="ar"/>
              </w:rPr>
              <w:t xml:space="preserve">-10 -- 40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31</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华文细黑" w:hAnsi="华文细黑" w:eastAsia="华文细黑" w:cs="华文细黑"/>
                <w:color w:val="auto"/>
                <w:kern w:val="0"/>
                <w:sz w:val="19"/>
                <w:szCs w:val="19"/>
                <w:highlight w:val="none"/>
                <w:lang w:bidi="ar"/>
              </w:rPr>
            </w:pPr>
            <w:r>
              <w:rPr>
                <w:rFonts w:hint="eastAsia" w:ascii="华文细黑" w:hAnsi="华文细黑" w:eastAsia="华文细黑" w:cs="华文细黑"/>
                <w:color w:val="auto"/>
                <w:kern w:val="0"/>
                <w:sz w:val="19"/>
                <w:szCs w:val="19"/>
                <w:highlight w:val="none"/>
                <w:lang w:bidi="ar"/>
              </w:rPr>
              <w:t xml:space="preserve">存储温度范围（℃） </w:t>
            </w:r>
          </w:p>
        </w:tc>
        <w:tc>
          <w:tcPr>
            <w:tcW w:w="4132" w:type="dxa"/>
          </w:tcPr>
          <w:p>
            <w:pPr>
              <w:widowControl/>
              <w:jc w:val="left"/>
              <w:rPr>
                <w:rFonts w:ascii="Arial" w:hAnsi="Arial" w:cs="Arial"/>
                <w:color w:val="auto"/>
                <w:kern w:val="0"/>
                <w:sz w:val="19"/>
                <w:szCs w:val="19"/>
                <w:highlight w:val="none"/>
                <w:lang w:bidi="ar"/>
              </w:rPr>
            </w:pPr>
            <w:r>
              <w:rPr>
                <w:rFonts w:ascii="Arial" w:hAnsi="Arial" w:cs="Arial"/>
                <w:color w:val="auto"/>
                <w:kern w:val="0"/>
                <w:sz w:val="19"/>
                <w:szCs w:val="19"/>
                <w:highlight w:val="none"/>
                <w:lang w:bidi="ar"/>
              </w:rPr>
              <w:t>-20 -- 60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32</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华文细黑" w:hAnsi="华文细黑" w:eastAsia="华文细黑" w:cs="华文细黑"/>
                <w:color w:val="auto"/>
                <w:kern w:val="0"/>
                <w:sz w:val="19"/>
                <w:szCs w:val="19"/>
                <w:highlight w:val="none"/>
                <w:lang w:bidi="ar"/>
              </w:rPr>
            </w:pPr>
            <w:r>
              <w:rPr>
                <w:rFonts w:hint="eastAsia" w:ascii="华文细黑" w:hAnsi="华文细黑" w:eastAsia="华文细黑" w:cs="华文细黑"/>
                <w:color w:val="auto"/>
                <w:kern w:val="0"/>
                <w:sz w:val="19"/>
                <w:szCs w:val="19"/>
                <w:highlight w:val="none"/>
                <w:lang w:bidi="ar"/>
              </w:rPr>
              <w:t>工作湿度范围（</w:t>
            </w:r>
            <w:r>
              <w:rPr>
                <w:rFonts w:ascii="Arial" w:hAnsi="Arial" w:cs="Arial"/>
                <w:color w:val="auto"/>
                <w:kern w:val="0"/>
                <w:sz w:val="19"/>
                <w:szCs w:val="19"/>
                <w:highlight w:val="none"/>
                <w:lang w:bidi="ar"/>
              </w:rPr>
              <w:t>RH</w:t>
            </w:r>
            <w:r>
              <w:rPr>
                <w:rFonts w:hint="eastAsia" w:ascii="华文细黑" w:hAnsi="华文细黑" w:eastAsia="华文细黑" w:cs="华文细黑"/>
                <w:color w:val="auto"/>
                <w:kern w:val="0"/>
                <w:sz w:val="19"/>
                <w:szCs w:val="19"/>
                <w:highlight w:val="none"/>
                <w:lang w:bidi="ar"/>
              </w:rPr>
              <w:t xml:space="preserve">） </w:t>
            </w:r>
          </w:p>
        </w:tc>
        <w:tc>
          <w:tcPr>
            <w:tcW w:w="4132" w:type="dxa"/>
          </w:tcPr>
          <w:p>
            <w:pPr>
              <w:widowControl/>
              <w:jc w:val="left"/>
              <w:rPr>
                <w:rFonts w:ascii="Arial" w:hAnsi="Arial" w:cs="Arial"/>
                <w:color w:val="auto"/>
                <w:kern w:val="0"/>
                <w:sz w:val="19"/>
                <w:szCs w:val="19"/>
                <w:highlight w:val="none"/>
                <w:lang w:bidi="ar"/>
              </w:rPr>
            </w:pPr>
            <w:r>
              <w:rPr>
                <w:rFonts w:ascii="Arial" w:hAnsi="Arial" w:cs="Arial"/>
                <w:color w:val="auto"/>
                <w:kern w:val="0"/>
                <w:sz w:val="19"/>
                <w:szCs w:val="19"/>
                <w:highlight w:val="none"/>
                <w:lang w:bidi="ar"/>
              </w:rPr>
              <w:t>10 -- 80%</w:t>
            </w:r>
            <w:r>
              <w:rPr>
                <w:rFonts w:hint="eastAsia" w:ascii="华文细黑" w:hAnsi="华文细黑" w:eastAsia="华文细黑" w:cs="华文细黑"/>
                <w:color w:val="auto"/>
                <w:kern w:val="0"/>
                <w:sz w:val="19"/>
                <w:szCs w:val="19"/>
                <w:highlight w:val="none"/>
                <w:lang w:bidi="ar"/>
              </w:rPr>
              <w:t xml:space="preserve">无结霜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28"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33</w:t>
            </w:r>
          </w:p>
        </w:tc>
        <w:tc>
          <w:tcPr>
            <w:tcW w:w="1108" w:type="dxa"/>
            <w:vMerge w:val="continue"/>
            <w:vAlign w:val="center"/>
          </w:tcPr>
          <w:p>
            <w:pPr>
              <w:widowControl/>
              <w:jc w:val="center"/>
              <w:rPr>
                <w:rFonts w:ascii="宋体" w:hAnsi="宋体" w:cs="宋体"/>
                <w:color w:val="auto"/>
                <w:kern w:val="0"/>
                <w:sz w:val="21"/>
                <w:szCs w:val="21"/>
                <w:highlight w:val="none"/>
              </w:rPr>
            </w:pPr>
          </w:p>
        </w:tc>
        <w:tc>
          <w:tcPr>
            <w:tcW w:w="3458" w:type="dxa"/>
            <w:vAlign w:val="center"/>
          </w:tcPr>
          <w:p>
            <w:pPr>
              <w:widowControl/>
              <w:jc w:val="left"/>
              <w:rPr>
                <w:rFonts w:ascii="华文细黑" w:hAnsi="华文细黑" w:eastAsia="华文细黑" w:cs="华文细黑"/>
                <w:color w:val="auto"/>
                <w:kern w:val="0"/>
                <w:sz w:val="19"/>
                <w:szCs w:val="19"/>
                <w:highlight w:val="none"/>
                <w:lang w:bidi="ar"/>
              </w:rPr>
            </w:pPr>
            <w:r>
              <w:rPr>
                <w:rFonts w:hint="eastAsia" w:ascii="华文细黑" w:hAnsi="华文细黑" w:eastAsia="华文细黑" w:cs="华文细黑"/>
                <w:color w:val="auto"/>
                <w:kern w:val="0"/>
                <w:sz w:val="19"/>
                <w:szCs w:val="19"/>
                <w:highlight w:val="none"/>
                <w:lang w:bidi="ar"/>
              </w:rPr>
              <w:t>存储湿度范围（</w:t>
            </w:r>
            <w:r>
              <w:rPr>
                <w:rFonts w:ascii="Arial" w:hAnsi="Arial" w:cs="Arial"/>
                <w:color w:val="auto"/>
                <w:kern w:val="0"/>
                <w:sz w:val="19"/>
                <w:szCs w:val="19"/>
                <w:highlight w:val="none"/>
                <w:lang w:bidi="ar"/>
              </w:rPr>
              <w:t>RH</w:t>
            </w:r>
            <w:r>
              <w:rPr>
                <w:rFonts w:hint="eastAsia" w:ascii="华文细黑" w:hAnsi="华文细黑" w:eastAsia="华文细黑" w:cs="华文细黑"/>
                <w:color w:val="auto"/>
                <w:kern w:val="0"/>
                <w:sz w:val="19"/>
                <w:szCs w:val="19"/>
                <w:highlight w:val="none"/>
                <w:lang w:bidi="ar"/>
              </w:rPr>
              <w:t xml:space="preserve">） </w:t>
            </w:r>
          </w:p>
        </w:tc>
        <w:tc>
          <w:tcPr>
            <w:tcW w:w="4132" w:type="dxa"/>
          </w:tcPr>
          <w:p>
            <w:pPr>
              <w:widowControl/>
              <w:jc w:val="left"/>
              <w:rPr>
                <w:rFonts w:ascii="Arial" w:hAnsi="Arial" w:cs="Arial"/>
                <w:color w:val="auto"/>
                <w:kern w:val="0"/>
                <w:sz w:val="19"/>
                <w:szCs w:val="19"/>
                <w:highlight w:val="none"/>
                <w:lang w:bidi="ar"/>
              </w:rPr>
            </w:pPr>
            <w:r>
              <w:rPr>
                <w:rFonts w:ascii="Arial" w:hAnsi="Arial" w:cs="Arial"/>
                <w:color w:val="auto"/>
                <w:kern w:val="0"/>
                <w:sz w:val="19"/>
                <w:szCs w:val="19"/>
                <w:highlight w:val="none"/>
                <w:lang w:bidi="ar"/>
              </w:rPr>
              <w:t>10 -- 85%</w:t>
            </w:r>
            <w:r>
              <w:rPr>
                <w:rFonts w:hint="eastAsia" w:ascii="华文细黑" w:hAnsi="华文细黑" w:eastAsia="华文细黑" w:cs="华文细黑"/>
                <w:color w:val="auto"/>
                <w:kern w:val="0"/>
                <w:sz w:val="19"/>
                <w:szCs w:val="19"/>
                <w:highlight w:val="none"/>
                <w:lang w:bidi="ar"/>
              </w:rPr>
              <w:t>无结霜</w:t>
            </w:r>
          </w:p>
        </w:tc>
      </w:tr>
    </w:tbl>
    <w:p>
      <w:pPr>
        <w:pStyle w:val="6"/>
        <w:rPr>
          <w:color w:val="auto"/>
          <w:highlight w:val="none"/>
        </w:rPr>
      </w:pPr>
      <w:r>
        <w:rPr>
          <w:rFonts w:hint="eastAsia"/>
          <w:color w:val="auto"/>
          <w:highlight w:val="none"/>
          <w:lang w:eastAsia="zh-CN"/>
        </w:rPr>
        <w:t>配套软件</w:t>
      </w:r>
    </w:p>
    <w:tbl>
      <w:tblPr>
        <w:tblStyle w:val="1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267"/>
        <w:gridCol w:w="7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pStyle w:val="15"/>
              <w:jc w:val="center"/>
              <w:rPr>
                <w:color w:val="auto"/>
                <w:highlight w:val="none"/>
              </w:rPr>
            </w:pPr>
            <w:r>
              <w:rPr>
                <w:rFonts w:hint="eastAsia" w:ascii="宋体" w:hAnsi="宋体"/>
                <w:b/>
                <w:bCs/>
                <w:color w:val="auto"/>
                <w:highlight w:val="none"/>
              </w:rPr>
              <w:t>序号</w:t>
            </w:r>
          </w:p>
        </w:tc>
        <w:tc>
          <w:tcPr>
            <w:tcW w:w="1267" w:type="dxa"/>
            <w:vAlign w:val="center"/>
          </w:tcPr>
          <w:p>
            <w:pPr>
              <w:pStyle w:val="15"/>
              <w:jc w:val="center"/>
              <w:rPr>
                <w:color w:val="auto"/>
                <w:highlight w:val="none"/>
              </w:rPr>
            </w:pPr>
            <w:r>
              <w:rPr>
                <w:rFonts w:hint="eastAsia" w:ascii="宋体" w:hAnsi="宋体"/>
                <w:b/>
                <w:bCs/>
                <w:color w:val="auto"/>
                <w:highlight w:val="none"/>
              </w:rPr>
              <w:t>参数</w:t>
            </w:r>
          </w:p>
        </w:tc>
        <w:tc>
          <w:tcPr>
            <w:tcW w:w="7361" w:type="dxa"/>
            <w:vAlign w:val="center"/>
          </w:tcPr>
          <w:p>
            <w:pPr>
              <w:pStyle w:val="15"/>
              <w:jc w:val="center"/>
              <w:rPr>
                <w:color w:val="auto"/>
                <w:highlight w:val="none"/>
              </w:rPr>
            </w:pPr>
            <w:r>
              <w:rPr>
                <w:rFonts w:hint="eastAsia" w:ascii="宋体" w:hAnsi="宋体"/>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功能要求</w:t>
            </w:r>
          </w:p>
        </w:tc>
        <w:tc>
          <w:tcPr>
            <w:tcW w:w="7361" w:type="dxa"/>
          </w:tcPr>
          <w:p>
            <w:pPr>
              <w:widowControl/>
              <w:jc w:val="left"/>
              <w:rPr>
                <w:rFonts w:ascii="宋体" w:hAnsi="宋体" w:cs="宋体"/>
                <w:color w:val="auto"/>
                <w:kern w:val="0"/>
                <w:sz w:val="21"/>
                <w:szCs w:val="21"/>
                <w:highlight w:val="none"/>
                <w:lang w:eastAsia="ar-SA"/>
              </w:rPr>
            </w:pPr>
            <w:r>
              <w:rPr>
                <w:rFonts w:hint="eastAsia" w:ascii="宋体" w:hAnsi="宋体" w:cs="宋体"/>
                <w:color w:val="auto"/>
                <w:kern w:val="0"/>
                <w:sz w:val="19"/>
                <w:szCs w:val="19"/>
                <w:highlight w:val="none"/>
                <w:lang w:bidi="ar"/>
              </w:rPr>
              <w:t>一套节目制作、播放的软件；使用方便,简单易学、性能稳定、可靠性高。需提供LED控制软件的计算机软件著作权登记证书。</w:t>
            </w:r>
          </w:p>
        </w:tc>
      </w:tr>
    </w:tbl>
    <w:p>
      <w:pPr>
        <w:pStyle w:val="6"/>
        <w:rPr>
          <w:color w:val="auto"/>
          <w:highlight w:val="none"/>
        </w:rPr>
      </w:pPr>
      <w:r>
        <w:rPr>
          <w:rFonts w:hint="eastAsia"/>
          <w:color w:val="auto"/>
          <w:highlight w:val="none"/>
          <w:lang w:eastAsia="zh-CN"/>
        </w:rPr>
        <w:t>控制系统</w:t>
      </w:r>
    </w:p>
    <w:tbl>
      <w:tblPr>
        <w:tblStyle w:val="1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267"/>
        <w:gridCol w:w="7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pStyle w:val="15"/>
              <w:jc w:val="center"/>
              <w:rPr>
                <w:color w:val="auto"/>
                <w:highlight w:val="none"/>
              </w:rPr>
            </w:pPr>
            <w:r>
              <w:rPr>
                <w:rFonts w:hint="eastAsia" w:ascii="宋体" w:hAnsi="宋体"/>
                <w:b/>
                <w:bCs/>
                <w:color w:val="auto"/>
                <w:highlight w:val="none"/>
              </w:rPr>
              <w:t>序号</w:t>
            </w:r>
          </w:p>
        </w:tc>
        <w:tc>
          <w:tcPr>
            <w:tcW w:w="1267" w:type="dxa"/>
            <w:vAlign w:val="center"/>
          </w:tcPr>
          <w:p>
            <w:pPr>
              <w:pStyle w:val="15"/>
              <w:jc w:val="center"/>
              <w:rPr>
                <w:color w:val="auto"/>
                <w:highlight w:val="none"/>
              </w:rPr>
            </w:pPr>
            <w:r>
              <w:rPr>
                <w:rFonts w:hint="eastAsia" w:ascii="宋体" w:hAnsi="宋体"/>
                <w:b/>
                <w:bCs/>
                <w:color w:val="auto"/>
                <w:highlight w:val="none"/>
              </w:rPr>
              <w:t>参数</w:t>
            </w:r>
          </w:p>
        </w:tc>
        <w:tc>
          <w:tcPr>
            <w:tcW w:w="7361" w:type="dxa"/>
            <w:vAlign w:val="center"/>
          </w:tcPr>
          <w:p>
            <w:pPr>
              <w:pStyle w:val="15"/>
              <w:jc w:val="center"/>
              <w:rPr>
                <w:color w:val="auto"/>
                <w:highlight w:val="none"/>
              </w:rPr>
            </w:pPr>
            <w:r>
              <w:rPr>
                <w:rFonts w:hint="eastAsia" w:ascii="宋体" w:hAnsi="宋体"/>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基本要求</w:t>
            </w:r>
          </w:p>
        </w:tc>
        <w:tc>
          <w:tcPr>
            <w:tcW w:w="7361" w:type="dxa"/>
          </w:tcPr>
          <w:p>
            <w:pPr>
              <w:widowControl/>
              <w:jc w:val="left"/>
              <w:rPr>
                <w:rFonts w:ascii="宋体" w:hAnsi="宋体" w:cs="宋体"/>
                <w:color w:val="auto"/>
                <w:kern w:val="0"/>
                <w:sz w:val="21"/>
                <w:szCs w:val="21"/>
                <w:highlight w:val="none"/>
                <w:lang w:eastAsia="ar-SA"/>
              </w:rPr>
            </w:pPr>
            <w:r>
              <w:rPr>
                <w:rFonts w:hint="eastAsia" w:ascii="宋体" w:hAnsi="宋体" w:cs="宋体"/>
                <w:color w:val="auto"/>
                <w:kern w:val="0"/>
                <w:sz w:val="19"/>
                <w:szCs w:val="19"/>
                <w:highlight w:val="none"/>
                <w:lang w:bidi="ar"/>
              </w:rPr>
              <w:t>标准 1u 机箱设计，独立供电。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带载能力</w:t>
            </w:r>
          </w:p>
        </w:tc>
        <w:tc>
          <w:tcPr>
            <w:tcW w:w="7361" w:type="dxa"/>
          </w:tcPr>
          <w:p>
            <w:pPr>
              <w:widowControl/>
              <w:jc w:val="left"/>
              <w:rPr>
                <w:rFonts w:ascii="宋体" w:hAnsi="宋体" w:cs="宋体"/>
                <w:color w:val="auto"/>
                <w:kern w:val="0"/>
                <w:sz w:val="21"/>
                <w:szCs w:val="21"/>
                <w:highlight w:val="none"/>
                <w:lang w:eastAsia="ar-SA"/>
              </w:rPr>
            </w:pPr>
            <w:r>
              <w:rPr>
                <w:rFonts w:hint="eastAsia" w:ascii="宋体" w:hAnsi="宋体" w:cs="宋体"/>
                <w:color w:val="auto"/>
                <w:kern w:val="0"/>
                <w:sz w:val="19"/>
                <w:szCs w:val="19"/>
                <w:highlight w:val="none"/>
                <w:lang w:bidi="ar"/>
              </w:rPr>
              <w:t>高位阶视频源带载能力：1440×900。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统一控制</w:t>
            </w:r>
          </w:p>
        </w:tc>
        <w:tc>
          <w:tcPr>
            <w:tcW w:w="7361" w:type="dxa"/>
          </w:tcPr>
          <w:p>
            <w:pPr>
              <w:pStyle w:val="13"/>
              <w:ind w:firstLine="0" w:firstLineChars="0"/>
              <w:rPr>
                <w:rFonts w:ascii="宋体" w:hAnsi="宋体" w:cs="宋体"/>
                <w:color w:val="auto"/>
                <w:kern w:val="0"/>
                <w:sz w:val="21"/>
                <w:szCs w:val="21"/>
                <w:highlight w:val="none"/>
                <w:lang w:eastAsia="ar-SA"/>
              </w:rPr>
            </w:pPr>
            <w:r>
              <w:rPr>
                <w:rFonts w:hint="eastAsia" w:ascii="宋体" w:hAnsi="宋体" w:cs="宋体"/>
                <w:color w:val="auto"/>
                <w:kern w:val="0"/>
                <w:sz w:val="19"/>
                <w:szCs w:val="19"/>
                <w:highlight w:val="none"/>
                <w:lang w:bidi="ar"/>
              </w:rPr>
              <w:t>可级联多台进行统一控制。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视频格式</w:t>
            </w:r>
          </w:p>
        </w:tc>
        <w:tc>
          <w:tcPr>
            <w:tcW w:w="7361" w:type="dxa"/>
          </w:tcPr>
          <w:p>
            <w:pPr>
              <w:widowControl/>
              <w:jc w:val="left"/>
              <w:rPr>
                <w:rFonts w:ascii="宋体" w:hAnsi="宋体" w:cs="宋体"/>
                <w:color w:val="auto"/>
                <w:kern w:val="0"/>
                <w:sz w:val="21"/>
                <w:szCs w:val="21"/>
                <w:highlight w:val="none"/>
                <w:lang w:eastAsia="ar-SA"/>
              </w:rPr>
            </w:pPr>
            <w:r>
              <w:rPr>
                <w:rFonts w:hint="eastAsia" w:ascii="宋体" w:hAnsi="宋体" w:cs="宋体"/>
                <w:color w:val="auto"/>
                <w:kern w:val="0"/>
                <w:sz w:val="19"/>
                <w:szCs w:val="19"/>
                <w:highlight w:val="none"/>
                <w:lang w:bidi="ar"/>
              </w:rPr>
              <w:t>支持视频格式：RGB，YCrCb4:2:2，YCrCb4:4:4。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视频输入</w:t>
            </w:r>
          </w:p>
        </w:tc>
        <w:tc>
          <w:tcPr>
            <w:tcW w:w="7361" w:type="dxa"/>
          </w:tcPr>
          <w:p>
            <w:pPr>
              <w:widowControl/>
              <w:jc w:val="left"/>
              <w:rPr>
                <w:rFonts w:ascii="宋体" w:hAnsi="宋体" w:cs="宋体"/>
                <w:color w:val="auto"/>
                <w:kern w:val="0"/>
                <w:sz w:val="21"/>
                <w:szCs w:val="21"/>
                <w:highlight w:val="none"/>
                <w:lang w:eastAsia="ar-SA"/>
              </w:rPr>
            </w:pPr>
            <w:r>
              <w:rPr>
                <w:rFonts w:hint="eastAsia" w:ascii="宋体" w:hAnsi="宋体" w:cs="宋体"/>
                <w:color w:val="auto"/>
                <w:kern w:val="0"/>
                <w:sz w:val="19"/>
                <w:szCs w:val="19"/>
                <w:highlight w:val="none"/>
                <w:lang w:bidi="ar"/>
              </w:rPr>
              <w:t>支持高位阶视频输入，12bit/10bit/8bit 灰阶处理与显示。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色度矫正</w:t>
            </w:r>
          </w:p>
        </w:tc>
        <w:tc>
          <w:tcPr>
            <w:tcW w:w="7361" w:type="dxa"/>
          </w:tcPr>
          <w:p>
            <w:pPr>
              <w:widowControl/>
              <w:jc w:val="left"/>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显示屏支持逐点亮色度校正技术，校正过程快速高效。</w:t>
            </w:r>
          </w:p>
        </w:tc>
      </w:tr>
    </w:tbl>
    <w:p>
      <w:pPr>
        <w:pStyle w:val="6"/>
        <w:rPr>
          <w:color w:val="auto"/>
          <w:highlight w:val="none"/>
        </w:rPr>
      </w:pPr>
      <w:r>
        <w:rPr>
          <w:rFonts w:hint="eastAsia"/>
          <w:color w:val="auto"/>
          <w:highlight w:val="none"/>
          <w:lang w:eastAsia="zh-CN"/>
        </w:rPr>
        <w:t>拼接控制器</w:t>
      </w:r>
    </w:p>
    <w:tbl>
      <w:tblPr>
        <w:tblStyle w:val="1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267"/>
        <w:gridCol w:w="7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pStyle w:val="15"/>
              <w:jc w:val="center"/>
              <w:rPr>
                <w:color w:val="auto"/>
                <w:highlight w:val="none"/>
              </w:rPr>
            </w:pPr>
            <w:r>
              <w:rPr>
                <w:rFonts w:hint="eastAsia" w:ascii="宋体" w:hAnsi="宋体"/>
                <w:b/>
                <w:bCs/>
                <w:color w:val="auto"/>
                <w:highlight w:val="none"/>
              </w:rPr>
              <w:t>序号</w:t>
            </w:r>
          </w:p>
        </w:tc>
        <w:tc>
          <w:tcPr>
            <w:tcW w:w="1267" w:type="dxa"/>
            <w:vAlign w:val="center"/>
          </w:tcPr>
          <w:p>
            <w:pPr>
              <w:pStyle w:val="15"/>
              <w:jc w:val="center"/>
              <w:rPr>
                <w:color w:val="auto"/>
                <w:highlight w:val="none"/>
              </w:rPr>
            </w:pPr>
            <w:r>
              <w:rPr>
                <w:rFonts w:hint="eastAsia" w:ascii="宋体" w:hAnsi="宋体"/>
                <w:b/>
                <w:bCs/>
                <w:color w:val="auto"/>
                <w:highlight w:val="none"/>
              </w:rPr>
              <w:t>参数</w:t>
            </w:r>
          </w:p>
        </w:tc>
        <w:tc>
          <w:tcPr>
            <w:tcW w:w="7361" w:type="dxa"/>
            <w:vAlign w:val="center"/>
          </w:tcPr>
          <w:p>
            <w:pPr>
              <w:pStyle w:val="15"/>
              <w:jc w:val="center"/>
              <w:rPr>
                <w:color w:val="auto"/>
                <w:highlight w:val="none"/>
              </w:rPr>
            </w:pPr>
            <w:r>
              <w:rPr>
                <w:rFonts w:hint="eastAsia" w:ascii="宋体" w:hAnsi="宋体"/>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输出信号</w:t>
            </w:r>
          </w:p>
        </w:tc>
        <w:tc>
          <w:tcPr>
            <w:tcW w:w="7361" w:type="dxa"/>
          </w:tcPr>
          <w:p>
            <w:pPr>
              <w:widowControl/>
              <w:jc w:val="left"/>
              <w:rPr>
                <w:rFonts w:ascii="宋体" w:hAnsi="宋体" w:cs="宋体"/>
                <w:color w:val="auto"/>
                <w:kern w:val="0"/>
                <w:sz w:val="21"/>
                <w:szCs w:val="21"/>
                <w:highlight w:val="none"/>
                <w:lang w:eastAsia="ar-SA"/>
              </w:rPr>
            </w:pPr>
            <w:r>
              <w:rPr>
                <w:rFonts w:hint="eastAsia" w:ascii="宋体" w:hAnsi="宋体" w:cs="宋体"/>
                <w:color w:val="auto"/>
                <w:kern w:val="0"/>
                <w:sz w:val="19"/>
                <w:szCs w:val="19"/>
                <w:highlight w:val="none"/>
                <w:lang w:bidi="ar"/>
              </w:rPr>
              <w:t>支持DVI、HDMI、SDI、DP、YPbPr、VGA、CVBS、4K HDMI、HDBaseT、4K HDBaseT、等常见输出信号。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模块化设计</w:t>
            </w:r>
          </w:p>
        </w:tc>
        <w:tc>
          <w:tcPr>
            <w:tcW w:w="7361" w:type="dxa"/>
          </w:tcPr>
          <w:p>
            <w:pPr>
              <w:pStyle w:val="13"/>
              <w:ind w:firstLine="0" w:firstLineChars="0"/>
              <w:rPr>
                <w:rFonts w:ascii="宋体" w:hAnsi="宋体" w:cs="宋体"/>
                <w:color w:val="auto"/>
                <w:kern w:val="0"/>
                <w:sz w:val="21"/>
                <w:szCs w:val="21"/>
                <w:highlight w:val="none"/>
                <w:lang w:eastAsia="ar-SA"/>
              </w:rPr>
            </w:pPr>
            <w:r>
              <w:rPr>
                <w:rFonts w:hint="eastAsia" w:ascii="宋体" w:hAnsi="宋体" w:cs="宋体"/>
                <w:color w:val="auto"/>
                <w:kern w:val="0"/>
                <w:sz w:val="19"/>
                <w:szCs w:val="19"/>
                <w:highlight w:val="none"/>
                <w:lang w:bidi="ar"/>
              </w:rPr>
              <w:t>模块化设计，包括输入卡、输出卡、切换卡、控制卡、风扇、电源等都是模块化的设计，支持热插拔，更换时不影响其他模块的正常运行，方便以后升级维护。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图层显示</w:t>
            </w:r>
          </w:p>
        </w:tc>
        <w:tc>
          <w:tcPr>
            <w:tcW w:w="7361" w:type="dxa"/>
          </w:tcPr>
          <w:p>
            <w:pPr>
              <w:pStyle w:val="13"/>
              <w:ind w:firstLine="0" w:firstLineChars="0"/>
              <w:rPr>
                <w:rFonts w:ascii="宋体" w:hAnsi="宋体" w:cs="宋体"/>
                <w:color w:val="auto"/>
                <w:kern w:val="0"/>
                <w:sz w:val="21"/>
                <w:szCs w:val="21"/>
                <w:highlight w:val="none"/>
                <w:lang w:eastAsia="ar-SA"/>
              </w:rPr>
            </w:pPr>
            <w:r>
              <w:rPr>
                <w:rFonts w:hint="eastAsia" w:ascii="宋体" w:hAnsi="宋体" w:cs="宋体"/>
                <w:color w:val="auto"/>
                <w:kern w:val="0"/>
                <w:sz w:val="19"/>
                <w:szCs w:val="19"/>
                <w:highlight w:val="none"/>
                <w:lang w:bidi="ar"/>
              </w:rPr>
              <w:t>信号可在拼接屏的任意位置开窗、叠加、拉伸、漫游、跨屏、缩放或画中画显示，单屏可以支持8图层显示。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分辨率</w:t>
            </w:r>
          </w:p>
        </w:tc>
        <w:tc>
          <w:tcPr>
            <w:tcW w:w="7361" w:type="dxa"/>
          </w:tcPr>
          <w:p>
            <w:pPr>
              <w:pStyle w:val="13"/>
              <w:ind w:firstLine="0" w:firstLineChars="0"/>
              <w:rPr>
                <w:rFonts w:ascii="宋体" w:hAnsi="宋体" w:cs="宋体"/>
                <w:color w:val="auto"/>
                <w:kern w:val="0"/>
                <w:sz w:val="21"/>
                <w:szCs w:val="21"/>
                <w:highlight w:val="none"/>
                <w:lang w:eastAsia="ar-SA"/>
              </w:rPr>
            </w:pPr>
            <w:r>
              <w:rPr>
                <w:rFonts w:hint="eastAsia" w:ascii="宋体" w:hAnsi="宋体" w:cs="宋体"/>
                <w:color w:val="auto"/>
                <w:kern w:val="0"/>
                <w:sz w:val="19"/>
                <w:szCs w:val="19"/>
                <w:highlight w:val="none"/>
                <w:lang w:bidi="ar"/>
              </w:rPr>
              <w:t>支持自定义输出分辨率，并将自定义的分辨率添加到系统默认列表中图像开窗响应速度&lt;16ms。场景调取响应速度&lt;=16ms。支持3840×2160@30Hz/1920×1200@60Hz处理，支持4K拼接。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控制方式</w:t>
            </w:r>
          </w:p>
        </w:tc>
        <w:tc>
          <w:tcPr>
            <w:tcW w:w="7361" w:type="dxa"/>
          </w:tcPr>
          <w:p>
            <w:pPr>
              <w:pStyle w:val="13"/>
              <w:ind w:firstLine="0" w:firstLineChars="0"/>
              <w:rPr>
                <w:rFonts w:ascii="宋体" w:hAnsi="宋体" w:cs="宋体"/>
                <w:color w:val="auto"/>
                <w:kern w:val="0"/>
                <w:sz w:val="21"/>
                <w:szCs w:val="21"/>
                <w:highlight w:val="none"/>
                <w:lang w:eastAsia="ar-SA"/>
              </w:rPr>
            </w:pPr>
            <w:r>
              <w:rPr>
                <w:rFonts w:hint="eastAsia" w:ascii="宋体" w:hAnsi="宋体" w:cs="宋体"/>
                <w:color w:val="auto"/>
                <w:kern w:val="0"/>
                <w:sz w:val="19"/>
                <w:szCs w:val="19"/>
                <w:highlight w:val="none"/>
                <w:lang w:bidi="ar"/>
              </w:rPr>
              <w:t>同时支持B/S和C/S两种控制方式。支持全面可视化操作，信号源可视化、大屏状态可视化、场景预览可视化等。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管理员权限</w:t>
            </w:r>
          </w:p>
        </w:tc>
        <w:tc>
          <w:tcPr>
            <w:tcW w:w="7361" w:type="dxa"/>
          </w:tcPr>
          <w:p>
            <w:pPr>
              <w:pStyle w:val="13"/>
              <w:ind w:firstLine="0" w:firstLineChars="0"/>
              <w:rPr>
                <w:rFonts w:ascii="宋体" w:hAnsi="宋体" w:cs="宋体"/>
                <w:color w:val="auto"/>
                <w:kern w:val="0"/>
                <w:sz w:val="21"/>
                <w:szCs w:val="21"/>
                <w:highlight w:val="none"/>
                <w:lang w:eastAsia="ar-SA"/>
              </w:rPr>
            </w:pPr>
            <w:r>
              <w:rPr>
                <w:rFonts w:hint="eastAsia" w:ascii="宋体" w:hAnsi="宋体" w:cs="宋体"/>
                <w:color w:val="auto"/>
                <w:kern w:val="0"/>
                <w:sz w:val="19"/>
                <w:szCs w:val="19"/>
                <w:highlight w:val="none"/>
                <w:lang w:bidi="ar"/>
              </w:rPr>
              <w:t>管理人员可以设置输入输出板卡每一个接口信号源或输出显示屏的操作权限，实现精细的信号源及大屏显示权限划分。图形化展示设备当前配置情况，可以显示输入板卡、输出板卡、风扇的状态、温度监测及风扇转速，管理人员可以一目了然的看到设备的整体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异常告警</w:t>
            </w:r>
          </w:p>
        </w:tc>
        <w:tc>
          <w:tcPr>
            <w:tcW w:w="7361" w:type="dxa"/>
          </w:tcPr>
          <w:p>
            <w:pPr>
              <w:pStyle w:val="13"/>
              <w:ind w:firstLine="0" w:firstLineChars="0"/>
              <w:rPr>
                <w:rFonts w:ascii="宋体" w:hAnsi="宋体" w:cs="宋体"/>
                <w:color w:val="auto"/>
                <w:kern w:val="0"/>
                <w:sz w:val="21"/>
                <w:szCs w:val="21"/>
                <w:highlight w:val="none"/>
                <w:lang w:eastAsia="ar-SA"/>
              </w:rPr>
            </w:pPr>
            <w:r>
              <w:rPr>
                <w:rFonts w:hint="eastAsia" w:ascii="宋体" w:hAnsi="宋体" w:cs="宋体"/>
                <w:color w:val="auto"/>
                <w:kern w:val="0"/>
                <w:sz w:val="19"/>
                <w:szCs w:val="19"/>
                <w:highlight w:val="none"/>
                <w:lang w:bidi="ar"/>
              </w:rPr>
              <w:t>支持异常告警提示，便于及时排查及处理，可对历史告警信息进行搜索及管理。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19"/>
                <w:szCs w:val="19"/>
                <w:highlight w:val="none"/>
                <w:lang w:bidi="ar"/>
              </w:rPr>
              <w:t>MTBF</w:t>
            </w:r>
          </w:p>
        </w:tc>
        <w:tc>
          <w:tcPr>
            <w:tcW w:w="7361" w:type="dxa"/>
          </w:tcPr>
          <w:p>
            <w:pPr>
              <w:pStyle w:val="13"/>
              <w:ind w:firstLine="0" w:firstLineChars="0"/>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全年365×24连续无故障运行，MTBF≥100000h。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19"/>
                <w:szCs w:val="19"/>
                <w:highlight w:val="none"/>
                <w:lang w:bidi="ar"/>
              </w:rPr>
              <w:t>第三方设备</w:t>
            </w:r>
          </w:p>
        </w:tc>
        <w:tc>
          <w:tcPr>
            <w:tcW w:w="7361" w:type="dxa"/>
          </w:tcPr>
          <w:p>
            <w:pPr>
              <w:pStyle w:val="13"/>
              <w:ind w:firstLine="0" w:firstLineChars="0"/>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支持第三方设备通过通讯协议进行控制。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1267"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解码能力</w:t>
            </w:r>
          </w:p>
        </w:tc>
        <w:tc>
          <w:tcPr>
            <w:tcW w:w="7361" w:type="dxa"/>
          </w:tcPr>
          <w:p>
            <w:pPr>
              <w:pStyle w:val="13"/>
              <w:ind w:firstLine="0" w:firstLineChars="0"/>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单屏最大可解码显示128个1080P@30的视频信号。在不增加外部设备的情况下，支持在拼接屏上显示滚动字幕（如欢迎词等），字体大小、颜色、滚动速度可自定义。</w:t>
            </w:r>
          </w:p>
        </w:tc>
      </w:tr>
    </w:tbl>
    <w:p>
      <w:pPr>
        <w:pStyle w:val="6"/>
        <w:rPr>
          <w:color w:val="auto"/>
          <w:highlight w:val="none"/>
        </w:rPr>
      </w:pPr>
      <w:r>
        <w:rPr>
          <w:rFonts w:hint="eastAsia"/>
          <w:color w:val="auto"/>
          <w:highlight w:val="none"/>
          <w:lang w:eastAsia="zh-CN"/>
        </w:rPr>
        <w:t>钢结构</w:t>
      </w:r>
    </w:p>
    <w:tbl>
      <w:tblPr>
        <w:tblStyle w:val="1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322"/>
        <w:gridCol w:w="7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pStyle w:val="15"/>
              <w:jc w:val="center"/>
              <w:rPr>
                <w:color w:val="auto"/>
                <w:highlight w:val="none"/>
              </w:rPr>
            </w:pPr>
            <w:r>
              <w:rPr>
                <w:rFonts w:hint="eastAsia" w:ascii="宋体" w:hAnsi="宋体"/>
                <w:b/>
                <w:bCs/>
                <w:color w:val="auto"/>
                <w:highlight w:val="none"/>
              </w:rPr>
              <w:t>序号</w:t>
            </w:r>
          </w:p>
        </w:tc>
        <w:tc>
          <w:tcPr>
            <w:tcW w:w="1322" w:type="dxa"/>
            <w:vAlign w:val="center"/>
          </w:tcPr>
          <w:p>
            <w:pPr>
              <w:pStyle w:val="15"/>
              <w:jc w:val="center"/>
              <w:rPr>
                <w:color w:val="auto"/>
                <w:highlight w:val="none"/>
              </w:rPr>
            </w:pPr>
            <w:r>
              <w:rPr>
                <w:rFonts w:hint="eastAsia" w:ascii="宋体" w:hAnsi="宋体"/>
                <w:b/>
                <w:bCs/>
                <w:color w:val="auto"/>
                <w:highlight w:val="none"/>
              </w:rPr>
              <w:t>参数</w:t>
            </w:r>
          </w:p>
        </w:tc>
        <w:tc>
          <w:tcPr>
            <w:tcW w:w="7361" w:type="dxa"/>
            <w:vAlign w:val="center"/>
          </w:tcPr>
          <w:p>
            <w:pPr>
              <w:pStyle w:val="15"/>
              <w:jc w:val="center"/>
              <w:rPr>
                <w:color w:val="auto"/>
                <w:highlight w:val="none"/>
              </w:rPr>
            </w:pPr>
            <w:r>
              <w:rPr>
                <w:rFonts w:hint="eastAsia" w:ascii="宋体" w:hAnsi="宋体"/>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322"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相关证书</w:t>
            </w:r>
          </w:p>
        </w:tc>
        <w:tc>
          <w:tcPr>
            <w:tcW w:w="7361" w:type="dxa"/>
          </w:tcPr>
          <w:p>
            <w:pPr>
              <w:widowControl/>
              <w:jc w:val="left"/>
              <w:rPr>
                <w:rFonts w:ascii="宋体" w:hAnsi="宋体" w:cs="宋体"/>
                <w:color w:val="auto"/>
                <w:kern w:val="0"/>
                <w:sz w:val="21"/>
                <w:szCs w:val="21"/>
                <w:highlight w:val="none"/>
                <w:lang w:eastAsia="ar-SA"/>
              </w:rPr>
            </w:pPr>
            <w:r>
              <w:rPr>
                <w:rFonts w:hint="eastAsia" w:ascii="宋体" w:hAnsi="宋体" w:cs="宋体"/>
                <w:color w:val="auto"/>
                <w:kern w:val="0"/>
                <w:sz w:val="19"/>
                <w:szCs w:val="19"/>
                <w:highlight w:val="none"/>
                <w:lang w:bidi="ar"/>
              </w:rPr>
              <w:t>现场定制+型材/含施工、含调试；提供钢结构工程专业承包叁级证书、安全生产许可证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322"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国家规范</w:t>
            </w:r>
          </w:p>
        </w:tc>
        <w:tc>
          <w:tcPr>
            <w:tcW w:w="7361" w:type="dxa"/>
          </w:tcPr>
          <w:p>
            <w:pPr>
              <w:widowControl/>
              <w:jc w:val="left"/>
              <w:rPr>
                <w:rFonts w:ascii="宋体" w:hAnsi="宋体" w:cs="宋体"/>
                <w:color w:val="auto"/>
                <w:kern w:val="0"/>
                <w:sz w:val="21"/>
                <w:szCs w:val="21"/>
                <w:highlight w:val="none"/>
                <w:lang w:eastAsia="ar-SA"/>
              </w:rPr>
            </w:pPr>
            <w:r>
              <w:rPr>
                <w:rFonts w:hint="eastAsia" w:ascii="宋体" w:hAnsi="宋体" w:cs="宋体"/>
                <w:color w:val="auto"/>
                <w:kern w:val="0"/>
                <w:sz w:val="19"/>
                <w:szCs w:val="19"/>
                <w:highlight w:val="none"/>
                <w:lang w:bidi="ar"/>
              </w:rPr>
              <w:t xml:space="preserve">设计图主要参照以下国家现行规范及规程进行结构设计： 《建筑结构荷载规范》、《钢结构设计规范》、《建筑抗震设计规范》、《钢结构工程施工质量验收规范》、《建筑钢结构焊接规程》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322" w:type="dxa"/>
            <w:vAlign w:val="center"/>
          </w:tcPr>
          <w:p>
            <w:pPr>
              <w:pStyle w:val="13"/>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19"/>
                <w:szCs w:val="19"/>
                <w:highlight w:val="none"/>
                <w:lang w:bidi="ar"/>
              </w:rPr>
              <w:t>建筑部分</w:t>
            </w:r>
          </w:p>
        </w:tc>
        <w:tc>
          <w:tcPr>
            <w:tcW w:w="7361" w:type="dxa"/>
          </w:tcPr>
          <w:p>
            <w:pPr>
              <w:widowControl/>
              <w:jc w:val="left"/>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除图中特别注明外，尺寸均以毫米为单位，标高均以m为单位。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1322" w:type="dxa"/>
            <w:vAlign w:val="center"/>
          </w:tcPr>
          <w:p>
            <w:pPr>
              <w:pStyle w:val="13"/>
              <w:ind w:firstLine="0" w:firstLineChars="0"/>
              <w:jc w:val="center"/>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主要荷载参数</w:t>
            </w:r>
          </w:p>
        </w:tc>
        <w:tc>
          <w:tcPr>
            <w:tcW w:w="7361" w:type="dxa"/>
          </w:tcPr>
          <w:p>
            <w:pPr>
              <w:widowControl/>
              <w:jc w:val="left"/>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 xml:space="preserve">活载：施工或者检修集中荷载：1.0kN/㎡；抗震：设防烈度：7度（0.10g）；基本风压：0.30kN/㎡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1322" w:type="dxa"/>
            <w:vAlign w:val="center"/>
          </w:tcPr>
          <w:p>
            <w:pPr>
              <w:pStyle w:val="13"/>
              <w:ind w:firstLine="0" w:firstLineChars="0"/>
              <w:jc w:val="center"/>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材料要求</w:t>
            </w:r>
          </w:p>
        </w:tc>
        <w:tc>
          <w:tcPr>
            <w:tcW w:w="7361" w:type="dxa"/>
          </w:tcPr>
          <w:p>
            <w:pPr>
              <w:widowControl/>
              <w:jc w:val="left"/>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构构件均采用Q235B钢。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1322" w:type="dxa"/>
            <w:vAlign w:val="center"/>
          </w:tcPr>
          <w:p>
            <w:pPr>
              <w:pStyle w:val="13"/>
              <w:ind w:firstLine="0" w:firstLineChars="0"/>
              <w:jc w:val="center"/>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施工规范</w:t>
            </w:r>
          </w:p>
        </w:tc>
        <w:tc>
          <w:tcPr>
            <w:tcW w:w="7361" w:type="dxa"/>
          </w:tcPr>
          <w:p>
            <w:pPr>
              <w:widowControl/>
              <w:jc w:val="left"/>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钢结构关键连接部分采用高强镙栓结构。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945" w:type="dxa"/>
            <w:vMerge w:val="restart"/>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1322" w:type="dxa"/>
            <w:vMerge w:val="restart"/>
            <w:vAlign w:val="center"/>
          </w:tcPr>
          <w:p>
            <w:pPr>
              <w:pStyle w:val="13"/>
              <w:ind w:firstLine="0" w:firstLineChars="0"/>
              <w:jc w:val="center"/>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钢材要求</w:t>
            </w:r>
          </w:p>
        </w:tc>
        <w:tc>
          <w:tcPr>
            <w:tcW w:w="7361" w:type="dxa"/>
          </w:tcPr>
          <w:p>
            <w:pPr>
              <w:widowControl/>
              <w:jc w:val="left"/>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 xml:space="preserve">钢材的屈服强度实测值与抗拉强度实测值的比值不应大于0.85；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945" w:type="dxa"/>
            <w:vMerge w:val="continue"/>
            <w:vAlign w:val="center"/>
          </w:tcPr>
          <w:p>
            <w:pPr>
              <w:widowControl/>
              <w:jc w:val="left"/>
              <w:rPr>
                <w:color w:val="auto"/>
                <w:highlight w:val="none"/>
              </w:rPr>
            </w:pPr>
          </w:p>
        </w:tc>
        <w:tc>
          <w:tcPr>
            <w:tcW w:w="1322" w:type="dxa"/>
            <w:vMerge w:val="continue"/>
            <w:vAlign w:val="center"/>
          </w:tcPr>
          <w:p>
            <w:pPr>
              <w:widowControl/>
              <w:jc w:val="left"/>
              <w:rPr>
                <w:color w:val="auto"/>
                <w:highlight w:val="none"/>
              </w:rPr>
            </w:pPr>
          </w:p>
        </w:tc>
        <w:tc>
          <w:tcPr>
            <w:tcW w:w="7361" w:type="dxa"/>
          </w:tcPr>
          <w:p>
            <w:pPr>
              <w:widowControl/>
              <w:jc w:val="left"/>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 xml:space="preserve">钢材应有明显的屈服台阶，切伸长率不应小于20%；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945" w:type="dxa"/>
            <w:vMerge w:val="continue"/>
            <w:vAlign w:val="center"/>
          </w:tcPr>
          <w:p>
            <w:pPr>
              <w:widowControl/>
              <w:jc w:val="left"/>
              <w:rPr>
                <w:rFonts w:ascii="宋体" w:hAnsi="宋体" w:cs="宋体"/>
                <w:color w:val="auto"/>
                <w:kern w:val="0"/>
                <w:sz w:val="19"/>
                <w:szCs w:val="19"/>
                <w:highlight w:val="none"/>
                <w:lang w:bidi="ar"/>
              </w:rPr>
            </w:pPr>
          </w:p>
        </w:tc>
        <w:tc>
          <w:tcPr>
            <w:tcW w:w="1322" w:type="dxa"/>
            <w:vMerge w:val="continue"/>
            <w:vAlign w:val="center"/>
          </w:tcPr>
          <w:p>
            <w:pPr>
              <w:widowControl/>
              <w:jc w:val="left"/>
              <w:rPr>
                <w:rFonts w:ascii="宋体" w:hAnsi="宋体" w:cs="宋体"/>
                <w:color w:val="auto"/>
                <w:kern w:val="0"/>
                <w:sz w:val="19"/>
                <w:szCs w:val="19"/>
                <w:highlight w:val="none"/>
                <w:lang w:bidi="ar"/>
              </w:rPr>
            </w:pPr>
          </w:p>
        </w:tc>
        <w:tc>
          <w:tcPr>
            <w:tcW w:w="7361" w:type="dxa"/>
          </w:tcPr>
          <w:p>
            <w:pPr>
              <w:widowControl/>
              <w:jc w:val="left"/>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钢材应有良好的焊接性和合格的冲击韧性；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45" w:type="dxa"/>
            <w:vMerge w:val="continue"/>
            <w:vAlign w:val="center"/>
          </w:tcPr>
          <w:p>
            <w:pPr>
              <w:widowControl/>
              <w:jc w:val="left"/>
              <w:rPr>
                <w:rFonts w:ascii="宋体" w:hAnsi="宋体" w:cs="宋体"/>
                <w:color w:val="auto"/>
                <w:kern w:val="0"/>
                <w:sz w:val="19"/>
                <w:szCs w:val="19"/>
                <w:highlight w:val="none"/>
                <w:lang w:bidi="ar"/>
              </w:rPr>
            </w:pPr>
          </w:p>
        </w:tc>
        <w:tc>
          <w:tcPr>
            <w:tcW w:w="1322" w:type="dxa"/>
            <w:vMerge w:val="continue"/>
            <w:vAlign w:val="center"/>
          </w:tcPr>
          <w:p>
            <w:pPr>
              <w:widowControl/>
              <w:jc w:val="left"/>
              <w:rPr>
                <w:rFonts w:ascii="宋体" w:hAnsi="宋体" w:cs="宋体"/>
                <w:color w:val="auto"/>
                <w:kern w:val="0"/>
                <w:sz w:val="19"/>
                <w:szCs w:val="19"/>
                <w:highlight w:val="none"/>
                <w:lang w:bidi="ar"/>
              </w:rPr>
            </w:pPr>
          </w:p>
        </w:tc>
        <w:tc>
          <w:tcPr>
            <w:tcW w:w="7361" w:type="dxa"/>
          </w:tcPr>
          <w:p>
            <w:pPr>
              <w:widowControl/>
              <w:jc w:val="left"/>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承重结构采用的钢材应具有抗拉强度、伸长率、屈服强度和硫、磷含量的合格保证，对焊接结构尚应具有碳含量的合格保证包边为不锈钢，无辐射，安全防火，耐磨、耐蚀性、整体光洁平滑、易清洁，经久耐用、紫外光照射不变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5" w:type="dxa"/>
            <w:vMerge w:val="continue"/>
            <w:vAlign w:val="center"/>
          </w:tcPr>
          <w:p>
            <w:pPr>
              <w:widowControl/>
              <w:jc w:val="left"/>
              <w:rPr>
                <w:rFonts w:ascii="宋体" w:hAnsi="宋体" w:cs="宋体"/>
                <w:color w:val="auto"/>
                <w:kern w:val="0"/>
                <w:sz w:val="19"/>
                <w:szCs w:val="19"/>
                <w:highlight w:val="none"/>
                <w:lang w:bidi="ar"/>
              </w:rPr>
            </w:pPr>
          </w:p>
        </w:tc>
        <w:tc>
          <w:tcPr>
            <w:tcW w:w="1322" w:type="dxa"/>
            <w:vMerge w:val="continue"/>
            <w:vAlign w:val="center"/>
          </w:tcPr>
          <w:p>
            <w:pPr>
              <w:widowControl/>
              <w:jc w:val="left"/>
              <w:rPr>
                <w:rFonts w:ascii="宋体" w:hAnsi="宋体" w:cs="宋体"/>
                <w:color w:val="auto"/>
                <w:kern w:val="0"/>
                <w:sz w:val="19"/>
                <w:szCs w:val="19"/>
                <w:highlight w:val="none"/>
                <w:lang w:bidi="ar"/>
              </w:rPr>
            </w:pPr>
          </w:p>
        </w:tc>
        <w:tc>
          <w:tcPr>
            <w:tcW w:w="7361" w:type="dxa"/>
          </w:tcPr>
          <w:p>
            <w:pPr>
              <w:widowControl/>
              <w:jc w:val="left"/>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提供厂家钢结构工程专业承包叁级证书</w:t>
            </w:r>
          </w:p>
        </w:tc>
      </w:tr>
    </w:tbl>
    <w:p>
      <w:pPr>
        <w:pStyle w:val="6"/>
        <w:rPr>
          <w:color w:val="auto"/>
          <w:highlight w:val="none"/>
        </w:rPr>
      </w:pPr>
      <w:r>
        <w:rPr>
          <w:rFonts w:hint="eastAsia"/>
          <w:color w:val="auto"/>
          <w:highlight w:val="none"/>
        </w:rPr>
        <w:t>配电</w:t>
      </w:r>
      <w:r>
        <w:rPr>
          <w:rFonts w:hint="eastAsia"/>
          <w:color w:val="auto"/>
          <w:highlight w:val="none"/>
          <w:lang w:eastAsia="zh-CN"/>
        </w:rPr>
        <w:t>系统</w:t>
      </w:r>
    </w:p>
    <w:tbl>
      <w:tblPr>
        <w:tblStyle w:val="1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322"/>
        <w:gridCol w:w="7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pStyle w:val="15"/>
              <w:jc w:val="center"/>
              <w:rPr>
                <w:color w:val="auto"/>
                <w:highlight w:val="none"/>
              </w:rPr>
            </w:pPr>
            <w:r>
              <w:rPr>
                <w:rFonts w:hint="eastAsia" w:ascii="宋体" w:hAnsi="宋体"/>
                <w:b/>
                <w:bCs/>
                <w:color w:val="auto"/>
                <w:highlight w:val="none"/>
              </w:rPr>
              <w:t>序号</w:t>
            </w:r>
          </w:p>
        </w:tc>
        <w:tc>
          <w:tcPr>
            <w:tcW w:w="1322" w:type="dxa"/>
            <w:vAlign w:val="center"/>
          </w:tcPr>
          <w:p>
            <w:pPr>
              <w:pStyle w:val="15"/>
              <w:jc w:val="center"/>
              <w:rPr>
                <w:color w:val="auto"/>
                <w:highlight w:val="none"/>
              </w:rPr>
            </w:pPr>
            <w:r>
              <w:rPr>
                <w:rFonts w:hint="eastAsia" w:ascii="宋体" w:hAnsi="宋体"/>
                <w:b/>
                <w:bCs/>
                <w:color w:val="auto"/>
                <w:highlight w:val="none"/>
              </w:rPr>
              <w:t>参数</w:t>
            </w:r>
          </w:p>
        </w:tc>
        <w:tc>
          <w:tcPr>
            <w:tcW w:w="7361" w:type="dxa"/>
            <w:vAlign w:val="center"/>
          </w:tcPr>
          <w:p>
            <w:pPr>
              <w:pStyle w:val="15"/>
              <w:jc w:val="center"/>
              <w:rPr>
                <w:color w:val="auto"/>
                <w:highlight w:val="none"/>
              </w:rPr>
            </w:pPr>
            <w:r>
              <w:rPr>
                <w:rFonts w:hint="eastAsia" w:ascii="宋体" w:hAnsi="宋体"/>
                <w:b/>
                <w:bCs/>
                <w:color w:val="auto"/>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5"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322"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保护措施</w:t>
            </w:r>
          </w:p>
        </w:tc>
        <w:tc>
          <w:tcPr>
            <w:tcW w:w="7361" w:type="dxa"/>
          </w:tcPr>
          <w:p>
            <w:pPr>
              <w:widowControl/>
              <w:jc w:val="left"/>
              <w:rPr>
                <w:rFonts w:ascii="宋体" w:hAnsi="宋体" w:cs="宋体"/>
                <w:color w:val="auto"/>
                <w:kern w:val="0"/>
                <w:sz w:val="21"/>
                <w:szCs w:val="21"/>
                <w:highlight w:val="none"/>
              </w:rPr>
            </w:pPr>
            <w:r>
              <w:rPr>
                <w:rFonts w:hint="eastAsia" w:ascii="宋体" w:hAnsi="宋体" w:cs="宋体"/>
                <w:color w:val="auto"/>
                <w:kern w:val="0"/>
                <w:sz w:val="19"/>
                <w:szCs w:val="19"/>
                <w:highlight w:val="none"/>
                <w:lang w:bidi="ar"/>
              </w:rPr>
              <w:t>保护措施具有短路、断路、过流、过压、欠压以及漏电保护措施。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322"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19"/>
                <w:szCs w:val="19"/>
                <w:highlight w:val="none"/>
                <w:lang w:bidi="ar"/>
              </w:rPr>
              <w:t>智能编程</w:t>
            </w:r>
          </w:p>
        </w:tc>
        <w:tc>
          <w:tcPr>
            <w:tcW w:w="7361" w:type="dxa"/>
          </w:tcPr>
          <w:p>
            <w:pPr>
              <w:widowControl/>
              <w:jc w:val="left"/>
              <w:rPr>
                <w:rFonts w:ascii="宋体" w:hAnsi="宋体" w:cs="宋体"/>
                <w:color w:val="auto"/>
                <w:kern w:val="0"/>
                <w:sz w:val="21"/>
                <w:szCs w:val="21"/>
                <w:highlight w:val="none"/>
              </w:rPr>
            </w:pPr>
            <w:r>
              <w:rPr>
                <w:rFonts w:hint="eastAsia" w:ascii="宋体" w:hAnsi="宋体" w:cs="宋体"/>
                <w:color w:val="auto"/>
                <w:kern w:val="0"/>
                <w:sz w:val="19"/>
                <w:szCs w:val="19"/>
                <w:highlight w:val="none"/>
                <w:lang w:bidi="ar"/>
              </w:rPr>
              <w:t>采用自主研发的可编程智能控制器（PLC），外围数字/模拟量、开关量I/O接口更加齐全，智能操控，数据监测功能更加完备，主芯片采用工业级CPU,具有运行稳定可靠、运算速度快的显著特点。</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322"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19"/>
                <w:szCs w:val="19"/>
                <w:highlight w:val="none"/>
                <w:lang w:bidi="ar"/>
              </w:rPr>
              <w:t>控制方式</w:t>
            </w:r>
          </w:p>
        </w:tc>
        <w:tc>
          <w:tcPr>
            <w:tcW w:w="7361" w:type="dxa"/>
          </w:tcPr>
          <w:p>
            <w:pPr>
              <w:widowControl/>
              <w:jc w:val="left"/>
              <w:rPr>
                <w:rFonts w:ascii="宋体" w:hAnsi="宋体" w:cs="宋体"/>
                <w:color w:val="auto"/>
                <w:kern w:val="0"/>
                <w:sz w:val="21"/>
                <w:szCs w:val="21"/>
                <w:highlight w:val="none"/>
              </w:rPr>
            </w:pPr>
            <w:r>
              <w:rPr>
                <w:rFonts w:hint="eastAsia" w:ascii="宋体" w:hAnsi="宋体" w:cs="宋体"/>
                <w:color w:val="auto"/>
                <w:kern w:val="0"/>
                <w:sz w:val="19"/>
                <w:szCs w:val="19"/>
                <w:highlight w:val="none"/>
                <w:lang w:bidi="ar"/>
              </w:rPr>
              <w:t>通讯采用Modbus工业标准协议和以太网IEEE802协议及无线局域网协议，可通过上位机电脑控制，也可以无线通信，或通过手机远程控制。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1322" w:type="dxa"/>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19"/>
                <w:szCs w:val="19"/>
                <w:highlight w:val="none"/>
                <w:lang w:bidi="ar"/>
              </w:rPr>
              <w:t>智能化控制</w:t>
            </w:r>
          </w:p>
        </w:tc>
        <w:tc>
          <w:tcPr>
            <w:tcW w:w="7361" w:type="dxa"/>
          </w:tcPr>
          <w:p>
            <w:pPr>
              <w:widowControl/>
              <w:jc w:val="left"/>
              <w:rPr>
                <w:rFonts w:ascii="宋体" w:hAnsi="宋体" w:cs="宋体"/>
                <w:color w:val="auto"/>
                <w:kern w:val="0"/>
                <w:sz w:val="21"/>
                <w:szCs w:val="21"/>
                <w:highlight w:val="none"/>
              </w:rPr>
            </w:pPr>
            <w:r>
              <w:rPr>
                <w:rFonts w:hint="eastAsia" w:ascii="宋体" w:hAnsi="宋体" w:cs="宋体"/>
                <w:color w:val="auto"/>
                <w:kern w:val="0"/>
                <w:sz w:val="19"/>
                <w:szCs w:val="19"/>
                <w:highlight w:val="none"/>
                <w:lang w:bidi="ar"/>
              </w:rPr>
              <w:t>改变传统的设备控电模式，实现远程实时监控，群组智能化管理，提供用电设备的安全性。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restart"/>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1322" w:type="dxa"/>
            <w:vMerge w:val="restart"/>
            <w:vAlign w:val="center"/>
          </w:tcPr>
          <w:p>
            <w:pPr>
              <w:widowControl/>
              <w:jc w:val="center"/>
              <w:rPr>
                <w:rFonts w:ascii="宋体" w:hAnsi="宋体" w:cs="宋体"/>
                <w:color w:val="auto"/>
                <w:kern w:val="0"/>
                <w:sz w:val="21"/>
                <w:szCs w:val="21"/>
                <w:highlight w:val="none"/>
              </w:rPr>
            </w:pPr>
            <w:r>
              <w:rPr>
                <w:rFonts w:hint="eastAsia" w:ascii="宋体" w:hAnsi="宋体" w:cs="宋体"/>
                <w:color w:val="auto"/>
                <w:kern w:val="0"/>
                <w:sz w:val="19"/>
                <w:szCs w:val="19"/>
                <w:highlight w:val="none"/>
                <w:lang w:bidi="ar"/>
              </w:rPr>
              <w:t>功能</w:t>
            </w:r>
          </w:p>
        </w:tc>
        <w:tc>
          <w:tcPr>
            <w:tcW w:w="7361" w:type="dxa"/>
          </w:tcPr>
          <w:p>
            <w:pPr>
              <w:widowControl/>
              <w:jc w:val="left"/>
              <w:rPr>
                <w:rFonts w:ascii="宋体" w:hAnsi="宋体" w:cs="宋体"/>
                <w:color w:val="auto"/>
                <w:kern w:val="0"/>
                <w:sz w:val="21"/>
                <w:szCs w:val="21"/>
                <w:highlight w:val="none"/>
              </w:rPr>
            </w:pPr>
            <w:r>
              <w:rPr>
                <w:rFonts w:hint="eastAsia" w:ascii="宋体" w:hAnsi="宋体" w:cs="宋体"/>
                <w:color w:val="auto"/>
                <w:kern w:val="0"/>
                <w:sz w:val="19"/>
                <w:szCs w:val="19"/>
                <w:highlight w:val="none"/>
                <w:lang w:bidi="ar"/>
              </w:rPr>
              <w:t>可实现多时段定时开关、电源监控、温度监控、烟雾监控、开门报警监控；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vAlign w:val="center"/>
          </w:tcPr>
          <w:p>
            <w:pPr>
              <w:widowControl/>
              <w:jc w:val="center"/>
              <w:rPr>
                <w:rFonts w:ascii="宋体" w:hAnsi="宋体" w:cs="宋体"/>
                <w:color w:val="auto"/>
                <w:kern w:val="0"/>
                <w:sz w:val="21"/>
                <w:szCs w:val="21"/>
                <w:highlight w:val="none"/>
              </w:rPr>
            </w:pPr>
          </w:p>
        </w:tc>
        <w:tc>
          <w:tcPr>
            <w:tcW w:w="1322" w:type="dxa"/>
            <w:vMerge w:val="continue"/>
          </w:tcPr>
          <w:p>
            <w:pPr>
              <w:widowControl/>
              <w:jc w:val="center"/>
              <w:rPr>
                <w:rFonts w:ascii="宋体" w:hAnsi="宋体" w:cs="宋体"/>
                <w:color w:val="auto"/>
                <w:kern w:val="0"/>
                <w:sz w:val="21"/>
                <w:szCs w:val="21"/>
                <w:highlight w:val="none"/>
              </w:rPr>
            </w:pPr>
          </w:p>
        </w:tc>
        <w:tc>
          <w:tcPr>
            <w:tcW w:w="7361" w:type="dxa"/>
          </w:tcPr>
          <w:p>
            <w:pPr>
              <w:widowControl/>
              <w:jc w:val="left"/>
              <w:rPr>
                <w:rFonts w:ascii="宋体" w:hAnsi="宋体" w:cs="宋体"/>
                <w:color w:val="auto"/>
                <w:kern w:val="0"/>
                <w:sz w:val="21"/>
                <w:szCs w:val="21"/>
                <w:highlight w:val="none"/>
              </w:rPr>
            </w:pPr>
            <w:r>
              <w:rPr>
                <w:rFonts w:hint="eastAsia" w:ascii="宋体" w:hAnsi="宋体" w:cs="宋体"/>
                <w:color w:val="auto"/>
                <w:kern w:val="0"/>
                <w:sz w:val="19"/>
                <w:szCs w:val="19"/>
                <w:highlight w:val="none"/>
                <w:lang w:bidi="ar"/>
              </w:rPr>
              <w:t>电流、电压、功率因数等电力参数检测计量，欠压、过压、过流保护，电力运行参数可生成报表，方便管理人员分析管理。</w:t>
            </w:r>
          </w:p>
        </w:tc>
      </w:tr>
    </w:tbl>
    <w:p>
      <w:pPr>
        <w:pStyle w:val="6"/>
        <w:rPr>
          <w:color w:val="auto"/>
          <w:highlight w:val="none"/>
        </w:rPr>
      </w:pPr>
      <w:r>
        <w:rPr>
          <w:rFonts w:hint="eastAsia"/>
          <w:color w:val="auto"/>
          <w:highlight w:val="none"/>
          <w:lang w:eastAsia="zh-CN"/>
        </w:rPr>
        <w:t>其他设备</w:t>
      </w:r>
    </w:p>
    <w:tbl>
      <w:tblPr>
        <w:tblStyle w:val="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319"/>
        <w:gridCol w:w="1042"/>
        <w:gridCol w:w="6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9" w:type="dxa"/>
            <w:tcBorders>
              <w:top w:val="single" w:color="auto" w:sz="4" w:space="0"/>
              <w:left w:val="single" w:color="auto" w:sz="4" w:space="0"/>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319"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7350" w:type="dxa"/>
            <w:gridSpan w:val="2"/>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319" w:type="dxa"/>
            <w:tcBorders>
              <w:top w:val="single" w:color="auto" w:sz="4" w:space="0"/>
              <w:left w:val="nil"/>
              <w:bottom w:val="single" w:color="auto" w:sz="4" w:space="0"/>
              <w:right w:val="single" w:color="auto" w:sz="4" w:space="0"/>
            </w:tcBorders>
            <w:vAlign w:val="center"/>
          </w:tcPr>
          <w:p>
            <w:pPr>
              <w:pStyle w:val="15"/>
              <w:rPr>
                <w:rFonts w:ascii="宋体" w:hAnsi="宋体"/>
                <w:color w:val="auto"/>
                <w:szCs w:val="21"/>
                <w:highlight w:val="none"/>
              </w:rPr>
            </w:pPr>
            <w:r>
              <w:rPr>
                <w:rFonts w:hint="eastAsia" w:ascii="宋体" w:hAnsi="宋体"/>
                <w:color w:val="auto"/>
                <w:highlight w:val="none"/>
              </w:rPr>
              <w:t>线缆辅料</w:t>
            </w:r>
          </w:p>
        </w:tc>
        <w:tc>
          <w:tcPr>
            <w:tcW w:w="7350" w:type="dxa"/>
            <w:gridSpan w:val="2"/>
            <w:tcBorders>
              <w:top w:val="single" w:color="auto" w:sz="4" w:space="0"/>
              <w:left w:val="nil"/>
              <w:bottom w:val="single" w:color="auto" w:sz="4" w:space="0"/>
              <w:right w:val="single" w:color="auto" w:sz="4" w:space="0"/>
            </w:tcBorders>
          </w:tcPr>
          <w:p>
            <w:pPr>
              <w:widowControl/>
              <w:jc w:val="left"/>
              <w:rPr>
                <w:rFonts w:ascii="宋体" w:hAnsi="宋体"/>
                <w:color w:val="auto"/>
                <w:sz w:val="21"/>
                <w:szCs w:val="21"/>
                <w:highlight w:val="none"/>
              </w:rPr>
            </w:pPr>
            <w:r>
              <w:rPr>
                <w:rFonts w:hint="eastAsia" w:ascii="宋体" w:hAnsi="宋体" w:cs="宋体"/>
                <w:color w:val="auto"/>
                <w:kern w:val="0"/>
                <w:sz w:val="19"/>
                <w:szCs w:val="19"/>
                <w:highlight w:val="none"/>
                <w:lang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959" w:type="dxa"/>
            <w:vMerge w:val="restart"/>
            <w:tcBorders>
              <w:top w:val="single" w:color="auto" w:sz="4" w:space="0"/>
              <w:left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319" w:type="dxa"/>
            <w:vMerge w:val="restart"/>
            <w:tcBorders>
              <w:top w:val="single" w:color="auto" w:sz="4" w:space="0"/>
              <w:left w:val="nil"/>
              <w:right w:val="single" w:color="auto" w:sz="4" w:space="0"/>
            </w:tcBorders>
            <w:vAlign w:val="center"/>
          </w:tcPr>
          <w:p>
            <w:pPr>
              <w:pStyle w:val="15"/>
              <w:rPr>
                <w:rFonts w:ascii="宋体" w:hAnsi="宋体"/>
                <w:color w:val="auto"/>
                <w:szCs w:val="21"/>
                <w:highlight w:val="none"/>
              </w:rPr>
            </w:pPr>
            <w:r>
              <w:rPr>
                <w:rFonts w:hint="eastAsia" w:ascii="宋体" w:hAnsi="宋体"/>
                <w:color w:val="auto"/>
                <w:highlight w:val="none"/>
              </w:rPr>
              <w:t>监控中心装修</w:t>
            </w:r>
          </w:p>
        </w:tc>
        <w:tc>
          <w:tcPr>
            <w:tcW w:w="1042" w:type="dxa"/>
            <w:tcBorders>
              <w:top w:val="single" w:color="auto" w:sz="4" w:space="0"/>
              <w:left w:val="nil"/>
              <w:bottom w:val="single" w:color="auto" w:sz="4" w:space="0"/>
              <w:right w:val="single" w:color="auto" w:sz="4" w:space="0"/>
            </w:tcBorders>
            <w:vAlign w:val="center"/>
          </w:tcPr>
          <w:p>
            <w:pPr>
              <w:widowControl/>
              <w:jc w:val="center"/>
              <w:rPr>
                <w:color w:val="auto"/>
                <w:highlight w:val="none"/>
              </w:rPr>
            </w:pPr>
            <w:r>
              <w:rPr>
                <w:rFonts w:hint="eastAsia" w:ascii="宋体" w:hAnsi="宋体" w:cs="宋体"/>
                <w:color w:val="auto"/>
                <w:kern w:val="0"/>
                <w:sz w:val="19"/>
                <w:szCs w:val="19"/>
                <w:highlight w:val="none"/>
                <w:lang w:bidi="ar"/>
              </w:rPr>
              <w:t>硬件安装</w:t>
            </w:r>
          </w:p>
          <w:p>
            <w:pPr>
              <w:widowControl/>
              <w:jc w:val="center"/>
              <w:rPr>
                <w:rFonts w:ascii="宋体" w:hAnsi="宋体"/>
                <w:color w:val="auto"/>
                <w:sz w:val="21"/>
                <w:szCs w:val="21"/>
                <w:highlight w:val="none"/>
              </w:rPr>
            </w:pPr>
          </w:p>
        </w:tc>
        <w:tc>
          <w:tcPr>
            <w:tcW w:w="6308" w:type="dxa"/>
            <w:tcBorders>
              <w:top w:val="single" w:color="auto" w:sz="4" w:space="0"/>
              <w:left w:val="nil"/>
              <w:bottom w:val="single" w:color="auto" w:sz="4" w:space="0"/>
              <w:right w:val="single" w:color="auto" w:sz="4" w:space="0"/>
            </w:tcBorders>
          </w:tcPr>
          <w:p>
            <w:pPr>
              <w:widowControl/>
              <w:jc w:val="left"/>
              <w:rPr>
                <w:color w:val="auto"/>
                <w:highlight w:val="none"/>
              </w:rPr>
            </w:pPr>
            <w:r>
              <w:rPr>
                <w:rFonts w:hint="eastAsia" w:ascii="宋体" w:hAnsi="宋体" w:cs="宋体"/>
                <w:color w:val="auto"/>
                <w:kern w:val="0"/>
                <w:sz w:val="19"/>
                <w:szCs w:val="19"/>
                <w:highlight w:val="none"/>
                <w:lang w:bidi="ar"/>
              </w:rPr>
              <w:t xml:space="preserve">1）把DVI显示卡插于主板的AGP插槽，安装好该卡的驱动程序； </w:t>
            </w:r>
          </w:p>
          <w:p>
            <w:pPr>
              <w:widowControl/>
              <w:jc w:val="left"/>
              <w:rPr>
                <w:color w:val="auto"/>
                <w:highlight w:val="none"/>
              </w:rPr>
            </w:pPr>
            <w:r>
              <w:rPr>
                <w:rFonts w:hint="eastAsia" w:ascii="宋体" w:hAnsi="宋体" w:cs="宋体"/>
                <w:color w:val="auto"/>
                <w:kern w:val="0"/>
                <w:sz w:val="19"/>
                <w:szCs w:val="19"/>
                <w:highlight w:val="none"/>
                <w:lang w:bidi="ar"/>
              </w:rPr>
              <w:t xml:space="preserve">2）将数据采集卡插于空的PCI插槽； </w:t>
            </w:r>
          </w:p>
          <w:p>
            <w:pPr>
              <w:widowControl/>
              <w:jc w:val="left"/>
              <w:rPr>
                <w:color w:val="auto"/>
                <w:highlight w:val="none"/>
              </w:rPr>
            </w:pPr>
            <w:r>
              <w:rPr>
                <w:rFonts w:hint="eastAsia" w:ascii="宋体" w:hAnsi="宋体" w:cs="宋体"/>
                <w:color w:val="auto"/>
                <w:kern w:val="0"/>
                <w:sz w:val="19"/>
                <w:szCs w:val="19"/>
                <w:highlight w:val="none"/>
                <w:lang w:bidi="ar"/>
              </w:rPr>
              <w:t xml:space="preserve">3）用DVI电缆线把数据采集卡与显示卡连接在一起； </w:t>
            </w:r>
          </w:p>
          <w:p>
            <w:pPr>
              <w:widowControl/>
              <w:jc w:val="left"/>
              <w:rPr>
                <w:color w:val="auto"/>
                <w:highlight w:val="none"/>
              </w:rPr>
            </w:pPr>
            <w:r>
              <w:rPr>
                <w:rFonts w:hint="eastAsia" w:ascii="宋体" w:hAnsi="宋体" w:cs="宋体"/>
                <w:color w:val="auto"/>
                <w:kern w:val="0"/>
                <w:sz w:val="19"/>
                <w:szCs w:val="19"/>
                <w:highlight w:val="none"/>
                <w:lang w:bidi="ar"/>
              </w:rPr>
              <w:t xml:space="preserve">4）把控制线与串口（Rs232）相连（可选）； </w:t>
            </w:r>
          </w:p>
          <w:p>
            <w:pPr>
              <w:widowControl/>
              <w:jc w:val="left"/>
              <w:rPr>
                <w:color w:val="auto"/>
                <w:highlight w:val="none"/>
              </w:rPr>
            </w:pPr>
            <w:r>
              <w:rPr>
                <w:rFonts w:hint="eastAsia" w:ascii="宋体" w:hAnsi="宋体" w:cs="宋体"/>
                <w:color w:val="auto"/>
                <w:kern w:val="0"/>
                <w:sz w:val="19"/>
                <w:szCs w:val="19"/>
                <w:highlight w:val="none"/>
                <w:lang w:bidi="ar"/>
              </w:rPr>
              <w:t xml:space="preserve">5）用1条网线与接收卡相连； </w:t>
            </w:r>
          </w:p>
          <w:p>
            <w:pPr>
              <w:widowControl/>
              <w:jc w:val="left"/>
              <w:rPr>
                <w:color w:val="auto"/>
                <w:highlight w:val="none"/>
              </w:rPr>
            </w:pPr>
            <w:r>
              <w:rPr>
                <w:rFonts w:hint="eastAsia" w:ascii="宋体" w:hAnsi="宋体" w:cs="宋体"/>
                <w:color w:val="auto"/>
                <w:kern w:val="0"/>
                <w:sz w:val="19"/>
                <w:szCs w:val="19"/>
                <w:highlight w:val="none"/>
                <w:lang w:bidi="ar"/>
              </w:rPr>
              <w:t xml:space="preserve">6）显示驱动卡与集线板用50P扁平线一一对应连接好； </w:t>
            </w:r>
          </w:p>
          <w:p>
            <w:pPr>
              <w:widowControl/>
              <w:jc w:val="left"/>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7）检查连接无误即可进行设置或上电调试。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Merge w:val="continue"/>
            <w:tcBorders>
              <w:left w:val="single" w:color="auto" w:sz="4" w:space="0"/>
              <w:bottom w:val="single" w:color="auto" w:sz="4" w:space="0"/>
              <w:right w:val="single" w:color="auto" w:sz="4" w:space="0"/>
            </w:tcBorders>
            <w:vAlign w:val="center"/>
          </w:tcPr>
          <w:p>
            <w:pPr>
              <w:widowControl/>
              <w:jc w:val="left"/>
              <w:rPr>
                <w:color w:val="auto"/>
                <w:highlight w:val="none"/>
              </w:rPr>
            </w:pPr>
          </w:p>
        </w:tc>
        <w:tc>
          <w:tcPr>
            <w:tcW w:w="1319" w:type="dxa"/>
            <w:vMerge w:val="continue"/>
            <w:tcBorders>
              <w:left w:val="nil"/>
              <w:bottom w:val="single" w:color="auto" w:sz="4" w:space="0"/>
              <w:right w:val="single" w:color="auto" w:sz="4" w:space="0"/>
            </w:tcBorders>
            <w:vAlign w:val="center"/>
          </w:tcPr>
          <w:p>
            <w:pPr>
              <w:widowControl/>
              <w:jc w:val="left"/>
              <w:rPr>
                <w:color w:val="auto"/>
                <w:highlight w:val="none"/>
              </w:rPr>
            </w:pPr>
          </w:p>
        </w:tc>
        <w:tc>
          <w:tcPr>
            <w:tcW w:w="104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软件安装</w:t>
            </w:r>
          </w:p>
        </w:tc>
        <w:tc>
          <w:tcPr>
            <w:tcW w:w="6308" w:type="dxa"/>
            <w:tcBorders>
              <w:top w:val="single" w:color="auto" w:sz="4" w:space="0"/>
              <w:left w:val="nil"/>
              <w:bottom w:val="single" w:color="auto" w:sz="4" w:space="0"/>
              <w:right w:val="single" w:color="auto" w:sz="4" w:space="0"/>
            </w:tcBorders>
          </w:tcPr>
          <w:p>
            <w:pPr>
              <w:widowControl/>
              <w:jc w:val="left"/>
              <w:rPr>
                <w:color w:val="auto"/>
                <w:highlight w:val="none"/>
              </w:rPr>
            </w:pPr>
            <w:r>
              <w:rPr>
                <w:rFonts w:hint="eastAsia" w:ascii="宋体" w:hAnsi="宋体" w:cs="宋体"/>
                <w:color w:val="auto"/>
                <w:kern w:val="0"/>
                <w:sz w:val="19"/>
                <w:szCs w:val="19"/>
                <w:highlight w:val="none"/>
                <w:lang w:bidi="ar"/>
              </w:rPr>
              <w:t xml:space="preserve">1）显卡驱动安装 </w:t>
            </w:r>
          </w:p>
          <w:p>
            <w:pPr>
              <w:widowControl/>
              <w:jc w:val="left"/>
              <w:rPr>
                <w:rFonts w:ascii="宋体" w:hAnsi="宋体" w:cs="宋体"/>
                <w:color w:val="auto"/>
                <w:kern w:val="0"/>
                <w:sz w:val="19"/>
                <w:szCs w:val="19"/>
                <w:highlight w:val="none"/>
                <w:lang w:bidi="ar"/>
              </w:rPr>
            </w:pPr>
            <w:r>
              <w:rPr>
                <w:rFonts w:hint="eastAsia" w:ascii="宋体" w:hAnsi="宋体" w:cs="宋体"/>
                <w:color w:val="auto"/>
                <w:kern w:val="0"/>
                <w:sz w:val="19"/>
                <w:szCs w:val="19"/>
                <w:highlight w:val="none"/>
                <w:lang w:bidi="ar"/>
              </w:rPr>
              <w:t>2）播放软件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Merge w:val="continue"/>
            <w:tcBorders>
              <w:left w:val="single" w:color="auto" w:sz="4" w:space="0"/>
              <w:bottom w:val="single" w:color="auto" w:sz="4" w:space="0"/>
              <w:right w:val="single" w:color="auto" w:sz="4" w:space="0"/>
            </w:tcBorders>
            <w:vAlign w:val="center"/>
          </w:tcPr>
          <w:p>
            <w:pPr>
              <w:widowControl/>
              <w:jc w:val="left"/>
              <w:rPr>
                <w:color w:val="auto"/>
                <w:highlight w:val="none"/>
              </w:rPr>
            </w:pPr>
          </w:p>
        </w:tc>
        <w:tc>
          <w:tcPr>
            <w:tcW w:w="1319" w:type="dxa"/>
            <w:vMerge w:val="continue"/>
            <w:tcBorders>
              <w:left w:val="nil"/>
              <w:bottom w:val="single" w:color="auto" w:sz="4" w:space="0"/>
              <w:right w:val="single" w:color="auto" w:sz="4" w:space="0"/>
            </w:tcBorders>
            <w:vAlign w:val="center"/>
          </w:tcPr>
          <w:p>
            <w:pPr>
              <w:widowControl/>
              <w:jc w:val="left"/>
              <w:rPr>
                <w:color w:val="auto"/>
                <w:highlight w:val="none"/>
              </w:rPr>
            </w:pPr>
          </w:p>
        </w:tc>
        <w:tc>
          <w:tcPr>
            <w:tcW w:w="7350" w:type="dxa"/>
            <w:gridSpan w:val="2"/>
            <w:tcBorders>
              <w:top w:val="single" w:color="auto" w:sz="4" w:space="0"/>
              <w:left w:val="nil"/>
              <w:bottom w:val="single" w:color="auto" w:sz="4" w:space="0"/>
              <w:right w:val="single" w:color="auto" w:sz="4" w:space="0"/>
            </w:tcBorders>
            <w:vAlign w:val="center"/>
          </w:tcPr>
          <w:p>
            <w:pPr>
              <w:widowControl/>
              <w:jc w:val="left"/>
              <w:rPr>
                <w:color w:val="auto"/>
                <w:highlight w:val="none"/>
              </w:rPr>
            </w:pPr>
            <w:r>
              <w:rPr>
                <w:rFonts w:hint="eastAsia" w:ascii="宋体" w:hAnsi="宋体" w:cs="宋体"/>
                <w:color w:val="auto"/>
                <w:kern w:val="0"/>
                <w:sz w:val="19"/>
                <w:szCs w:val="19"/>
                <w:highlight w:val="none"/>
                <w:lang w:bidi="ar"/>
              </w:rPr>
              <w:t>产品装修、调试的费用等。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319" w:type="dxa"/>
            <w:tcBorders>
              <w:top w:val="single" w:color="auto" w:sz="4" w:space="0"/>
              <w:left w:val="nil"/>
              <w:bottom w:val="single" w:color="auto" w:sz="4" w:space="0"/>
              <w:right w:val="single" w:color="auto" w:sz="4" w:space="0"/>
            </w:tcBorders>
            <w:vAlign w:val="center"/>
          </w:tcPr>
          <w:p>
            <w:pPr>
              <w:pStyle w:val="15"/>
              <w:rPr>
                <w:rFonts w:ascii="宋体" w:hAnsi="宋体"/>
                <w:color w:val="auto"/>
                <w:szCs w:val="21"/>
                <w:highlight w:val="none"/>
              </w:rPr>
            </w:pPr>
            <w:r>
              <w:rPr>
                <w:rFonts w:hint="eastAsia" w:ascii="宋体" w:hAnsi="宋体"/>
                <w:color w:val="auto"/>
                <w:highlight w:val="none"/>
              </w:rPr>
              <w:t>0.5㎡屏幕备品备件</w:t>
            </w:r>
          </w:p>
        </w:tc>
        <w:tc>
          <w:tcPr>
            <w:tcW w:w="7350" w:type="dxa"/>
            <w:gridSpan w:val="2"/>
            <w:tcBorders>
              <w:top w:val="single" w:color="auto" w:sz="4" w:space="0"/>
              <w:left w:val="nil"/>
              <w:bottom w:val="single" w:color="auto" w:sz="4" w:space="0"/>
              <w:right w:val="single" w:color="auto" w:sz="4" w:space="0"/>
            </w:tcBorders>
            <w:vAlign w:val="center"/>
          </w:tcPr>
          <w:p>
            <w:pPr>
              <w:widowControl/>
              <w:rPr>
                <w:rFonts w:ascii="宋体" w:hAnsi="宋体"/>
                <w:color w:val="auto"/>
                <w:sz w:val="21"/>
                <w:szCs w:val="21"/>
                <w:highlight w:val="none"/>
              </w:rPr>
            </w:pPr>
            <w:r>
              <w:rPr>
                <w:rFonts w:hint="eastAsia" w:ascii="宋体" w:hAnsi="宋体" w:cs="宋体"/>
                <w:color w:val="auto"/>
                <w:kern w:val="0"/>
                <w:sz w:val="19"/>
                <w:szCs w:val="19"/>
                <w:highlight w:val="none"/>
                <w:lang w:bidi="ar"/>
              </w:rPr>
              <w:t>0.5 ㎡屏幕；同厂同批次备品模组、电源、IC、管芯、专用工具等</w:t>
            </w:r>
          </w:p>
        </w:tc>
      </w:tr>
    </w:tbl>
    <w:p>
      <w:pPr>
        <w:pStyle w:val="5"/>
        <w:rPr>
          <w:color w:val="auto"/>
          <w:highlight w:val="none"/>
        </w:rPr>
      </w:pPr>
      <w:r>
        <w:rPr>
          <w:rFonts w:hint="eastAsia"/>
          <w:color w:val="auto"/>
          <w:highlight w:val="none"/>
        </w:rPr>
        <w:t>服务器及存储</w:t>
      </w:r>
    </w:p>
    <w:p>
      <w:pPr>
        <w:pStyle w:val="6"/>
        <w:rPr>
          <w:color w:val="auto"/>
          <w:highlight w:val="none"/>
        </w:rPr>
      </w:pPr>
      <w:r>
        <w:rPr>
          <w:rFonts w:hint="eastAsia"/>
          <w:color w:val="auto"/>
          <w:highlight w:val="none"/>
        </w:rPr>
        <w:t>数据库服务器</w:t>
      </w:r>
    </w:p>
    <w:tbl>
      <w:tblPr>
        <w:tblStyle w:val="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2293"/>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58" w:type="dxa"/>
            <w:tcBorders>
              <w:top w:val="single" w:color="auto" w:sz="4" w:space="0"/>
              <w:left w:val="single" w:color="auto" w:sz="4" w:space="0"/>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293"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5777"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2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CPU</w:t>
            </w:r>
          </w:p>
        </w:tc>
        <w:tc>
          <w:tcPr>
            <w:tcW w:w="57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不低于至强16核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2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内存</w:t>
            </w:r>
          </w:p>
        </w:tc>
        <w:tc>
          <w:tcPr>
            <w:tcW w:w="57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 xml:space="preserve">不低于DDR4 64GB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2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储存</w:t>
            </w:r>
          </w:p>
        </w:tc>
        <w:tc>
          <w:tcPr>
            <w:tcW w:w="57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不低于2T SAS 10K 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2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网卡</w:t>
            </w:r>
          </w:p>
        </w:tc>
        <w:tc>
          <w:tcPr>
            <w:tcW w:w="57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不低于2xGE电口(I350)-RJ45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22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RAID卡</w:t>
            </w:r>
          </w:p>
        </w:tc>
        <w:tc>
          <w:tcPr>
            <w:tcW w:w="57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SAS/SATA，支持RAID0,1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229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机箱</w:t>
            </w:r>
          </w:p>
        </w:tc>
        <w:tc>
          <w:tcPr>
            <w:tcW w:w="577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机架式</w:t>
            </w:r>
          </w:p>
        </w:tc>
      </w:tr>
    </w:tbl>
    <w:p>
      <w:pPr>
        <w:pStyle w:val="6"/>
        <w:rPr>
          <w:color w:val="auto"/>
          <w:highlight w:val="none"/>
        </w:rPr>
      </w:pPr>
      <w:r>
        <w:rPr>
          <w:rFonts w:hint="eastAsia"/>
          <w:color w:val="auto"/>
          <w:highlight w:val="none"/>
        </w:rPr>
        <w:t>应用服务器</w:t>
      </w:r>
    </w:p>
    <w:tbl>
      <w:tblPr>
        <w:tblStyle w:val="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2033"/>
        <w:gridCol w:w="5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627" w:type="dxa"/>
            <w:tcBorders>
              <w:top w:val="single" w:color="auto" w:sz="4" w:space="0"/>
              <w:left w:val="single" w:color="auto" w:sz="4" w:space="0"/>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033"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5968"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03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CPU</w:t>
            </w:r>
          </w:p>
        </w:tc>
        <w:tc>
          <w:tcPr>
            <w:tcW w:w="596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不低于至强</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16核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03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内存</w:t>
            </w:r>
          </w:p>
        </w:tc>
        <w:tc>
          <w:tcPr>
            <w:tcW w:w="596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不低于</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DDR4 64GB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03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储存</w:t>
            </w:r>
          </w:p>
        </w:tc>
        <w:tc>
          <w:tcPr>
            <w:tcW w:w="596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不低于2T SAS 10K 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03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网卡</w:t>
            </w:r>
          </w:p>
        </w:tc>
        <w:tc>
          <w:tcPr>
            <w:tcW w:w="596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不低于2xGE电口(I350)-RJ45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203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RAID卡</w:t>
            </w:r>
          </w:p>
        </w:tc>
        <w:tc>
          <w:tcPr>
            <w:tcW w:w="596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SAS/SATA，支持RAID0,1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2033"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机箱</w:t>
            </w:r>
          </w:p>
        </w:tc>
        <w:tc>
          <w:tcPr>
            <w:tcW w:w="5968"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机架式</w:t>
            </w:r>
          </w:p>
        </w:tc>
      </w:tr>
    </w:tbl>
    <w:p>
      <w:pPr>
        <w:pStyle w:val="6"/>
        <w:rPr>
          <w:color w:val="auto"/>
          <w:highlight w:val="none"/>
        </w:rPr>
      </w:pPr>
      <w:r>
        <w:rPr>
          <w:rFonts w:hint="eastAsia"/>
          <w:color w:val="auto"/>
          <w:highlight w:val="none"/>
        </w:rPr>
        <w:t>平台接入引擎服务器</w:t>
      </w:r>
    </w:p>
    <w:tbl>
      <w:tblPr>
        <w:tblStyle w:val="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2082"/>
        <w:gridCol w:w="5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806" w:type="dxa"/>
            <w:tcBorders>
              <w:top w:val="single" w:color="auto" w:sz="4" w:space="0"/>
              <w:left w:val="single" w:color="auto" w:sz="4" w:space="0"/>
              <w:bottom w:val="single" w:color="auto" w:sz="4" w:space="0"/>
              <w:right w:val="single" w:color="auto" w:sz="4" w:space="0"/>
            </w:tcBorders>
          </w:tcPr>
          <w:p>
            <w:pPr>
              <w:jc w:val="center"/>
              <w:rPr>
                <w:color w:val="auto"/>
                <w:highlight w:val="none"/>
              </w:rPr>
            </w:pPr>
            <w:r>
              <w:rPr>
                <w:rFonts w:hint="eastAsia" w:ascii="宋体" w:hAnsi="宋体"/>
                <w:b/>
                <w:bCs/>
                <w:color w:val="auto"/>
                <w:sz w:val="21"/>
                <w:szCs w:val="21"/>
                <w:highlight w:val="none"/>
              </w:rPr>
              <w:t>序号</w:t>
            </w:r>
          </w:p>
        </w:tc>
        <w:tc>
          <w:tcPr>
            <w:tcW w:w="2082"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w:t>
            </w:r>
          </w:p>
        </w:tc>
        <w:tc>
          <w:tcPr>
            <w:tcW w:w="5740"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806" w:type="dxa"/>
            <w:tcBorders>
              <w:top w:val="single" w:color="auto" w:sz="4" w:space="0"/>
              <w:left w:val="single" w:color="auto" w:sz="4" w:space="0"/>
              <w:bottom w:val="single" w:color="auto" w:sz="4" w:space="0"/>
              <w:right w:val="single" w:color="auto" w:sz="4" w:space="0"/>
            </w:tcBorders>
            <w:vAlign w:val="center"/>
          </w:tcPr>
          <w:p>
            <w:pPr>
              <w:jc w:val="center"/>
              <w:rPr>
                <w:color w:val="auto"/>
                <w:szCs w:val="28"/>
                <w:highlight w:val="none"/>
              </w:rPr>
            </w:pPr>
            <w:r>
              <w:rPr>
                <w:rFonts w:hint="eastAsia" w:ascii="宋体" w:hAnsi="宋体"/>
                <w:color w:val="auto"/>
                <w:sz w:val="21"/>
                <w:szCs w:val="21"/>
                <w:highlight w:val="none"/>
              </w:rPr>
              <w:t>1</w:t>
            </w:r>
          </w:p>
        </w:tc>
        <w:tc>
          <w:tcPr>
            <w:tcW w:w="2082"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CPU</w:t>
            </w:r>
          </w:p>
        </w:tc>
        <w:tc>
          <w:tcPr>
            <w:tcW w:w="57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不低于至强16核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806" w:type="dxa"/>
            <w:tcBorders>
              <w:top w:val="single" w:color="auto" w:sz="4" w:space="0"/>
              <w:left w:val="single" w:color="auto" w:sz="4" w:space="0"/>
              <w:bottom w:val="single" w:color="auto" w:sz="4" w:space="0"/>
              <w:right w:val="single" w:color="auto" w:sz="4" w:space="0"/>
            </w:tcBorders>
            <w:vAlign w:val="center"/>
          </w:tcPr>
          <w:p>
            <w:pPr>
              <w:jc w:val="center"/>
              <w:rPr>
                <w:color w:val="auto"/>
                <w:szCs w:val="28"/>
                <w:highlight w:val="none"/>
              </w:rPr>
            </w:pPr>
            <w:r>
              <w:rPr>
                <w:rFonts w:hint="eastAsia" w:ascii="宋体" w:hAnsi="宋体"/>
                <w:color w:val="auto"/>
                <w:sz w:val="21"/>
                <w:szCs w:val="21"/>
                <w:highlight w:val="none"/>
              </w:rPr>
              <w:t>2</w:t>
            </w:r>
          </w:p>
        </w:tc>
        <w:tc>
          <w:tcPr>
            <w:tcW w:w="2082"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内存</w:t>
            </w:r>
          </w:p>
        </w:tc>
        <w:tc>
          <w:tcPr>
            <w:tcW w:w="57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 xml:space="preserve">不低于DDR4 64GB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806" w:type="dxa"/>
            <w:tcBorders>
              <w:top w:val="single" w:color="auto" w:sz="4" w:space="0"/>
              <w:left w:val="single" w:color="auto" w:sz="4" w:space="0"/>
              <w:bottom w:val="single" w:color="auto" w:sz="4" w:space="0"/>
              <w:right w:val="single" w:color="auto" w:sz="4" w:space="0"/>
            </w:tcBorders>
            <w:vAlign w:val="center"/>
          </w:tcPr>
          <w:p>
            <w:pPr>
              <w:jc w:val="center"/>
              <w:rPr>
                <w:color w:val="auto"/>
                <w:szCs w:val="28"/>
                <w:highlight w:val="none"/>
              </w:rPr>
            </w:pPr>
            <w:r>
              <w:rPr>
                <w:rFonts w:hint="eastAsia" w:ascii="宋体" w:hAnsi="宋体"/>
                <w:color w:val="auto"/>
                <w:sz w:val="21"/>
                <w:szCs w:val="21"/>
                <w:highlight w:val="none"/>
              </w:rPr>
              <w:t>3</w:t>
            </w:r>
          </w:p>
        </w:tc>
        <w:tc>
          <w:tcPr>
            <w:tcW w:w="2082"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储存</w:t>
            </w:r>
          </w:p>
        </w:tc>
        <w:tc>
          <w:tcPr>
            <w:tcW w:w="57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不低于2T SAS 10K 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806" w:type="dxa"/>
            <w:tcBorders>
              <w:top w:val="single" w:color="auto" w:sz="4" w:space="0"/>
              <w:left w:val="single" w:color="auto" w:sz="4" w:space="0"/>
              <w:bottom w:val="single" w:color="auto" w:sz="4" w:space="0"/>
              <w:right w:val="single" w:color="auto" w:sz="4" w:space="0"/>
            </w:tcBorders>
            <w:vAlign w:val="center"/>
          </w:tcPr>
          <w:p>
            <w:pPr>
              <w:jc w:val="center"/>
              <w:rPr>
                <w:color w:val="auto"/>
                <w:szCs w:val="28"/>
                <w:highlight w:val="none"/>
              </w:rPr>
            </w:pPr>
            <w:r>
              <w:rPr>
                <w:rFonts w:hint="eastAsia" w:ascii="宋体" w:hAnsi="宋体"/>
                <w:color w:val="auto"/>
                <w:sz w:val="21"/>
                <w:szCs w:val="21"/>
                <w:highlight w:val="none"/>
              </w:rPr>
              <w:t>4</w:t>
            </w:r>
          </w:p>
        </w:tc>
        <w:tc>
          <w:tcPr>
            <w:tcW w:w="2082"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网卡</w:t>
            </w:r>
          </w:p>
        </w:tc>
        <w:tc>
          <w:tcPr>
            <w:tcW w:w="57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不低于2xGE电口(I350)-RJ45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806" w:type="dxa"/>
            <w:tcBorders>
              <w:top w:val="single" w:color="auto" w:sz="4" w:space="0"/>
              <w:left w:val="single" w:color="auto" w:sz="4" w:space="0"/>
              <w:bottom w:val="single" w:color="auto" w:sz="4" w:space="0"/>
              <w:right w:val="single" w:color="auto" w:sz="4" w:space="0"/>
            </w:tcBorders>
            <w:vAlign w:val="center"/>
          </w:tcPr>
          <w:p>
            <w:pPr>
              <w:jc w:val="center"/>
              <w:rPr>
                <w:color w:val="auto"/>
                <w:szCs w:val="28"/>
                <w:highlight w:val="none"/>
              </w:rPr>
            </w:pPr>
            <w:r>
              <w:rPr>
                <w:rFonts w:hint="eastAsia" w:ascii="宋体" w:hAnsi="宋体"/>
                <w:color w:val="auto"/>
                <w:sz w:val="21"/>
                <w:szCs w:val="21"/>
                <w:highlight w:val="none"/>
              </w:rPr>
              <w:t>5</w:t>
            </w:r>
          </w:p>
        </w:tc>
        <w:tc>
          <w:tcPr>
            <w:tcW w:w="2082"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RAID卡</w:t>
            </w:r>
          </w:p>
        </w:tc>
        <w:tc>
          <w:tcPr>
            <w:tcW w:w="57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SAS/SATA，支持RAID0,1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806" w:type="dxa"/>
            <w:tcBorders>
              <w:top w:val="single" w:color="auto" w:sz="4" w:space="0"/>
              <w:left w:val="single" w:color="auto" w:sz="4" w:space="0"/>
              <w:bottom w:val="single" w:color="auto" w:sz="4" w:space="0"/>
              <w:right w:val="single" w:color="auto" w:sz="4" w:space="0"/>
            </w:tcBorders>
            <w:vAlign w:val="center"/>
          </w:tcPr>
          <w:p>
            <w:pPr>
              <w:jc w:val="center"/>
              <w:rPr>
                <w:color w:val="auto"/>
                <w:szCs w:val="28"/>
                <w:highlight w:val="none"/>
              </w:rPr>
            </w:pPr>
            <w:r>
              <w:rPr>
                <w:rFonts w:hint="eastAsia" w:ascii="宋体" w:hAnsi="宋体"/>
                <w:color w:val="auto"/>
                <w:sz w:val="21"/>
                <w:szCs w:val="21"/>
                <w:highlight w:val="none"/>
              </w:rPr>
              <w:t>6</w:t>
            </w:r>
          </w:p>
        </w:tc>
        <w:tc>
          <w:tcPr>
            <w:tcW w:w="2082"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机箱</w:t>
            </w:r>
          </w:p>
        </w:tc>
        <w:tc>
          <w:tcPr>
            <w:tcW w:w="574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机架式</w:t>
            </w:r>
          </w:p>
        </w:tc>
      </w:tr>
    </w:tbl>
    <w:p>
      <w:pPr>
        <w:pStyle w:val="5"/>
        <w:rPr>
          <w:color w:val="auto"/>
          <w:highlight w:val="none"/>
        </w:rPr>
      </w:pPr>
      <w:r>
        <w:rPr>
          <w:rFonts w:hint="eastAsia"/>
          <w:color w:val="auto"/>
          <w:highlight w:val="none"/>
        </w:rPr>
        <w:t>网络安全设备</w:t>
      </w:r>
    </w:p>
    <w:p>
      <w:pPr>
        <w:pStyle w:val="6"/>
        <w:rPr>
          <w:color w:val="auto"/>
          <w:highlight w:val="none"/>
        </w:rPr>
      </w:pPr>
      <w:r>
        <w:rPr>
          <w:rFonts w:hint="eastAsia"/>
          <w:color w:val="auto"/>
          <w:highlight w:val="none"/>
        </w:rPr>
        <w:t>外网防火墙</w:t>
      </w:r>
    </w:p>
    <w:tbl>
      <w:tblPr>
        <w:tblStyle w:val="9"/>
        <w:tblW w:w="94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927"/>
        <w:gridCol w:w="1316"/>
        <w:gridCol w:w="71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 w:hRule="atLeast"/>
        </w:trPr>
        <w:tc>
          <w:tcPr>
            <w:tcW w:w="927" w:type="dxa"/>
            <w:tcBorders>
              <w:top w:val="single" w:color="000000" w:sz="4" w:space="0"/>
              <w:left w:val="single" w:color="000000" w:sz="4" w:space="0"/>
              <w:bottom w:val="single" w:color="000000" w:sz="4" w:space="0"/>
              <w:right w:val="single" w:color="000000"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316" w:type="dxa"/>
            <w:tcBorders>
              <w:top w:val="single" w:color="000000" w:sz="4" w:space="0"/>
              <w:left w:val="nil"/>
              <w:bottom w:val="single" w:color="000000" w:sz="4" w:space="0"/>
              <w:right w:val="single" w:color="000000"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指标项</w:t>
            </w:r>
          </w:p>
        </w:tc>
        <w:tc>
          <w:tcPr>
            <w:tcW w:w="7199" w:type="dxa"/>
            <w:tcBorders>
              <w:top w:val="single" w:color="000000" w:sz="4" w:space="0"/>
              <w:left w:val="nil"/>
              <w:bottom w:val="single" w:color="000000" w:sz="4" w:space="0"/>
              <w:right w:val="single" w:color="000000"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招标要求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316" w:type="dxa"/>
            <w:tcBorders>
              <w:top w:val="single" w:color="000000" w:sz="4" w:space="0"/>
              <w:left w:val="nil"/>
              <w:bottom w:val="single" w:color="000000" w:sz="4" w:space="0"/>
              <w:right w:val="single" w:color="000000"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基本要求和性能</w:t>
            </w:r>
          </w:p>
        </w:tc>
        <w:tc>
          <w:tcPr>
            <w:tcW w:w="7199" w:type="dxa"/>
            <w:tcBorders>
              <w:top w:val="single" w:color="000000" w:sz="4" w:space="0"/>
              <w:left w:val="nil"/>
              <w:bottom w:val="single" w:color="000000" w:sz="4" w:space="0"/>
              <w:right w:val="single" w:color="000000"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不低于1U机箱，配置不少于6个10/100/1000BASE-T接口，1个可插拨的扩展槽，标配模块化电源；防火墙吞吐率：4Gbps 应用层吞吐率（FW+APP）：2.5Gbps 并发连接数：160万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316" w:type="dxa"/>
            <w:tcBorders>
              <w:top w:val="single" w:color="000000" w:sz="4" w:space="0"/>
              <w:left w:val="nil"/>
              <w:bottom w:val="single" w:color="000000" w:sz="4" w:space="0"/>
              <w:right w:val="single" w:color="000000"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工作模式</w:t>
            </w:r>
          </w:p>
        </w:tc>
        <w:tc>
          <w:tcPr>
            <w:tcW w:w="7199" w:type="dxa"/>
            <w:tcBorders>
              <w:top w:val="single" w:color="000000" w:sz="4" w:space="0"/>
              <w:left w:val="nil"/>
              <w:bottom w:val="single" w:color="000000" w:sz="4" w:space="0"/>
              <w:right w:val="single" w:color="000000"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支持路由、交换、混合、虚拟线工作模式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 w:hRule="atLeast"/>
        </w:trPr>
        <w:tc>
          <w:tcPr>
            <w:tcW w:w="927" w:type="dxa"/>
            <w:vMerge w:val="restart"/>
            <w:tcBorders>
              <w:top w:val="nil"/>
              <w:left w:val="single" w:color="000000" w:sz="4" w:space="0"/>
              <w:bottom w:val="single" w:color="000000" w:sz="4" w:space="0"/>
              <w:right w:val="single" w:color="000000"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316" w:type="dxa"/>
            <w:vMerge w:val="restart"/>
            <w:tcBorders>
              <w:top w:val="nil"/>
              <w:left w:val="nil"/>
              <w:bottom w:val="single" w:color="000000" w:sz="4" w:space="0"/>
              <w:right w:val="single" w:color="000000"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智能DNS</w:t>
            </w:r>
          </w:p>
        </w:tc>
        <w:tc>
          <w:tcPr>
            <w:tcW w:w="7199" w:type="dxa"/>
            <w:tcBorders>
              <w:top w:val="single" w:color="000000" w:sz="4" w:space="0"/>
              <w:left w:val="nil"/>
              <w:bottom w:val="single" w:color="000000" w:sz="4" w:space="0"/>
              <w:right w:val="single" w:color="000000"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支持智能DNS功能，有效提高用户跨网访问效率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 w:hRule="atLeast"/>
        </w:trPr>
        <w:tc>
          <w:tcPr>
            <w:tcW w:w="92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1316" w:type="dxa"/>
            <w:vMerge w:val="continue"/>
            <w:tcBorders>
              <w:top w:val="nil"/>
              <w:left w:val="nil"/>
              <w:bottom w:val="single" w:color="000000" w:sz="4" w:space="0"/>
              <w:right w:val="single" w:color="000000" w:sz="4" w:space="0"/>
            </w:tcBorders>
            <w:vAlign w:val="center"/>
          </w:tcPr>
          <w:p>
            <w:pPr>
              <w:widowControl/>
              <w:jc w:val="left"/>
              <w:rPr>
                <w:rFonts w:ascii="宋体" w:hAnsi="宋体"/>
                <w:color w:val="auto"/>
                <w:sz w:val="21"/>
                <w:szCs w:val="21"/>
                <w:highlight w:val="none"/>
              </w:rPr>
            </w:pPr>
          </w:p>
        </w:tc>
        <w:tc>
          <w:tcPr>
            <w:tcW w:w="7199" w:type="dxa"/>
            <w:tcBorders>
              <w:top w:val="single" w:color="000000" w:sz="4" w:space="0"/>
              <w:left w:val="nil"/>
              <w:bottom w:val="single" w:color="000000" w:sz="4" w:space="0"/>
              <w:right w:val="single" w:color="000000"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支持DNS Docting，能够将来自内部网络的域名解析请求定向到真实内网资源，降低路径开销，提高访问效率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316" w:type="dxa"/>
            <w:tcBorders>
              <w:top w:val="single" w:color="000000" w:sz="4" w:space="0"/>
              <w:left w:val="nil"/>
              <w:bottom w:val="single" w:color="000000" w:sz="4" w:space="0"/>
              <w:right w:val="single" w:color="000000"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链路质量探测</w:t>
            </w:r>
          </w:p>
        </w:tc>
        <w:tc>
          <w:tcPr>
            <w:tcW w:w="7199" w:type="dxa"/>
            <w:tcBorders>
              <w:top w:val="single" w:color="000000" w:sz="4" w:space="0"/>
              <w:left w:val="nil"/>
              <w:bottom w:val="single" w:color="000000" w:sz="4" w:space="0"/>
              <w:right w:val="single" w:color="000000"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支持ICMP、Traceroute、TCP、HTTP、DNS等多种链路质量探测方式，用户可以根据探测结果有效判断链路质量；通过HTTP链路质量探测方式，探测结果可以提供DNS解析响应时间、TCP建立连接时间、HTTP交易时间等；通过TCP链路质量探测方式，探测结果可以提供TCP建立连接时间等；通过DNS链路质量探测方式，探测结果可以提供DNS解析响应时间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316" w:type="dxa"/>
            <w:tcBorders>
              <w:top w:val="single" w:color="000000" w:sz="4" w:space="0"/>
              <w:left w:val="nil"/>
              <w:bottom w:val="single" w:color="000000" w:sz="4" w:space="0"/>
              <w:right w:val="single" w:color="000000"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数据防泄露功能</w:t>
            </w:r>
          </w:p>
        </w:tc>
        <w:tc>
          <w:tcPr>
            <w:tcW w:w="7199" w:type="dxa"/>
            <w:tcBorders>
              <w:top w:val="single" w:color="000000" w:sz="4" w:space="0"/>
              <w:left w:val="nil"/>
              <w:bottom w:val="single" w:color="000000" w:sz="4" w:space="0"/>
              <w:right w:val="single" w:color="000000"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支持DLP数据防泄漏功能，可针对发送IP或接收IP配置相互独立的DLP策略，对数据进行监控识别，达到敏感数据防护目的</w:t>
            </w:r>
          </w:p>
          <w:p>
            <w:pPr>
              <w:rPr>
                <w:rFonts w:ascii="宋体" w:hAnsi="宋体"/>
                <w:color w:val="auto"/>
                <w:sz w:val="21"/>
                <w:szCs w:val="21"/>
                <w:highlight w:val="none"/>
              </w:rPr>
            </w:pPr>
            <w:r>
              <w:rPr>
                <w:rFonts w:hint="eastAsia" w:ascii="宋体" w:hAnsi="宋体"/>
                <w:color w:val="auto"/>
                <w:sz w:val="21"/>
                <w:szCs w:val="21"/>
                <w:highlight w:val="none"/>
              </w:rPr>
              <w:t>支持识别的加密文件格式不少于12种；压缩文件格式不少于25种，如RAR、ZIP、GZ、TAR等；支持识别Linux，Unix等非Winodws的文件类型；支持识别异常文件格式类型；支持识别自定义文件类型；（提供功能截图证明）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316" w:type="dxa"/>
            <w:tcBorders>
              <w:top w:val="single" w:color="000000" w:sz="4" w:space="0"/>
              <w:left w:val="nil"/>
              <w:bottom w:val="single" w:color="000000" w:sz="4" w:space="0"/>
              <w:right w:val="single" w:color="000000"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用户管控</w:t>
            </w:r>
          </w:p>
        </w:tc>
        <w:tc>
          <w:tcPr>
            <w:tcW w:w="7199" w:type="dxa"/>
            <w:tcBorders>
              <w:top w:val="single" w:color="000000" w:sz="4" w:space="0"/>
              <w:left w:val="nil"/>
              <w:bottom w:val="single" w:color="000000" w:sz="4" w:space="0"/>
              <w:right w:val="single" w:color="000000"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综合运用身份认证与访问控制技术，通过内置智能过滤引擎实现基于用户身份的安全防护策略部署与可视化监控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 w:hRule="atLeast"/>
        </w:trPr>
        <w:tc>
          <w:tcPr>
            <w:tcW w:w="927" w:type="dxa"/>
            <w:tcBorders>
              <w:top w:val="single" w:color="000000" w:sz="4" w:space="0"/>
              <w:left w:val="single" w:color="000000" w:sz="4" w:space="0"/>
              <w:bottom w:val="single" w:color="000000" w:sz="4" w:space="0"/>
              <w:right w:val="single" w:color="000000" w:sz="4" w:space="0"/>
            </w:tcBorders>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1316" w:type="dxa"/>
            <w:tcBorders>
              <w:top w:val="single" w:color="000000" w:sz="4" w:space="0"/>
              <w:left w:val="nil"/>
              <w:bottom w:val="single" w:color="000000" w:sz="4" w:space="0"/>
              <w:right w:val="single" w:color="000000"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应用识别</w:t>
            </w:r>
          </w:p>
        </w:tc>
        <w:tc>
          <w:tcPr>
            <w:tcW w:w="7199" w:type="dxa"/>
            <w:tcBorders>
              <w:top w:val="single" w:color="000000" w:sz="4" w:space="0"/>
              <w:left w:val="nil"/>
              <w:bottom w:val="single" w:color="000000" w:sz="4" w:space="0"/>
              <w:right w:val="single" w:color="000000"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内置强大应用识别引擎，综合运用端口识别、行为识别、特征识别、关联识别等技术手段，准确识别传统应用如P2P、web应用、移动应用、云应用、加密应用等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8</w:t>
            </w:r>
          </w:p>
        </w:tc>
        <w:tc>
          <w:tcPr>
            <w:tcW w:w="1316" w:type="dxa"/>
            <w:tcBorders>
              <w:top w:val="single" w:color="000000" w:sz="4" w:space="0"/>
              <w:left w:val="nil"/>
              <w:bottom w:val="single" w:color="000000" w:sz="4" w:space="0"/>
              <w:right w:val="single" w:color="000000"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一体化访问控制</w:t>
            </w:r>
          </w:p>
        </w:tc>
        <w:tc>
          <w:tcPr>
            <w:tcW w:w="7199" w:type="dxa"/>
            <w:tcBorders>
              <w:top w:val="single" w:color="000000" w:sz="4" w:space="0"/>
              <w:left w:val="nil"/>
              <w:bottom w:val="single" w:color="000000" w:sz="4" w:space="0"/>
              <w:right w:val="single" w:color="000000"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内置高度集成的一体化智能过滤引擎技术，实现在同一条访问控制策略中配置传统的五元组信息、应用、服务、时间、安全引擎（入侵、URL过滤、病毒过滤、DLP、内容过滤）的识别与控制</w:t>
            </w:r>
          </w:p>
          <w:p>
            <w:pPr>
              <w:rPr>
                <w:rFonts w:ascii="宋体" w:hAnsi="宋体"/>
                <w:color w:val="auto"/>
                <w:sz w:val="21"/>
                <w:szCs w:val="21"/>
                <w:highlight w:val="none"/>
              </w:rPr>
            </w:pPr>
            <w:r>
              <w:rPr>
                <w:rFonts w:hint="eastAsia" w:ascii="宋体" w:hAnsi="宋体"/>
                <w:color w:val="auto"/>
                <w:sz w:val="21"/>
                <w:szCs w:val="21"/>
                <w:highlight w:val="none"/>
              </w:rPr>
              <w:t>支持对单条访问控制策略进行最大并发连接数限制（提供功能截图证明）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9</w:t>
            </w:r>
          </w:p>
        </w:tc>
        <w:tc>
          <w:tcPr>
            <w:tcW w:w="1316" w:type="dxa"/>
            <w:tcBorders>
              <w:top w:val="single" w:color="000000" w:sz="4" w:space="0"/>
              <w:left w:val="nil"/>
              <w:bottom w:val="single" w:color="000000" w:sz="4" w:space="0"/>
              <w:right w:val="single" w:color="000000"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DDOS防御</w:t>
            </w:r>
          </w:p>
        </w:tc>
        <w:tc>
          <w:tcPr>
            <w:tcW w:w="7199" w:type="dxa"/>
            <w:tcBorders>
              <w:top w:val="single" w:color="000000" w:sz="4" w:space="0"/>
              <w:left w:val="nil"/>
              <w:bottom w:val="single" w:color="000000" w:sz="4" w:space="0"/>
              <w:right w:val="single" w:color="000000" w:sz="4" w:space="0"/>
            </w:tcBorders>
            <w:vAlign w:val="bottom"/>
          </w:tcPr>
          <w:p>
            <w:pPr>
              <w:rPr>
                <w:rFonts w:ascii="宋体" w:hAnsi="宋体"/>
                <w:color w:val="auto"/>
                <w:sz w:val="21"/>
                <w:szCs w:val="21"/>
                <w:highlight w:val="none"/>
              </w:rPr>
            </w:pPr>
            <w:r>
              <w:rPr>
                <w:rFonts w:hint="eastAsia" w:ascii="宋体" w:hAnsi="宋体"/>
                <w:color w:val="auto"/>
                <w:sz w:val="21"/>
                <w:szCs w:val="21"/>
                <w:highlight w:val="none"/>
              </w:rPr>
              <w:t>内置攻击检测引擎，支持独立的DDOS检测、阻断能力（提供功能截图证明），支持检测包括land、Smurf、winnuke、tcp_sscan、ip_option、targa3、Synflood、Icmpflood、Udpflood、Portscan、ipsweep等攻击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1316" w:type="dxa"/>
            <w:tcBorders>
              <w:top w:val="single" w:color="000000" w:sz="4" w:space="0"/>
              <w:left w:val="nil"/>
              <w:bottom w:val="single" w:color="000000" w:sz="4" w:space="0"/>
              <w:right w:val="single" w:color="000000"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产品资质</w:t>
            </w:r>
          </w:p>
        </w:tc>
        <w:tc>
          <w:tcPr>
            <w:tcW w:w="7199" w:type="dxa"/>
            <w:tcBorders>
              <w:top w:val="single" w:color="000000" w:sz="4" w:space="0"/>
              <w:left w:val="nil"/>
              <w:bottom w:val="single" w:color="000000" w:sz="4" w:space="0"/>
              <w:right w:val="single" w:color="000000"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具备中国信息安全认证中心颁发的《国家信息安全产品认证证书（ISCCC）》</w:t>
            </w:r>
          </w:p>
          <w:p>
            <w:pPr>
              <w:rPr>
                <w:rFonts w:ascii="宋体" w:hAnsi="宋体"/>
                <w:color w:val="auto"/>
                <w:sz w:val="21"/>
                <w:szCs w:val="21"/>
                <w:highlight w:val="none"/>
              </w:rPr>
            </w:pPr>
            <w:r>
              <w:rPr>
                <w:rFonts w:hint="eastAsia" w:ascii="宋体" w:hAnsi="宋体"/>
                <w:color w:val="auto"/>
                <w:sz w:val="21"/>
                <w:szCs w:val="21"/>
                <w:highlight w:val="none"/>
              </w:rPr>
              <w:t>投标时需提供以上资质证书复印件</w:t>
            </w:r>
          </w:p>
        </w:tc>
      </w:tr>
    </w:tbl>
    <w:p>
      <w:pPr>
        <w:ind w:firstLine="480"/>
        <w:rPr>
          <w:color w:val="auto"/>
          <w:szCs w:val="28"/>
          <w:highlight w:val="none"/>
        </w:rPr>
      </w:pPr>
      <w:r>
        <w:rPr>
          <w:rFonts w:hint="eastAsia"/>
          <w:color w:val="auto"/>
          <w:highlight w:val="none"/>
        </w:rPr>
        <w:t xml:space="preserve"> </w:t>
      </w:r>
    </w:p>
    <w:p>
      <w:pPr>
        <w:pStyle w:val="6"/>
        <w:rPr>
          <w:color w:val="auto"/>
          <w:highlight w:val="none"/>
        </w:rPr>
      </w:pPr>
      <w:r>
        <w:rPr>
          <w:rFonts w:hint="eastAsia"/>
          <w:color w:val="auto"/>
          <w:highlight w:val="none"/>
        </w:rPr>
        <w:t>入侵防御系统</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311"/>
        <w:gridCol w:w="7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tcBorders>
              <w:top w:val="single" w:color="auto" w:sz="4" w:space="0"/>
              <w:left w:val="single" w:color="auto" w:sz="4" w:space="0"/>
              <w:bottom w:val="single" w:color="auto" w:sz="4" w:space="0"/>
              <w:right w:val="single" w:color="auto" w:sz="4" w:space="0"/>
            </w:tcBorders>
          </w:tcPr>
          <w:p>
            <w:pPr>
              <w:jc w:val="center"/>
              <w:rPr>
                <w:color w:val="auto"/>
                <w:highlight w:val="none"/>
              </w:rPr>
            </w:pPr>
            <w:r>
              <w:rPr>
                <w:rFonts w:hint="eastAsia" w:ascii="宋体" w:hAnsi="宋体"/>
                <w:b/>
                <w:bCs/>
                <w:color w:val="auto"/>
                <w:sz w:val="21"/>
                <w:szCs w:val="21"/>
                <w:highlight w:val="none"/>
              </w:rPr>
              <w:t>序号</w:t>
            </w:r>
          </w:p>
        </w:tc>
        <w:tc>
          <w:tcPr>
            <w:tcW w:w="1311" w:type="dxa"/>
            <w:tcBorders>
              <w:top w:val="single" w:color="auto" w:sz="4" w:space="0"/>
              <w:left w:val="nil"/>
              <w:bottom w:val="single" w:color="auto" w:sz="4" w:space="0"/>
              <w:right w:val="single" w:color="auto" w:sz="4" w:space="0"/>
            </w:tcBorders>
            <w:vAlign w:val="center"/>
          </w:tcPr>
          <w:p>
            <w:pPr>
              <w:pStyle w:val="15"/>
              <w:rPr>
                <w:rFonts w:ascii="宋体" w:hAnsi="宋体"/>
                <w:b/>
                <w:bCs/>
                <w:color w:val="auto"/>
                <w:highlight w:val="none"/>
              </w:rPr>
            </w:pPr>
            <w:r>
              <w:rPr>
                <w:rFonts w:hint="eastAsia" w:ascii="宋体" w:hAnsi="宋体"/>
                <w:b/>
                <w:bCs/>
                <w:color w:val="auto"/>
                <w:highlight w:val="none"/>
              </w:rPr>
              <w:t>指标项</w:t>
            </w:r>
          </w:p>
        </w:tc>
        <w:tc>
          <w:tcPr>
            <w:tcW w:w="7348" w:type="dxa"/>
            <w:tcBorders>
              <w:top w:val="single" w:color="auto" w:sz="4" w:space="0"/>
              <w:left w:val="nil"/>
              <w:bottom w:val="single" w:color="auto" w:sz="4" w:space="0"/>
              <w:right w:val="single" w:color="auto" w:sz="4" w:space="0"/>
            </w:tcBorders>
            <w:vAlign w:val="center"/>
          </w:tcPr>
          <w:p>
            <w:pPr>
              <w:pStyle w:val="15"/>
              <w:ind w:firstLine="361"/>
              <w:jc w:val="center"/>
              <w:rPr>
                <w:rFonts w:ascii="宋体" w:hAnsi="宋体"/>
                <w:b/>
                <w:bCs/>
                <w:color w:val="auto"/>
                <w:highlight w:val="none"/>
              </w:rPr>
            </w:pPr>
            <w:r>
              <w:rPr>
                <w:rFonts w:hint="eastAsia" w:ascii="宋体" w:hAnsi="宋体"/>
                <w:b/>
                <w:bCs/>
                <w:color w:val="auto"/>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ascii="宋体" w:hAnsi="宋体"/>
                <w:color w:val="auto"/>
                <w:sz w:val="21"/>
                <w:szCs w:val="21"/>
                <w:highlight w:val="none"/>
              </w:rPr>
              <w:t>1</w:t>
            </w:r>
          </w:p>
        </w:tc>
        <w:tc>
          <w:tcPr>
            <w:tcW w:w="1311"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基本要求和性能</w:t>
            </w:r>
          </w:p>
        </w:tc>
        <w:tc>
          <w:tcPr>
            <w:tcW w:w="7348"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要求设备</w:t>
            </w:r>
            <w:r>
              <w:rPr>
                <w:rFonts w:hint="eastAsia" w:ascii="宋体" w:hAnsi="宋体"/>
                <w:color w:val="auto"/>
                <w:szCs w:val="21"/>
                <w:highlight w:val="none"/>
              </w:rPr>
              <w:t>不低于</w:t>
            </w:r>
            <w:r>
              <w:rPr>
                <w:rFonts w:hint="eastAsia" w:ascii="宋体" w:hAnsi="宋体"/>
                <w:color w:val="auto"/>
                <w:highlight w:val="none"/>
              </w:rPr>
              <w:t>1U标准机箱，配置不少于6个10/100/1000Base-T端口，</w:t>
            </w:r>
            <w:r>
              <w:rPr>
                <w:rFonts w:hint="eastAsia" w:ascii="宋体" w:hAnsi="宋体"/>
                <w:color w:val="auto"/>
                <w:szCs w:val="21"/>
                <w:highlight w:val="none"/>
              </w:rPr>
              <w:t>至少</w:t>
            </w:r>
            <w:r>
              <w:rPr>
                <w:rFonts w:hint="eastAsia" w:ascii="宋体" w:hAnsi="宋体"/>
                <w:color w:val="auto"/>
                <w:highlight w:val="none"/>
              </w:rPr>
              <w:t>1个console口，2个USB，配置至少3年规则特征库升级许可；整机吞吐率：3Gbps，最大并发连接数：150W，IPS吞吐率：1.2Gbps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ascii="宋体" w:hAnsi="宋体"/>
                <w:color w:val="auto"/>
                <w:sz w:val="21"/>
                <w:szCs w:val="21"/>
                <w:highlight w:val="none"/>
              </w:rPr>
              <w:t>2</w:t>
            </w:r>
          </w:p>
        </w:tc>
        <w:tc>
          <w:tcPr>
            <w:tcW w:w="1311"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系统架构</w:t>
            </w:r>
          </w:p>
        </w:tc>
        <w:tc>
          <w:tcPr>
            <w:tcW w:w="7348"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要求设备采用自主知识产权的专用安全操作系统，采用多核平台并行处理特性（提供相应资质证明）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restart"/>
            <w:tcBorders>
              <w:top w:val="nil"/>
              <w:left w:val="single" w:color="auto" w:sz="4" w:space="0"/>
              <w:bottom w:val="single" w:color="auto" w:sz="4" w:space="0"/>
              <w:right w:val="single" w:color="auto" w:sz="4" w:space="0"/>
            </w:tcBorders>
            <w:vAlign w:val="center"/>
          </w:tcPr>
          <w:p>
            <w:pPr>
              <w:jc w:val="center"/>
              <w:rPr>
                <w:color w:val="auto"/>
                <w:highlight w:val="none"/>
              </w:rPr>
            </w:pPr>
            <w:r>
              <w:rPr>
                <w:rFonts w:hint="eastAsia" w:ascii="宋体" w:hAnsi="宋体"/>
                <w:color w:val="auto"/>
                <w:sz w:val="21"/>
                <w:szCs w:val="21"/>
                <w:highlight w:val="none"/>
              </w:rPr>
              <w:t>3</w:t>
            </w:r>
          </w:p>
        </w:tc>
        <w:tc>
          <w:tcPr>
            <w:tcW w:w="1311" w:type="dxa"/>
            <w:vMerge w:val="restart"/>
            <w:tcBorders>
              <w:top w:val="nil"/>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产品功能</w:t>
            </w:r>
          </w:p>
        </w:tc>
        <w:tc>
          <w:tcPr>
            <w:tcW w:w="7348"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系统应具备：融合模式匹配、协议分析、异常检测、会话关联分析，逃逸等多种技术，准确识别入侵攻击行为，为用户提供2～7层深度入侵检测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continue"/>
            <w:tcBorders>
              <w:top w:val="nil"/>
              <w:left w:val="single" w:color="auto" w:sz="4" w:space="0"/>
              <w:bottom w:val="single" w:color="auto" w:sz="4" w:space="0"/>
              <w:right w:val="single" w:color="auto" w:sz="4" w:space="0"/>
            </w:tcBorders>
            <w:vAlign w:val="center"/>
          </w:tcPr>
          <w:p>
            <w:pPr>
              <w:widowControl/>
              <w:jc w:val="left"/>
              <w:rPr>
                <w:color w:val="auto"/>
                <w:szCs w:val="28"/>
                <w:highlight w:val="none"/>
              </w:rPr>
            </w:pPr>
          </w:p>
        </w:tc>
        <w:tc>
          <w:tcPr>
            <w:tcW w:w="1311"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7348"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支持视频监控终端状态探知发现，能够实时发现视频监控终端情况和链路质量情况，支持轮询和实时发现模式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continue"/>
            <w:tcBorders>
              <w:top w:val="nil"/>
              <w:left w:val="single" w:color="auto" w:sz="4" w:space="0"/>
              <w:bottom w:val="single" w:color="auto" w:sz="4" w:space="0"/>
              <w:right w:val="single" w:color="auto" w:sz="4" w:space="0"/>
            </w:tcBorders>
            <w:vAlign w:val="center"/>
          </w:tcPr>
          <w:p>
            <w:pPr>
              <w:widowControl/>
              <w:jc w:val="left"/>
              <w:rPr>
                <w:color w:val="auto"/>
                <w:szCs w:val="28"/>
                <w:highlight w:val="none"/>
              </w:rPr>
            </w:pPr>
          </w:p>
        </w:tc>
        <w:tc>
          <w:tcPr>
            <w:tcW w:w="1311"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7348"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可扩展支持APT攻击检测模块，同时可与专业APT检测系统进行实时联动，检测并阻断未知网络威胁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continue"/>
            <w:tcBorders>
              <w:top w:val="nil"/>
              <w:left w:val="single" w:color="auto" w:sz="4" w:space="0"/>
              <w:bottom w:val="single" w:color="auto" w:sz="4" w:space="0"/>
              <w:right w:val="single" w:color="auto" w:sz="4" w:space="0"/>
            </w:tcBorders>
            <w:vAlign w:val="center"/>
          </w:tcPr>
          <w:p>
            <w:pPr>
              <w:widowControl/>
              <w:jc w:val="left"/>
              <w:rPr>
                <w:color w:val="auto"/>
                <w:szCs w:val="28"/>
                <w:highlight w:val="none"/>
              </w:rPr>
            </w:pPr>
          </w:p>
        </w:tc>
        <w:tc>
          <w:tcPr>
            <w:tcW w:w="1311"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7348"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支持对数据库基于名称、基于数据内容进行敏感数据扫描，发现数据库中存在的敏感数据的字段及其在服务器、数据库的分布情况。（提供功能截图证明）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continue"/>
            <w:tcBorders>
              <w:top w:val="nil"/>
              <w:left w:val="single" w:color="auto" w:sz="4" w:space="0"/>
              <w:bottom w:val="single" w:color="auto" w:sz="4" w:space="0"/>
              <w:right w:val="single" w:color="auto" w:sz="4" w:space="0"/>
            </w:tcBorders>
            <w:vAlign w:val="center"/>
          </w:tcPr>
          <w:p>
            <w:pPr>
              <w:widowControl/>
              <w:jc w:val="left"/>
              <w:rPr>
                <w:color w:val="auto"/>
                <w:szCs w:val="28"/>
                <w:highlight w:val="none"/>
              </w:rPr>
            </w:pPr>
          </w:p>
        </w:tc>
        <w:tc>
          <w:tcPr>
            <w:tcW w:w="1311"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7348"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系统支持检测包括land、Smurf、Pingofdeath、winnuke、tcp_sscan、ip_option、teardrop、targa3、ipspoof、Synflood、Icmpflood、Udpflood、Portscan、ipsweep等在内的DOS/DDOS攻击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continue"/>
            <w:tcBorders>
              <w:top w:val="nil"/>
              <w:left w:val="single" w:color="auto" w:sz="4" w:space="0"/>
              <w:bottom w:val="single" w:color="auto" w:sz="4" w:space="0"/>
              <w:right w:val="single" w:color="auto" w:sz="4" w:space="0"/>
            </w:tcBorders>
            <w:vAlign w:val="center"/>
          </w:tcPr>
          <w:p>
            <w:pPr>
              <w:widowControl/>
              <w:jc w:val="left"/>
              <w:rPr>
                <w:color w:val="auto"/>
                <w:szCs w:val="28"/>
                <w:highlight w:val="none"/>
              </w:rPr>
            </w:pPr>
          </w:p>
        </w:tc>
        <w:tc>
          <w:tcPr>
            <w:tcW w:w="1311"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7348"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系统支持ARP异常包及ARP Flood攻击检测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continue"/>
            <w:tcBorders>
              <w:top w:val="nil"/>
              <w:left w:val="single" w:color="auto" w:sz="4" w:space="0"/>
              <w:bottom w:val="single" w:color="auto" w:sz="4" w:space="0"/>
              <w:right w:val="single" w:color="auto" w:sz="4" w:space="0"/>
            </w:tcBorders>
            <w:vAlign w:val="center"/>
          </w:tcPr>
          <w:p>
            <w:pPr>
              <w:widowControl/>
              <w:jc w:val="left"/>
              <w:rPr>
                <w:color w:val="auto"/>
                <w:szCs w:val="28"/>
                <w:highlight w:val="none"/>
              </w:rPr>
            </w:pPr>
          </w:p>
        </w:tc>
        <w:tc>
          <w:tcPr>
            <w:tcW w:w="1311"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7348"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系统支持CC攻击检测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continue"/>
            <w:tcBorders>
              <w:top w:val="nil"/>
              <w:left w:val="single" w:color="auto" w:sz="4" w:space="0"/>
              <w:bottom w:val="single" w:color="auto" w:sz="4" w:space="0"/>
              <w:right w:val="single" w:color="auto" w:sz="4" w:space="0"/>
            </w:tcBorders>
            <w:vAlign w:val="center"/>
          </w:tcPr>
          <w:p>
            <w:pPr>
              <w:widowControl/>
              <w:jc w:val="left"/>
              <w:rPr>
                <w:color w:val="auto"/>
                <w:szCs w:val="28"/>
                <w:highlight w:val="none"/>
              </w:rPr>
            </w:pPr>
          </w:p>
        </w:tc>
        <w:tc>
          <w:tcPr>
            <w:tcW w:w="1311"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7348"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Style w:val="18"/>
                <w:rFonts w:hint="default"/>
                <w:color w:val="auto"/>
                <w:highlight w:val="none"/>
              </w:rPr>
              <w:t>支持WEB站点漏洞扫描功能，内置爬虫、支持关键字自学习和HTML分析。（提供功能截图证明）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vMerge w:val="continue"/>
            <w:tcBorders>
              <w:top w:val="nil"/>
              <w:left w:val="single" w:color="auto" w:sz="4" w:space="0"/>
              <w:bottom w:val="single" w:color="auto" w:sz="4" w:space="0"/>
              <w:right w:val="single" w:color="auto" w:sz="4" w:space="0"/>
            </w:tcBorders>
            <w:vAlign w:val="center"/>
          </w:tcPr>
          <w:p>
            <w:pPr>
              <w:widowControl/>
              <w:jc w:val="left"/>
              <w:rPr>
                <w:color w:val="auto"/>
                <w:szCs w:val="28"/>
                <w:highlight w:val="none"/>
              </w:rPr>
            </w:pPr>
          </w:p>
        </w:tc>
        <w:tc>
          <w:tcPr>
            <w:tcW w:w="1311"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7348"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产品具有专利技术的恶意、非法网站过滤功能，支持恶意站点防护功能，具有挂马站点URL和挂马源站点URL列表恶意站点库，能够在终端用户访问恶意URL时主动切断连接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69"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ascii="宋体" w:hAnsi="宋体"/>
                <w:color w:val="auto"/>
                <w:sz w:val="21"/>
                <w:szCs w:val="21"/>
                <w:highlight w:val="none"/>
              </w:rPr>
              <w:t>4</w:t>
            </w:r>
          </w:p>
        </w:tc>
        <w:tc>
          <w:tcPr>
            <w:tcW w:w="1311"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产品资质</w:t>
            </w:r>
          </w:p>
        </w:tc>
        <w:tc>
          <w:tcPr>
            <w:tcW w:w="7348"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rPr>
              <w:t>《计算机软件著作权登记》</w:t>
            </w:r>
          </w:p>
          <w:p>
            <w:pPr>
              <w:pStyle w:val="15"/>
              <w:rPr>
                <w:rFonts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rPr>
              <w:t>《国家信息安全测评信息技术产品安全测评证书》EAL3级</w:t>
            </w:r>
          </w:p>
          <w:p>
            <w:pPr>
              <w:pStyle w:val="15"/>
              <w:rPr>
                <w:rFonts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rPr>
              <w:t>CVE CompatibilityCertificate</w:t>
            </w:r>
          </w:p>
          <w:p>
            <w:pPr>
              <w:pStyle w:val="15"/>
              <w:rPr>
                <w:rFonts w:ascii="宋体" w:hAnsi="宋体"/>
                <w:color w:val="auto"/>
                <w:highlight w:val="none"/>
              </w:rPr>
            </w:pPr>
            <w:r>
              <w:rPr>
                <w:rFonts w:hint="eastAsia" w:ascii="宋体" w:hAnsi="宋体"/>
                <w:color w:val="auto"/>
                <w:highlight w:val="none"/>
              </w:rPr>
              <w:t>投标时需提供以上资质证书复印件</w:t>
            </w:r>
          </w:p>
        </w:tc>
      </w:tr>
    </w:tbl>
    <w:p>
      <w:pPr>
        <w:pStyle w:val="6"/>
        <w:rPr>
          <w:color w:val="auto"/>
          <w:highlight w:val="none"/>
        </w:rPr>
      </w:pPr>
      <w:r>
        <w:rPr>
          <w:rFonts w:hint="eastAsia"/>
          <w:color w:val="auto"/>
          <w:highlight w:val="none"/>
        </w:rPr>
        <w:t>WEB应用安全网关</w:t>
      </w:r>
    </w:p>
    <w:tbl>
      <w:tblPr>
        <w:tblStyle w:val="9"/>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2"/>
        <w:gridCol w:w="1735"/>
        <w:gridCol w:w="71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7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宋体" w:hAnsi="宋体" w:cs="宋体"/>
                <w:b/>
                <w:color w:val="auto"/>
                <w:highlight w:val="none"/>
              </w:rPr>
            </w:pPr>
            <w:r>
              <w:rPr>
                <w:rFonts w:hint="eastAsia" w:ascii="宋体" w:hAnsi="宋体" w:cs="宋体"/>
                <w:b/>
                <w:color w:val="auto"/>
                <w:sz w:val="21"/>
                <w:szCs w:val="21"/>
                <w:highlight w:val="none"/>
                <w:lang w:bidi="ar"/>
              </w:rPr>
              <w:t>序号</w:t>
            </w:r>
          </w:p>
        </w:tc>
        <w:tc>
          <w:tcPr>
            <w:tcW w:w="173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8"/>
              <w:widowControl w:val="0"/>
              <w:adjustRightInd w:val="0"/>
              <w:snapToGrid w:val="0"/>
              <w:spacing w:before="0" w:beforeAutospacing="0" w:after="0" w:afterAutospacing="0" w:line="312" w:lineRule="auto"/>
              <w:ind w:firstLine="361"/>
              <w:jc w:val="center"/>
              <w:rPr>
                <w:b/>
                <w:color w:val="auto"/>
                <w:highlight w:val="none"/>
              </w:rPr>
            </w:pPr>
            <w:r>
              <w:rPr>
                <w:rFonts w:hint="eastAsia"/>
                <w:b/>
                <w:color w:val="auto"/>
                <w:sz w:val="21"/>
                <w:szCs w:val="22"/>
                <w:highlight w:val="none"/>
                <w:lang w:bidi="ar"/>
              </w:rPr>
              <w:t>指标项</w:t>
            </w:r>
          </w:p>
        </w:tc>
        <w:tc>
          <w:tcPr>
            <w:tcW w:w="715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8"/>
              <w:widowControl w:val="0"/>
              <w:adjustRightInd w:val="0"/>
              <w:snapToGrid w:val="0"/>
              <w:spacing w:before="0" w:beforeAutospacing="0" w:after="0" w:afterAutospacing="0" w:line="312" w:lineRule="auto"/>
              <w:ind w:firstLine="361"/>
              <w:jc w:val="center"/>
              <w:rPr>
                <w:b/>
                <w:color w:val="auto"/>
                <w:highlight w:val="none"/>
              </w:rPr>
            </w:pPr>
            <w:r>
              <w:rPr>
                <w:rFonts w:hint="eastAsia"/>
                <w:b/>
                <w:color w:val="auto"/>
                <w:sz w:val="21"/>
                <w:szCs w:val="22"/>
                <w:highlight w:val="none"/>
                <w:lang w:bidi="ar"/>
              </w:rPr>
              <w:t>规格要求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7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auto"/>
                <w:highlight w:val="none"/>
              </w:rPr>
            </w:pPr>
            <w:r>
              <w:rPr>
                <w:rFonts w:hint="eastAsia" w:ascii="宋体" w:hAnsi="宋体" w:cs="宋体"/>
                <w:color w:val="auto"/>
                <w:sz w:val="21"/>
                <w:szCs w:val="21"/>
                <w:highlight w:val="none"/>
                <w:lang w:bidi="ar"/>
              </w:rPr>
              <w:t>1</w:t>
            </w:r>
          </w:p>
        </w:tc>
        <w:tc>
          <w:tcPr>
            <w:tcW w:w="173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8"/>
              <w:widowControl w:val="0"/>
              <w:adjustRightInd w:val="0"/>
              <w:snapToGrid w:val="0"/>
              <w:spacing w:before="0" w:beforeAutospacing="0" w:after="0" w:afterAutospacing="0" w:line="312" w:lineRule="auto"/>
              <w:jc w:val="both"/>
              <w:rPr>
                <w:color w:val="auto"/>
                <w:highlight w:val="none"/>
              </w:rPr>
            </w:pPr>
            <w:r>
              <w:rPr>
                <w:rFonts w:hint="eastAsia"/>
                <w:color w:val="auto"/>
                <w:sz w:val="21"/>
                <w:szCs w:val="22"/>
                <w:highlight w:val="none"/>
                <w:lang w:bidi="ar"/>
              </w:rPr>
              <w:t>专用的硬件和软件保障</w:t>
            </w:r>
          </w:p>
        </w:tc>
        <w:tc>
          <w:tcPr>
            <w:tcW w:w="715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8"/>
              <w:widowControl w:val="0"/>
              <w:adjustRightInd w:val="0"/>
              <w:snapToGrid w:val="0"/>
              <w:spacing w:before="0" w:beforeAutospacing="0" w:after="0" w:afterAutospacing="0" w:line="312" w:lineRule="auto"/>
              <w:jc w:val="both"/>
              <w:rPr>
                <w:color w:val="auto"/>
                <w:highlight w:val="none"/>
              </w:rPr>
            </w:pPr>
            <w:r>
              <w:rPr>
                <w:rFonts w:hint="eastAsia"/>
                <w:color w:val="auto"/>
                <w:sz w:val="21"/>
                <w:szCs w:val="22"/>
                <w:highlight w:val="none"/>
                <w:lang w:bidi="ar"/>
              </w:rPr>
              <w:t>采用专用硬件架构与专用安全操作系统，基于操作系统内核的完全检测技术；硬件设备可以机架安装，产品必须为专业性 WEB 应用防火墙硬件设备，而非下一代防火墙\UTM 类设备集成的 WEB 防护功能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7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auto"/>
                <w:highlight w:val="none"/>
              </w:rPr>
            </w:pPr>
            <w:r>
              <w:rPr>
                <w:rFonts w:hint="eastAsia" w:ascii="宋体" w:hAnsi="宋体" w:cs="宋体"/>
                <w:color w:val="auto"/>
                <w:sz w:val="21"/>
                <w:szCs w:val="21"/>
                <w:highlight w:val="none"/>
                <w:lang w:bidi="ar"/>
              </w:rPr>
              <w:t>2</w:t>
            </w:r>
          </w:p>
        </w:tc>
        <w:tc>
          <w:tcPr>
            <w:tcW w:w="173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8"/>
              <w:widowControl w:val="0"/>
              <w:adjustRightInd w:val="0"/>
              <w:snapToGrid w:val="0"/>
              <w:spacing w:before="0" w:beforeAutospacing="0" w:after="0" w:afterAutospacing="0" w:line="312" w:lineRule="auto"/>
              <w:jc w:val="both"/>
              <w:rPr>
                <w:color w:val="auto"/>
                <w:highlight w:val="none"/>
              </w:rPr>
            </w:pPr>
            <w:r>
              <w:rPr>
                <w:rFonts w:hint="eastAsia"/>
                <w:color w:val="auto"/>
                <w:sz w:val="21"/>
                <w:szCs w:val="22"/>
                <w:highlight w:val="none"/>
                <w:lang w:bidi="ar"/>
              </w:rPr>
              <w:t>产品规格</w:t>
            </w:r>
          </w:p>
        </w:tc>
        <w:tc>
          <w:tcPr>
            <w:tcW w:w="715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8"/>
              <w:widowControl w:val="0"/>
              <w:adjustRightInd w:val="0"/>
              <w:snapToGrid w:val="0"/>
              <w:spacing w:before="0" w:beforeAutospacing="0" w:after="0" w:afterAutospacing="0" w:line="312" w:lineRule="auto"/>
              <w:jc w:val="both"/>
              <w:rPr>
                <w:color w:val="auto"/>
                <w:highlight w:val="none"/>
              </w:rPr>
            </w:pPr>
            <w:r>
              <w:rPr>
                <w:rFonts w:hint="eastAsia"/>
                <w:color w:val="auto"/>
                <w:sz w:val="21"/>
                <w:szCs w:val="22"/>
                <w:highlight w:val="none"/>
                <w:lang w:bidi="ar"/>
              </w:rPr>
              <w:t>要求设备不低于1U机架式结构，最大配置不低于24个接口；本次配置不低于2个可插拨扩展槽及6个10/100/1000Base-T端口和2个SFP槽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7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3</w:t>
            </w:r>
          </w:p>
        </w:tc>
        <w:tc>
          <w:tcPr>
            <w:tcW w:w="173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产品性能</w:t>
            </w:r>
          </w:p>
        </w:tc>
        <w:tc>
          <w:tcPr>
            <w:tcW w:w="715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最大并发连接&gt;90万，吞吐率&gt;1000Mbps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lang w:bidi="ar"/>
              </w:rPr>
              <w:t>4</w:t>
            </w:r>
          </w:p>
          <w:p>
            <w:pPr>
              <w:jc w:val="center"/>
              <w:rPr>
                <w:rFonts w:ascii="宋体" w:hAnsi="宋体" w:cs="宋体"/>
                <w:color w:val="auto"/>
                <w:sz w:val="21"/>
                <w:szCs w:val="21"/>
                <w:highlight w:val="none"/>
              </w:rPr>
            </w:pPr>
          </w:p>
        </w:tc>
        <w:tc>
          <w:tcPr>
            <w:tcW w:w="1735" w:type="dxa"/>
            <w:vMerge w:val="restart"/>
            <w:tcBorders>
              <w:top w:val="nil"/>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WEB攻击防御</w:t>
            </w: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支持虚拟线无论任何网络环境可强制数据从一个接口转发到另一个接口（提供产品功能截图并加盖公章）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支持链路聚合(Channel)部署，提高链路带宽；支持Trunk链路防护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支持服务器健康检查，可以实时监测服务器的活跃状态，并且可定期备份健康记录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支持提取客户端真实IP头。自动尝试匹配X-Forwarded-For, X-Real-IP, Cdn-Src-Ip 用以获取真实客户端IP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应能识别和阻断SQL注入攻击,Cookie 注入攻击，命令注入攻击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支持webshell等后门上传防护、支持对中国菜刀等工具对后门连接的阻断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支持对appscan、awvs等扫描器的扫描防护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支持远程文件包含、本地文件包含、目录遍历、信息泄露等攻击防护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支持对身份证、信用卡、手机电话号码、座机电话号码、邮箱地址等敏感信息做检查，当检查到此类数据后可通过配置特殊字符予以替换隐藏，防止信息泄露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自学习建模功能，可以通过学习正常URL参数的长度、参数类型、请求方法等数据特点创建白名单模型，如果参数违反白名单模型则认为是非法流量直接阻断，开启自学习建模功能后可生成自学习网站参数的自学习结果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支持虚拟补丁功能，支持导入appscan、w3af等第三方扫描器的扫描结果生成WAF的规则，对此类网站漏洞直接防护（提供产品功能截图并加盖公章）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https证书支持直接将证书内容填充到waf内使用，不用再上传或者转换证书使用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auto"/>
                <w:szCs w:val="28"/>
                <w:highlight w:val="none"/>
              </w:rPr>
            </w:pPr>
            <w:r>
              <w:rPr>
                <w:rFonts w:hint="eastAsia" w:ascii="宋体" w:hAnsi="宋体" w:cs="宋体"/>
                <w:color w:val="auto"/>
                <w:sz w:val="21"/>
                <w:szCs w:val="21"/>
                <w:highlight w:val="none"/>
                <w:lang w:bidi="ar"/>
              </w:rPr>
              <w:t>5</w:t>
            </w:r>
          </w:p>
        </w:tc>
        <w:tc>
          <w:tcPr>
            <w:tcW w:w="1735" w:type="dxa"/>
            <w:vMerge w:val="restart"/>
            <w:tcBorders>
              <w:top w:val="nil"/>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配置易用性</w:t>
            </w: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可以针对服务器IP地址进行防护，而不需要配置需要防护的网站域名（提供产品功能截图并加盖公章）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支持域名自学习，可以自动学习网络中网站服务器的IP地址及此地址下的域名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restart"/>
            <w:tcBorders>
              <w:top w:val="nil"/>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DDoS攻击防护</w:t>
            </w: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支持基线学习，可以自动学习用户http正常流量阈值模型，并给出推荐阈值配置项（提供产品功能截图并加盖公章）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对ddos流量支持检测清洗和强制防御两种模式，检测清洗根据是否到达阈值对流量进行清洗，强制清洗对所有流量直接进行流量清洗判断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rPr>
                <w:rFonts w:ascii="宋体" w:hAnsi="宋体" w:cs="宋体"/>
                <w:color w:val="auto"/>
                <w:sz w:val="21"/>
                <w:szCs w:val="21"/>
                <w:highlight w:val="none"/>
              </w:rPr>
            </w:pPr>
            <w:r>
              <w:rPr>
                <w:rFonts w:hint="eastAsia" w:ascii="宋体" w:hAnsi="宋体" w:cs="宋体"/>
                <w:color w:val="auto"/>
                <w:sz w:val="21"/>
                <w:szCs w:val="21"/>
                <w:highlight w:val="none"/>
                <w:lang w:bidi="ar"/>
              </w:rPr>
              <w:t>支持针对每秒包数、每秒新建连接数、每秒并发连接数对HTTP/HTTPS Flood攻击做控制配置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pStyle w:val="8"/>
              <w:widowControl w:val="0"/>
              <w:adjustRightInd w:val="0"/>
              <w:snapToGrid w:val="0"/>
              <w:spacing w:before="0" w:beforeAutospacing="0" w:after="0" w:afterAutospacing="0" w:line="312" w:lineRule="auto"/>
              <w:jc w:val="both"/>
              <w:rPr>
                <w:color w:val="auto"/>
                <w:szCs w:val="21"/>
                <w:highlight w:val="none"/>
              </w:rPr>
            </w:pPr>
            <w:r>
              <w:rPr>
                <w:rFonts w:hint="eastAsia"/>
                <w:color w:val="auto"/>
                <w:sz w:val="21"/>
                <w:szCs w:val="22"/>
                <w:highlight w:val="none"/>
                <w:lang w:bidi="ar"/>
              </w:rPr>
              <w:t>支持对客户端在单位时间内的访问URI的次数做控制配置，防止特定URI路径被HTTP Flood恶意ddos攻击访问消耗服务器资源导致服务器拒绝服务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pStyle w:val="8"/>
              <w:widowControl w:val="0"/>
              <w:adjustRightInd w:val="0"/>
              <w:snapToGrid w:val="0"/>
              <w:spacing w:before="0" w:beforeAutospacing="0" w:after="0" w:afterAutospacing="0" w:line="312" w:lineRule="auto"/>
              <w:jc w:val="both"/>
              <w:rPr>
                <w:color w:val="auto"/>
                <w:highlight w:val="none"/>
              </w:rPr>
            </w:pPr>
            <w:r>
              <w:rPr>
                <w:rFonts w:hint="eastAsia"/>
                <w:color w:val="auto"/>
                <w:sz w:val="21"/>
                <w:szCs w:val="22"/>
                <w:highlight w:val="none"/>
                <w:lang w:bidi="ar"/>
              </w:rPr>
              <w:t>支持对HTTP/HTTPS Flood攻击源的发包速度、源新建连接数、源并发连接数做源限速控制配置，且可以阻断攻击或者将攻击IP加入黑名单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auto"/>
                <w:highlight w:val="none"/>
              </w:rPr>
            </w:pPr>
            <w:r>
              <w:rPr>
                <w:rFonts w:hint="eastAsia" w:ascii="宋体" w:hAnsi="宋体" w:cs="宋体"/>
                <w:color w:val="auto"/>
                <w:sz w:val="21"/>
                <w:szCs w:val="21"/>
                <w:highlight w:val="none"/>
                <w:lang w:bidi="ar"/>
              </w:rPr>
              <w:t>6</w:t>
            </w:r>
          </w:p>
        </w:tc>
        <w:tc>
          <w:tcPr>
            <w:tcW w:w="1735" w:type="dxa"/>
            <w:vMerge w:val="restart"/>
            <w:tcBorders>
              <w:top w:val="nil"/>
              <w:left w:val="nil"/>
              <w:bottom w:val="single" w:color="auto" w:sz="4" w:space="0"/>
              <w:right w:val="single" w:color="auto" w:sz="4" w:space="0"/>
            </w:tcBorders>
            <w:vAlign w:val="center"/>
          </w:tcPr>
          <w:p>
            <w:pPr>
              <w:pStyle w:val="8"/>
              <w:widowControl w:val="0"/>
              <w:adjustRightInd w:val="0"/>
              <w:snapToGrid w:val="0"/>
              <w:spacing w:before="0" w:beforeAutospacing="0" w:after="0" w:afterAutospacing="0" w:line="312" w:lineRule="auto"/>
              <w:jc w:val="both"/>
              <w:rPr>
                <w:color w:val="auto"/>
                <w:highlight w:val="none"/>
              </w:rPr>
            </w:pPr>
            <w:r>
              <w:rPr>
                <w:rFonts w:hint="eastAsia"/>
                <w:color w:val="auto"/>
                <w:sz w:val="21"/>
                <w:szCs w:val="22"/>
                <w:highlight w:val="none"/>
                <w:lang w:bidi="ar"/>
              </w:rPr>
              <w:t>WEB漏洞扫描</w:t>
            </w:r>
          </w:p>
        </w:tc>
        <w:tc>
          <w:tcPr>
            <w:tcW w:w="7153" w:type="dxa"/>
            <w:tcBorders>
              <w:top w:val="single" w:color="auto" w:sz="4" w:space="0"/>
              <w:left w:val="nil"/>
              <w:bottom w:val="single" w:color="auto" w:sz="4" w:space="0"/>
              <w:right w:val="single" w:color="auto" w:sz="4" w:space="0"/>
            </w:tcBorders>
            <w:vAlign w:val="center"/>
          </w:tcPr>
          <w:p>
            <w:pPr>
              <w:pStyle w:val="8"/>
              <w:widowControl w:val="0"/>
              <w:adjustRightInd w:val="0"/>
              <w:snapToGrid w:val="0"/>
              <w:spacing w:before="0" w:beforeAutospacing="0" w:after="0" w:afterAutospacing="0" w:line="312" w:lineRule="auto"/>
              <w:jc w:val="both"/>
              <w:rPr>
                <w:color w:val="auto"/>
                <w:highlight w:val="none"/>
              </w:rPr>
            </w:pPr>
            <w:r>
              <w:rPr>
                <w:rFonts w:hint="eastAsia"/>
                <w:color w:val="auto"/>
                <w:sz w:val="21"/>
                <w:szCs w:val="22"/>
                <w:highlight w:val="none"/>
                <w:lang w:bidi="ar"/>
              </w:rPr>
              <w:t>支持多种WEB应用漏洞的安全扫描检测，如SQL注入、跨站脚本、目录遍历等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pStyle w:val="8"/>
              <w:widowControl w:val="0"/>
              <w:adjustRightInd w:val="0"/>
              <w:snapToGrid w:val="0"/>
              <w:spacing w:before="0" w:beforeAutospacing="0" w:after="0" w:afterAutospacing="0" w:line="312" w:lineRule="auto"/>
              <w:jc w:val="both"/>
              <w:rPr>
                <w:color w:val="auto"/>
                <w:highlight w:val="none"/>
              </w:rPr>
            </w:pPr>
            <w:r>
              <w:rPr>
                <w:rFonts w:hint="eastAsia"/>
                <w:color w:val="auto"/>
                <w:sz w:val="21"/>
                <w:szCs w:val="22"/>
                <w:highlight w:val="none"/>
                <w:lang w:bidi="ar"/>
              </w:rPr>
              <w:t>支持自定义WEB漏洞扫描任务，支持对需要认证登录的web系统进行漏洞扫描，支持自定义每日、每周、每月等扫描周期设置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2" w:type="dxa"/>
            <w:vMerge w:val="continue"/>
            <w:tcBorders>
              <w:top w:val="nil"/>
              <w:left w:val="single" w:color="auto" w:sz="4" w:space="0"/>
              <w:bottom w:val="single" w:color="auto" w:sz="4" w:space="0"/>
              <w:right w:val="single" w:color="auto" w:sz="4" w:space="0"/>
            </w:tcBorders>
            <w:vAlign w:val="center"/>
          </w:tcPr>
          <w:p>
            <w:pPr>
              <w:rPr>
                <w:color w:val="auto"/>
                <w:sz w:val="20"/>
                <w:highlight w:val="none"/>
              </w:rPr>
            </w:pPr>
          </w:p>
        </w:tc>
        <w:tc>
          <w:tcPr>
            <w:tcW w:w="1735" w:type="dxa"/>
            <w:vMerge w:val="continue"/>
            <w:tcBorders>
              <w:top w:val="nil"/>
              <w:left w:val="nil"/>
              <w:bottom w:val="single" w:color="auto" w:sz="4" w:space="0"/>
              <w:right w:val="single" w:color="auto" w:sz="4" w:space="0"/>
            </w:tcBorders>
            <w:vAlign w:val="center"/>
          </w:tcPr>
          <w:p>
            <w:pPr>
              <w:rPr>
                <w:color w:val="auto"/>
                <w:sz w:val="20"/>
                <w:highlight w:val="none"/>
              </w:rPr>
            </w:pPr>
          </w:p>
        </w:tc>
        <w:tc>
          <w:tcPr>
            <w:tcW w:w="7153" w:type="dxa"/>
            <w:tcBorders>
              <w:top w:val="single" w:color="auto" w:sz="4" w:space="0"/>
              <w:left w:val="nil"/>
              <w:bottom w:val="single" w:color="auto" w:sz="4" w:space="0"/>
              <w:right w:val="single" w:color="auto" w:sz="4" w:space="0"/>
            </w:tcBorders>
            <w:vAlign w:val="center"/>
          </w:tcPr>
          <w:p>
            <w:pPr>
              <w:pStyle w:val="8"/>
              <w:widowControl w:val="0"/>
              <w:adjustRightInd w:val="0"/>
              <w:snapToGrid w:val="0"/>
              <w:spacing w:before="0" w:beforeAutospacing="0" w:after="0" w:afterAutospacing="0" w:line="312" w:lineRule="auto"/>
              <w:jc w:val="both"/>
              <w:rPr>
                <w:color w:val="auto"/>
                <w:highlight w:val="none"/>
              </w:rPr>
            </w:pPr>
            <w:r>
              <w:rPr>
                <w:rFonts w:hint="eastAsia"/>
                <w:color w:val="auto"/>
                <w:sz w:val="21"/>
                <w:szCs w:val="22"/>
                <w:highlight w:val="none"/>
                <w:lang w:bidi="ar"/>
              </w:rPr>
              <w:t>可导出web漏洞扫描报告，报告支持pdf,html,txt,xml等格式导出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7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auto"/>
                <w:highlight w:val="none"/>
              </w:rPr>
            </w:pPr>
            <w:r>
              <w:rPr>
                <w:rFonts w:hint="eastAsia" w:ascii="宋体" w:hAnsi="宋体" w:cs="宋体"/>
                <w:color w:val="auto"/>
                <w:sz w:val="21"/>
                <w:szCs w:val="21"/>
                <w:highlight w:val="none"/>
                <w:lang w:bidi="ar"/>
              </w:rPr>
              <w:t>7</w:t>
            </w:r>
          </w:p>
        </w:tc>
        <w:tc>
          <w:tcPr>
            <w:tcW w:w="173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8"/>
              <w:widowControl w:val="0"/>
              <w:adjustRightInd w:val="0"/>
              <w:snapToGrid w:val="0"/>
              <w:spacing w:before="0" w:beforeAutospacing="0" w:after="0" w:afterAutospacing="0" w:line="312" w:lineRule="auto"/>
              <w:jc w:val="center"/>
              <w:rPr>
                <w:color w:val="auto"/>
                <w:highlight w:val="none"/>
              </w:rPr>
            </w:pPr>
            <w:r>
              <w:rPr>
                <w:rFonts w:hint="eastAsia"/>
                <w:color w:val="auto"/>
                <w:sz w:val="21"/>
                <w:szCs w:val="22"/>
                <w:highlight w:val="none"/>
                <w:lang w:bidi="ar"/>
              </w:rPr>
              <w:t>产品资质</w:t>
            </w:r>
          </w:p>
        </w:tc>
        <w:tc>
          <w:tcPr>
            <w:tcW w:w="715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8"/>
              <w:widowControl w:val="0"/>
              <w:adjustRightInd w:val="0"/>
              <w:snapToGrid w:val="0"/>
              <w:spacing w:before="0" w:beforeAutospacing="0" w:after="0" w:afterAutospacing="0" w:line="312" w:lineRule="auto"/>
              <w:jc w:val="both"/>
              <w:rPr>
                <w:color w:val="auto"/>
                <w:highlight w:val="none"/>
              </w:rPr>
            </w:pPr>
            <w:r>
              <w:rPr>
                <w:rFonts w:hint="eastAsia"/>
                <w:color w:val="auto"/>
                <w:sz w:val="21"/>
                <w:szCs w:val="22"/>
                <w:highlight w:val="none"/>
                <w:lang w:bidi="ar"/>
              </w:rPr>
              <w:t>中国信息安全认证中心颁发的《IT产品信息安全认证证书》</w:t>
            </w:r>
          </w:p>
          <w:p>
            <w:pPr>
              <w:pStyle w:val="8"/>
              <w:widowControl w:val="0"/>
              <w:adjustRightInd w:val="0"/>
              <w:snapToGrid w:val="0"/>
              <w:spacing w:before="0" w:beforeAutospacing="0" w:after="0" w:afterAutospacing="0" w:line="312" w:lineRule="auto"/>
              <w:jc w:val="both"/>
              <w:rPr>
                <w:color w:val="auto"/>
                <w:highlight w:val="none"/>
              </w:rPr>
            </w:pPr>
            <w:r>
              <w:rPr>
                <w:rFonts w:hint="eastAsia"/>
                <w:color w:val="auto"/>
                <w:sz w:val="21"/>
                <w:szCs w:val="22"/>
                <w:highlight w:val="none"/>
                <w:lang w:eastAsia="zh-CN" w:bidi="ar"/>
              </w:rPr>
              <w:t>★</w:t>
            </w:r>
            <w:r>
              <w:rPr>
                <w:rFonts w:hint="eastAsia"/>
                <w:color w:val="auto"/>
                <w:sz w:val="21"/>
                <w:szCs w:val="22"/>
                <w:highlight w:val="none"/>
                <w:lang w:bidi="ar"/>
              </w:rPr>
              <w:t>OWASP颁发的《web应用防火墙认证证书》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 w:hRule="atLeast"/>
        </w:trPr>
        <w:tc>
          <w:tcPr>
            <w:tcW w:w="7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rFonts w:ascii="宋体" w:hAnsi="宋体" w:cs="宋体"/>
                <w:color w:val="auto"/>
                <w:highlight w:val="none"/>
              </w:rPr>
            </w:pPr>
          </w:p>
        </w:tc>
        <w:tc>
          <w:tcPr>
            <w:tcW w:w="173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8"/>
              <w:widowControl w:val="0"/>
              <w:adjustRightInd w:val="0"/>
              <w:snapToGrid w:val="0"/>
              <w:spacing w:before="0" w:beforeAutospacing="0" w:after="0" w:afterAutospacing="0" w:line="312" w:lineRule="auto"/>
              <w:ind w:firstLine="360"/>
              <w:jc w:val="both"/>
              <w:rPr>
                <w:color w:val="auto"/>
                <w:highlight w:val="none"/>
              </w:rPr>
            </w:pPr>
            <w:r>
              <w:rPr>
                <w:rFonts w:hint="eastAsia"/>
                <w:color w:val="auto"/>
                <w:sz w:val="21"/>
                <w:szCs w:val="22"/>
                <w:highlight w:val="none"/>
                <w:lang w:bidi="ar"/>
              </w:rPr>
              <w:t>其他</w:t>
            </w:r>
          </w:p>
        </w:tc>
        <w:tc>
          <w:tcPr>
            <w:tcW w:w="715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8"/>
              <w:widowControl w:val="0"/>
              <w:adjustRightInd w:val="0"/>
              <w:snapToGrid w:val="0"/>
              <w:spacing w:before="0" w:beforeAutospacing="0" w:after="0" w:afterAutospacing="0" w:line="312" w:lineRule="auto"/>
              <w:jc w:val="both"/>
              <w:rPr>
                <w:color w:val="auto"/>
                <w:highlight w:val="none"/>
              </w:rPr>
            </w:pPr>
            <w:r>
              <w:rPr>
                <w:rFonts w:hint="eastAsia"/>
                <w:color w:val="auto"/>
                <w:sz w:val="21"/>
                <w:szCs w:val="22"/>
                <w:highlight w:val="none"/>
                <w:lang w:bidi="ar"/>
              </w:rPr>
              <w:t>三年质保及原厂技术服务，三年规则库升级许可</w:t>
            </w:r>
          </w:p>
        </w:tc>
      </w:tr>
    </w:tbl>
    <w:p>
      <w:pPr>
        <w:pStyle w:val="6"/>
        <w:rPr>
          <w:color w:val="auto"/>
          <w:highlight w:val="none"/>
        </w:rPr>
      </w:pPr>
      <w:r>
        <w:rPr>
          <w:rFonts w:hint="eastAsia"/>
          <w:color w:val="auto"/>
          <w:highlight w:val="none"/>
        </w:rPr>
        <w:t>外网网闸</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731"/>
        <w:gridCol w:w="7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highlight w:val="none"/>
              </w:rPr>
            </w:pPr>
            <w:r>
              <w:rPr>
                <w:rFonts w:hint="eastAsia" w:ascii="宋体" w:hAnsi="宋体"/>
                <w:b/>
                <w:bCs/>
                <w:color w:val="auto"/>
                <w:sz w:val="21"/>
                <w:szCs w:val="21"/>
                <w:highlight w:val="none"/>
              </w:rPr>
              <w:t>序号</w:t>
            </w:r>
          </w:p>
        </w:tc>
        <w:tc>
          <w:tcPr>
            <w:tcW w:w="1731" w:type="dxa"/>
            <w:tcBorders>
              <w:top w:val="single" w:color="auto" w:sz="4" w:space="0"/>
              <w:left w:val="nil"/>
              <w:bottom w:val="single" w:color="auto" w:sz="4" w:space="0"/>
              <w:right w:val="single" w:color="auto" w:sz="4" w:space="0"/>
            </w:tcBorders>
            <w:vAlign w:val="center"/>
          </w:tcPr>
          <w:p>
            <w:pPr>
              <w:pStyle w:val="15"/>
              <w:ind w:firstLine="361"/>
              <w:jc w:val="center"/>
              <w:rPr>
                <w:rFonts w:ascii="宋体" w:hAnsi="宋体"/>
                <w:b/>
                <w:bCs/>
                <w:color w:val="auto"/>
                <w:highlight w:val="none"/>
              </w:rPr>
            </w:pPr>
            <w:r>
              <w:rPr>
                <w:rFonts w:hint="eastAsia" w:ascii="宋体" w:hAnsi="宋体"/>
                <w:b/>
                <w:bCs/>
                <w:color w:val="auto"/>
                <w:highlight w:val="none"/>
              </w:rPr>
              <w:t>指标项</w:t>
            </w:r>
          </w:p>
        </w:tc>
        <w:tc>
          <w:tcPr>
            <w:tcW w:w="7161" w:type="dxa"/>
            <w:tcBorders>
              <w:top w:val="single" w:color="auto" w:sz="4" w:space="0"/>
              <w:left w:val="nil"/>
              <w:bottom w:val="single" w:color="auto" w:sz="4" w:space="0"/>
              <w:right w:val="single" w:color="auto" w:sz="4" w:space="0"/>
            </w:tcBorders>
            <w:vAlign w:val="center"/>
          </w:tcPr>
          <w:p>
            <w:pPr>
              <w:pStyle w:val="15"/>
              <w:ind w:firstLine="361"/>
              <w:jc w:val="center"/>
              <w:rPr>
                <w:rFonts w:ascii="宋体" w:hAnsi="宋体"/>
                <w:b/>
                <w:bCs/>
                <w:color w:val="auto"/>
                <w:highlight w:val="none"/>
              </w:rPr>
            </w:pPr>
            <w:r>
              <w:rPr>
                <w:rFonts w:hint="eastAsia" w:ascii="宋体" w:hAnsi="宋体"/>
                <w:b/>
                <w:bCs/>
                <w:color w:val="auto"/>
                <w:highlight w:val="none"/>
              </w:rPr>
              <w:t>技术指标要求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1"/>
                <w:szCs w:val="21"/>
                <w:highlight w:val="none"/>
              </w:rPr>
              <w:t>1</w:t>
            </w:r>
          </w:p>
        </w:tc>
        <w:tc>
          <w:tcPr>
            <w:tcW w:w="1731" w:type="dxa"/>
            <w:tcBorders>
              <w:top w:val="single" w:color="auto" w:sz="4" w:space="0"/>
              <w:left w:val="nil"/>
              <w:bottom w:val="single" w:color="auto" w:sz="4" w:space="0"/>
              <w:right w:val="single" w:color="auto" w:sz="4" w:space="0"/>
            </w:tcBorders>
            <w:vAlign w:val="center"/>
          </w:tcPr>
          <w:p>
            <w:pPr>
              <w:pStyle w:val="15"/>
              <w:jc w:val="left"/>
              <w:rPr>
                <w:rFonts w:ascii="宋体" w:hAnsi="宋体"/>
                <w:color w:val="auto"/>
                <w:highlight w:val="none"/>
              </w:rPr>
            </w:pPr>
            <w:r>
              <w:rPr>
                <w:rFonts w:hint="eastAsia" w:ascii="宋体" w:hAnsi="宋体"/>
                <w:color w:val="auto"/>
                <w:highlight w:val="none"/>
              </w:rPr>
              <w:t>系统基本架构</w:t>
            </w:r>
          </w:p>
        </w:tc>
        <w:tc>
          <w:tcPr>
            <w:tcW w:w="7161" w:type="dxa"/>
            <w:tcBorders>
              <w:top w:val="single" w:color="auto" w:sz="4" w:space="0"/>
              <w:left w:val="nil"/>
              <w:bottom w:val="single" w:color="auto" w:sz="4" w:space="0"/>
              <w:right w:val="single" w:color="auto" w:sz="4" w:space="0"/>
            </w:tcBorders>
          </w:tcPr>
          <w:p>
            <w:pPr>
              <w:pStyle w:val="15"/>
              <w:jc w:val="left"/>
              <w:rPr>
                <w:rFonts w:ascii="宋体" w:hAnsi="宋体"/>
                <w:color w:val="auto"/>
                <w:highlight w:val="none"/>
              </w:rPr>
            </w:pPr>
            <w:r>
              <w:rPr>
                <w:rFonts w:hint="eastAsia" w:ascii="宋体" w:hAnsi="宋体"/>
                <w:color w:val="auto"/>
                <w:highlight w:val="none"/>
              </w:rPr>
              <w:t>2U机架式，“2+1”系统结构，内外端机为TCP/IP网络协议的终点，阻断TCP/IP协议的直接贯通。内外端机之间采用专用硬件和专用协议进行连接，不可编程。网闸以软硬件结合的方式，有效地隔断内外网络间直接的连接，防止信息无限制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1"/>
                <w:szCs w:val="21"/>
                <w:highlight w:val="none"/>
              </w:rPr>
              <w:t>2</w:t>
            </w:r>
          </w:p>
        </w:tc>
        <w:tc>
          <w:tcPr>
            <w:tcW w:w="1731" w:type="dxa"/>
            <w:tcBorders>
              <w:top w:val="single" w:color="auto" w:sz="4" w:space="0"/>
              <w:left w:val="nil"/>
              <w:bottom w:val="single" w:color="auto" w:sz="4" w:space="0"/>
              <w:right w:val="single" w:color="auto" w:sz="4" w:space="0"/>
            </w:tcBorders>
            <w:vAlign w:val="center"/>
          </w:tcPr>
          <w:p>
            <w:pPr>
              <w:pStyle w:val="15"/>
              <w:jc w:val="left"/>
              <w:rPr>
                <w:rFonts w:ascii="宋体" w:hAnsi="宋体"/>
                <w:color w:val="auto"/>
                <w:highlight w:val="none"/>
              </w:rPr>
            </w:pPr>
            <w:r>
              <w:rPr>
                <w:rFonts w:hint="eastAsia" w:ascii="宋体" w:hAnsi="宋体"/>
                <w:color w:val="auto"/>
                <w:highlight w:val="none"/>
              </w:rPr>
              <w:t>接口配置</w:t>
            </w:r>
          </w:p>
        </w:tc>
        <w:tc>
          <w:tcPr>
            <w:tcW w:w="7161" w:type="dxa"/>
            <w:tcBorders>
              <w:top w:val="single" w:color="auto" w:sz="4" w:space="0"/>
              <w:left w:val="nil"/>
              <w:bottom w:val="single" w:color="auto" w:sz="4" w:space="0"/>
              <w:right w:val="single" w:color="auto" w:sz="4" w:space="0"/>
            </w:tcBorders>
          </w:tcPr>
          <w:p>
            <w:pPr>
              <w:pStyle w:val="15"/>
              <w:jc w:val="left"/>
              <w:rPr>
                <w:rFonts w:ascii="宋体" w:hAnsi="宋体"/>
                <w:color w:val="auto"/>
                <w:highlight w:val="none"/>
              </w:rPr>
            </w:pPr>
            <w:r>
              <w:rPr>
                <w:rFonts w:hint="eastAsia" w:ascii="宋体" w:hAnsi="宋体"/>
                <w:color w:val="auto"/>
                <w:highlight w:val="none"/>
              </w:rPr>
              <w:t>内网：</w:t>
            </w:r>
            <w:r>
              <w:rPr>
                <w:rFonts w:hint="eastAsia" w:ascii="宋体" w:hAnsi="宋体"/>
                <w:color w:val="auto"/>
                <w:szCs w:val="21"/>
                <w:highlight w:val="none"/>
              </w:rPr>
              <w:t>不低于</w:t>
            </w:r>
            <w:r>
              <w:rPr>
                <w:rFonts w:hint="eastAsia" w:ascii="宋体" w:hAnsi="宋体"/>
                <w:color w:val="auto"/>
                <w:highlight w:val="none"/>
              </w:rPr>
              <w:t>4个10/100/1000M RJ45接口，1个串口，2个USB口</w:t>
            </w:r>
          </w:p>
          <w:p>
            <w:pPr>
              <w:pStyle w:val="15"/>
              <w:jc w:val="left"/>
              <w:rPr>
                <w:rFonts w:ascii="宋体" w:hAnsi="宋体"/>
                <w:color w:val="auto"/>
                <w:highlight w:val="none"/>
              </w:rPr>
            </w:pPr>
            <w:r>
              <w:rPr>
                <w:rFonts w:hint="eastAsia" w:ascii="宋体" w:hAnsi="宋体"/>
                <w:color w:val="auto"/>
                <w:highlight w:val="none"/>
              </w:rPr>
              <w:t>外网：</w:t>
            </w:r>
            <w:r>
              <w:rPr>
                <w:rFonts w:hint="eastAsia" w:ascii="宋体" w:hAnsi="宋体"/>
                <w:color w:val="auto"/>
                <w:szCs w:val="21"/>
                <w:highlight w:val="none"/>
              </w:rPr>
              <w:t>不低于</w:t>
            </w:r>
            <w:r>
              <w:rPr>
                <w:rFonts w:hint="eastAsia" w:ascii="宋体" w:hAnsi="宋体"/>
                <w:color w:val="auto"/>
                <w:highlight w:val="none"/>
              </w:rPr>
              <w:t>4个10/100/1000M RJ45接口，1个串口，2个USB口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1"/>
                <w:szCs w:val="21"/>
                <w:highlight w:val="none"/>
              </w:rPr>
              <w:t>3</w:t>
            </w:r>
          </w:p>
        </w:tc>
        <w:tc>
          <w:tcPr>
            <w:tcW w:w="1731" w:type="dxa"/>
            <w:tcBorders>
              <w:top w:val="single" w:color="auto" w:sz="4" w:space="0"/>
              <w:left w:val="nil"/>
              <w:bottom w:val="single" w:color="auto" w:sz="4" w:space="0"/>
              <w:right w:val="single" w:color="auto" w:sz="4" w:space="0"/>
            </w:tcBorders>
            <w:vAlign w:val="center"/>
          </w:tcPr>
          <w:p>
            <w:pPr>
              <w:pStyle w:val="15"/>
              <w:jc w:val="left"/>
              <w:rPr>
                <w:rFonts w:ascii="宋体" w:hAnsi="宋体"/>
                <w:color w:val="auto"/>
                <w:highlight w:val="none"/>
              </w:rPr>
            </w:pPr>
            <w:r>
              <w:rPr>
                <w:rFonts w:hint="eastAsia" w:ascii="宋体" w:hAnsi="宋体"/>
                <w:color w:val="auto"/>
                <w:highlight w:val="none"/>
              </w:rPr>
              <w:t>性能指标</w:t>
            </w:r>
          </w:p>
        </w:tc>
        <w:tc>
          <w:tcPr>
            <w:tcW w:w="7161" w:type="dxa"/>
            <w:tcBorders>
              <w:top w:val="single" w:color="auto" w:sz="4" w:space="0"/>
              <w:left w:val="nil"/>
              <w:bottom w:val="single" w:color="auto" w:sz="4" w:space="0"/>
              <w:right w:val="single" w:color="auto" w:sz="4" w:space="0"/>
            </w:tcBorders>
          </w:tcPr>
          <w:p>
            <w:pPr>
              <w:pStyle w:val="15"/>
              <w:jc w:val="left"/>
              <w:rPr>
                <w:rFonts w:ascii="宋体" w:hAnsi="宋体"/>
                <w:color w:val="auto"/>
                <w:highlight w:val="none"/>
              </w:rPr>
            </w:pPr>
            <w:r>
              <w:rPr>
                <w:rFonts w:hint="eastAsia" w:ascii="宋体" w:hAnsi="宋体"/>
                <w:color w:val="auto"/>
                <w:highlight w:val="none"/>
              </w:rPr>
              <w:t>网络吞吐量：</w:t>
            </w:r>
            <w:r>
              <w:rPr>
                <w:rFonts w:hint="eastAsia" w:ascii="宋体" w:hAnsi="宋体"/>
                <w:color w:val="auto"/>
                <w:szCs w:val="21"/>
                <w:highlight w:val="none"/>
              </w:rPr>
              <w:t>不低于</w:t>
            </w:r>
            <w:r>
              <w:rPr>
                <w:rFonts w:hint="eastAsia" w:ascii="宋体" w:hAnsi="宋体"/>
                <w:color w:val="auto"/>
                <w:highlight w:val="none"/>
              </w:rPr>
              <w:t>1000Mbps。</w:t>
            </w:r>
          </w:p>
          <w:p>
            <w:pPr>
              <w:pStyle w:val="15"/>
              <w:jc w:val="left"/>
              <w:rPr>
                <w:rFonts w:ascii="宋体" w:hAnsi="宋体"/>
                <w:color w:val="auto"/>
                <w:highlight w:val="none"/>
              </w:rPr>
            </w:pPr>
            <w:r>
              <w:rPr>
                <w:rFonts w:hint="eastAsia" w:ascii="宋体" w:hAnsi="宋体"/>
                <w:color w:val="auto"/>
                <w:highlight w:val="none"/>
              </w:rPr>
              <w:t>系统整体时延：&lt;5毫秒</w:t>
            </w:r>
          </w:p>
          <w:p>
            <w:pPr>
              <w:pStyle w:val="15"/>
              <w:jc w:val="left"/>
              <w:rPr>
                <w:rFonts w:ascii="宋体" w:hAnsi="宋体"/>
                <w:color w:val="auto"/>
                <w:highlight w:val="none"/>
              </w:rPr>
            </w:pPr>
            <w:r>
              <w:rPr>
                <w:rFonts w:hint="eastAsia" w:ascii="宋体" w:hAnsi="宋体"/>
                <w:color w:val="auto"/>
                <w:highlight w:val="none"/>
              </w:rPr>
              <w:t>所有协议通道并发连接数：不低于45000个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1"/>
                <w:szCs w:val="21"/>
                <w:highlight w:val="none"/>
              </w:rPr>
              <w:t>4</w:t>
            </w:r>
          </w:p>
        </w:tc>
        <w:tc>
          <w:tcPr>
            <w:tcW w:w="1731" w:type="dxa"/>
            <w:tcBorders>
              <w:top w:val="single" w:color="auto" w:sz="4" w:space="0"/>
              <w:left w:val="nil"/>
              <w:bottom w:val="single" w:color="auto" w:sz="4" w:space="0"/>
              <w:right w:val="single" w:color="auto" w:sz="4" w:space="0"/>
            </w:tcBorders>
            <w:vAlign w:val="center"/>
          </w:tcPr>
          <w:p>
            <w:pPr>
              <w:pStyle w:val="15"/>
              <w:jc w:val="left"/>
              <w:rPr>
                <w:rFonts w:ascii="宋体" w:hAnsi="宋体"/>
                <w:color w:val="auto"/>
                <w:highlight w:val="none"/>
              </w:rPr>
            </w:pPr>
            <w:r>
              <w:rPr>
                <w:rFonts w:hint="eastAsia" w:ascii="宋体" w:hAnsi="宋体"/>
                <w:color w:val="auto"/>
                <w:highlight w:val="none"/>
              </w:rPr>
              <w:t>安全上网功能</w:t>
            </w:r>
          </w:p>
        </w:tc>
        <w:tc>
          <w:tcPr>
            <w:tcW w:w="7161" w:type="dxa"/>
            <w:tcBorders>
              <w:top w:val="single" w:color="auto" w:sz="4" w:space="0"/>
              <w:left w:val="nil"/>
              <w:bottom w:val="single" w:color="auto" w:sz="4" w:space="0"/>
              <w:right w:val="single" w:color="auto" w:sz="4" w:space="0"/>
            </w:tcBorders>
          </w:tcPr>
          <w:p>
            <w:pPr>
              <w:pStyle w:val="15"/>
              <w:jc w:val="left"/>
              <w:rPr>
                <w:rFonts w:ascii="宋体" w:hAnsi="宋体"/>
                <w:color w:val="auto"/>
                <w:highlight w:val="none"/>
              </w:rPr>
            </w:pPr>
            <w:r>
              <w:rPr>
                <w:rFonts w:hint="eastAsia" w:ascii="宋体" w:hAnsi="宋体"/>
                <w:color w:val="auto"/>
                <w:highlight w:val="none"/>
              </w:rPr>
              <w:t>支持WEB访问，支持HTTP协议应用的各种指令控制</w:t>
            </w:r>
          </w:p>
          <w:p>
            <w:pPr>
              <w:pStyle w:val="15"/>
              <w:jc w:val="left"/>
              <w:rPr>
                <w:rFonts w:ascii="宋体" w:hAnsi="宋体"/>
                <w:color w:val="auto"/>
                <w:highlight w:val="none"/>
              </w:rPr>
            </w:pPr>
            <w:r>
              <w:rPr>
                <w:rFonts w:hint="eastAsia" w:ascii="宋体" w:hAnsi="宋体"/>
                <w:color w:val="auto"/>
                <w:highlight w:val="none"/>
              </w:rPr>
              <w:t>支持HTTPS网络传输，并且可在该加密通道中分解出正常HTTPS网络应用，保障传输。同时可以屏蔽自由门等各类加密翻墙软件的传输。（提供功能截图证明）</w:t>
            </w:r>
          </w:p>
          <w:p>
            <w:pPr>
              <w:pStyle w:val="15"/>
              <w:jc w:val="left"/>
              <w:rPr>
                <w:rFonts w:ascii="宋体" w:hAnsi="宋体"/>
                <w:color w:val="auto"/>
                <w:highlight w:val="none"/>
              </w:rPr>
            </w:pPr>
            <w:r>
              <w:rPr>
                <w:rFonts w:hint="eastAsia" w:ascii="宋体" w:hAnsi="宋体"/>
                <w:color w:val="auto"/>
                <w:highlight w:val="none"/>
              </w:rPr>
              <w:t>其他过滤策略：文件类型、页面提交方式等。支持情景模式，能够控制用户上网以及服务器对外提供服务的具体时间</w:t>
            </w:r>
          </w:p>
          <w:p>
            <w:pPr>
              <w:pStyle w:val="15"/>
              <w:jc w:val="left"/>
              <w:rPr>
                <w:rFonts w:ascii="宋体" w:hAnsi="宋体"/>
                <w:color w:val="auto"/>
                <w:highlight w:val="none"/>
              </w:rPr>
            </w:pPr>
            <w:r>
              <w:rPr>
                <w:rFonts w:hint="eastAsia" w:ascii="宋体" w:hAnsi="宋体"/>
                <w:color w:val="auto"/>
                <w:highlight w:val="none"/>
              </w:rPr>
              <w:t>代理、透明和路由工作模式下均支持HTTP和HTTPS协议内部命令及命令参数控制策略（提供功能截图证明）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1"/>
                <w:szCs w:val="21"/>
                <w:highlight w:val="none"/>
              </w:rPr>
              <w:t>5</w:t>
            </w:r>
          </w:p>
        </w:tc>
        <w:tc>
          <w:tcPr>
            <w:tcW w:w="1731" w:type="dxa"/>
            <w:tcBorders>
              <w:top w:val="single" w:color="auto" w:sz="4" w:space="0"/>
              <w:left w:val="nil"/>
              <w:bottom w:val="single" w:color="auto" w:sz="4" w:space="0"/>
              <w:right w:val="single" w:color="auto" w:sz="4" w:space="0"/>
            </w:tcBorders>
            <w:vAlign w:val="center"/>
          </w:tcPr>
          <w:p>
            <w:pPr>
              <w:pStyle w:val="15"/>
              <w:jc w:val="left"/>
              <w:rPr>
                <w:rFonts w:ascii="宋体" w:hAnsi="宋体"/>
                <w:color w:val="auto"/>
                <w:highlight w:val="none"/>
              </w:rPr>
            </w:pPr>
            <w:r>
              <w:rPr>
                <w:rFonts w:hint="eastAsia" w:ascii="宋体" w:hAnsi="宋体"/>
                <w:color w:val="auto"/>
                <w:highlight w:val="none"/>
              </w:rPr>
              <w:t>文件传输功能</w:t>
            </w:r>
          </w:p>
        </w:tc>
        <w:tc>
          <w:tcPr>
            <w:tcW w:w="7161" w:type="dxa"/>
            <w:tcBorders>
              <w:top w:val="single" w:color="auto" w:sz="4" w:space="0"/>
              <w:left w:val="nil"/>
              <w:bottom w:val="single" w:color="auto" w:sz="4" w:space="0"/>
              <w:right w:val="single" w:color="auto" w:sz="4" w:space="0"/>
            </w:tcBorders>
          </w:tcPr>
          <w:p>
            <w:pPr>
              <w:pStyle w:val="15"/>
              <w:jc w:val="left"/>
              <w:rPr>
                <w:rFonts w:ascii="宋体" w:hAnsi="宋体"/>
                <w:color w:val="auto"/>
                <w:highlight w:val="none"/>
              </w:rPr>
            </w:pPr>
            <w:r>
              <w:rPr>
                <w:rFonts w:hint="eastAsia" w:ascii="宋体" w:hAnsi="宋体"/>
                <w:color w:val="auto"/>
                <w:highlight w:val="none"/>
              </w:rPr>
              <w:t>支持FTP文件传输协议，支持主动被动两种模式。支持FTP命令参数控制支持对传输文件的类型过滤</w:t>
            </w:r>
          </w:p>
          <w:p>
            <w:pPr>
              <w:pStyle w:val="15"/>
              <w:jc w:val="left"/>
              <w:rPr>
                <w:rFonts w:ascii="宋体" w:hAnsi="宋体"/>
                <w:color w:val="auto"/>
                <w:highlight w:val="none"/>
              </w:rPr>
            </w:pPr>
            <w:r>
              <w:rPr>
                <w:rFonts w:hint="eastAsia" w:ascii="宋体" w:hAnsi="宋体"/>
                <w:color w:val="auto"/>
                <w:highlight w:val="none"/>
              </w:rPr>
              <w:t>代理、透明和路由工作模式下均支持FTP协议内部命令及命令参数控制策略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1"/>
                <w:szCs w:val="21"/>
                <w:highlight w:val="none"/>
              </w:rPr>
              <w:t>6</w:t>
            </w:r>
          </w:p>
        </w:tc>
        <w:tc>
          <w:tcPr>
            <w:tcW w:w="1731" w:type="dxa"/>
            <w:tcBorders>
              <w:top w:val="single" w:color="auto" w:sz="4" w:space="0"/>
              <w:left w:val="nil"/>
              <w:bottom w:val="single" w:color="auto" w:sz="4" w:space="0"/>
              <w:right w:val="single" w:color="auto" w:sz="4" w:space="0"/>
            </w:tcBorders>
            <w:vAlign w:val="center"/>
          </w:tcPr>
          <w:p>
            <w:pPr>
              <w:pStyle w:val="15"/>
              <w:jc w:val="left"/>
              <w:rPr>
                <w:rFonts w:ascii="宋体" w:hAnsi="宋体"/>
                <w:color w:val="auto"/>
                <w:highlight w:val="none"/>
              </w:rPr>
            </w:pPr>
            <w:r>
              <w:rPr>
                <w:rFonts w:hint="eastAsia" w:ascii="宋体" w:hAnsi="宋体"/>
                <w:color w:val="auto"/>
                <w:highlight w:val="none"/>
              </w:rPr>
              <w:t>文件同步功能</w:t>
            </w:r>
          </w:p>
        </w:tc>
        <w:tc>
          <w:tcPr>
            <w:tcW w:w="7161" w:type="dxa"/>
            <w:tcBorders>
              <w:top w:val="single" w:color="auto" w:sz="4" w:space="0"/>
              <w:left w:val="nil"/>
              <w:bottom w:val="single" w:color="auto" w:sz="4" w:space="0"/>
              <w:right w:val="single" w:color="auto" w:sz="4" w:space="0"/>
            </w:tcBorders>
          </w:tcPr>
          <w:p>
            <w:pPr>
              <w:pStyle w:val="15"/>
              <w:jc w:val="left"/>
              <w:rPr>
                <w:rFonts w:ascii="宋体" w:hAnsi="宋体"/>
                <w:color w:val="auto"/>
                <w:highlight w:val="none"/>
              </w:rPr>
            </w:pPr>
            <w:r>
              <w:rPr>
                <w:rFonts w:hint="eastAsia" w:ascii="宋体" w:hAnsi="宋体"/>
                <w:color w:val="auto"/>
                <w:highlight w:val="none"/>
              </w:rPr>
              <w:t>提供专用文件同步客户端提供安全的文件同步功能</w:t>
            </w:r>
          </w:p>
          <w:p>
            <w:pPr>
              <w:pStyle w:val="15"/>
              <w:jc w:val="left"/>
              <w:rPr>
                <w:rFonts w:ascii="宋体" w:hAnsi="宋体"/>
                <w:color w:val="auto"/>
                <w:highlight w:val="none"/>
              </w:rPr>
            </w:pPr>
            <w:r>
              <w:rPr>
                <w:rFonts w:hint="eastAsia" w:ascii="宋体" w:hAnsi="宋体"/>
                <w:color w:val="auto"/>
                <w:highlight w:val="none"/>
              </w:rPr>
              <w:t>同步传输方向可控，双向或单向</w:t>
            </w:r>
          </w:p>
          <w:p>
            <w:pPr>
              <w:pStyle w:val="15"/>
              <w:jc w:val="left"/>
              <w:rPr>
                <w:rFonts w:ascii="宋体" w:hAnsi="宋体"/>
                <w:color w:val="auto"/>
                <w:highlight w:val="none"/>
              </w:rPr>
            </w:pPr>
            <w:r>
              <w:rPr>
                <w:rFonts w:hint="eastAsia" w:ascii="宋体" w:hAnsi="宋体"/>
                <w:color w:val="auto"/>
                <w:highlight w:val="none"/>
              </w:rPr>
              <w:t>支持一对多或多对一文件同步</w:t>
            </w:r>
          </w:p>
          <w:p>
            <w:pPr>
              <w:pStyle w:val="15"/>
              <w:jc w:val="left"/>
              <w:rPr>
                <w:rFonts w:ascii="宋体" w:hAnsi="宋体"/>
                <w:color w:val="auto"/>
                <w:highlight w:val="none"/>
              </w:rPr>
            </w:pPr>
            <w:r>
              <w:rPr>
                <w:rFonts w:hint="eastAsia" w:ascii="宋体" w:hAnsi="宋体"/>
                <w:color w:val="auto"/>
                <w:highlight w:val="none"/>
              </w:rPr>
              <w:t>支持文件变动实时同步、定时同步、系统资源空闲智能同步等多种同步方式</w:t>
            </w:r>
          </w:p>
          <w:p>
            <w:pPr>
              <w:pStyle w:val="15"/>
              <w:jc w:val="left"/>
              <w:rPr>
                <w:rFonts w:ascii="宋体" w:hAnsi="宋体"/>
                <w:color w:val="auto"/>
                <w:highlight w:val="none"/>
              </w:rPr>
            </w:pPr>
            <w:r>
              <w:rPr>
                <w:rFonts w:hint="eastAsia" w:ascii="宋体" w:hAnsi="宋体"/>
                <w:color w:val="auto"/>
                <w:highlight w:val="none"/>
              </w:rPr>
              <w:t>支持同步删除和同步覆盖策略配置，并能将同步删除和同步覆盖的文件备份到指定文件夹</w:t>
            </w:r>
          </w:p>
          <w:p>
            <w:pPr>
              <w:pStyle w:val="15"/>
              <w:jc w:val="left"/>
              <w:rPr>
                <w:rFonts w:ascii="宋体" w:hAnsi="宋体"/>
                <w:color w:val="auto"/>
                <w:highlight w:val="none"/>
              </w:rPr>
            </w:pPr>
            <w:r>
              <w:rPr>
                <w:rFonts w:hint="eastAsia" w:ascii="宋体" w:hAnsi="宋体"/>
                <w:color w:val="auto"/>
                <w:highlight w:val="none"/>
              </w:rPr>
              <w:t>支持文件同步容错策略和告警策略，同步出错能够自动重传并能够设置重传次数，出现异常同步状况能够终止同步弹出告警提示并记录日志。（提供功能截图证明）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1"/>
                <w:szCs w:val="21"/>
                <w:highlight w:val="none"/>
              </w:rPr>
              <w:t>7</w:t>
            </w:r>
          </w:p>
        </w:tc>
        <w:tc>
          <w:tcPr>
            <w:tcW w:w="1731" w:type="dxa"/>
            <w:tcBorders>
              <w:top w:val="single" w:color="auto" w:sz="4" w:space="0"/>
              <w:left w:val="nil"/>
              <w:bottom w:val="single" w:color="auto" w:sz="4" w:space="0"/>
              <w:right w:val="single" w:color="auto" w:sz="4" w:space="0"/>
            </w:tcBorders>
            <w:vAlign w:val="center"/>
          </w:tcPr>
          <w:p>
            <w:pPr>
              <w:pStyle w:val="15"/>
              <w:jc w:val="left"/>
              <w:rPr>
                <w:rFonts w:ascii="宋体" w:hAnsi="宋体"/>
                <w:color w:val="auto"/>
                <w:highlight w:val="none"/>
              </w:rPr>
            </w:pPr>
            <w:r>
              <w:rPr>
                <w:rFonts w:hint="eastAsia" w:ascii="宋体" w:hAnsi="宋体"/>
                <w:color w:val="auto"/>
                <w:highlight w:val="none"/>
              </w:rPr>
              <w:t>数据库访问功能</w:t>
            </w:r>
          </w:p>
        </w:tc>
        <w:tc>
          <w:tcPr>
            <w:tcW w:w="7161" w:type="dxa"/>
            <w:tcBorders>
              <w:top w:val="single" w:color="auto" w:sz="4" w:space="0"/>
              <w:left w:val="nil"/>
              <w:bottom w:val="single" w:color="auto" w:sz="4" w:space="0"/>
              <w:right w:val="single" w:color="auto" w:sz="4" w:space="0"/>
            </w:tcBorders>
          </w:tcPr>
          <w:p>
            <w:pPr>
              <w:pStyle w:val="15"/>
              <w:jc w:val="left"/>
              <w:rPr>
                <w:rFonts w:ascii="宋体" w:hAnsi="宋体"/>
                <w:color w:val="auto"/>
                <w:highlight w:val="none"/>
              </w:rPr>
            </w:pPr>
            <w:r>
              <w:rPr>
                <w:rFonts w:hint="eastAsia" w:ascii="宋体" w:hAnsi="宋体"/>
                <w:color w:val="auto"/>
                <w:highlight w:val="none"/>
              </w:rPr>
              <w:t>提供对多种主流数据库,如：MYSQL、SQLSERVER、ORACLE、DB2、SYBASE等系统的安全访问</w:t>
            </w:r>
          </w:p>
          <w:p>
            <w:pPr>
              <w:pStyle w:val="15"/>
              <w:jc w:val="left"/>
              <w:rPr>
                <w:rFonts w:ascii="宋体" w:hAnsi="宋体"/>
                <w:color w:val="auto"/>
                <w:highlight w:val="none"/>
              </w:rPr>
            </w:pPr>
            <w:r>
              <w:rPr>
                <w:rFonts w:hint="eastAsia" w:ascii="宋体" w:hAnsi="宋体"/>
                <w:color w:val="auto"/>
                <w:highlight w:val="none"/>
              </w:rPr>
              <w:t>代理、透明和路由工作模式下均支持数据库内部命令及命令参数控制策略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1"/>
                <w:szCs w:val="21"/>
                <w:highlight w:val="none"/>
              </w:rPr>
              <w:t>8</w:t>
            </w:r>
          </w:p>
        </w:tc>
        <w:tc>
          <w:tcPr>
            <w:tcW w:w="1731" w:type="dxa"/>
            <w:tcBorders>
              <w:top w:val="single" w:color="auto" w:sz="4" w:space="0"/>
              <w:left w:val="nil"/>
              <w:bottom w:val="single" w:color="auto" w:sz="4" w:space="0"/>
              <w:right w:val="single" w:color="auto" w:sz="4" w:space="0"/>
            </w:tcBorders>
            <w:vAlign w:val="center"/>
          </w:tcPr>
          <w:p>
            <w:pPr>
              <w:pStyle w:val="15"/>
              <w:jc w:val="left"/>
              <w:rPr>
                <w:rFonts w:ascii="宋体" w:hAnsi="宋体"/>
                <w:color w:val="auto"/>
                <w:highlight w:val="none"/>
              </w:rPr>
            </w:pPr>
            <w:r>
              <w:rPr>
                <w:rFonts w:hint="eastAsia" w:ascii="宋体" w:hAnsi="宋体"/>
                <w:color w:val="auto"/>
                <w:highlight w:val="none"/>
              </w:rPr>
              <w:t>数据库同步功能</w:t>
            </w:r>
          </w:p>
        </w:tc>
        <w:tc>
          <w:tcPr>
            <w:tcW w:w="7161" w:type="dxa"/>
            <w:tcBorders>
              <w:top w:val="single" w:color="auto" w:sz="4" w:space="0"/>
              <w:left w:val="nil"/>
              <w:bottom w:val="single" w:color="auto" w:sz="4" w:space="0"/>
              <w:right w:val="single" w:color="auto" w:sz="4" w:space="0"/>
            </w:tcBorders>
          </w:tcPr>
          <w:p>
            <w:pPr>
              <w:pStyle w:val="15"/>
              <w:jc w:val="left"/>
              <w:rPr>
                <w:rFonts w:ascii="宋体" w:hAnsi="宋体"/>
                <w:color w:val="auto"/>
                <w:highlight w:val="none"/>
              </w:rPr>
            </w:pPr>
            <w:r>
              <w:rPr>
                <w:rFonts w:hint="eastAsia" w:ascii="宋体" w:hAnsi="宋体"/>
                <w:color w:val="auto"/>
                <w:highlight w:val="none"/>
              </w:rPr>
              <w:t>基于专用客户端与网闸安全连接方式，提供多种主流数据库系统如：ORACLE、SQLSERVER、MYSQL、SYBASE、DB2等之间的同步</w:t>
            </w:r>
          </w:p>
          <w:p>
            <w:pPr>
              <w:pStyle w:val="15"/>
              <w:jc w:val="left"/>
              <w:rPr>
                <w:rFonts w:ascii="宋体" w:hAnsi="宋体"/>
                <w:color w:val="auto"/>
                <w:highlight w:val="none"/>
              </w:rPr>
            </w:pPr>
            <w:r>
              <w:rPr>
                <w:rFonts w:hint="eastAsia" w:ascii="宋体" w:hAnsi="宋体"/>
                <w:color w:val="auto"/>
                <w:highlight w:val="none"/>
              </w:rPr>
              <w:t>支持达梦、人大金仓等国产数据。（提供功能截图证明）</w:t>
            </w:r>
          </w:p>
          <w:p>
            <w:pPr>
              <w:pStyle w:val="15"/>
              <w:jc w:val="left"/>
              <w:rPr>
                <w:rFonts w:ascii="宋体" w:hAnsi="宋体"/>
                <w:color w:val="auto"/>
                <w:highlight w:val="none"/>
              </w:rPr>
            </w:pPr>
            <w:r>
              <w:rPr>
                <w:rFonts w:hint="eastAsia" w:ascii="宋体" w:hAnsi="宋体"/>
                <w:color w:val="auto"/>
                <w:highlight w:val="none"/>
              </w:rPr>
              <w:t>支持二进制普通文件、图片、文本文件及BLOB大字段同步。（提供功能截图证明）</w:t>
            </w:r>
          </w:p>
          <w:p>
            <w:pPr>
              <w:pStyle w:val="15"/>
              <w:jc w:val="left"/>
              <w:rPr>
                <w:rFonts w:ascii="宋体" w:hAnsi="宋体"/>
                <w:color w:val="auto"/>
                <w:highlight w:val="none"/>
              </w:rPr>
            </w:pPr>
            <w:r>
              <w:rPr>
                <w:rFonts w:hint="eastAsia" w:ascii="宋体" w:hAnsi="宋体"/>
                <w:color w:val="auto"/>
                <w:highlight w:val="none"/>
              </w:rPr>
              <w:t>支持数据一对一、一对多、多对多的单向或双向交换和同步</w:t>
            </w:r>
          </w:p>
          <w:p>
            <w:pPr>
              <w:pStyle w:val="15"/>
              <w:jc w:val="left"/>
              <w:rPr>
                <w:rFonts w:ascii="宋体" w:hAnsi="宋体"/>
                <w:color w:val="auto"/>
                <w:highlight w:val="none"/>
              </w:rPr>
            </w:pPr>
            <w:r>
              <w:rPr>
                <w:rFonts w:hint="eastAsia" w:ascii="宋体" w:hAnsi="宋体"/>
                <w:color w:val="auto"/>
                <w:highlight w:val="none"/>
              </w:rPr>
              <w:t>支持数据库实时同步或定时同步的策略定义</w:t>
            </w:r>
          </w:p>
          <w:p>
            <w:pPr>
              <w:pStyle w:val="15"/>
              <w:jc w:val="left"/>
              <w:rPr>
                <w:rFonts w:ascii="宋体" w:hAnsi="宋体"/>
                <w:color w:val="auto"/>
                <w:highlight w:val="none"/>
              </w:rPr>
            </w:pPr>
            <w:r>
              <w:rPr>
                <w:rFonts w:hint="eastAsia" w:ascii="宋体" w:hAnsi="宋体"/>
                <w:color w:val="auto"/>
                <w:highlight w:val="none"/>
              </w:rPr>
              <w:t>数据库同步传输不使用通用数据库服务端口例如1433、1521、3306等，保障数据库同步传输的安全性</w:t>
            </w:r>
          </w:p>
          <w:p>
            <w:pPr>
              <w:pStyle w:val="15"/>
              <w:jc w:val="left"/>
              <w:rPr>
                <w:rFonts w:ascii="宋体" w:hAnsi="宋体"/>
                <w:color w:val="auto"/>
                <w:highlight w:val="none"/>
              </w:rPr>
            </w:pPr>
            <w:r>
              <w:rPr>
                <w:rFonts w:hint="eastAsia" w:ascii="宋体" w:hAnsi="宋体"/>
                <w:color w:val="auto"/>
                <w:highlight w:val="none"/>
              </w:rPr>
              <w:t>支持灵活的数据冲突检测机制，当同步的数据记录发成冲突时，可以灵活处理出现冲突的数据记录</w:t>
            </w:r>
          </w:p>
          <w:p>
            <w:pPr>
              <w:pStyle w:val="15"/>
              <w:jc w:val="left"/>
              <w:rPr>
                <w:rFonts w:ascii="宋体" w:hAnsi="宋体"/>
                <w:color w:val="auto"/>
                <w:highlight w:val="none"/>
              </w:rPr>
            </w:pPr>
            <w:r>
              <w:rPr>
                <w:rFonts w:hint="eastAsia" w:ascii="宋体" w:hAnsi="宋体"/>
                <w:color w:val="auto"/>
                <w:highlight w:val="none"/>
              </w:rPr>
              <w:t>数据库同步高可靠性，即使发生网络故障，已变化数据也不会丢失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1"/>
                <w:szCs w:val="21"/>
                <w:highlight w:val="none"/>
              </w:rPr>
              <w:t>9</w:t>
            </w:r>
          </w:p>
        </w:tc>
        <w:tc>
          <w:tcPr>
            <w:tcW w:w="1731" w:type="dxa"/>
            <w:tcBorders>
              <w:top w:val="single" w:color="auto" w:sz="4" w:space="0"/>
              <w:left w:val="nil"/>
              <w:bottom w:val="single" w:color="auto" w:sz="4" w:space="0"/>
              <w:right w:val="single" w:color="auto" w:sz="4" w:space="0"/>
            </w:tcBorders>
            <w:vAlign w:val="center"/>
          </w:tcPr>
          <w:p>
            <w:pPr>
              <w:pStyle w:val="15"/>
              <w:jc w:val="left"/>
              <w:rPr>
                <w:rFonts w:ascii="宋体" w:hAnsi="宋体"/>
                <w:color w:val="auto"/>
                <w:highlight w:val="none"/>
              </w:rPr>
            </w:pPr>
            <w:r>
              <w:rPr>
                <w:rFonts w:hint="eastAsia" w:ascii="宋体" w:hAnsi="宋体"/>
                <w:color w:val="auto"/>
                <w:highlight w:val="none"/>
              </w:rPr>
              <w:t>管理配置</w:t>
            </w:r>
          </w:p>
        </w:tc>
        <w:tc>
          <w:tcPr>
            <w:tcW w:w="7161" w:type="dxa"/>
            <w:tcBorders>
              <w:top w:val="single" w:color="auto" w:sz="4" w:space="0"/>
              <w:left w:val="nil"/>
              <w:bottom w:val="single" w:color="auto" w:sz="4" w:space="0"/>
              <w:right w:val="single" w:color="auto" w:sz="4" w:space="0"/>
            </w:tcBorders>
          </w:tcPr>
          <w:p>
            <w:pPr>
              <w:pStyle w:val="15"/>
              <w:jc w:val="left"/>
              <w:rPr>
                <w:rFonts w:ascii="宋体" w:hAnsi="宋体"/>
                <w:color w:val="auto"/>
                <w:highlight w:val="none"/>
              </w:rPr>
            </w:pPr>
            <w:r>
              <w:rPr>
                <w:rFonts w:hint="eastAsia" w:ascii="宋体" w:hAnsi="宋体"/>
                <w:color w:val="auto"/>
                <w:highlight w:val="none"/>
              </w:rPr>
              <w:t>管理采用C/S架构专有协议管理，网闸管理口无IP地址，管理主机也不必设置IP即可搜索到设备，管理设备，支持设备集中管理。（提供功能截图证明）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1"/>
                <w:szCs w:val="21"/>
                <w:highlight w:val="none"/>
              </w:rPr>
              <w:t>10</w:t>
            </w:r>
          </w:p>
        </w:tc>
        <w:tc>
          <w:tcPr>
            <w:tcW w:w="1731" w:type="dxa"/>
            <w:tcBorders>
              <w:top w:val="single" w:color="auto" w:sz="4" w:space="0"/>
              <w:left w:val="nil"/>
              <w:bottom w:val="single" w:color="auto" w:sz="4" w:space="0"/>
              <w:right w:val="single" w:color="auto" w:sz="4" w:space="0"/>
            </w:tcBorders>
            <w:vAlign w:val="center"/>
          </w:tcPr>
          <w:p>
            <w:pPr>
              <w:pStyle w:val="15"/>
              <w:jc w:val="left"/>
              <w:rPr>
                <w:rFonts w:ascii="宋体" w:hAnsi="宋体"/>
                <w:color w:val="auto"/>
                <w:highlight w:val="none"/>
              </w:rPr>
            </w:pPr>
            <w:r>
              <w:rPr>
                <w:rFonts w:hint="eastAsia" w:ascii="宋体" w:hAnsi="宋体"/>
                <w:color w:val="auto"/>
                <w:highlight w:val="none"/>
              </w:rPr>
              <w:t>日志审计</w:t>
            </w:r>
          </w:p>
        </w:tc>
        <w:tc>
          <w:tcPr>
            <w:tcW w:w="7161" w:type="dxa"/>
            <w:tcBorders>
              <w:top w:val="single" w:color="auto" w:sz="4" w:space="0"/>
              <w:left w:val="nil"/>
              <w:bottom w:val="single" w:color="auto" w:sz="4" w:space="0"/>
              <w:right w:val="single" w:color="auto" w:sz="4" w:space="0"/>
            </w:tcBorders>
            <w:vAlign w:val="center"/>
          </w:tcPr>
          <w:p>
            <w:pPr>
              <w:pStyle w:val="15"/>
              <w:jc w:val="left"/>
              <w:rPr>
                <w:rFonts w:ascii="宋体" w:hAnsi="宋体"/>
                <w:color w:val="auto"/>
                <w:highlight w:val="none"/>
              </w:rPr>
            </w:pPr>
            <w:r>
              <w:rPr>
                <w:rFonts w:hint="eastAsia" w:ascii="宋体" w:hAnsi="宋体"/>
                <w:color w:val="auto"/>
                <w:highlight w:val="none"/>
              </w:rPr>
              <w:t>支持对所有访问进行日志记录，包括系统事件、成功事件、报警事件。提供对日志信息的浏览、查询、删除、下载等多种操作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1"/>
                <w:szCs w:val="21"/>
                <w:highlight w:val="none"/>
              </w:rPr>
              <w:t>11</w:t>
            </w:r>
          </w:p>
        </w:tc>
        <w:tc>
          <w:tcPr>
            <w:tcW w:w="1731" w:type="dxa"/>
            <w:tcBorders>
              <w:top w:val="single" w:color="auto" w:sz="4" w:space="0"/>
              <w:left w:val="nil"/>
              <w:bottom w:val="single" w:color="auto" w:sz="4" w:space="0"/>
              <w:right w:val="single" w:color="auto" w:sz="4" w:space="0"/>
            </w:tcBorders>
            <w:vAlign w:val="center"/>
          </w:tcPr>
          <w:p>
            <w:pPr>
              <w:pStyle w:val="15"/>
              <w:jc w:val="left"/>
              <w:rPr>
                <w:rFonts w:ascii="宋体" w:hAnsi="宋体"/>
                <w:color w:val="auto"/>
                <w:highlight w:val="none"/>
              </w:rPr>
            </w:pPr>
            <w:r>
              <w:rPr>
                <w:rFonts w:hint="eastAsia" w:ascii="宋体" w:hAnsi="宋体"/>
                <w:color w:val="auto"/>
                <w:highlight w:val="none"/>
              </w:rPr>
              <w:t>产品资质</w:t>
            </w:r>
          </w:p>
        </w:tc>
        <w:tc>
          <w:tcPr>
            <w:tcW w:w="7161" w:type="dxa"/>
            <w:tcBorders>
              <w:top w:val="single" w:color="auto" w:sz="4" w:space="0"/>
              <w:left w:val="nil"/>
              <w:bottom w:val="single" w:color="auto" w:sz="4" w:space="0"/>
              <w:right w:val="single" w:color="auto" w:sz="4" w:space="0"/>
            </w:tcBorders>
          </w:tcPr>
          <w:p>
            <w:pPr>
              <w:pStyle w:val="15"/>
              <w:jc w:val="left"/>
              <w:rPr>
                <w:rFonts w:ascii="宋体" w:hAnsi="宋体"/>
                <w:color w:val="auto"/>
                <w:highlight w:val="none"/>
              </w:rPr>
            </w:pPr>
            <w:r>
              <w:rPr>
                <w:rFonts w:hint="eastAsia" w:ascii="宋体" w:hAnsi="宋体"/>
                <w:color w:val="auto"/>
                <w:highlight w:val="none"/>
              </w:rPr>
              <w:t>具备信息安全认证中心中国国家信息安全产品认证证书</w:t>
            </w:r>
          </w:p>
        </w:tc>
      </w:tr>
    </w:tbl>
    <w:p>
      <w:pPr>
        <w:pStyle w:val="6"/>
        <w:rPr>
          <w:color w:val="auto"/>
          <w:highlight w:val="none"/>
        </w:rPr>
      </w:pPr>
      <w:r>
        <w:rPr>
          <w:rFonts w:hint="eastAsia"/>
          <w:color w:val="auto"/>
          <w:highlight w:val="none"/>
        </w:rPr>
        <w:t>内网防火墙</w:t>
      </w:r>
    </w:p>
    <w:tbl>
      <w:tblPr>
        <w:tblStyle w:val="9"/>
        <w:tblW w:w="94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631"/>
        <w:gridCol w:w="1499"/>
        <w:gridCol w:w="7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0"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499" w:type="dxa"/>
            <w:tcBorders>
              <w:top w:val="single" w:color="000000" w:sz="4" w:space="0"/>
              <w:left w:val="nil"/>
              <w:bottom w:val="single" w:color="000000" w:sz="4" w:space="0"/>
              <w:right w:val="single" w:color="000000"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指标项</w:t>
            </w:r>
          </w:p>
        </w:tc>
        <w:tc>
          <w:tcPr>
            <w:tcW w:w="7312" w:type="dxa"/>
            <w:tcBorders>
              <w:top w:val="single" w:color="000000" w:sz="4" w:space="0"/>
              <w:left w:val="nil"/>
              <w:bottom w:val="single" w:color="000000" w:sz="4" w:space="0"/>
              <w:right w:val="single" w:color="000000"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招标要求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0"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hint="default"/>
                <w:color w:val="auto"/>
                <w:highlight w:val="none"/>
              </w:rPr>
            </w:pPr>
            <w:r>
              <w:rPr>
                <w:rFonts w:hint="eastAsia" w:ascii="宋体" w:hAnsi="宋体"/>
                <w:color w:val="auto"/>
                <w:sz w:val="21"/>
                <w:szCs w:val="21"/>
                <w:highlight w:val="none"/>
              </w:rPr>
              <w:t>1</w:t>
            </w:r>
          </w:p>
        </w:tc>
        <w:tc>
          <w:tcPr>
            <w:tcW w:w="1499" w:type="dxa"/>
            <w:tcBorders>
              <w:top w:val="single" w:color="000000" w:sz="4" w:space="0"/>
              <w:left w:val="nil"/>
              <w:bottom w:val="single" w:color="000000" w:sz="4" w:space="0"/>
              <w:right w:val="single" w:color="000000" w:sz="4" w:space="0"/>
            </w:tcBorders>
            <w:vAlign w:val="center"/>
          </w:tcPr>
          <w:p>
            <w:pPr>
              <w:pStyle w:val="15"/>
              <w:jc w:val="left"/>
              <w:rPr>
                <w:color w:val="auto"/>
                <w:szCs w:val="21"/>
                <w:highlight w:val="none"/>
              </w:rPr>
            </w:pPr>
            <w:r>
              <w:rPr>
                <w:rFonts w:hint="eastAsia" w:ascii="宋体" w:hAnsi="宋体"/>
                <w:color w:val="auto"/>
                <w:highlight w:val="none"/>
              </w:rPr>
              <w:t>基本要求和性能</w:t>
            </w:r>
          </w:p>
        </w:tc>
        <w:tc>
          <w:tcPr>
            <w:tcW w:w="7312"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highlight w:val="none"/>
              </w:rPr>
            </w:pPr>
            <w:r>
              <w:rPr>
                <w:rFonts w:hint="eastAsia" w:ascii="宋体" w:hAnsi="宋体"/>
                <w:color w:val="auto"/>
                <w:highlight w:val="none"/>
              </w:rPr>
              <w:t>1U机箱，配置不少于6个10/100/1000BASE-T接口，标配模块化电源；防火墙吞吐率：2Gbps 应用层吞吐率（FW+APP）：1.2Gbps 并发连接数：120万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hint="default"/>
                <w:color w:val="auto"/>
                <w:highlight w:val="none"/>
              </w:rPr>
            </w:pPr>
            <w:r>
              <w:rPr>
                <w:rFonts w:hint="eastAsia" w:ascii="宋体" w:hAnsi="宋体"/>
                <w:color w:val="auto"/>
                <w:sz w:val="21"/>
                <w:szCs w:val="21"/>
                <w:highlight w:val="none"/>
              </w:rPr>
              <w:t>2</w:t>
            </w:r>
          </w:p>
        </w:tc>
        <w:tc>
          <w:tcPr>
            <w:tcW w:w="1499" w:type="dxa"/>
            <w:tcBorders>
              <w:top w:val="single" w:color="000000" w:sz="4" w:space="0"/>
              <w:left w:val="nil"/>
              <w:bottom w:val="single" w:color="000000" w:sz="4" w:space="0"/>
              <w:right w:val="single" w:color="000000" w:sz="4" w:space="0"/>
            </w:tcBorders>
            <w:vAlign w:val="center"/>
          </w:tcPr>
          <w:p>
            <w:pPr>
              <w:pStyle w:val="15"/>
              <w:jc w:val="left"/>
              <w:rPr>
                <w:color w:val="auto"/>
                <w:szCs w:val="21"/>
                <w:highlight w:val="none"/>
              </w:rPr>
            </w:pPr>
            <w:r>
              <w:rPr>
                <w:rFonts w:hint="eastAsia" w:ascii="宋体" w:hAnsi="宋体"/>
                <w:color w:val="auto"/>
                <w:highlight w:val="none"/>
              </w:rPr>
              <w:t>工作模式</w:t>
            </w:r>
          </w:p>
        </w:tc>
        <w:tc>
          <w:tcPr>
            <w:tcW w:w="7312"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highlight w:val="none"/>
              </w:rPr>
            </w:pPr>
            <w:r>
              <w:rPr>
                <w:rFonts w:hint="eastAsia" w:ascii="宋体" w:hAnsi="宋体"/>
                <w:color w:val="auto"/>
                <w:highlight w:val="none"/>
              </w:rPr>
              <w:t>支持路由、交换、混合、虚拟线工作模式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rPr>
        <w:tc>
          <w:tcPr>
            <w:tcW w:w="631" w:type="dxa"/>
            <w:vMerge w:val="restart"/>
            <w:tcBorders>
              <w:top w:val="nil"/>
              <w:left w:val="single" w:color="000000" w:sz="4" w:space="0"/>
              <w:bottom w:val="single" w:color="000000" w:sz="4" w:space="0"/>
              <w:right w:val="single" w:color="000000" w:sz="4" w:space="0"/>
            </w:tcBorders>
            <w:vAlign w:val="center"/>
          </w:tcPr>
          <w:p>
            <w:pPr>
              <w:jc w:val="center"/>
              <w:rPr>
                <w:rStyle w:val="18"/>
                <w:rFonts w:hint="default"/>
                <w:color w:val="auto"/>
                <w:highlight w:val="none"/>
              </w:rPr>
            </w:pPr>
            <w:r>
              <w:rPr>
                <w:rFonts w:hint="eastAsia" w:ascii="宋体" w:hAnsi="宋体"/>
                <w:color w:val="auto"/>
                <w:sz w:val="21"/>
                <w:szCs w:val="21"/>
                <w:highlight w:val="none"/>
              </w:rPr>
              <w:t>3</w:t>
            </w:r>
          </w:p>
        </w:tc>
        <w:tc>
          <w:tcPr>
            <w:tcW w:w="1499" w:type="dxa"/>
            <w:vMerge w:val="restart"/>
            <w:tcBorders>
              <w:top w:val="nil"/>
              <w:left w:val="nil"/>
              <w:bottom w:val="single" w:color="000000" w:sz="4" w:space="0"/>
              <w:right w:val="single" w:color="000000" w:sz="4" w:space="0"/>
            </w:tcBorders>
            <w:vAlign w:val="center"/>
          </w:tcPr>
          <w:p>
            <w:pPr>
              <w:pStyle w:val="15"/>
              <w:jc w:val="left"/>
              <w:rPr>
                <w:color w:val="auto"/>
                <w:szCs w:val="21"/>
                <w:highlight w:val="none"/>
              </w:rPr>
            </w:pPr>
            <w:r>
              <w:rPr>
                <w:rFonts w:hint="eastAsia" w:ascii="宋体" w:hAnsi="宋体"/>
                <w:color w:val="auto"/>
                <w:highlight w:val="none"/>
              </w:rPr>
              <w:t>智能DNS</w:t>
            </w:r>
          </w:p>
        </w:tc>
        <w:tc>
          <w:tcPr>
            <w:tcW w:w="7312"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highlight w:val="none"/>
              </w:rPr>
            </w:pPr>
            <w:r>
              <w:rPr>
                <w:rFonts w:hint="eastAsia" w:ascii="宋体" w:hAnsi="宋体"/>
                <w:color w:val="auto"/>
                <w:highlight w:val="none"/>
              </w:rPr>
              <w:t>支持智能DNS功能，有效提高用户跨网访问效率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0" w:hRule="atLeast"/>
        </w:trPr>
        <w:tc>
          <w:tcPr>
            <w:tcW w:w="631" w:type="dxa"/>
            <w:vMerge w:val="continue"/>
            <w:tcBorders>
              <w:top w:val="nil"/>
              <w:left w:val="single" w:color="000000" w:sz="4" w:space="0"/>
              <w:bottom w:val="single" w:color="000000" w:sz="4" w:space="0"/>
              <w:right w:val="single" w:color="000000" w:sz="4" w:space="0"/>
            </w:tcBorders>
            <w:vAlign w:val="center"/>
          </w:tcPr>
          <w:p>
            <w:pPr>
              <w:widowControl/>
              <w:jc w:val="left"/>
              <w:rPr>
                <w:rStyle w:val="18"/>
                <w:rFonts w:hint="default"/>
                <w:color w:val="auto"/>
                <w:highlight w:val="none"/>
              </w:rPr>
            </w:pPr>
          </w:p>
        </w:tc>
        <w:tc>
          <w:tcPr>
            <w:tcW w:w="1499" w:type="dxa"/>
            <w:vMerge w:val="continue"/>
            <w:tcBorders>
              <w:top w:val="nil"/>
              <w:left w:val="nil"/>
              <w:bottom w:val="single" w:color="000000" w:sz="4" w:space="0"/>
              <w:right w:val="single" w:color="000000" w:sz="4" w:space="0"/>
            </w:tcBorders>
            <w:vAlign w:val="center"/>
          </w:tcPr>
          <w:p>
            <w:pPr>
              <w:widowControl/>
              <w:jc w:val="left"/>
              <w:rPr>
                <w:rFonts w:ascii="Calibri" w:hAnsi="Calibri" w:cs="宋体"/>
                <w:color w:val="auto"/>
                <w:kern w:val="0"/>
                <w:sz w:val="21"/>
                <w:szCs w:val="21"/>
                <w:highlight w:val="none"/>
              </w:rPr>
            </w:pPr>
          </w:p>
        </w:tc>
        <w:tc>
          <w:tcPr>
            <w:tcW w:w="7312"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highlight w:val="none"/>
              </w:rPr>
            </w:pPr>
            <w:r>
              <w:rPr>
                <w:rFonts w:hint="eastAsia" w:ascii="宋体" w:hAnsi="宋体"/>
                <w:color w:val="auto"/>
                <w:highlight w:val="none"/>
              </w:rPr>
              <w:t>支持DNS Docting，能够将来自内部网络的域名解析请求定向到真实内网资源，降低路径开销，提高访问效率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10"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hint="default"/>
                <w:color w:val="auto"/>
                <w:highlight w:val="none"/>
              </w:rPr>
            </w:pPr>
            <w:r>
              <w:rPr>
                <w:rStyle w:val="18"/>
                <w:rFonts w:hint="default"/>
                <w:color w:val="auto"/>
                <w:highlight w:val="none"/>
              </w:rPr>
              <w:t>4</w:t>
            </w:r>
          </w:p>
        </w:tc>
        <w:tc>
          <w:tcPr>
            <w:tcW w:w="1499" w:type="dxa"/>
            <w:tcBorders>
              <w:top w:val="single" w:color="000000" w:sz="4" w:space="0"/>
              <w:left w:val="nil"/>
              <w:bottom w:val="single" w:color="000000" w:sz="4" w:space="0"/>
              <w:right w:val="single" w:color="000000" w:sz="4" w:space="0"/>
            </w:tcBorders>
            <w:vAlign w:val="center"/>
          </w:tcPr>
          <w:p>
            <w:pPr>
              <w:pStyle w:val="15"/>
              <w:jc w:val="left"/>
              <w:rPr>
                <w:color w:val="auto"/>
                <w:szCs w:val="21"/>
                <w:highlight w:val="none"/>
              </w:rPr>
            </w:pPr>
            <w:r>
              <w:rPr>
                <w:rFonts w:hint="eastAsia" w:ascii="宋体" w:hAnsi="宋体"/>
                <w:color w:val="auto"/>
                <w:highlight w:val="none"/>
              </w:rPr>
              <w:t>链路质量探测</w:t>
            </w:r>
          </w:p>
        </w:tc>
        <w:tc>
          <w:tcPr>
            <w:tcW w:w="7312"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highlight w:val="none"/>
              </w:rPr>
            </w:pPr>
            <w:r>
              <w:rPr>
                <w:rFonts w:hint="eastAsia" w:ascii="宋体" w:hAnsi="宋体"/>
                <w:color w:val="auto"/>
                <w:highlight w:val="none"/>
              </w:rPr>
              <w:t>支持ICMP、Traceroute、TCP、HTTP、DNS等多种链路质量探测方式，用户可以根据探测结果有效判断链路质量；通过HTTP链路质量探测方式，探测结果可以提供DNS解析响应时间、TCP建立连接时间、HTTP交易时间等；通过TCP链路质量探测方式，探测结果可以提供TCP建立连接时间等；通过DNS链路质量探测方式，探测结果可以提供DNS解析响应时间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0"/>
                <w:highlight w:val="none"/>
              </w:rPr>
            </w:pPr>
            <w:r>
              <w:rPr>
                <w:rFonts w:hint="eastAsia" w:ascii="宋体" w:hAnsi="宋体"/>
                <w:color w:val="auto"/>
                <w:sz w:val="21"/>
                <w:szCs w:val="21"/>
                <w:highlight w:val="none"/>
              </w:rPr>
              <w:t>5</w:t>
            </w:r>
          </w:p>
        </w:tc>
        <w:tc>
          <w:tcPr>
            <w:tcW w:w="1499"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szCs w:val="21"/>
                <w:highlight w:val="none"/>
              </w:rPr>
            </w:pPr>
            <w:r>
              <w:rPr>
                <w:rFonts w:hint="eastAsia" w:ascii="宋体" w:hAnsi="宋体"/>
                <w:color w:val="auto"/>
                <w:highlight w:val="none"/>
              </w:rPr>
              <w:t>数据防泄露功能</w:t>
            </w:r>
          </w:p>
        </w:tc>
        <w:tc>
          <w:tcPr>
            <w:tcW w:w="7312"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highlight w:val="none"/>
              </w:rPr>
            </w:pPr>
            <w:r>
              <w:rPr>
                <w:rFonts w:hint="eastAsia" w:ascii="宋体" w:hAnsi="宋体"/>
                <w:color w:val="auto"/>
                <w:highlight w:val="none"/>
              </w:rPr>
              <w:t>支持DLP数据防泄漏功能，可针对发送IP或接收IP配置相互独立的DLP策略，对数据进行监控识别，达到敏感数据防护目的</w:t>
            </w:r>
          </w:p>
          <w:p>
            <w:pPr>
              <w:pStyle w:val="15"/>
              <w:jc w:val="left"/>
              <w:rPr>
                <w:rFonts w:ascii="宋体" w:hAnsi="宋体"/>
                <w:color w:val="auto"/>
                <w:highlight w:val="none"/>
              </w:rPr>
            </w:pPr>
            <w:r>
              <w:rPr>
                <w:rFonts w:hint="eastAsia" w:ascii="宋体" w:hAnsi="宋体"/>
                <w:color w:val="auto"/>
                <w:highlight w:val="none"/>
              </w:rPr>
              <w:t>支持识别的加密文件格式不少于12种；压缩文件格式不少于25种，如RAR、ZIP、GZ、TAR等；支持识别Linux，Unix等非Winodws的文件类型；支持识别异常文件格式类型；支持识别自定义文件类型（提供功能截图证明）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0"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0"/>
                <w:highlight w:val="none"/>
              </w:rPr>
            </w:pPr>
            <w:r>
              <w:rPr>
                <w:rFonts w:hint="eastAsia" w:ascii="宋体" w:hAnsi="宋体"/>
                <w:color w:val="auto"/>
                <w:sz w:val="21"/>
                <w:szCs w:val="21"/>
                <w:highlight w:val="none"/>
              </w:rPr>
              <w:t>6</w:t>
            </w:r>
          </w:p>
        </w:tc>
        <w:tc>
          <w:tcPr>
            <w:tcW w:w="1499"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szCs w:val="21"/>
                <w:highlight w:val="none"/>
              </w:rPr>
            </w:pPr>
            <w:r>
              <w:rPr>
                <w:rFonts w:hint="eastAsia" w:ascii="宋体" w:hAnsi="宋体"/>
                <w:color w:val="auto"/>
                <w:highlight w:val="none"/>
              </w:rPr>
              <w:t>用户管控</w:t>
            </w:r>
          </w:p>
        </w:tc>
        <w:tc>
          <w:tcPr>
            <w:tcW w:w="7312"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highlight w:val="none"/>
              </w:rPr>
            </w:pPr>
            <w:r>
              <w:rPr>
                <w:rFonts w:hint="eastAsia" w:ascii="宋体" w:hAnsi="宋体"/>
                <w:color w:val="auto"/>
                <w:highlight w:val="none"/>
              </w:rPr>
              <w:t>综合运用身份认证与访问控制技术，通过内置智能过滤引擎实现基于用户身份的安全防护策略部署与可视化监控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0"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0"/>
                <w:highlight w:val="none"/>
              </w:rPr>
            </w:pPr>
            <w:r>
              <w:rPr>
                <w:rFonts w:hint="eastAsia" w:ascii="宋体" w:hAnsi="宋体"/>
                <w:color w:val="auto"/>
                <w:sz w:val="21"/>
                <w:szCs w:val="21"/>
                <w:highlight w:val="none"/>
              </w:rPr>
              <w:t>7</w:t>
            </w:r>
          </w:p>
        </w:tc>
        <w:tc>
          <w:tcPr>
            <w:tcW w:w="1499"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szCs w:val="21"/>
                <w:highlight w:val="none"/>
              </w:rPr>
            </w:pPr>
            <w:r>
              <w:rPr>
                <w:rFonts w:hint="eastAsia" w:ascii="宋体" w:hAnsi="宋体"/>
                <w:color w:val="auto"/>
                <w:highlight w:val="none"/>
              </w:rPr>
              <w:t>应用识别</w:t>
            </w:r>
          </w:p>
        </w:tc>
        <w:tc>
          <w:tcPr>
            <w:tcW w:w="7312"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highlight w:val="none"/>
              </w:rPr>
            </w:pPr>
            <w:r>
              <w:rPr>
                <w:rFonts w:hint="eastAsia" w:ascii="宋体" w:hAnsi="宋体"/>
                <w:color w:val="auto"/>
                <w:highlight w:val="none"/>
              </w:rPr>
              <w:t>内置强大应用识别引擎，综合运用端口识别、行为识别、特征识别、关联识别等技术手段，准确识别传统应用如P2P、web应用、移动应用、云应用、加密应用等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0"/>
                <w:highlight w:val="none"/>
              </w:rPr>
            </w:pPr>
            <w:r>
              <w:rPr>
                <w:rFonts w:hint="eastAsia" w:ascii="宋体" w:hAnsi="宋体"/>
                <w:color w:val="auto"/>
                <w:sz w:val="21"/>
                <w:szCs w:val="21"/>
                <w:highlight w:val="none"/>
              </w:rPr>
              <w:t>8</w:t>
            </w:r>
          </w:p>
        </w:tc>
        <w:tc>
          <w:tcPr>
            <w:tcW w:w="1499"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szCs w:val="21"/>
                <w:highlight w:val="none"/>
              </w:rPr>
            </w:pPr>
            <w:r>
              <w:rPr>
                <w:rFonts w:hint="eastAsia" w:ascii="宋体" w:hAnsi="宋体"/>
                <w:color w:val="auto"/>
                <w:highlight w:val="none"/>
              </w:rPr>
              <w:t>一体化访问控制</w:t>
            </w:r>
          </w:p>
        </w:tc>
        <w:tc>
          <w:tcPr>
            <w:tcW w:w="7312"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highlight w:val="none"/>
              </w:rPr>
            </w:pPr>
            <w:r>
              <w:rPr>
                <w:rFonts w:hint="eastAsia" w:ascii="宋体" w:hAnsi="宋体"/>
                <w:color w:val="auto"/>
                <w:highlight w:val="none"/>
              </w:rPr>
              <w:t>内置高度集成的一体化智能过滤引擎技术，实现在同一条访问控制策略中配置传统的五元组信息、应用、服务、时间、安全引擎（入侵、URL过滤、病毒过滤、DLP、内容过滤）的识别与控制</w:t>
            </w:r>
          </w:p>
          <w:p>
            <w:pPr>
              <w:pStyle w:val="15"/>
              <w:jc w:val="left"/>
              <w:rPr>
                <w:rFonts w:ascii="宋体" w:hAnsi="宋体"/>
                <w:color w:val="auto"/>
                <w:highlight w:val="none"/>
              </w:rPr>
            </w:pPr>
            <w:r>
              <w:rPr>
                <w:rFonts w:hint="eastAsia" w:ascii="宋体" w:hAnsi="宋体"/>
                <w:color w:val="auto"/>
                <w:highlight w:val="none"/>
              </w:rPr>
              <w:t>支持对单条访问控制策略进行最大并发连接数限制（提供功能截图证明）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0"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highlight w:val="none"/>
              </w:rPr>
            </w:pPr>
            <w:r>
              <w:rPr>
                <w:rFonts w:hint="eastAsia" w:ascii="宋体" w:hAnsi="宋体"/>
                <w:color w:val="auto"/>
                <w:sz w:val="21"/>
                <w:szCs w:val="21"/>
                <w:highlight w:val="none"/>
              </w:rPr>
              <w:t>9</w:t>
            </w:r>
          </w:p>
        </w:tc>
        <w:tc>
          <w:tcPr>
            <w:tcW w:w="1499"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highlight w:val="none"/>
              </w:rPr>
            </w:pPr>
            <w:r>
              <w:rPr>
                <w:rFonts w:hint="eastAsia" w:ascii="宋体" w:hAnsi="宋体"/>
                <w:color w:val="auto"/>
                <w:highlight w:val="none"/>
              </w:rPr>
              <w:t>DDOS防御</w:t>
            </w:r>
          </w:p>
        </w:tc>
        <w:tc>
          <w:tcPr>
            <w:tcW w:w="7312"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highlight w:val="none"/>
              </w:rPr>
            </w:pPr>
            <w:r>
              <w:rPr>
                <w:rFonts w:hint="eastAsia" w:ascii="宋体" w:hAnsi="宋体"/>
                <w:color w:val="auto"/>
                <w:highlight w:val="none"/>
              </w:rPr>
              <w:t>内置攻击检测引擎，支持独立的DDOS检测、阻断能力（提供功能截图证明），支持检测包括land、Smurf、winnuke、tcp_sscan、ip_option、targa3、Synflood、Icmpflood、Udpflood、Portscan、ipsweep等攻击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6"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0"/>
                <w:highlight w:val="none"/>
              </w:rPr>
            </w:pPr>
            <w:r>
              <w:rPr>
                <w:rFonts w:hint="eastAsia" w:ascii="宋体" w:hAnsi="宋体"/>
                <w:color w:val="auto"/>
                <w:sz w:val="21"/>
                <w:szCs w:val="21"/>
                <w:highlight w:val="none"/>
              </w:rPr>
              <w:t>10</w:t>
            </w:r>
          </w:p>
        </w:tc>
        <w:tc>
          <w:tcPr>
            <w:tcW w:w="1499"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szCs w:val="21"/>
                <w:highlight w:val="none"/>
              </w:rPr>
            </w:pPr>
            <w:r>
              <w:rPr>
                <w:rFonts w:hint="eastAsia" w:ascii="宋体" w:hAnsi="宋体"/>
                <w:color w:val="auto"/>
                <w:highlight w:val="none"/>
              </w:rPr>
              <w:t>产品资质</w:t>
            </w:r>
          </w:p>
        </w:tc>
        <w:tc>
          <w:tcPr>
            <w:tcW w:w="7312" w:type="dxa"/>
            <w:tcBorders>
              <w:top w:val="single" w:color="000000" w:sz="4" w:space="0"/>
              <w:left w:val="nil"/>
              <w:bottom w:val="single" w:color="000000" w:sz="4" w:space="0"/>
              <w:right w:val="single" w:color="000000" w:sz="4" w:space="0"/>
            </w:tcBorders>
            <w:vAlign w:val="center"/>
          </w:tcPr>
          <w:p>
            <w:pPr>
              <w:pStyle w:val="15"/>
              <w:jc w:val="left"/>
              <w:rPr>
                <w:rFonts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rPr>
              <w:t>具备中国信息安全认证中心颁发的《国家信息安全产品认证证书（ISCCC）》</w:t>
            </w:r>
          </w:p>
          <w:p>
            <w:pPr>
              <w:pStyle w:val="15"/>
              <w:jc w:val="left"/>
              <w:rPr>
                <w:rFonts w:ascii="宋体" w:hAnsi="宋体"/>
                <w:color w:val="auto"/>
                <w:highlight w:val="none"/>
              </w:rPr>
            </w:pPr>
            <w:r>
              <w:rPr>
                <w:rFonts w:hint="eastAsia" w:ascii="宋体" w:hAnsi="宋体"/>
                <w:color w:val="auto"/>
                <w:highlight w:val="none"/>
              </w:rPr>
              <w:t>投标时需提供以上资质证书复印件</w:t>
            </w:r>
          </w:p>
        </w:tc>
      </w:tr>
    </w:tbl>
    <w:p>
      <w:pPr>
        <w:ind w:firstLine="480"/>
        <w:rPr>
          <w:color w:val="auto"/>
          <w:szCs w:val="28"/>
          <w:highlight w:val="none"/>
        </w:rPr>
      </w:pPr>
      <w:r>
        <w:rPr>
          <w:rFonts w:hint="eastAsia"/>
          <w:color w:val="auto"/>
          <w:highlight w:val="none"/>
        </w:rPr>
        <w:t xml:space="preserve"> </w:t>
      </w:r>
    </w:p>
    <w:p>
      <w:pPr>
        <w:pStyle w:val="6"/>
        <w:rPr>
          <w:color w:val="auto"/>
          <w:highlight w:val="none"/>
        </w:rPr>
      </w:pPr>
      <w:r>
        <w:rPr>
          <w:rFonts w:hint="eastAsia"/>
          <w:color w:val="auto"/>
          <w:highlight w:val="none"/>
        </w:rPr>
        <w:t>内网网闸</w:t>
      </w:r>
    </w:p>
    <w:tbl>
      <w:tblPr>
        <w:tblStyle w:val="9"/>
        <w:tblW w:w="962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80"/>
        <w:gridCol w:w="1469"/>
        <w:gridCol w:w="7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469" w:type="dxa"/>
            <w:tcBorders>
              <w:top w:val="single" w:color="auto" w:sz="6" w:space="0"/>
              <w:left w:val="nil"/>
              <w:bottom w:val="single" w:color="auto" w:sz="6" w:space="0"/>
              <w:right w:val="single" w:color="auto" w:sz="6"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指标项</w:t>
            </w:r>
          </w:p>
        </w:tc>
        <w:tc>
          <w:tcPr>
            <w:tcW w:w="7379" w:type="dxa"/>
            <w:tcBorders>
              <w:top w:val="single" w:color="auto" w:sz="6" w:space="0"/>
              <w:left w:val="nil"/>
              <w:bottom w:val="single" w:color="auto" w:sz="6" w:space="0"/>
              <w:right w:val="single" w:color="auto" w:sz="6"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招标要求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8"/>
                <w:rFonts w:hint="default"/>
                <w:color w:val="auto"/>
                <w:sz w:val="21"/>
                <w:szCs w:val="21"/>
                <w:highlight w:val="none"/>
              </w:rPr>
            </w:pPr>
            <w:r>
              <w:rPr>
                <w:rFonts w:hint="eastAsia" w:ascii="宋体" w:hAnsi="宋体"/>
                <w:color w:val="auto"/>
                <w:sz w:val="21"/>
                <w:szCs w:val="21"/>
                <w:highlight w:val="none"/>
              </w:rPr>
              <w:t>1</w:t>
            </w:r>
          </w:p>
        </w:tc>
        <w:tc>
          <w:tcPr>
            <w:tcW w:w="1469" w:type="dxa"/>
            <w:tcBorders>
              <w:top w:val="single" w:color="auto" w:sz="6" w:space="0"/>
              <w:left w:val="nil"/>
              <w:bottom w:val="single" w:color="auto" w:sz="6" w:space="0"/>
              <w:right w:val="single" w:color="auto" w:sz="6" w:space="0"/>
            </w:tcBorders>
            <w:vAlign w:val="center"/>
          </w:tcPr>
          <w:p>
            <w:pPr>
              <w:pStyle w:val="15"/>
              <w:jc w:val="left"/>
              <w:rPr>
                <w:color w:val="auto"/>
                <w:highlight w:val="none"/>
              </w:rPr>
            </w:pPr>
            <w:r>
              <w:rPr>
                <w:rFonts w:hint="eastAsia" w:ascii="宋体" w:hAnsi="宋体"/>
                <w:color w:val="auto"/>
                <w:highlight w:val="none"/>
              </w:rPr>
              <w:t>系统基本架构</w:t>
            </w:r>
          </w:p>
        </w:tc>
        <w:tc>
          <w:tcPr>
            <w:tcW w:w="7379" w:type="dxa"/>
            <w:tcBorders>
              <w:top w:val="single" w:color="auto" w:sz="6" w:space="0"/>
              <w:left w:val="nil"/>
              <w:bottom w:val="single" w:color="auto" w:sz="6" w:space="0"/>
              <w:right w:val="single" w:color="auto" w:sz="6" w:space="0"/>
            </w:tcBorders>
            <w:vAlign w:val="center"/>
          </w:tcPr>
          <w:p>
            <w:pPr>
              <w:pStyle w:val="15"/>
              <w:jc w:val="left"/>
              <w:rPr>
                <w:rFonts w:ascii="宋体" w:hAnsi="宋体"/>
                <w:color w:val="auto"/>
                <w:highlight w:val="none"/>
              </w:rPr>
            </w:pPr>
            <w:r>
              <w:rPr>
                <w:rFonts w:hint="eastAsia" w:ascii="宋体" w:hAnsi="宋体"/>
                <w:color w:val="auto"/>
                <w:highlight w:val="none"/>
              </w:rPr>
              <w:t>2U机架式，“2+1”系统结构，内外端机为TCP/IP网络协议的终点，阻断TCP/IP协议的直接贯通。内外端机之间采用专用硬件和专用协议进行连接，不可编程。网闸以软硬件结合的方式，有效地隔断内外网络间直接的连接，防止信息无限制交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8"/>
                <w:rFonts w:hint="default"/>
                <w:color w:val="auto"/>
                <w:sz w:val="21"/>
                <w:szCs w:val="21"/>
                <w:highlight w:val="none"/>
              </w:rPr>
            </w:pPr>
            <w:r>
              <w:rPr>
                <w:rFonts w:hint="eastAsia" w:ascii="宋体" w:hAnsi="宋体"/>
                <w:color w:val="auto"/>
                <w:sz w:val="21"/>
                <w:szCs w:val="21"/>
                <w:highlight w:val="none"/>
              </w:rPr>
              <w:t>2</w:t>
            </w:r>
          </w:p>
        </w:tc>
        <w:tc>
          <w:tcPr>
            <w:tcW w:w="1469" w:type="dxa"/>
            <w:tcBorders>
              <w:top w:val="single" w:color="auto" w:sz="6" w:space="0"/>
              <w:left w:val="nil"/>
              <w:bottom w:val="single" w:color="auto" w:sz="6" w:space="0"/>
              <w:right w:val="single" w:color="auto" w:sz="6" w:space="0"/>
            </w:tcBorders>
            <w:vAlign w:val="center"/>
          </w:tcPr>
          <w:p>
            <w:pPr>
              <w:pStyle w:val="15"/>
              <w:jc w:val="left"/>
              <w:rPr>
                <w:color w:val="auto"/>
                <w:highlight w:val="none"/>
              </w:rPr>
            </w:pPr>
            <w:r>
              <w:rPr>
                <w:rFonts w:hint="eastAsia" w:ascii="宋体" w:hAnsi="宋体"/>
                <w:color w:val="auto"/>
                <w:highlight w:val="none"/>
              </w:rPr>
              <w:t>接口配置</w:t>
            </w:r>
          </w:p>
        </w:tc>
        <w:tc>
          <w:tcPr>
            <w:tcW w:w="7379" w:type="dxa"/>
            <w:tcBorders>
              <w:top w:val="single" w:color="auto" w:sz="6" w:space="0"/>
              <w:left w:val="nil"/>
              <w:bottom w:val="single" w:color="auto" w:sz="6" w:space="0"/>
              <w:right w:val="single" w:color="auto" w:sz="6" w:space="0"/>
            </w:tcBorders>
            <w:vAlign w:val="center"/>
          </w:tcPr>
          <w:p>
            <w:pPr>
              <w:pStyle w:val="15"/>
              <w:jc w:val="left"/>
              <w:rPr>
                <w:rFonts w:ascii="宋体" w:hAnsi="宋体"/>
                <w:color w:val="auto"/>
                <w:highlight w:val="none"/>
              </w:rPr>
            </w:pPr>
            <w:r>
              <w:rPr>
                <w:rFonts w:hint="eastAsia" w:ascii="宋体" w:hAnsi="宋体"/>
                <w:color w:val="auto"/>
                <w:highlight w:val="none"/>
              </w:rPr>
              <w:t>内网不低于4个10/100/1000M RJ45接口，1个串口，2个USB口</w:t>
            </w:r>
          </w:p>
          <w:p>
            <w:pPr>
              <w:pStyle w:val="15"/>
              <w:jc w:val="left"/>
              <w:rPr>
                <w:rFonts w:ascii="宋体" w:hAnsi="宋体"/>
                <w:color w:val="auto"/>
                <w:highlight w:val="none"/>
              </w:rPr>
            </w:pPr>
            <w:r>
              <w:rPr>
                <w:rFonts w:hint="eastAsia" w:ascii="宋体" w:hAnsi="宋体"/>
                <w:color w:val="auto"/>
                <w:highlight w:val="none"/>
              </w:rPr>
              <w:t>外网不低于4个10/100/1000M RJ45接口，1个串口，2个USB口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8"/>
                <w:rFonts w:hint="default"/>
                <w:color w:val="auto"/>
                <w:sz w:val="21"/>
                <w:szCs w:val="21"/>
                <w:highlight w:val="none"/>
              </w:rPr>
            </w:pPr>
            <w:r>
              <w:rPr>
                <w:rFonts w:hint="eastAsia" w:ascii="宋体" w:hAnsi="宋体"/>
                <w:color w:val="auto"/>
                <w:sz w:val="21"/>
                <w:szCs w:val="21"/>
                <w:highlight w:val="none"/>
              </w:rPr>
              <w:t>3</w:t>
            </w:r>
          </w:p>
        </w:tc>
        <w:tc>
          <w:tcPr>
            <w:tcW w:w="1469" w:type="dxa"/>
            <w:tcBorders>
              <w:top w:val="single" w:color="auto" w:sz="6" w:space="0"/>
              <w:left w:val="nil"/>
              <w:bottom w:val="single" w:color="auto" w:sz="6" w:space="0"/>
              <w:right w:val="single" w:color="auto" w:sz="6" w:space="0"/>
            </w:tcBorders>
            <w:vAlign w:val="center"/>
          </w:tcPr>
          <w:p>
            <w:pPr>
              <w:pStyle w:val="15"/>
              <w:jc w:val="left"/>
              <w:rPr>
                <w:color w:val="auto"/>
                <w:highlight w:val="none"/>
              </w:rPr>
            </w:pPr>
            <w:r>
              <w:rPr>
                <w:rFonts w:hint="eastAsia" w:ascii="宋体" w:hAnsi="宋体"/>
                <w:color w:val="auto"/>
                <w:highlight w:val="none"/>
              </w:rPr>
              <w:t>性能指标</w:t>
            </w:r>
          </w:p>
        </w:tc>
        <w:tc>
          <w:tcPr>
            <w:tcW w:w="7379" w:type="dxa"/>
            <w:tcBorders>
              <w:top w:val="single" w:color="auto" w:sz="6" w:space="0"/>
              <w:left w:val="nil"/>
              <w:bottom w:val="single" w:color="auto" w:sz="6" w:space="0"/>
              <w:right w:val="single" w:color="auto" w:sz="6" w:space="0"/>
            </w:tcBorders>
            <w:vAlign w:val="center"/>
          </w:tcPr>
          <w:p>
            <w:pPr>
              <w:pStyle w:val="15"/>
              <w:jc w:val="left"/>
              <w:rPr>
                <w:rFonts w:ascii="宋体" w:hAnsi="宋体"/>
                <w:color w:val="auto"/>
                <w:highlight w:val="none"/>
              </w:rPr>
            </w:pPr>
            <w:r>
              <w:rPr>
                <w:rFonts w:hint="eastAsia" w:ascii="宋体" w:hAnsi="宋体"/>
                <w:color w:val="auto"/>
                <w:highlight w:val="none"/>
              </w:rPr>
              <w:t>网络吞吐量：≥1000Mbps</w:t>
            </w:r>
          </w:p>
          <w:p>
            <w:pPr>
              <w:pStyle w:val="15"/>
              <w:jc w:val="left"/>
              <w:rPr>
                <w:rFonts w:ascii="宋体" w:hAnsi="宋体"/>
                <w:color w:val="auto"/>
                <w:highlight w:val="none"/>
              </w:rPr>
            </w:pPr>
            <w:r>
              <w:rPr>
                <w:rFonts w:hint="eastAsia" w:ascii="宋体" w:hAnsi="宋体"/>
                <w:color w:val="auto"/>
                <w:highlight w:val="none"/>
              </w:rPr>
              <w:t>系统整体时延：&lt;5毫秒</w:t>
            </w:r>
          </w:p>
          <w:p>
            <w:pPr>
              <w:pStyle w:val="15"/>
              <w:jc w:val="left"/>
              <w:rPr>
                <w:rFonts w:ascii="宋体" w:hAnsi="宋体"/>
                <w:color w:val="auto"/>
                <w:highlight w:val="none"/>
              </w:rPr>
            </w:pPr>
            <w:r>
              <w:rPr>
                <w:rFonts w:hint="eastAsia" w:ascii="宋体" w:hAnsi="宋体"/>
                <w:color w:val="auto"/>
                <w:highlight w:val="none"/>
              </w:rPr>
              <w:t>所有协议通道并发连接数：45000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8"/>
                <w:rFonts w:hint="default"/>
                <w:color w:val="auto"/>
                <w:sz w:val="21"/>
                <w:szCs w:val="21"/>
                <w:highlight w:val="none"/>
              </w:rPr>
            </w:pPr>
            <w:r>
              <w:rPr>
                <w:rFonts w:hint="eastAsia" w:ascii="宋体" w:hAnsi="宋体"/>
                <w:color w:val="auto"/>
                <w:sz w:val="21"/>
                <w:szCs w:val="21"/>
                <w:highlight w:val="none"/>
              </w:rPr>
              <w:t>4</w:t>
            </w:r>
          </w:p>
        </w:tc>
        <w:tc>
          <w:tcPr>
            <w:tcW w:w="1469" w:type="dxa"/>
            <w:tcBorders>
              <w:top w:val="single" w:color="auto" w:sz="6" w:space="0"/>
              <w:left w:val="nil"/>
              <w:bottom w:val="single" w:color="auto" w:sz="6" w:space="0"/>
              <w:right w:val="single" w:color="auto" w:sz="6" w:space="0"/>
            </w:tcBorders>
            <w:vAlign w:val="center"/>
          </w:tcPr>
          <w:p>
            <w:pPr>
              <w:pStyle w:val="15"/>
              <w:jc w:val="left"/>
              <w:rPr>
                <w:color w:val="auto"/>
                <w:highlight w:val="none"/>
              </w:rPr>
            </w:pPr>
            <w:r>
              <w:rPr>
                <w:rFonts w:hint="eastAsia" w:ascii="宋体" w:hAnsi="宋体"/>
                <w:color w:val="auto"/>
                <w:highlight w:val="none"/>
              </w:rPr>
              <w:t>安全上网功能</w:t>
            </w:r>
          </w:p>
        </w:tc>
        <w:tc>
          <w:tcPr>
            <w:tcW w:w="7379" w:type="dxa"/>
            <w:tcBorders>
              <w:top w:val="single" w:color="auto" w:sz="6" w:space="0"/>
              <w:left w:val="nil"/>
              <w:bottom w:val="single" w:color="auto" w:sz="6" w:space="0"/>
              <w:right w:val="single" w:color="auto" w:sz="6" w:space="0"/>
            </w:tcBorders>
            <w:vAlign w:val="center"/>
          </w:tcPr>
          <w:p>
            <w:pPr>
              <w:pStyle w:val="15"/>
              <w:jc w:val="left"/>
              <w:rPr>
                <w:rFonts w:ascii="宋体" w:hAnsi="宋体"/>
                <w:color w:val="auto"/>
                <w:highlight w:val="none"/>
              </w:rPr>
            </w:pPr>
            <w:r>
              <w:rPr>
                <w:rFonts w:hint="eastAsia" w:ascii="宋体" w:hAnsi="宋体"/>
                <w:color w:val="auto"/>
                <w:highlight w:val="none"/>
              </w:rPr>
              <w:t>支持WEB访问，支持HTTP协议应用的各种指令控制</w:t>
            </w:r>
          </w:p>
          <w:p>
            <w:pPr>
              <w:pStyle w:val="15"/>
              <w:jc w:val="left"/>
              <w:rPr>
                <w:rFonts w:ascii="宋体" w:hAnsi="宋体"/>
                <w:color w:val="auto"/>
                <w:highlight w:val="none"/>
              </w:rPr>
            </w:pPr>
            <w:r>
              <w:rPr>
                <w:rFonts w:hint="eastAsia" w:ascii="宋体" w:hAnsi="宋体"/>
                <w:color w:val="auto"/>
                <w:highlight w:val="none"/>
              </w:rPr>
              <w:t>支持HTTPS网络传输，并且可在该加密通道中分解出正常HTTPS网络应用，保障传输。同时可以屏蔽自由门等各类加密翻墙软件的传输。（提供功能截图证明）</w:t>
            </w:r>
          </w:p>
          <w:p>
            <w:pPr>
              <w:pStyle w:val="15"/>
              <w:jc w:val="left"/>
              <w:rPr>
                <w:rFonts w:ascii="宋体" w:hAnsi="宋体"/>
                <w:color w:val="auto"/>
                <w:highlight w:val="none"/>
              </w:rPr>
            </w:pPr>
            <w:r>
              <w:rPr>
                <w:rFonts w:hint="eastAsia" w:ascii="宋体" w:hAnsi="宋体"/>
                <w:color w:val="auto"/>
                <w:highlight w:val="none"/>
              </w:rPr>
              <w:t>其他过滤策略：文件类型、页面提交方式等。支持情景模式，能够控制用户上网以及服务器对外提供服务的具体时间</w:t>
            </w:r>
          </w:p>
          <w:p>
            <w:pPr>
              <w:pStyle w:val="15"/>
              <w:jc w:val="left"/>
              <w:rPr>
                <w:rFonts w:ascii="宋体" w:hAnsi="宋体"/>
                <w:color w:val="auto"/>
                <w:highlight w:val="none"/>
              </w:rPr>
            </w:pPr>
            <w:r>
              <w:rPr>
                <w:rFonts w:hint="eastAsia" w:ascii="宋体" w:hAnsi="宋体"/>
                <w:color w:val="auto"/>
                <w:highlight w:val="none"/>
              </w:rPr>
              <w:t>代理、透明和路由工作模式下均支持HTTP和HTTPS协议内部命令及命令参数控制策略。（提供功能截图证明）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8"/>
                <w:rFonts w:hint="default"/>
                <w:color w:val="auto"/>
                <w:sz w:val="21"/>
                <w:szCs w:val="21"/>
                <w:highlight w:val="none"/>
              </w:rPr>
            </w:pPr>
            <w:r>
              <w:rPr>
                <w:rFonts w:hint="eastAsia" w:ascii="宋体" w:hAnsi="宋体"/>
                <w:color w:val="auto"/>
                <w:sz w:val="21"/>
                <w:szCs w:val="21"/>
                <w:highlight w:val="none"/>
              </w:rPr>
              <w:t>5</w:t>
            </w:r>
          </w:p>
        </w:tc>
        <w:tc>
          <w:tcPr>
            <w:tcW w:w="1469" w:type="dxa"/>
            <w:tcBorders>
              <w:top w:val="single" w:color="auto" w:sz="6" w:space="0"/>
              <w:left w:val="nil"/>
              <w:bottom w:val="single" w:color="auto" w:sz="6" w:space="0"/>
              <w:right w:val="single" w:color="auto" w:sz="6" w:space="0"/>
            </w:tcBorders>
            <w:vAlign w:val="center"/>
          </w:tcPr>
          <w:p>
            <w:pPr>
              <w:pStyle w:val="15"/>
              <w:jc w:val="left"/>
              <w:rPr>
                <w:color w:val="auto"/>
                <w:highlight w:val="none"/>
              </w:rPr>
            </w:pPr>
            <w:r>
              <w:rPr>
                <w:rFonts w:hint="eastAsia" w:ascii="宋体" w:hAnsi="宋体"/>
                <w:color w:val="auto"/>
                <w:highlight w:val="none"/>
              </w:rPr>
              <w:t>文件传输功能</w:t>
            </w:r>
          </w:p>
        </w:tc>
        <w:tc>
          <w:tcPr>
            <w:tcW w:w="7379" w:type="dxa"/>
            <w:tcBorders>
              <w:top w:val="single" w:color="auto" w:sz="6" w:space="0"/>
              <w:left w:val="nil"/>
              <w:bottom w:val="single" w:color="auto" w:sz="6" w:space="0"/>
              <w:right w:val="single" w:color="auto" w:sz="6" w:space="0"/>
            </w:tcBorders>
            <w:vAlign w:val="center"/>
          </w:tcPr>
          <w:p>
            <w:pPr>
              <w:pStyle w:val="15"/>
              <w:jc w:val="left"/>
              <w:rPr>
                <w:rFonts w:ascii="宋体" w:hAnsi="宋体"/>
                <w:color w:val="auto"/>
                <w:highlight w:val="none"/>
              </w:rPr>
            </w:pPr>
            <w:r>
              <w:rPr>
                <w:rFonts w:hint="eastAsia" w:ascii="宋体" w:hAnsi="宋体"/>
                <w:color w:val="auto"/>
                <w:highlight w:val="none"/>
              </w:rPr>
              <w:t>支持FTP文件传输协议，支持主动被动两种模式。支持FTP命令参数控制支持对传输文件的类型过滤。</w:t>
            </w:r>
          </w:p>
          <w:p>
            <w:pPr>
              <w:pStyle w:val="15"/>
              <w:jc w:val="left"/>
              <w:rPr>
                <w:rFonts w:ascii="宋体" w:hAnsi="宋体"/>
                <w:color w:val="auto"/>
                <w:highlight w:val="none"/>
              </w:rPr>
            </w:pPr>
            <w:r>
              <w:rPr>
                <w:rFonts w:hint="eastAsia" w:ascii="宋体" w:hAnsi="宋体"/>
                <w:color w:val="auto"/>
                <w:highlight w:val="none"/>
              </w:rPr>
              <w:t>代理、透明和路由工作模式下均支持FTP协议内部命令及命令参数控制策略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8"/>
                <w:rFonts w:hint="default"/>
                <w:color w:val="auto"/>
                <w:sz w:val="21"/>
                <w:szCs w:val="21"/>
                <w:highlight w:val="none"/>
              </w:rPr>
            </w:pPr>
            <w:r>
              <w:rPr>
                <w:rFonts w:hint="eastAsia" w:ascii="宋体" w:hAnsi="宋体"/>
                <w:color w:val="auto"/>
                <w:sz w:val="21"/>
                <w:szCs w:val="21"/>
                <w:highlight w:val="none"/>
              </w:rPr>
              <w:t>6</w:t>
            </w:r>
          </w:p>
        </w:tc>
        <w:tc>
          <w:tcPr>
            <w:tcW w:w="1469" w:type="dxa"/>
            <w:tcBorders>
              <w:top w:val="single" w:color="auto" w:sz="6" w:space="0"/>
              <w:left w:val="nil"/>
              <w:bottom w:val="single" w:color="auto" w:sz="6" w:space="0"/>
              <w:right w:val="single" w:color="auto" w:sz="6" w:space="0"/>
            </w:tcBorders>
            <w:vAlign w:val="center"/>
          </w:tcPr>
          <w:p>
            <w:pPr>
              <w:pStyle w:val="15"/>
              <w:jc w:val="left"/>
              <w:rPr>
                <w:color w:val="auto"/>
                <w:highlight w:val="none"/>
              </w:rPr>
            </w:pPr>
            <w:r>
              <w:rPr>
                <w:rFonts w:hint="eastAsia" w:ascii="宋体" w:hAnsi="宋体"/>
                <w:color w:val="auto"/>
                <w:highlight w:val="none"/>
              </w:rPr>
              <w:t>文件同步功能</w:t>
            </w:r>
          </w:p>
        </w:tc>
        <w:tc>
          <w:tcPr>
            <w:tcW w:w="7379" w:type="dxa"/>
            <w:tcBorders>
              <w:top w:val="single" w:color="auto" w:sz="6" w:space="0"/>
              <w:left w:val="nil"/>
              <w:bottom w:val="single" w:color="auto" w:sz="6" w:space="0"/>
              <w:right w:val="single" w:color="auto" w:sz="6" w:space="0"/>
            </w:tcBorders>
            <w:vAlign w:val="center"/>
          </w:tcPr>
          <w:p>
            <w:pPr>
              <w:pStyle w:val="15"/>
              <w:jc w:val="left"/>
              <w:rPr>
                <w:rFonts w:ascii="宋体" w:hAnsi="宋体"/>
                <w:color w:val="auto"/>
                <w:highlight w:val="none"/>
              </w:rPr>
            </w:pPr>
            <w:r>
              <w:rPr>
                <w:rFonts w:hint="eastAsia" w:ascii="宋体" w:hAnsi="宋体"/>
                <w:color w:val="auto"/>
                <w:highlight w:val="none"/>
              </w:rPr>
              <w:t>提供专用文件同步客户端提供安全的文件同步功能</w:t>
            </w:r>
          </w:p>
          <w:p>
            <w:pPr>
              <w:pStyle w:val="15"/>
              <w:jc w:val="left"/>
              <w:rPr>
                <w:rFonts w:ascii="宋体" w:hAnsi="宋体"/>
                <w:color w:val="auto"/>
                <w:highlight w:val="none"/>
              </w:rPr>
            </w:pPr>
            <w:r>
              <w:rPr>
                <w:rFonts w:hint="eastAsia" w:ascii="宋体" w:hAnsi="宋体"/>
                <w:color w:val="auto"/>
                <w:highlight w:val="none"/>
              </w:rPr>
              <w:t>同步传输方向可控，双向或单向</w:t>
            </w:r>
          </w:p>
          <w:p>
            <w:pPr>
              <w:pStyle w:val="15"/>
              <w:jc w:val="left"/>
              <w:rPr>
                <w:rFonts w:ascii="宋体" w:hAnsi="宋体"/>
                <w:color w:val="auto"/>
                <w:highlight w:val="none"/>
              </w:rPr>
            </w:pPr>
            <w:r>
              <w:rPr>
                <w:rFonts w:hint="eastAsia" w:ascii="宋体" w:hAnsi="宋体"/>
                <w:color w:val="auto"/>
                <w:highlight w:val="none"/>
              </w:rPr>
              <w:t>支持一对多或多对一文件同步</w:t>
            </w:r>
          </w:p>
          <w:p>
            <w:pPr>
              <w:pStyle w:val="15"/>
              <w:jc w:val="left"/>
              <w:rPr>
                <w:rFonts w:ascii="宋体" w:hAnsi="宋体"/>
                <w:color w:val="auto"/>
                <w:highlight w:val="none"/>
              </w:rPr>
            </w:pPr>
            <w:r>
              <w:rPr>
                <w:rFonts w:hint="eastAsia" w:ascii="宋体" w:hAnsi="宋体"/>
                <w:color w:val="auto"/>
                <w:highlight w:val="none"/>
              </w:rPr>
              <w:t>支持文件变动实时同步、定时同步、系统资源空闲智能同步等多种同步方式</w:t>
            </w:r>
          </w:p>
          <w:p>
            <w:pPr>
              <w:pStyle w:val="15"/>
              <w:jc w:val="left"/>
              <w:rPr>
                <w:rFonts w:ascii="宋体" w:hAnsi="宋体"/>
                <w:color w:val="auto"/>
                <w:highlight w:val="none"/>
              </w:rPr>
            </w:pPr>
            <w:r>
              <w:rPr>
                <w:rFonts w:hint="eastAsia" w:ascii="宋体" w:hAnsi="宋体"/>
                <w:color w:val="auto"/>
                <w:highlight w:val="none"/>
              </w:rPr>
              <w:t>支持同步删除和同步覆盖策略配置，并能将同步删除和同步覆盖的文件备份到指定文件夹</w:t>
            </w:r>
          </w:p>
          <w:p>
            <w:pPr>
              <w:pStyle w:val="15"/>
              <w:jc w:val="left"/>
              <w:rPr>
                <w:rFonts w:ascii="宋体" w:hAnsi="宋体"/>
                <w:color w:val="auto"/>
                <w:highlight w:val="none"/>
              </w:rPr>
            </w:pPr>
            <w:r>
              <w:rPr>
                <w:rFonts w:hint="eastAsia" w:ascii="宋体" w:hAnsi="宋体"/>
                <w:color w:val="auto"/>
                <w:highlight w:val="none"/>
              </w:rPr>
              <w:t>支持文件同步容错策略和告警策略，同步出错能够自动重传并能够设置重传次数，出现异常同步状况能够终止同步弹出告警提示并记录日志。（提供功能截图证明）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8"/>
                <w:rFonts w:hint="default"/>
                <w:color w:val="auto"/>
                <w:sz w:val="21"/>
                <w:szCs w:val="21"/>
                <w:highlight w:val="none"/>
              </w:rPr>
            </w:pPr>
            <w:r>
              <w:rPr>
                <w:rFonts w:hint="eastAsia" w:ascii="宋体" w:hAnsi="宋体"/>
                <w:color w:val="auto"/>
                <w:sz w:val="21"/>
                <w:szCs w:val="21"/>
                <w:highlight w:val="none"/>
              </w:rPr>
              <w:t>7</w:t>
            </w:r>
          </w:p>
        </w:tc>
        <w:tc>
          <w:tcPr>
            <w:tcW w:w="1469" w:type="dxa"/>
            <w:tcBorders>
              <w:top w:val="single" w:color="auto" w:sz="6" w:space="0"/>
              <w:left w:val="nil"/>
              <w:bottom w:val="single" w:color="auto" w:sz="6" w:space="0"/>
              <w:right w:val="single" w:color="auto" w:sz="6" w:space="0"/>
            </w:tcBorders>
            <w:vAlign w:val="center"/>
          </w:tcPr>
          <w:p>
            <w:pPr>
              <w:pStyle w:val="15"/>
              <w:jc w:val="left"/>
              <w:rPr>
                <w:color w:val="auto"/>
                <w:highlight w:val="none"/>
              </w:rPr>
            </w:pPr>
            <w:r>
              <w:rPr>
                <w:rFonts w:hint="eastAsia" w:ascii="宋体" w:hAnsi="宋体"/>
                <w:color w:val="auto"/>
                <w:highlight w:val="none"/>
              </w:rPr>
              <w:t>数据库访问功能</w:t>
            </w:r>
          </w:p>
        </w:tc>
        <w:tc>
          <w:tcPr>
            <w:tcW w:w="7379" w:type="dxa"/>
            <w:tcBorders>
              <w:top w:val="single" w:color="auto" w:sz="6" w:space="0"/>
              <w:left w:val="nil"/>
              <w:bottom w:val="single" w:color="auto" w:sz="6" w:space="0"/>
              <w:right w:val="single" w:color="auto" w:sz="6" w:space="0"/>
            </w:tcBorders>
            <w:vAlign w:val="center"/>
          </w:tcPr>
          <w:p>
            <w:pPr>
              <w:pStyle w:val="15"/>
              <w:jc w:val="left"/>
              <w:rPr>
                <w:rFonts w:ascii="宋体" w:hAnsi="宋体"/>
                <w:color w:val="auto"/>
                <w:highlight w:val="none"/>
              </w:rPr>
            </w:pPr>
            <w:r>
              <w:rPr>
                <w:rFonts w:hint="eastAsia" w:ascii="宋体" w:hAnsi="宋体"/>
                <w:color w:val="auto"/>
                <w:highlight w:val="none"/>
              </w:rPr>
              <w:t>提供对多种主流数据库,如：MYSQL、SQLSERVER、ORACLE、DB2、SYBASE等系统的安全访问</w:t>
            </w:r>
          </w:p>
          <w:p>
            <w:pPr>
              <w:pStyle w:val="15"/>
              <w:jc w:val="left"/>
              <w:rPr>
                <w:rFonts w:ascii="宋体" w:hAnsi="宋体"/>
                <w:color w:val="auto"/>
                <w:highlight w:val="none"/>
              </w:rPr>
            </w:pPr>
            <w:r>
              <w:rPr>
                <w:rFonts w:hint="eastAsia" w:ascii="宋体" w:hAnsi="宋体"/>
                <w:color w:val="auto"/>
                <w:highlight w:val="none"/>
              </w:rPr>
              <w:t>代理、透明和路由工作模式下均支持数据库内部命令及命令参数控制策略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8"/>
                <w:rFonts w:hint="default"/>
                <w:color w:val="auto"/>
                <w:sz w:val="21"/>
                <w:szCs w:val="21"/>
                <w:highlight w:val="none"/>
              </w:rPr>
            </w:pPr>
            <w:r>
              <w:rPr>
                <w:rFonts w:hint="eastAsia" w:ascii="宋体" w:hAnsi="宋体"/>
                <w:color w:val="auto"/>
                <w:sz w:val="21"/>
                <w:szCs w:val="21"/>
                <w:highlight w:val="none"/>
              </w:rPr>
              <w:t>8</w:t>
            </w:r>
          </w:p>
        </w:tc>
        <w:tc>
          <w:tcPr>
            <w:tcW w:w="1469" w:type="dxa"/>
            <w:tcBorders>
              <w:top w:val="single" w:color="auto" w:sz="6" w:space="0"/>
              <w:left w:val="nil"/>
              <w:bottom w:val="single" w:color="auto" w:sz="6" w:space="0"/>
              <w:right w:val="single" w:color="auto" w:sz="6" w:space="0"/>
            </w:tcBorders>
            <w:vAlign w:val="center"/>
          </w:tcPr>
          <w:p>
            <w:pPr>
              <w:pStyle w:val="15"/>
              <w:jc w:val="left"/>
              <w:rPr>
                <w:color w:val="auto"/>
                <w:highlight w:val="none"/>
              </w:rPr>
            </w:pPr>
            <w:r>
              <w:rPr>
                <w:rFonts w:hint="eastAsia" w:ascii="宋体" w:hAnsi="宋体"/>
                <w:color w:val="auto"/>
                <w:highlight w:val="none"/>
              </w:rPr>
              <w:t>数据库同步功能</w:t>
            </w:r>
          </w:p>
        </w:tc>
        <w:tc>
          <w:tcPr>
            <w:tcW w:w="7379" w:type="dxa"/>
            <w:tcBorders>
              <w:top w:val="single" w:color="auto" w:sz="6" w:space="0"/>
              <w:left w:val="nil"/>
              <w:bottom w:val="single" w:color="auto" w:sz="6" w:space="0"/>
              <w:right w:val="single" w:color="auto" w:sz="6" w:space="0"/>
            </w:tcBorders>
            <w:vAlign w:val="center"/>
          </w:tcPr>
          <w:p>
            <w:pPr>
              <w:pStyle w:val="15"/>
              <w:jc w:val="left"/>
              <w:rPr>
                <w:rFonts w:ascii="宋体" w:hAnsi="宋体"/>
                <w:color w:val="auto"/>
                <w:highlight w:val="none"/>
              </w:rPr>
            </w:pPr>
            <w:r>
              <w:rPr>
                <w:rFonts w:hint="eastAsia" w:ascii="宋体" w:hAnsi="宋体"/>
                <w:color w:val="auto"/>
                <w:highlight w:val="none"/>
              </w:rPr>
              <w:t>基于专用客户端与网闸安全连接方式，提供多种主流数据库系统如：ORACLE、SQLSERVER、MYSQL、SYBASE、DB2等之间的同步</w:t>
            </w:r>
          </w:p>
          <w:p>
            <w:pPr>
              <w:pStyle w:val="15"/>
              <w:jc w:val="left"/>
              <w:rPr>
                <w:rFonts w:ascii="宋体" w:hAnsi="宋体"/>
                <w:color w:val="auto"/>
                <w:highlight w:val="none"/>
              </w:rPr>
            </w:pPr>
            <w:r>
              <w:rPr>
                <w:rFonts w:hint="eastAsia" w:ascii="宋体" w:hAnsi="宋体"/>
                <w:color w:val="auto"/>
                <w:highlight w:val="none"/>
              </w:rPr>
              <w:t>支持达梦、人大金仓等国产数据。（提供功能截图证明）</w:t>
            </w:r>
          </w:p>
          <w:p>
            <w:pPr>
              <w:pStyle w:val="15"/>
              <w:jc w:val="left"/>
              <w:rPr>
                <w:rFonts w:ascii="宋体" w:hAnsi="宋体"/>
                <w:color w:val="auto"/>
                <w:highlight w:val="none"/>
              </w:rPr>
            </w:pPr>
            <w:r>
              <w:rPr>
                <w:rFonts w:hint="eastAsia" w:ascii="宋体" w:hAnsi="宋体"/>
                <w:color w:val="auto"/>
                <w:highlight w:val="none"/>
              </w:rPr>
              <w:t>支持二进制普通文件、图片、文本文件及BLOB大字段同步。（提供功能截图证明）</w:t>
            </w:r>
          </w:p>
          <w:p>
            <w:pPr>
              <w:pStyle w:val="15"/>
              <w:jc w:val="left"/>
              <w:rPr>
                <w:rFonts w:ascii="宋体" w:hAnsi="宋体"/>
                <w:color w:val="auto"/>
                <w:highlight w:val="none"/>
              </w:rPr>
            </w:pPr>
            <w:r>
              <w:rPr>
                <w:rFonts w:hint="eastAsia" w:ascii="宋体" w:hAnsi="宋体"/>
                <w:color w:val="auto"/>
                <w:highlight w:val="none"/>
              </w:rPr>
              <w:t>支持数据一对一、一对多、多对多的单向或双向交换和同步</w:t>
            </w:r>
          </w:p>
          <w:p>
            <w:pPr>
              <w:pStyle w:val="15"/>
              <w:jc w:val="left"/>
              <w:rPr>
                <w:rFonts w:ascii="宋体" w:hAnsi="宋体"/>
                <w:color w:val="auto"/>
                <w:highlight w:val="none"/>
              </w:rPr>
            </w:pPr>
            <w:r>
              <w:rPr>
                <w:rFonts w:hint="eastAsia" w:ascii="宋体" w:hAnsi="宋体"/>
                <w:color w:val="auto"/>
                <w:highlight w:val="none"/>
              </w:rPr>
              <w:t>支持数据库实时同步或定时同步的策略定义</w:t>
            </w:r>
          </w:p>
          <w:p>
            <w:pPr>
              <w:pStyle w:val="15"/>
              <w:jc w:val="left"/>
              <w:rPr>
                <w:rFonts w:ascii="宋体" w:hAnsi="宋体"/>
                <w:color w:val="auto"/>
                <w:highlight w:val="none"/>
              </w:rPr>
            </w:pPr>
            <w:r>
              <w:rPr>
                <w:rFonts w:hint="eastAsia" w:ascii="宋体" w:hAnsi="宋体"/>
                <w:color w:val="auto"/>
                <w:highlight w:val="none"/>
              </w:rPr>
              <w:t>数据库同步传输不使用通用数据库服务端口例如1433、1521、3306等，保障数据库同步传输的安全性</w:t>
            </w:r>
          </w:p>
          <w:p>
            <w:pPr>
              <w:pStyle w:val="15"/>
              <w:jc w:val="left"/>
              <w:rPr>
                <w:rFonts w:ascii="宋体" w:hAnsi="宋体"/>
                <w:color w:val="auto"/>
                <w:highlight w:val="none"/>
              </w:rPr>
            </w:pPr>
            <w:r>
              <w:rPr>
                <w:rFonts w:hint="eastAsia" w:ascii="宋体" w:hAnsi="宋体"/>
                <w:color w:val="auto"/>
                <w:highlight w:val="none"/>
              </w:rPr>
              <w:t>支持灵活的数据冲突检测机制，当同步的数据记录发成冲突时，可以灵活处理出现冲突的数据记录</w:t>
            </w:r>
          </w:p>
          <w:p>
            <w:pPr>
              <w:pStyle w:val="15"/>
              <w:jc w:val="left"/>
              <w:rPr>
                <w:rFonts w:ascii="宋体" w:hAnsi="宋体"/>
                <w:color w:val="auto"/>
                <w:highlight w:val="none"/>
              </w:rPr>
            </w:pPr>
            <w:r>
              <w:rPr>
                <w:rFonts w:hint="eastAsia" w:ascii="宋体" w:hAnsi="宋体"/>
                <w:color w:val="auto"/>
                <w:highlight w:val="none"/>
              </w:rPr>
              <w:t>数据库同步高可靠性，即使发生网络故障，已变化数据也不会丢失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8"/>
                <w:rFonts w:hint="default"/>
                <w:color w:val="auto"/>
                <w:sz w:val="21"/>
                <w:szCs w:val="21"/>
                <w:highlight w:val="none"/>
              </w:rPr>
            </w:pPr>
            <w:r>
              <w:rPr>
                <w:rFonts w:hint="eastAsia" w:ascii="宋体" w:hAnsi="宋体"/>
                <w:color w:val="auto"/>
                <w:sz w:val="21"/>
                <w:szCs w:val="21"/>
                <w:highlight w:val="none"/>
              </w:rPr>
              <w:t>9</w:t>
            </w:r>
          </w:p>
        </w:tc>
        <w:tc>
          <w:tcPr>
            <w:tcW w:w="1469" w:type="dxa"/>
            <w:tcBorders>
              <w:top w:val="single" w:color="auto" w:sz="6" w:space="0"/>
              <w:left w:val="nil"/>
              <w:bottom w:val="single" w:color="auto" w:sz="6" w:space="0"/>
              <w:right w:val="single" w:color="auto" w:sz="6" w:space="0"/>
            </w:tcBorders>
            <w:vAlign w:val="center"/>
          </w:tcPr>
          <w:p>
            <w:pPr>
              <w:pStyle w:val="15"/>
              <w:jc w:val="left"/>
              <w:rPr>
                <w:color w:val="auto"/>
                <w:highlight w:val="none"/>
              </w:rPr>
            </w:pPr>
            <w:r>
              <w:rPr>
                <w:rFonts w:hint="eastAsia" w:ascii="宋体" w:hAnsi="宋体"/>
                <w:color w:val="auto"/>
                <w:highlight w:val="none"/>
              </w:rPr>
              <w:t>管理配置</w:t>
            </w:r>
          </w:p>
        </w:tc>
        <w:tc>
          <w:tcPr>
            <w:tcW w:w="7379" w:type="dxa"/>
            <w:tcBorders>
              <w:top w:val="single" w:color="auto" w:sz="6" w:space="0"/>
              <w:left w:val="nil"/>
              <w:bottom w:val="single" w:color="auto" w:sz="6" w:space="0"/>
              <w:right w:val="single" w:color="auto" w:sz="6" w:space="0"/>
            </w:tcBorders>
            <w:vAlign w:val="center"/>
          </w:tcPr>
          <w:p>
            <w:pPr>
              <w:pStyle w:val="15"/>
              <w:jc w:val="left"/>
              <w:rPr>
                <w:rFonts w:ascii="宋体" w:hAnsi="宋体"/>
                <w:color w:val="auto"/>
                <w:highlight w:val="none"/>
              </w:rPr>
            </w:pPr>
            <w:r>
              <w:rPr>
                <w:rFonts w:hint="eastAsia" w:ascii="宋体" w:hAnsi="宋体"/>
                <w:color w:val="auto"/>
                <w:highlight w:val="none"/>
              </w:rPr>
              <w:t>管理采用C/S架构专有协议管理，网闸管理口无IP地址，管理主机也不必设置IP即可搜索到设备，管理设备，支持设备集中管理（提供功能截图证明）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8"/>
                <w:rFonts w:hint="default"/>
                <w:color w:val="auto"/>
                <w:sz w:val="21"/>
                <w:szCs w:val="21"/>
                <w:highlight w:val="none"/>
              </w:rPr>
            </w:pPr>
            <w:r>
              <w:rPr>
                <w:rFonts w:hint="eastAsia" w:ascii="宋体" w:hAnsi="宋体"/>
                <w:color w:val="auto"/>
                <w:sz w:val="21"/>
                <w:szCs w:val="21"/>
                <w:highlight w:val="none"/>
              </w:rPr>
              <w:t>10</w:t>
            </w:r>
          </w:p>
        </w:tc>
        <w:tc>
          <w:tcPr>
            <w:tcW w:w="1469" w:type="dxa"/>
            <w:tcBorders>
              <w:top w:val="single" w:color="auto" w:sz="6" w:space="0"/>
              <w:left w:val="nil"/>
              <w:bottom w:val="single" w:color="auto" w:sz="6" w:space="0"/>
              <w:right w:val="single" w:color="auto" w:sz="6" w:space="0"/>
            </w:tcBorders>
            <w:vAlign w:val="center"/>
          </w:tcPr>
          <w:p>
            <w:pPr>
              <w:pStyle w:val="15"/>
              <w:jc w:val="left"/>
              <w:rPr>
                <w:color w:val="auto"/>
                <w:highlight w:val="none"/>
              </w:rPr>
            </w:pPr>
            <w:r>
              <w:rPr>
                <w:rFonts w:hint="eastAsia" w:ascii="宋体" w:hAnsi="宋体"/>
                <w:color w:val="auto"/>
                <w:highlight w:val="none"/>
              </w:rPr>
              <w:t>日志审计</w:t>
            </w:r>
          </w:p>
        </w:tc>
        <w:tc>
          <w:tcPr>
            <w:tcW w:w="7379" w:type="dxa"/>
            <w:tcBorders>
              <w:top w:val="single" w:color="auto" w:sz="6" w:space="0"/>
              <w:left w:val="nil"/>
              <w:bottom w:val="single" w:color="auto" w:sz="6" w:space="0"/>
              <w:right w:val="single" w:color="auto" w:sz="6" w:space="0"/>
            </w:tcBorders>
            <w:vAlign w:val="center"/>
          </w:tcPr>
          <w:p>
            <w:pPr>
              <w:pStyle w:val="15"/>
              <w:jc w:val="left"/>
              <w:rPr>
                <w:rFonts w:ascii="宋体" w:hAnsi="宋体"/>
                <w:color w:val="auto"/>
                <w:highlight w:val="none"/>
              </w:rPr>
            </w:pPr>
            <w:r>
              <w:rPr>
                <w:rFonts w:hint="eastAsia" w:ascii="宋体" w:hAnsi="宋体"/>
                <w:color w:val="auto"/>
                <w:highlight w:val="none"/>
              </w:rPr>
              <w:t>支持对所有访问进行日志记录，包括系统事件、成功事件、报警事件提供对日志信息的浏览、查询、删除、下载等多种操作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 w:hRule="atLeast"/>
        </w:trPr>
        <w:tc>
          <w:tcPr>
            <w:tcW w:w="780" w:type="dxa"/>
            <w:tcBorders>
              <w:top w:val="single" w:color="auto" w:sz="6" w:space="0"/>
              <w:left w:val="single" w:color="auto" w:sz="6" w:space="0"/>
              <w:bottom w:val="single" w:color="auto" w:sz="6" w:space="0"/>
              <w:right w:val="single" w:color="auto" w:sz="6" w:space="0"/>
            </w:tcBorders>
            <w:vAlign w:val="center"/>
          </w:tcPr>
          <w:p>
            <w:pPr>
              <w:jc w:val="center"/>
              <w:rPr>
                <w:rStyle w:val="18"/>
                <w:rFonts w:hint="default"/>
                <w:color w:val="auto"/>
                <w:sz w:val="21"/>
                <w:szCs w:val="21"/>
                <w:highlight w:val="none"/>
              </w:rPr>
            </w:pPr>
            <w:r>
              <w:rPr>
                <w:rFonts w:hint="eastAsia" w:ascii="宋体" w:hAnsi="宋体"/>
                <w:color w:val="auto"/>
                <w:sz w:val="21"/>
                <w:szCs w:val="21"/>
                <w:highlight w:val="none"/>
              </w:rPr>
              <w:t>11</w:t>
            </w:r>
          </w:p>
        </w:tc>
        <w:tc>
          <w:tcPr>
            <w:tcW w:w="1469" w:type="dxa"/>
            <w:tcBorders>
              <w:top w:val="single" w:color="auto" w:sz="6" w:space="0"/>
              <w:left w:val="nil"/>
              <w:bottom w:val="single" w:color="auto" w:sz="6" w:space="0"/>
              <w:right w:val="single" w:color="auto" w:sz="6" w:space="0"/>
            </w:tcBorders>
            <w:vAlign w:val="center"/>
          </w:tcPr>
          <w:p>
            <w:pPr>
              <w:pStyle w:val="15"/>
              <w:jc w:val="left"/>
              <w:rPr>
                <w:color w:val="auto"/>
                <w:highlight w:val="none"/>
              </w:rPr>
            </w:pPr>
            <w:r>
              <w:rPr>
                <w:rFonts w:hint="eastAsia" w:ascii="宋体" w:hAnsi="宋体"/>
                <w:color w:val="auto"/>
                <w:highlight w:val="none"/>
              </w:rPr>
              <w:t>产品资质</w:t>
            </w:r>
          </w:p>
        </w:tc>
        <w:tc>
          <w:tcPr>
            <w:tcW w:w="7379" w:type="dxa"/>
            <w:tcBorders>
              <w:top w:val="single" w:color="auto" w:sz="6" w:space="0"/>
              <w:left w:val="nil"/>
              <w:bottom w:val="single" w:color="auto" w:sz="6" w:space="0"/>
              <w:right w:val="single" w:color="auto" w:sz="6" w:space="0"/>
            </w:tcBorders>
            <w:vAlign w:val="center"/>
          </w:tcPr>
          <w:p>
            <w:pPr>
              <w:pStyle w:val="15"/>
              <w:jc w:val="left"/>
              <w:rPr>
                <w:rFonts w:ascii="宋体" w:hAnsi="宋体"/>
                <w:color w:val="auto"/>
                <w:highlight w:val="none"/>
              </w:rPr>
            </w:pPr>
            <w:r>
              <w:rPr>
                <w:rFonts w:hint="eastAsia" w:ascii="宋体" w:hAnsi="宋体"/>
                <w:color w:val="auto"/>
                <w:highlight w:val="none"/>
              </w:rPr>
              <w:t>具备信息安全认证中心中国国家信息安全产品认证证书</w:t>
            </w:r>
          </w:p>
        </w:tc>
      </w:tr>
    </w:tbl>
    <w:p>
      <w:pPr>
        <w:rPr>
          <w:rFonts w:ascii="宋体" w:hAnsi="宋体"/>
          <w:color w:val="auto"/>
          <w:szCs w:val="28"/>
          <w:highlight w:val="none"/>
        </w:rPr>
      </w:pPr>
      <w:r>
        <w:rPr>
          <w:rFonts w:hint="eastAsia" w:ascii="宋体" w:hAnsi="宋体"/>
          <w:color w:val="auto"/>
          <w:highlight w:val="none"/>
        </w:rPr>
        <w:t xml:space="preserve"> </w:t>
      </w:r>
    </w:p>
    <w:p>
      <w:pPr>
        <w:pStyle w:val="6"/>
        <w:rPr>
          <w:color w:val="auto"/>
          <w:highlight w:val="none"/>
        </w:rPr>
      </w:pPr>
      <w:r>
        <w:rPr>
          <w:rFonts w:hint="eastAsia"/>
          <w:color w:val="auto"/>
          <w:highlight w:val="none"/>
        </w:rPr>
        <w:t>存储备份一体机</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874"/>
        <w:gridCol w:w="1693"/>
        <w:gridCol w:w="6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567" w:type="dxa"/>
            <w:gridSpan w:val="2"/>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指标项</w:t>
            </w:r>
          </w:p>
        </w:tc>
        <w:tc>
          <w:tcPr>
            <w:tcW w:w="6229"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restart"/>
            <w:tcBorders>
              <w:top w:val="nil"/>
              <w:left w:val="single" w:color="auto" w:sz="4" w:space="0"/>
              <w:bottom w:val="single" w:color="auto" w:sz="4" w:space="0"/>
              <w:right w:val="single" w:color="auto" w:sz="4" w:space="0"/>
            </w:tcBorders>
            <w:vAlign w:val="center"/>
          </w:tcPr>
          <w:p>
            <w:pPr>
              <w:pStyle w:val="15"/>
              <w:jc w:val="center"/>
              <w:rPr>
                <w:rFonts w:ascii="宋体" w:hAnsi="宋体"/>
                <w:color w:val="auto"/>
                <w:szCs w:val="21"/>
                <w:highlight w:val="none"/>
              </w:rPr>
            </w:pPr>
            <w:r>
              <w:rPr>
                <w:rFonts w:hint="eastAsia" w:ascii="宋体" w:hAnsi="宋体"/>
                <w:color w:val="auto"/>
                <w:highlight w:val="none"/>
              </w:rPr>
              <w:t>1</w:t>
            </w:r>
          </w:p>
        </w:tc>
        <w:tc>
          <w:tcPr>
            <w:tcW w:w="874" w:type="dxa"/>
            <w:vMerge w:val="restart"/>
            <w:tcBorders>
              <w:top w:val="nil"/>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硬件要求</w:t>
            </w:r>
          </w:p>
        </w:tc>
        <w:tc>
          <w:tcPr>
            <w:tcW w:w="169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处理器</w:t>
            </w:r>
          </w:p>
        </w:tc>
        <w:tc>
          <w:tcPr>
            <w:tcW w:w="6229" w:type="dxa"/>
            <w:tcBorders>
              <w:top w:val="single" w:color="auto" w:sz="4" w:space="0"/>
              <w:left w:val="nil"/>
              <w:bottom w:val="single" w:color="auto" w:sz="4" w:space="0"/>
              <w:right w:val="single" w:color="auto" w:sz="4" w:space="0"/>
            </w:tcBorders>
            <w:shd w:val="clear" w:color="auto" w:fill="FFFFFF"/>
            <w:vAlign w:val="center"/>
          </w:tcPr>
          <w:p>
            <w:pPr>
              <w:pStyle w:val="15"/>
              <w:rPr>
                <w:rFonts w:ascii="宋体" w:hAnsi="宋体"/>
                <w:color w:val="auto"/>
                <w:highlight w:val="none"/>
              </w:rPr>
            </w:pPr>
            <w:r>
              <w:rPr>
                <w:rFonts w:hint="eastAsia" w:ascii="宋体" w:hAnsi="宋体"/>
                <w:color w:val="auto"/>
                <w:highlight w:val="none"/>
              </w:rPr>
              <w:t>不低于1*XEON E3-1230 V5（2.4G/6核12线程）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硬盘</w:t>
            </w:r>
          </w:p>
        </w:tc>
        <w:tc>
          <w:tcPr>
            <w:tcW w:w="6229" w:type="dxa"/>
            <w:tcBorders>
              <w:top w:val="single" w:color="auto" w:sz="4" w:space="0"/>
              <w:left w:val="nil"/>
              <w:bottom w:val="single" w:color="auto" w:sz="4" w:space="0"/>
              <w:right w:val="single" w:color="auto" w:sz="4" w:space="0"/>
            </w:tcBorders>
            <w:shd w:val="clear" w:color="auto" w:fill="FFFFFF"/>
            <w:vAlign w:val="center"/>
          </w:tcPr>
          <w:p>
            <w:pPr>
              <w:pStyle w:val="15"/>
              <w:rPr>
                <w:rFonts w:ascii="宋体" w:hAnsi="宋体"/>
                <w:color w:val="auto"/>
                <w:highlight w:val="none"/>
              </w:rPr>
            </w:pPr>
            <w:r>
              <w:rPr>
                <w:rFonts w:hint="eastAsia" w:ascii="宋体" w:hAnsi="宋体"/>
                <w:color w:val="auto"/>
                <w:highlight w:val="none"/>
              </w:rPr>
              <w:t>配置至少支持4个硬盘槽位配置4T企业级SATA。1*240GSSD用于系统安装，不占用外部存储槽位支持在线扩容，可通过后期在线添加磁盘和扩展磁盘柜的方式，进行备份介质容量的增加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内存</w:t>
            </w:r>
          </w:p>
        </w:tc>
        <w:tc>
          <w:tcPr>
            <w:tcW w:w="6229" w:type="dxa"/>
            <w:tcBorders>
              <w:top w:val="single" w:color="auto" w:sz="4" w:space="0"/>
              <w:left w:val="nil"/>
              <w:bottom w:val="single" w:color="auto" w:sz="4" w:space="0"/>
              <w:right w:val="single" w:color="auto" w:sz="4" w:space="0"/>
            </w:tcBorders>
            <w:shd w:val="clear" w:color="auto" w:fill="FFFFFF"/>
            <w:vAlign w:val="center"/>
          </w:tcPr>
          <w:p>
            <w:pPr>
              <w:pStyle w:val="15"/>
              <w:rPr>
                <w:rFonts w:ascii="宋体" w:hAnsi="宋体"/>
                <w:color w:val="auto"/>
                <w:highlight w:val="none"/>
              </w:rPr>
            </w:pPr>
            <w:r>
              <w:rPr>
                <w:rFonts w:hint="eastAsia" w:ascii="宋体" w:hAnsi="宋体"/>
                <w:color w:val="auto"/>
                <w:highlight w:val="none"/>
              </w:rPr>
              <w:t>不少于8GB RAM，最大可扩容64GB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网络接口</w:t>
            </w:r>
          </w:p>
        </w:tc>
        <w:tc>
          <w:tcPr>
            <w:tcW w:w="6229" w:type="dxa"/>
            <w:tcBorders>
              <w:top w:val="single" w:color="auto" w:sz="4" w:space="0"/>
              <w:left w:val="nil"/>
              <w:bottom w:val="single" w:color="auto" w:sz="4" w:space="0"/>
              <w:right w:val="single" w:color="auto" w:sz="4" w:space="0"/>
            </w:tcBorders>
            <w:shd w:val="clear" w:color="auto" w:fill="FFFFFF"/>
            <w:vAlign w:val="center"/>
          </w:tcPr>
          <w:p>
            <w:pPr>
              <w:pStyle w:val="15"/>
              <w:rPr>
                <w:rFonts w:ascii="宋体" w:hAnsi="宋体"/>
                <w:color w:val="auto"/>
                <w:highlight w:val="none"/>
              </w:rPr>
            </w:pPr>
            <w:r>
              <w:rPr>
                <w:rFonts w:hint="eastAsia" w:ascii="宋体" w:hAnsi="宋体"/>
                <w:color w:val="auto"/>
                <w:highlight w:val="none"/>
              </w:rPr>
              <w:t>不少于2个千兆网络端口，网络端口都可用且可分配不同的备份任务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restart"/>
            <w:tcBorders>
              <w:top w:val="nil"/>
              <w:left w:val="single" w:color="auto" w:sz="4" w:space="0"/>
              <w:bottom w:val="single" w:color="auto" w:sz="4" w:space="0"/>
              <w:right w:val="single" w:color="auto" w:sz="4" w:space="0"/>
            </w:tcBorders>
            <w:vAlign w:val="center"/>
          </w:tcPr>
          <w:p>
            <w:pPr>
              <w:pStyle w:val="15"/>
              <w:jc w:val="center"/>
              <w:rPr>
                <w:rFonts w:ascii="宋体" w:hAnsi="宋体"/>
                <w:color w:val="auto"/>
                <w:highlight w:val="none"/>
              </w:rPr>
            </w:pPr>
            <w:r>
              <w:rPr>
                <w:rFonts w:hint="eastAsia" w:ascii="宋体" w:hAnsi="宋体"/>
                <w:color w:val="auto"/>
                <w:highlight w:val="none"/>
              </w:rPr>
              <w:t>2</w:t>
            </w:r>
          </w:p>
        </w:tc>
        <w:tc>
          <w:tcPr>
            <w:tcW w:w="874" w:type="dxa"/>
            <w:vMerge w:val="restart"/>
            <w:tcBorders>
              <w:top w:val="nil"/>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保护功能</w:t>
            </w:r>
          </w:p>
        </w:tc>
        <w:tc>
          <w:tcPr>
            <w:tcW w:w="1693" w:type="dxa"/>
            <w:vMerge w:val="restart"/>
            <w:tcBorders>
              <w:top w:val="nil"/>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平台兼容性</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支持Windows、Linux、UNIX、AIX、Solaris、 HP-UX等主流操作系统，以及龙芯、飞腾架构下中标麒麟、银河麒麟等自主可控操作系统，提供自主可控操作系统互认证证书复印件，并加盖公章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支持在天津飞腾自研FT-1500A芯片系列的硬件平台上部署备份服务，提供产品的兼容性认证证书复印件，并加盖公章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支持在华为自研的高性能低功耗ARM架构64位处理器的服务器上部署备份服务，提供产品的兼容互认证证书复印件，并加盖公章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平台安全性</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基于linux的备份存储专用系统，支持https方式登录，确保登录安全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restart"/>
            <w:tcBorders>
              <w:top w:val="nil"/>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文件保护</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支持在同一文件备份作业中采用多通道并发备份，提高备份和恢复的速度。（提供产品功能截图）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文件执行完全备份后的备份集，无需还原数据，直接通过挂载方式实现即时恢复。（提供产品功能截图）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支持文件合成备份，合成数据通过挂载方式实现即时恢复（提供产品功能截图）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分布式文件保护</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支持Hadoop 分布式文件系统（HDFS）的文件备份（完全备份、增量备份、合成备份）与恢复。（提供产品功能截图）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restart"/>
            <w:tcBorders>
              <w:top w:val="nil"/>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操作系统保护</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支持linux 和windows操作系统的备份及异机恢复，支持操作系统备份与恢复的UEFI引导方式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操作系统恢复过程中提供驱动程序更换界面，允许客户针对不同的驱动程序做调整。（提供产品功能截图）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支持基于龙芯3A/3B、飞腾1000/1500架构上的操作系统备份以及基于龙芯3A/3B的裸机恢复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支持把Windows 操作系统的备份数据直接生成为VMWare、KVM、H3C CAS等虚拟平台支持数据，通过挂载方式实现即时恢复。（提供产品功能截图）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restart"/>
            <w:tcBorders>
              <w:top w:val="nil"/>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数据库应用保护</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支持主流的数据库备份恢复，包括但不限于Oracle、 SQL Server、MySQL、Sybase、DB2、Informix、PostgreSQL、MongoDB、Exchange、SharePoint、Domino等主流数据库应用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MySQL的逻辑备份和物理备份（完全备份、增量备份、日志备份、连续日志备份），通过物理备份实现对数据库的热备份。支持MySQL基于物理备份的备份数据（非CDP备份数据），实现任意时间点的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支持采用ON-Bar方式实现对Informix的任意时间点备份/恢复，并支持自动配置ON-Bar的相关配置文件，以及设置自动日志备份。（提供产品功能截图）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支持国产主流的数据备份恢复，包括但不限于达梦（DM）、人大金仓（kingbase）、南大通用（GBase）、神州通用（ShenTong）等数据库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支持Oracle单个表和多个表在不同时间点上的恢复、支持对Exchange单邮件恢复；（提供产品功能截图）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支持对Oracle的日志进行详细解析，可以查看每条日志数据的实际执行内容，包括：时间、 SCN、 用户名、 表名、 操作类型、 SQL 语句等。在数据恢复作业中可以选择准确的SCN来确定数据恢复点。（提供产品功能截图）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针对Oracle中已经提交的事务，根据日志解析后得到的SQL语句，创建撤销处理，把数据回滚到事务提交前的状态。（提供产品功能截图）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支持对Oracle、MySQL的日志文件采用连续日志备份方式，持续监控日志文件的变化情况，即时把新增日志的数据块进行备份，实现对数据库变化数据达到秒级以内的备份保护。（提供产品功能截图）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支持Oracle、SQL Server、MySQL等合成备份，不用周期性执行全量备份，只需把增量数据合并到已存储的全量数据，就可生成新的全量数据，合成后的备份数据通过挂载方式实现即时恢复，极大缩短数据恢复的时间窗口。（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支持Oracle数据库的逻辑备份，以非脚本方式实现导入/导出功能（提供产品功能截图）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产品必须支持Oracle RAC 在内的多种集群环境的数据备份，支持RAC集群环境向备用机的恢复，只需通过web向导界面即可完成配置，无须手工修改rman脚本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 SQL Server Always On Availability Groups 的备份和恢复。（提供产品功能截图）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在同一DB2的作业配置中，支持自定义配置多通道并行数据传输，提升数据备份或恢复效率。（提供产品功能截图）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在作业配置向导界面中提供时间导轨滚动条，通过拉动滚动条，提供以秒为进度单位来选定恢复时间点，实现数据库可以在任意时间点上的恢复。（提供产品功能截图）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restart"/>
            <w:tcBorders>
              <w:top w:val="nil"/>
              <w:left w:val="single" w:color="auto" w:sz="4" w:space="0"/>
              <w:bottom w:val="single" w:color="auto" w:sz="4" w:space="0"/>
              <w:right w:val="single" w:color="auto" w:sz="4" w:space="0"/>
            </w:tcBorders>
            <w:vAlign w:val="center"/>
          </w:tcPr>
          <w:p>
            <w:pPr>
              <w:pStyle w:val="15"/>
              <w:jc w:val="center"/>
              <w:rPr>
                <w:rFonts w:ascii="宋体" w:hAnsi="宋体"/>
                <w:color w:val="auto"/>
                <w:highlight w:val="none"/>
              </w:rPr>
            </w:pPr>
            <w:r>
              <w:rPr>
                <w:rFonts w:hint="eastAsia" w:ascii="宋体" w:hAnsi="宋体"/>
                <w:color w:val="auto"/>
                <w:highlight w:val="none"/>
              </w:rPr>
              <w:t>3</w:t>
            </w: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restart"/>
            <w:tcBorders>
              <w:top w:val="nil"/>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实时保护</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支持CDP实时容灾功能，可实现秒级内的数据实时容灾。在恢复时支持通过挂载方式实现任意时间点的即时恢复（提供产品功能截图）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数据库采用基于应用层（非物理IO同步方式）数据同步技术实现业务容灾，支持主从切换、继续同步等灵活功能。容灾主机可在线激活，承担业务数据查询等功能，并能够继续同步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 Oracle RAC 在内的多种集群环境下的数据库主备切换、应用接管。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restart"/>
            <w:tcBorders>
              <w:top w:val="nil"/>
              <w:left w:val="single" w:color="auto" w:sz="4" w:space="0"/>
              <w:bottom w:val="single" w:color="auto" w:sz="4" w:space="0"/>
              <w:right w:val="single" w:color="auto" w:sz="4" w:space="0"/>
            </w:tcBorders>
            <w:vAlign w:val="center"/>
          </w:tcPr>
          <w:p>
            <w:pPr>
              <w:pStyle w:val="15"/>
              <w:jc w:val="center"/>
              <w:rPr>
                <w:rFonts w:ascii="宋体" w:hAnsi="宋体"/>
                <w:color w:val="auto"/>
                <w:highlight w:val="none"/>
              </w:rPr>
            </w:pPr>
            <w:r>
              <w:rPr>
                <w:rFonts w:hint="eastAsia" w:ascii="宋体" w:hAnsi="宋体"/>
                <w:color w:val="auto"/>
                <w:highlight w:val="none"/>
              </w:rPr>
              <w:t>4</w:t>
            </w: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restart"/>
            <w:tcBorders>
              <w:top w:val="nil"/>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云平台保护</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支持VMware、Hyper-V、Xenserver、Xen、KVM、FusionSphere、H3C CAS、OpenStack、CNware等虚拟机的备份恢复（不能采用guest host 操作系统备份恢复方式）。（提供产品功能截图）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针对Vmware、Hyper-V、H3C CAS等虚拟化平台，支持通过挂载方式实现虚拟机的即时恢复。（提供产品功能截图）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Vmware平台虚拟机备份，恢复时可恢复虚拟机网络标签及IP地址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支持VMWare策略化配置合成备份。（提供产品功能截图）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支持备份产品和VMWare vCenter平台信息联动，在VMWare vCenter的管理界面上可以直接查看备份产品中虚拟机备份任务的状态。（提供产品功能截图）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支持KVM、H3C CAS、XenServer、CNware等虚拟平台下虚拟机的差异备份。（提供产品功能截图）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tcBorders>
              <w:top w:val="single" w:color="auto" w:sz="4" w:space="0"/>
              <w:left w:val="single" w:color="auto" w:sz="4" w:space="0"/>
              <w:bottom w:val="single" w:color="auto" w:sz="4" w:space="0"/>
              <w:right w:val="single" w:color="auto" w:sz="4" w:space="0"/>
            </w:tcBorders>
            <w:vAlign w:val="center"/>
          </w:tcPr>
          <w:p>
            <w:pPr>
              <w:pStyle w:val="15"/>
              <w:jc w:val="center"/>
              <w:rPr>
                <w:rFonts w:ascii="宋体" w:hAnsi="宋体"/>
                <w:color w:val="auto"/>
                <w:highlight w:val="none"/>
              </w:rPr>
            </w:pPr>
            <w:r>
              <w:rPr>
                <w:rFonts w:hint="eastAsia" w:ascii="宋体" w:hAnsi="宋体"/>
                <w:color w:val="auto"/>
                <w:highlight w:val="none"/>
              </w:rPr>
              <w:t>5</w:t>
            </w: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高可用支持</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可支持共享型存储和镜像型存储的高可用集群，可支持一主多备模式集群（提供产品功能截图）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restart"/>
            <w:tcBorders>
              <w:top w:val="nil"/>
              <w:left w:val="single" w:color="auto" w:sz="4" w:space="0"/>
              <w:bottom w:val="single" w:color="auto" w:sz="4" w:space="0"/>
              <w:right w:val="single" w:color="auto" w:sz="4" w:space="0"/>
            </w:tcBorders>
            <w:vAlign w:val="center"/>
          </w:tcPr>
          <w:p>
            <w:pPr>
              <w:pStyle w:val="15"/>
              <w:jc w:val="center"/>
              <w:rPr>
                <w:rFonts w:ascii="宋体" w:hAnsi="宋体"/>
                <w:color w:val="auto"/>
                <w:highlight w:val="none"/>
              </w:rPr>
            </w:pPr>
            <w:r>
              <w:rPr>
                <w:rFonts w:hint="eastAsia" w:ascii="宋体" w:hAnsi="宋体"/>
                <w:color w:val="auto"/>
                <w:highlight w:val="none"/>
              </w:rPr>
              <w:t>6</w:t>
            </w: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restart"/>
            <w:tcBorders>
              <w:top w:val="nil"/>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重复数据删除</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支持固定块、变长块的数据重删技术，在创建重删存储空间时，需要提供变长和固定数据的数据块大小选择。（提供产品功能截图）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支持对操作系统、文件、各种数据库与虚拟机等备份集的重复数据删除功能。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restart"/>
            <w:tcBorders>
              <w:top w:val="nil"/>
              <w:left w:val="single" w:color="auto" w:sz="4" w:space="0"/>
              <w:bottom w:val="single" w:color="auto" w:sz="4" w:space="0"/>
              <w:right w:val="single" w:color="auto" w:sz="4" w:space="0"/>
            </w:tcBorders>
            <w:vAlign w:val="center"/>
          </w:tcPr>
          <w:p>
            <w:pPr>
              <w:pStyle w:val="15"/>
              <w:jc w:val="center"/>
              <w:rPr>
                <w:rFonts w:ascii="宋体" w:hAnsi="宋体"/>
                <w:color w:val="auto"/>
                <w:highlight w:val="none"/>
              </w:rPr>
            </w:pPr>
            <w:r>
              <w:rPr>
                <w:rFonts w:hint="eastAsia" w:ascii="宋体" w:hAnsi="宋体"/>
                <w:color w:val="auto"/>
                <w:highlight w:val="none"/>
              </w:rPr>
              <w:t>7</w:t>
            </w: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restart"/>
            <w:tcBorders>
              <w:top w:val="nil"/>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远程复制</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支持catalog、备份集等备份数据的异地容灾，即通过异地存储的备份数据，对本地、异地中备份服务器、存储服务器、代理端等设备，实现在本机或异机上进行恢复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支持备份任务执行时，采用接龙式的点到点复制方式，实现备份集在存储服务器中的多份同步复制，避免源端服务器在备份集进行1对多并发复制时造成的占用多倍传输资源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restart"/>
            <w:tcBorders>
              <w:top w:val="nil"/>
              <w:left w:val="single" w:color="auto" w:sz="4" w:space="0"/>
              <w:bottom w:val="single" w:color="auto" w:sz="4" w:space="0"/>
              <w:right w:val="single" w:color="auto" w:sz="4" w:space="0"/>
            </w:tcBorders>
            <w:vAlign w:val="center"/>
          </w:tcPr>
          <w:p>
            <w:pPr>
              <w:pStyle w:val="15"/>
              <w:jc w:val="center"/>
              <w:rPr>
                <w:rFonts w:ascii="宋体" w:hAnsi="宋体"/>
                <w:color w:val="auto"/>
                <w:highlight w:val="none"/>
              </w:rPr>
            </w:pPr>
            <w:r>
              <w:rPr>
                <w:rFonts w:hint="eastAsia" w:ascii="宋体" w:hAnsi="宋体"/>
                <w:color w:val="auto"/>
                <w:highlight w:val="none"/>
              </w:rPr>
              <w:t>8</w:t>
            </w: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restart"/>
            <w:tcBorders>
              <w:top w:val="nil"/>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磁带支持</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支持LAN-free备份架构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提供对文件、操作系统、数据库、应用软件、虚拟化的备份保护，支持D2T和D2D2T模式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tcBorders>
              <w:top w:val="single" w:color="auto" w:sz="4" w:space="0"/>
              <w:left w:val="single" w:color="auto" w:sz="4" w:space="0"/>
              <w:bottom w:val="single" w:color="auto" w:sz="4" w:space="0"/>
              <w:right w:val="single" w:color="auto" w:sz="4" w:space="0"/>
            </w:tcBorders>
            <w:vAlign w:val="center"/>
          </w:tcPr>
          <w:p>
            <w:pPr>
              <w:pStyle w:val="15"/>
              <w:jc w:val="center"/>
              <w:rPr>
                <w:rFonts w:ascii="宋体" w:hAnsi="宋体"/>
                <w:color w:val="auto"/>
                <w:highlight w:val="none"/>
              </w:rPr>
            </w:pPr>
            <w:r>
              <w:rPr>
                <w:rFonts w:hint="eastAsia" w:ascii="宋体" w:hAnsi="宋体"/>
                <w:color w:val="auto"/>
                <w:highlight w:val="none"/>
              </w:rPr>
              <w:t>9</w:t>
            </w: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数据加密</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支持AES、Blowfish等加密算法。对于AES加密需要支持选择不同密钥长度，以便用户根据源端计算资源情况选择合适的数据加密处理。（提供产品功能截图）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tcBorders>
              <w:top w:val="single" w:color="auto" w:sz="4" w:space="0"/>
              <w:left w:val="single" w:color="auto" w:sz="4" w:space="0"/>
              <w:bottom w:val="single" w:color="auto" w:sz="4" w:space="0"/>
              <w:right w:val="single" w:color="auto" w:sz="4" w:space="0"/>
            </w:tcBorders>
            <w:vAlign w:val="center"/>
          </w:tcPr>
          <w:p>
            <w:pPr>
              <w:pStyle w:val="15"/>
              <w:jc w:val="center"/>
              <w:rPr>
                <w:rFonts w:ascii="宋体" w:hAnsi="宋体"/>
                <w:color w:val="auto"/>
                <w:highlight w:val="none"/>
              </w:rPr>
            </w:pPr>
            <w:r>
              <w:rPr>
                <w:rFonts w:hint="eastAsia" w:ascii="宋体" w:hAnsi="宋体"/>
                <w:color w:val="auto"/>
                <w:highlight w:val="none"/>
              </w:rPr>
              <w:t>10</w:t>
            </w: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云端备份</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基于对象存储技术，支持采用D2C方式，把本地数据备份到云平台，实现本地与云端数据的协同保护，云平台包括但不限于：亚马逊云、阿里云、微软云、百度云、腾讯云、华为云、新浪云、天翼云、金山云等。（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tcBorders>
              <w:top w:val="single" w:color="auto" w:sz="4" w:space="0"/>
              <w:left w:val="single" w:color="auto" w:sz="4" w:space="0"/>
              <w:bottom w:val="single" w:color="auto" w:sz="4" w:space="0"/>
              <w:right w:val="single" w:color="auto" w:sz="4" w:space="0"/>
            </w:tcBorders>
            <w:vAlign w:val="center"/>
          </w:tcPr>
          <w:p>
            <w:pPr>
              <w:pStyle w:val="15"/>
              <w:jc w:val="center"/>
              <w:rPr>
                <w:rFonts w:ascii="宋体" w:hAnsi="宋体"/>
                <w:color w:val="auto"/>
                <w:highlight w:val="none"/>
              </w:rPr>
            </w:pPr>
            <w:r>
              <w:rPr>
                <w:rFonts w:hint="eastAsia" w:ascii="宋体" w:hAnsi="宋体"/>
                <w:color w:val="auto"/>
                <w:highlight w:val="none"/>
              </w:rPr>
              <w:t>11</w:t>
            </w:r>
          </w:p>
        </w:tc>
        <w:tc>
          <w:tcPr>
            <w:tcW w:w="874"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可用性</w:t>
            </w:r>
          </w:p>
        </w:tc>
        <w:tc>
          <w:tcPr>
            <w:tcW w:w="169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可用性验证</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支持对Oracle、SQL Server、MySQL、DB2、PostgreSQL、Informix、Sybase、达梦、Kingbase、Gbase、Domino等主流数据库的备份集进行定时容灾演练，以此检验备份集的可用性。（提供产品功能截图）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restart"/>
            <w:tcBorders>
              <w:top w:val="nil"/>
              <w:left w:val="single" w:color="auto" w:sz="4" w:space="0"/>
              <w:bottom w:val="single" w:color="auto" w:sz="4" w:space="0"/>
              <w:right w:val="single" w:color="auto" w:sz="4" w:space="0"/>
            </w:tcBorders>
            <w:vAlign w:val="center"/>
          </w:tcPr>
          <w:p>
            <w:pPr>
              <w:pStyle w:val="15"/>
              <w:jc w:val="center"/>
              <w:rPr>
                <w:rFonts w:ascii="宋体" w:hAnsi="宋体"/>
                <w:color w:val="auto"/>
                <w:highlight w:val="none"/>
              </w:rPr>
            </w:pPr>
            <w:r>
              <w:rPr>
                <w:rFonts w:hint="eastAsia" w:ascii="宋体" w:hAnsi="宋体"/>
                <w:color w:val="auto"/>
                <w:highlight w:val="none"/>
              </w:rPr>
              <w:t>12</w:t>
            </w:r>
          </w:p>
        </w:tc>
        <w:tc>
          <w:tcPr>
            <w:tcW w:w="874" w:type="dxa"/>
            <w:vMerge w:val="restart"/>
            <w:tcBorders>
              <w:top w:val="nil"/>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可管理性</w:t>
            </w:r>
          </w:p>
        </w:tc>
        <w:tc>
          <w:tcPr>
            <w:tcW w:w="1693" w:type="dxa"/>
            <w:vMerge w:val="restart"/>
            <w:tcBorders>
              <w:top w:val="nil"/>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管理方式</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采用先进的运维管理架构，平台同时兼容备份、CDP、高可用、数据库同步等功能要求，所有功能的管理和监控，都在备份软件中采用同一可视化界面实现。（提供产品功能截图）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智能报表，能够自定义报表。自主选择字段来源以及需要显示的字段等，并能够自定义新字段。支持筛选，排序等动作。（提供产品功能截图）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支持自定义启动需要审批的业务流程，包括创建存储空间、创建备份作业、创建恢复作业等，对需要审批的业务提供审批流程管理。（提供产品功能截图）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支持同一存储空间中通过添加多个存储（介质）服务器，把存储容量进行合并，达到备份数据存储空间的平滑扩展。（提供产品功能截图）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支持对存储大小、主机、资源、作业速度、作业耗时等备份相关资源进行图形统计，并根据存储使用趋势提供存储空间的使用建议。（提供产品功能截图）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告警方式</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支持以邮件告警的方式，针对于备份存储系统的硬件故障、软件故障等等信息及时通知管理员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8" w:hRule="atLeast"/>
        </w:trPr>
        <w:tc>
          <w:tcPr>
            <w:tcW w:w="832" w:type="dxa"/>
            <w:vMerge w:val="restart"/>
            <w:tcBorders>
              <w:top w:val="nil"/>
              <w:left w:val="single" w:color="auto" w:sz="4" w:space="0"/>
              <w:bottom w:val="single" w:color="auto" w:sz="4" w:space="0"/>
              <w:right w:val="single" w:color="auto" w:sz="4" w:space="0"/>
            </w:tcBorders>
            <w:vAlign w:val="center"/>
          </w:tcPr>
          <w:p>
            <w:pPr>
              <w:pStyle w:val="15"/>
              <w:jc w:val="center"/>
              <w:rPr>
                <w:rFonts w:ascii="宋体" w:hAnsi="宋体"/>
                <w:color w:val="auto"/>
                <w:highlight w:val="none"/>
              </w:rPr>
            </w:pPr>
            <w:r>
              <w:rPr>
                <w:rFonts w:hint="eastAsia" w:ascii="宋体" w:hAnsi="宋体"/>
                <w:color w:val="auto"/>
                <w:highlight w:val="none"/>
              </w:rPr>
              <w:t>13</w:t>
            </w:r>
          </w:p>
        </w:tc>
        <w:tc>
          <w:tcPr>
            <w:tcW w:w="874" w:type="dxa"/>
            <w:vMerge w:val="restart"/>
            <w:tcBorders>
              <w:top w:val="nil"/>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资质</w:t>
            </w:r>
          </w:p>
        </w:tc>
        <w:tc>
          <w:tcPr>
            <w:tcW w:w="169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产品资质证书</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 xml:space="preserve"> </w:t>
            </w:r>
          </w:p>
          <w:p>
            <w:pPr>
              <w:pStyle w:val="15"/>
              <w:rPr>
                <w:rFonts w:ascii="宋体" w:hAnsi="宋体"/>
                <w:color w:val="auto"/>
                <w:highlight w:val="none"/>
              </w:rPr>
            </w:pPr>
            <w:r>
              <w:rPr>
                <w:rFonts w:hint="eastAsia" w:ascii="宋体" w:hAnsi="宋体"/>
                <w:color w:val="auto"/>
                <w:highlight w:val="none"/>
              </w:rPr>
              <w:t xml:space="preserve">  投标产品必须具有国家保密科技测评中心颁发的《涉密信息系统产品检测证书》（提供证书复印件）</w:t>
            </w:r>
          </w:p>
          <w:p>
            <w:pPr>
              <w:pStyle w:val="15"/>
              <w:rPr>
                <w:rFonts w:ascii="宋体" w:hAnsi="宋体"/>
                <w:color w:val="auto"/>
                <w:highlight w:val="none"/>
              </w:rPr>
            </w:pPr>
            <w:r>
              <w:rPr>
                <w:rFonts w:hint="eastAsia" w:ascii="宋体" w:hAnsi="宋体"/>
                <w:color w:val="auto"/>
                <w:highlight w:val="none"/>
              </w:rPr>
              <w:t xml:space="preserve"> 投标产品必须具有中国信息安全认证中心颁发的《中国国家信息安全产品认证证书》（提供复印件）</w:t>
            </w:r>
          </w:p>
          <w:p>
            <w:pPr>
              <w:pStyle w:val="15"/>
              <w:rPr>
                <w:rFonts w:ascii="宋体" w:hAnsi="宋体"/>
                <w:color w:val="auto"/>
                <w:highlight w:val="none"/>
              </w:rPr>
            </w:pPr>
            <w:r>
              <w:rPr>
                <w:rFonts w:hint="eastAsia" w:ascii="宋体" w:hAnsi="宋体"/>
                <w:color w:val="auto"/>
                <w:highlight w:val="none"/>
              </w:rPr>
              <w:t xml:space="preserve"> 投标产品必须具有国家版权局颁发的软件著作权证书。（提供证书复印件）</w:t>
            </w:r>
          </w:p>
          <w:p>
            <w:pPr>
              <w:pStyle w:val="15"/>
              <w:rPr>
                <w:rFonts w:ascii="宋体" w:hAnsi="宋体"/>
                <w:color w:val="auto"/>
                <w:highlight w:val="none"/>
              </w:rPr>
            </w:pPr>
            <w:r>
              <w:rPr>
                <w:rFonts w:hint="eastAsia" w:ascii="宋体" w:hAnsi="宋体"/>
                <w:color w:val="auto"/>
                <w:highlight w:val="none"/>
              </w:rPr>
              <w:t xml:space="preserve"> 提供商用密码产品生产定点单位证书（提供证书复印件）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操作系统认证</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投标产品中内置操作系统部件需要得到操作系统厂商的认证，要求提供官网截图加盖公章，并在官网可查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节能认证</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 xml:space="preserve">备份容灾产品具有中国质量认证中心颁发的《中国节能产品认证证书》 </w:t>
            </w:r>
          </w:p>
          <w:p>
            <w:pPr>
              <w:pStyle w:val="15"/>
              <w:rPr>
                <w:rFonts w:ascii="宋体" w:hAnsi="宋体"/>
                <w:color w:val="auto"/>
                <w:highlight w:val="none"/>
              </w:rPr>
            </w:pPr>
            <w:r>
              <w:rPr>
                <w:rFonts w:hint="eastAsia" w:ascii="宋体" w:hAnsi="宋体"/>
                <w:color w:val="auto"/>
                <w:highlight w:val="none"/>
              </w:rPr>
              <w:t>备份容灾产品列入中国政府采购网节能产品政府采购清单（提供官网下载链接以及清单截图并加盖公章）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商标注册</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 xml:space="preserve">为了核实投标产品是正版产品，投标产品需具有商标局颁发的《商标注册证》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项目人员认证</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供应商必须具有3名以上获得工信部容灾备份管理师证书的工程师；提供用工合同证明和管理师证书的扫描件或复印件，以保证项目的顺利实施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restart"/>
            <w:tcBorders>
              <w:top w:val="nil"/>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产品兼容认证</w:t>
            </w: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为保障项目投资，投标产品应获得国产数据库（南大通用、神舟通用、人大金仓、达梦、星瑞格）、国产操作系统（中标麒麟、银河麒麟、红旗Linux、深度、浪潮、普华）、国产云平台（华为FusionSphere、华三CAS、EasyStack ECS、云宏CNware）、国产服务器（中科曙光、龙芯、天津飞腾、华为ARM）等国产产品及厂商的认证证书，需提供证书复印件，并加盖公章，满足后续国产化要求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投标产品通过Oracle 公司颁发的BSP资质认证，要求提供Oracle官网截图加盖公章，并在Oracle官网可查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投标产品通过 VMware Ready Application Software 的认证，要求提供VMware官网截图加盖公章，并在VMware官网可查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74"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169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6229"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投标产品通过 Citrix Ready 的认证，要求提供 Citrix 官网截图加盖公章，并在 Citrix 官网可查</w:t>
            </w:r>
          </w:p>
        </w:tc>
      </w:tr>
    </w:tbl>
    <w:p>
      <w:pPr>
        <w:ind w:firstLine="480"/>
        <w:rPr>
          <w:color w:val="auto"/>
          <w:szCs w:val="28"/>
          <w:highlight w:val="none"/>
        </w:rPr>
      </w:pPr>
      <w:r>
        <w:rPr>
          <w:rFonts w:hint="eastAsia"/>
          <w:color w:val="auto"/>
          <w:highlight w:val="none"/>
        </w:rPr>
        <w:t xml:space="preserve"> </w:t>
      </w:r>
    </w:p>
    <w:p>
      <w:pPr>
        <w:pStyle w:val="6"/>
        <w:rPr>
          <w:color w:val="auto"/>
          <w:highlight w:val="none"/>
        </w:rPr>
      </w:pPr>
      <w:r>
        <w:rPr>
          <w:rFonts w:hint="eastAsia"/>
          <w:color w:val="auto"/>
          <w:highlight w:val="none"/>
        </w:rPr>
        <w:t>防病毒软件</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847"/>
        <w:gridCol w:w="8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8"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847" w:type="dxa"/>
            <w:tcBorders>
              <w:top w:val="single" w:color="auto" w:sz="4" w:space="0"/>
              <w:left w:val="nil"/>
              <w:bottom w:val="single" w:color="auto" w:sz="4" w:space="0"/>
              <w:right w:val="single" w:color="auto" w:sz="4" w:space="0"/>
            </w:tcBorders>
            <w:shd w:val="clear" w:color="auto" w:fill="FFFFFF"/>
            <w:vAlign w:val="center"/>
          </w:tcPr>
          <w:p>
            <w:pPr>
              <w:pStyle w:val="15"/>
              <w:rPr>
                <w:rFonts w:ascii="宋体" w:hAnsi="宋体"/>
                <w:b/>
                <w:bCs/>
                <w:color w:val="auto"/>
                <w:szCs w:val="21"/>
                <w:highlight w:val="none"/>
              </w:rPr>
            </w:pPr>
            <w:r>
              <w:rPr>
                <w:rFonts w:hint="eastAsia" w:ascii="宋体" w:hAnsi="宋体"/>
                <w:b/>
                <w:bCs/>
                <w:color w:val="auto"/>
                <w:highlight w:val="none"/>
              </w:rPr>
              <w:t>指标项</w:t>
            </w:r>
          </w:p>
        </w:tc>
        <w:tc>
          <w:tcPr>
            <w:tcW w:w="8003" w:type="dxa"/>
            <w:tcBorders>
              <w:top w:val="single" w:color="auto" w:sz="4" w:space="0"/>
              <w:left w:val="nil"/>
              <w:bottom w:val="single" w:color="auto" w:sz="4" w:space="0"/>
              <w:right w:val="single" w:color="auto" w:sz="4" w:space="0"/>
            </w:tcBorders>
            <w:shd w:val="clear" w:color="auto" w:fill="FFFFFF"/>
            <w:vAlign w:val="center"/>
          </w:tcPr>
          <w:p>
            <w:pPr>
              <w:pStyle w:val="15"/>
              <w:ind w:firstLine="361"/>
              <w:jc w:val="center"/>
              <w:rPr>
                <w:rFonts w:ascii="宋体" w:hAnsi="宋体"/>
                <w:b/>
                <w:bCs/>
                <w:color w:val="auto"/>
                <w:highlight w:val="none"/>
              </w:rPr>
            </w:pPr>
            <w:r>
              <w:rPr>
                <w:rFonts w:hint="eastAsia" w:ascii="宋体" w:hAnsi="宋体"/>
                <w:b/>
                <w:bCs/>
                <w:color w:val="auto"/>
                <w:highlight w:val="none"/>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847" w:type="dxa"/>
            <w:vMerge w:val="restart"/>
            <w:tcBorders>
              <w:top w:val="nil"/>
              <w:left w:val="nil"/>
              <w:bottom w:val="single" w:color="auto" w:sz="4" w:space="0"/>
              <w:right w:val="single" w:color="auto" w:sz="4" w:space="0"/>
            </w:tcBorders>
            <w:vAlign w:val="center"/>
          </w:tcPr>
          <w:p>
            <w:pPr>
              <w:pStyle w:val="15"/>
              <w:rPr>
                <w:rFonts w:ascii="宋体" w:hAnsi="宋体"/>
                <w:color w:val="auto"/>
                <w:szCs w:val="21"/>
                <w:highlight w:val="none"/>
              </w:rPr>
            </w:pPr>
            <w:r>
              <w:rPr>
                <w:rFonts w:hint="eastAsia" w:ascii="宋体" w:hAnsi="宋体"/>
                <w:color w:val="auto"/>
                <w:highlight w:val="none"/>
              </w:rPr>
              <w:t>安装部署</w:t>
            </w: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管理端支持全中文界面，纯B/S架构，无需安装客户端软件。管理员只需通过浏览器登陆控制中心，即可对虚拟机进行管理。防病毒的病毒查杀支持多引擎的协同工作对病毒、木马、恶意软件、引导区病毒、BIOS病毒等进行查杀，提供主动防御系统防护等功能</w:t>
            </w:r>
          </w:p>
          <w:p>
            <w:pPr>
              <w:pStyle w:val="15"/>
              <w:rPr>
                <w:rFonts w:ascii="宋体" w:hAnsi="宋体"/>
                <w:color w:val="auto"/>
                <w:highlight w:val="none"/>
              </w:rPr>
            </w:pPr>
            <w:r>
              <w:rPr>
                <w:rFonts w:hint="eastAsia" w:ascii="宋体" w:hAnsi="宋体"/>
                <w:color w:val="auto"/>
                <w:highlight w:val="none"/>
              </w:rPr>
              <w:t>客户端默认支持WindowsXP/VISTA/WIN7/WIN8/WIN10，含三年升级许可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客户端资源占用应小于50MB，有效节省终端资源使用率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至少支持WindowsXP、Windows 7、Windows 8、Windows 10等32位/64位操作系统，同时并支持Windows2003、Windows2008、Windows2012等32位/64位服务器操作系统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847" w:type="dxa"/>
            <w:vMerge w:val="restart"/>
            <w:tcBorders>
              <w:top w:val="nil"/>
              <w:left w:val="nil"/>
              <w:bottom w:val="single" w:color="auto" w:sz="4" w:space="0"/>
              <w:right w:val="single" w:color="auto" w:sz="4" w:space="0"/>
            </w:tcBorders>
            <w:vAlign w:val="center"/>
          </w:tcPr>
          <w:p>
            <w:pPr>
              <w:pStyle w:val="15"/>
              <w:rPr>
                <w:rFonts w:ascii="宋体" w:hAnsi="宋体"/>
                <w:color w:val="auto"/>
                <w:szCs w:val="21"/>
                <w:highlight w:val="none"/>
              </w:rPr>
            </w:pPr>
            <w:r>
              <w:rPr>
                <w:rFonts w:hint="eastAsia" w:ascii="宋体" w:hAnsi="宋体"/>
                <w:color w:val="auto"/>
                <w:highlight w:val="none"/>
              </w:rPr>
              <w:t>管理控制</w:t>
            </w: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支持全网威胁统计分析管理控制台可直观的展示病毒趋势统计、终端信息、病毒类型排行、病毒排行、终端危险排行等统计情况。并随时对网络中病毒发生的情况进行查询统计，能按时间、按IP地址、机器名、按病毒名称、病毒类型进行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管理控制台支持实时显示客户端的状态，包括机器名称、IP地址、mac地址、操作系统、显卡信息、内存大小、连接状态、监控状态、当前版本信息和物理位置等信息。（提供功能截图证明）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支持对防病毒客户端进行分组，根据不同的组别可以设定不同的策略和执行不同的任务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支持对全网进行集中的管理和任务下发，可以通过控制台立即给客户端发送命令，包括立即杀毒、立即升级、关机、重启、显示消息等，而不需要通过建立策略方式实现，从而简化和方便了管理员的管理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管理控制台支持通知客户端立即升级、强制更新、客户端主动升级等方式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支持客户端防删功能，能够防止客户端在未经管理员允许情况下强行卸载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shd w:val="clear" w:color="auto" w:fill="FFFFFF"/>
            <w:vAlign w:val="center"/>
          </w:tcPr>
          <w:p>
            <w:pPr>
              <w:pStyle w:val="15"/>
              <w:rPr>
                <w:rFonts w:ascii="宋体" w:hAnsi="宋体"/>
                <w:color w:val="auto"/>
                <w:highlight w:val="none"/>
              </w:rPr>
            </w:pPr>
            <w:r>
              <w:rPr>
                <w:rFonts w:hint="eastAsia" w:ascii="宋体" w:hAnsi="宋体"/>
                <w:color w:val="auto"/>
                <w:highlight w:val="none"/>
              </w:rPr>
              <w:t>支持客户端未开机的全网查杀策略设置，在客户端下次启动时策略补做功能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支持分级管理及多管理员权限划分，如：超级管理员，操作管理员。同时管理控制台支持自定义管理员权限设定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管理控制台支持对客户端的系统操作行为进行记录功能，便于管理员对用户操作审查和分析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支持客户端威胁日志信息上报统计功能，包含终端危险排行统计、防御类型分布统计、病毒类型分布统计、病毒排行统计等，支持图表显示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报表内容必须包括御类型分析、病毒类型分析、病毒排行、终端杀毒排行、病毒趋势统计、黑客拦截、对外攻击分析。支持威胁Top10、Top20、Top30排行。（提供功能截图证明）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报表应该可以通过表格以及图形方式进行展现，支持将生成的报表以Excel、word、HTML、PDF等通用格式输出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支持按日、周、月定期推送报表功能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控制台支持恶意网站拦截、浏览器保护、恶意行为、文件保护、下载保护、黑客拦截、系统加固、U盘防护、邮件监控、白名单等策略下发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管理控制台支持预制策略功能，保障新安装客户端自动应用组策略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847" w:type="dxa"/>
            <w:vMerge w:val="restart"/>
            <w:tcBorders>
              <w:top w:val="nil"/>
              <w:left w:val="nil"/>
              <w:bottom w:val="single" w:color="auto" w:sz="4" w:space="0"/>
              <w:right w:val="single" w:color="auto" w:sz="4" w:space="0"/>
            </w:tcBorders>
            <w:vAlign w:val="center"/>
          </w:tcPr>
          <w:p>
            <w:pPr>
              <w:pStyle w:val="15"/>
              <w:rPr>
                <w:rFonts w:ascii="宋体" w:hAnsi="宋体"/>
                <w:color w:val="auto"/>
                <w:szCs w:val="21"/>
                <w:highlight w:val="none"/>
              </w:rPr>
            </w:pPr>
            <w:r>
              <w:rPr>
                <w:rFonts w:hint="eastAsia" w:ascii="宋体" w:hAnsi="宋体"/>
                <w:color w:val="auto"/>
                <w:highlight w:val="none"/>
              </w:rPr>
              <w:t>客户端防护</w:t>
            </w: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至少支持对终端电脑内部文件进行全盘扫描、快速扫描，自定义扫描三种扫描能力。并具备空闲查杀、异步查杀、断点查杀、后台查杀等功能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支持扫描和清除各种广告软件、恶意插件、隐蔽软件、黑客工具、风险程序等等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支持Office/IE/Lotus Notes等嵌入杀毒；支持用户添加嵌入杀毒的应用程序；支持MSN Messenger、AOL Messenger、FlashGet、NetAnts、NetVampire、WinZip、WellGet、WinRAR等工具的嵌入式杀毒功能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支持未知病毒、恶意代码的防范能力，支持基于行为的检测和防护技术：针对未知恶意威胁具有行为评分能力，智能识别蠕虫木马，无需提示用户操作判断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支持病毒查杀时目录排出功能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支持U盘扫描检查功能，防止病毒通过U盘在终端传播有效保护终端不受病毒侵扰。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支持对网页进行病毒、木马进行监测及防护，对可能产生威胁的网页进行提示或屏蔽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支持客户端对外攻击检测，防止用户终端感染病毒后的对外对外攻击行为，避免用户的利益受到损害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能够实时监控和清除来自各种途径的病毒、木马、恶意程序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支持对终端内文件、邮件、网页一体化实时监控，防止病毒运行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支持基于SMTP/POP3协议的邮件监控，包括如：Outlook、Outlook Express、foxmail、DreamMail等邮件客户端的防（杀）病毒。（提供功能截图证明）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847"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1"/>
                <w:szCs w:val="21"/>
                <w:highlight w:val="none"/>
              </w:rPr>
            </w:pPr>
          </w:p>
        </w:tc>
        <w:tc>
          <w:tcPr>
            <w:tcW w:w="8003" w:type="dxa"/>
            <w:tcBorders>
              <w:top w:val="single" w:color="auto" w:sz="4" w:space="0"/>
              <w:left w:val="nil"/>
              <w:bottom w:val="single" w:color="auto" w:sz="4" w:space="0"/>
              <w:right w:val="single" w:color="auto" w:sz="4" w:space="0"/>
            </w:tcBorders>
          </w:tcPr>
          <w:p>
            <w:pPr>
              <w:pStyle w:val="15"/>
              <w:rPr>
                <w:rFonts w:ascii="宋体" w:hAnsi="宋体"/>
                <w:color w:val="auto"/>
                <w:highlight w:val="none"/>
              </w:rPr>
            </w:pPr>
            <w:r>
              <w:rPr>
                <w:rFonts w:hint="eastAsia" w:ascii="宋体" w:hAnsi="宋体"/>
                <w:color w:val="auto"/>
                <w:highlight w:val="none"/>
              </w:rPr>
              <w:t>支持可疑文件上报功能，如果用户觉得某个文件比较可疑，可将此文件上报给病毒管控中心进行检查分析和处理，并将情报全网共享。（提供功能截图证明）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847" w:type="dxa"/>
            <w:tcBorders>
              <w:top w:val="single" w:color="auto" w:sz="4" w:space="0"/>
              <w:left w:val="nil"/>
              <w:bottom w:val="single" w:color="auto" w:sz="4" w:space="0"/>
              <w:right w:val="single" w:color="auto" w:sz="4" w:space="0"/>
            </w:tcBorders>
            <w:vAlign w:val="center"/>
          </w:tcPr>
          <w:p>
            <w:pPr>
              <w:pStyle w:val="15"/>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highlight w:val="none"/>
              </w:rPr>
              <w:t>产品资质</w:t>
            </w:r>
          </w:p>
        </w:tc>
        <w:tc>
          <w:tcPr>
            <w:tcW w:w="8003" w:type="dxa"/>
            <w:tcBorders>
              <w:top w:val="single" w:color="auto" w:sz="4" w:space="0"/>
              <w:left w:val="nil"/>
              <w:bottom w:val="single" w:color="auto" w:sz="4" w:space="0"/>
              <w:right w:val="single" w:color="auto" w:sz="4" w:space="0"/>
            </w:tcBorders>
            <w:vAlign w:val="center"/>
          </w:tcPr>
          <w:p>
            <w:pPr>
              <w:pStyle w:val="15"/>
              <w:rPr>
                <w:rFonts w:ascii="宋体" w:hAnsi="宋体"/>
                <w:color w:val="auto"/>
                <w:highlight w:val="none"/>
              </w:rPr>
            </w:pPr>
            <w:r>
              <w:rPr>
                <w:rFonts w:hint="eastAsia" w:ascii="宋体" w:hAnsi="宋体"/>
                <w:color w:val="auto"/>
                <w:highlight w:val="none"/>
              </w:rPr>
              <w:t>1.具备公安部颁发的《计算机信息系统安全专用产品销售许可证(一级)》</w:t>
            </w:r>
          </w:p>
          <w:p>
            <w:pPr>
              <w:pStyle w:val="15"/>
              <w:rPr>
                <w:rFonts w:ascii="宋体" w:hAnsi="宋体"/>
                <w:color w:val="auto"/>
                <w:highlight w:val="none"/>
              </w:rPr>
            </w:pPr>
            <w:r>
              <w:rPr>
                <w:rFonts w:hint="eastAsia" w:ascii="宋体" w:hAnsi="宋体"/>
                <w:color w:val="auto"/>
                <w:highlight w:val="none"/>
              </w:rPr>
              <w:t>2.具备国家版权局颁发的《计算机软件著作权登记证书》</w:t>
            </w:r>
          </w:p>
        </w:tc>
      </w:tr>
    </w:tbl>
    <w:p>
      <w:pPr>
        <w:ind w:firstLine="480"/>
        <w:rPr>
          <w:color w:val="auto"/>
          <w:szCs w:val="28"/>
          <w:highlight w:val="none"/>
        </w:rPr>
      </w:pPr>
      <w:r>
        <w:rPr>
          <w:rFonts w:hint="eastAsia"/>
          <w:color w:val="auto"/>
          <w:highlight w:val="none"/>
        </w:rPr>
        <w:t xml:space="preserve"> </w:t>
      </w:r>
    </w:p>
    <w:p>
      <w:pPr>
        <w:pStyle w:val="5"/>
        <w:rPr>
          <w:color w:val="auto"/>
          <w:highlight w:val="none"/>
        </w:rPr>
      </w:pPr>
      <w:r>
        <w:rPr>
          <w:rFonts w:hint="eastAsia"/>
          <w:color w:val="auto"/>
          <w:highlight w:val="none"/>
        </w:rPr>
        <w:t>人工智能在线监测平台</w:t>
      </w:r>
    </w:p>
    <w:p>
      <w:pPr>
        <w:pStyle w:val="6"/>
        <w:rPr>
          <w:color w:val="auto"/>
          <w:highlight w:val="none"/>
        </w:rPr>
      </w:pPr>
      <w:r>
        <w:rPr>
          <w:rFonts w:hint="eastAsia"/>
          <w:color w:val="auto"/>
          <w:highlight w:val="none"/>
        </w:rPr>
        <w:t>环保人工智能监测系统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应用软件系统，可实现数据采集、运行状况判定、设备参数分析、异常报警、数据查询、运行统计、远程控制、基础设置、视频回放等功能。</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72"/>
        <w:gridCol w:w="1271"/>
        <w:gridCol w:w="6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772"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1271"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c>
          <w:tcPr>
            <w:tcW w:w="6880"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05"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772" w:type="dxa"/>
            <w:vMerge w:val="restart"/>
            <w:tcBorders>
              <w:top w:val="nil"/>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首页</w:t>
            </w:r>
          </w:p>
        </w:tc>
        <w:tc>
          <w:tcPr>
            <w:tcW w:w="12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报警列表</w:t>
            </w:r>
          </w:p>
        </w:tc>
        <w:tc>
          <w:tcPr>
            <w:tcW w:w="688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系统需要能够默认显示级别最高、时间最新的任务报警信息。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0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72"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统计数据</w:t>
            </w:r>
          </w:p>
        </w:tc>
        <w:tc>
          <w:tcPr>
            <w:tcW w:w="688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系统需要能够显示维护执行率，维护合格率，传输合格率，报警总数，报警分类图。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0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72"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地图</w:t>
            </w:r>
          </w:p>
        </w:tc>
        <w:tc>
          <w:tcPr>
            <w:tcW w:w="688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系统需要能够在地图上显示站点名称、状态，点击站点，可进入单站点信息查询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05"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772" w:type="dxa"/>
            <w:vMerge w:val="restart"/>
            <w:tcBorders>
              <w:top w:val="nil"/>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单站详情</w:t>
            </w:r>
          </w:p>
        </w:tc>
        <w:tc>
          <w:tcPr>
            <w:tcW w:w="12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运行状态</w:t>
            </w:r>
          </w:p>
        </w:tc>
        <w:tc>
          <w:tcPr>
            <w:tcW w:w="688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系统需要能够以图标的形式实时显示摄像头、数采仪、监测设备的实时状态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0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72"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因子数据</w:t>
            </w:r>
          </w:p>
        </w:tc>
        <w:tc>
          <w:tcPr>
            <w:tcW w:w="688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系统需要可以查看实时数据，显示包括因子编码、因子名称、采集状态、采集值、单位、采集时间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0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72"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状态管控</w:t>
            </w:r>
          </w:p>
        </w:tc>
        <w:tc>
          <w:tcPr>
            <w:tcW w:w="688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系统需要可以查看实时参数以及历史参数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772"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辅助维护</w:t>
            </w:r>
          </w:p>
        </w:tc>
        <w:tc>
          <w:tcPr>
            <w:tcW w:w="12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辅助维护</w:t>
            </w:r>
          </w:p>
        </w:tc>
        <w:tc>
          <w:tcPr>
            <w:tcW w:w="688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系统需要通过对监测区域内视频流的分析，根据确定的维护清单，全程监控维护人员的日常维护，自动判别少做，漏做、错做等违规维护行为并实时记录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772"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违规分析</w:t>
            </w:r>
          </w:p>
        </w:tc>
        <w:tc>
          <w:tcPr>
            <w:tcW w:w="12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违规分析</w:t>
            </w:r>
          </w:p>
        </w:tc>
        <w:tc>
          <w:tcPr>
            <w:tcW w:w="688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通过对监测区域内视频流的分析，全程监控区域内人员行为，对于现场人员行为与造假行为库动作进行匹配，当进行造假行为时进行实时记录和报警。对于非维护人员触碰设备，对损坏、偷盗行为，对非授权人员闯入行为，进行智能识别、实时记录和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05"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772" w:type="dxa"/>
            <w:vMerge w:val="restart"/>
            <w:tcBorders>
              <w:top w:val="nil"/>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异常报警</w:t>
            </w:r>
          </w:p>
        </w:tc>
        <w:tc>
          <w:tcPr>
            <w:tcW w:w="12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报警生成</w:t>
            </w:r>
          </w:p>
        </w:tc>
        <w:tc>
          <w:tcPr>
            <w:tcW w:w="688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需要能够以视频、监测数据、设备参数以及特征因子为报警源，用相关分析模型来检测、判断是否符合设定的报警条件并在检测到触发设定条件时启动报警的方式，建立在线设施智能监管机制，实现数据与视频的联动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0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72"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报警详情</w:t>
            </w:r>
          </w:p>
        </w:tc>
        <w:tc>
          <w:tcPr>
            <w:tcW w:w="688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系统需要能够显示级别最高，时间最新的10条未处理的报警记录。系统以列表形式显示实时报警基本信息。也可按区域、监测因子类型和报警级别，查询相应监测因子实时报警数据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0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772"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2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报警信息发布</w:t>
            </w:r>
          </w:p>
        </w:tc>
        <w:tc>
          <w:tcPr>
            <w:tcW w:w="688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系统需要能够提供预警及报警信息的对外发布接口，实现监测因子预警监测与管理的联动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772"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视频查询</w:t>
            </w:r>
          </w:p>
        </w:tc>
        <w:tc>
          <w:tcPr>
            <w:tcW w:w="12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视频查询</w:t>
            </w:r>
          </w:p>
        </w:tc>
        <w:tc>
          <w:tcPr>
            <w:tcW w:w="688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系统需要能够按时间、报警等级、监测站点等查询视频，支持预览和回放，为造假行为提供有效的佐证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772"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实时监控</w:t>
            </w:r>
          </w:p>
        </w:tc>
        <w:tc>
          <w:tcPr>
            <w:tcW w:w="12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实时监控</w:t>
            </w:r>
          </w:p>
        </w:tc>
        <w:tc>
          <w:tcPr>
            <w:tcW w:w="688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系统需要实时监控页面显示有维护清单、违规清单、视频播放页面、视频切换按钮、人脸识别区域、实时数据、实时图表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8</w:t>
            </w:r>
          </w:p>
        </w:tc>
        <w:tc>
          <w:tcPr>
            <w:tcW w:w="772"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系统日志</w:t>
            </w:r>
          </w:p>
        </w:tc>
        <w:tc>
          <w:tcPr>
            <w:tcW w:w="12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系统日志</w:t>
            </w:r>
          </w:p>
        </w:tc>
        <w:tc>
          <w:tcPr>
            <w:tcW w:w="6880"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系统需要有日志可以查看系统的登录日志以及操作日志</w:t>
            </w:r>
          </w:p>
        </w:tc>
      </w:tr>
    </w:tbl>
    <w:p>
      <w:pPr>
        <w:pStyle w:val="6"/>
        <w:rPr>
          <w:color w:val="auto"/>
          <w:highlight w:val="none"/>
        </w:rPr>
      </w:pPr>
      <w:r>
        <w:rPr>
          <w:rFonts w:hint="eastAsia"/>
          <w:color w:val="auto"/>
          <w:highlight w:val="none"/>
        </w:rPr>
        <w:t>园区安全人工智能监测系统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通过对人和物体的特征检测、提取、描述和分析，以及对场景环境的分析，理解识别人和物体的行为，在实时监控的基础上，对突发事件进行实时预警。实现了包括：区域入侵、绊线检测、徘徊检测、人群聚集等功能。</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371"/>
        <w:gridCol w:w="1816"/>
        <w:gridCol w:w="5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371"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内容</w:t>
            </w:r>
          </w:p>
        </w:tc>
        <w:tc>
          <w:tcPr>
            <w:tcW w:w="1816"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功能</w:t>
            </w:r>
          </w:p>
        </w:tc>
        <w:tc>
          <w:tcPr>
            <w:tcW w:w="5650" w:type="dxa"/>
            <w:tcBorders>
              <w:top w:val="single" w:color="auto" w:sz="4" w:space="0"/>
              <w:left w:val="nil"/>
              <w:bottom w:val="single" w:color="auto" w:sz="4" w:space="0"/>
              <w:right w:val="single" w:color="auto" w:sz="4" w:space="0"/>
            </w:tcBorders>
          </w:tcPr>
          <w:p>
            <w:pPr>
              <w:jc w:val="center"/>
              <w:rPr>
                <w:rFonts w:ascii="宋体" w:hAnsi="宋体"/>
                <w:b/>
                <w:bCs/>
                <w:color w:val="auto"/>
                <w:sz w:val="21"/>
                <w:szCs w:val="21"/>
                <w:highlight w:val="none"/>
              </w:rPr>
            </w:pPr>
            <w:r>
              <w:rPr>
                <w:rFonts w:hint="eastAsia" w:ascii="宋体" w:hAnsi="宋体"/>
                <w:b/>
                <w:bCs/>
                <w:color w:val="auto"/>
                <w:sz w:val="21"/>
                <w:szCs w:val="21"/>
                <w:highlight w:val="none"/>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1"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371" w:type="dxa"/>
            <w:vMerge w:val="restart"/>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事件布防功能</w:t>
            </w:r>
          </w:p>
        </w:tc>
        <w:tc>
          <w:tcPr>
            <w:tcW w:w="181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区域入侵</w:t>
            </w:r>
          </w:p>
        </w:tc>
        <w:tc>
          <w:tcPr>
            <w:tcW w:w="565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系统需要满足通过设定红线区域，当有人员检测到闯入红线区域后，产生告警信息并通知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371"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81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绊线检测</w:t>
            </w:r>
          </w:p>
        </w:tc>
        <w:tc>
          <w:tcPr>
            <w:tcW w:w="565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系统需要满足通过软件上设置虚拟的警戒线，当发生闯入警戒线的事件时产生告警信息并通知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371"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81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徘徊检测</w:t>
            </w:r>
          </w:p>
        </w:tc>
        <w:tc>
          <w:tcPr>
            <w:tcW w:w="565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系统需要满足对于监控范围内的人员，出现徘徊动作或者逗留时间过长等事件产生告警信息并通知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371"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81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人群聚集</w:t>
            </w:r>
          </w:p>
        </w:tc>
        <w:tc>
          <w:tcPr>
            <w:tcW w:w="565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系统需要满足对于监控区域范围内，出现人员异常密集聚集事件产生告警信息，通知相关企业及管理部门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1"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5</w:t>
            </w:r>
          </w:p>
        </w:tc>
        <w:tc>
          <w:tcPr>
            <w:tcW w:w="1371" w:type="dxa"/>
            <w:vMerge w:val="restart"/>
            <w:tcBorders>
              <w:top w:val="nil"/>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异常报警</w:t>
            </w:r>
          </w:p>
        </w:tc>
        <w:tc>
          <w:tcPr>
            <w:tcW w:w="181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报警生成</w:t>
            </w:r>
          </w:p>
        </w:tc>
        <w:tc>
          <w:tcPr>
            <w:tcW w:w="565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系统需要满足判断是否符合设定的报警条件并在检测到触发设定条件时启动报警的方式，建立在线设施智能监管机制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371"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81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报警详情</w:t>
            </w:r>
          </w:p>
        </w:tc>
        <w:tc>
          <w:tcPr>
            <w:tcW w:w="565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系统需要显示级别最高，时间最新的10条未处理记录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371" w:type="dxa"/>
            <w:vMerge w:val="continue"/>
            <w:tcBorders>
              <w:top w:val="nil"/>
              <w:left w:val="nil"/>
              <w:bottom w:val="single" w:color="auto" w:sz="4" w:space="0"/>
              <w:right w:val="single" w:color="auto" w:sz="4" w:space="0"/>
            </w:tcBorders>
            <w:vAlign w:val="center"/>
          </w:tcPr>
          <w:p>
            <w:pPr>
              <w:widowControl/>
              <w:jc w:val="left"/>
              <w:rPr>
                <w:rFonts w:ascii="宋体" w:hAnsi="宋体"/>
                <w:color w:val="auto"/>
                <w:sz w:val="21"/>
                <w:szCs w:val="21"/>
                <w:highlight w:val="none"/>
              </w:rPr>
            </w:pPr>
          </w:p>
        </w:tc>
        <w:tc>
          <w:tcPr>
            <w:tcW w:w="181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报警信息发布</w:t>
            </w:r>
          </w:p>
        </w:tc>
        <w:tc>
          <w:tcPr>
            <w:tcW w:w="565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系统需要满足提供预警及报警信息的对外发布接口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6</w:t>
            </w:r>
          </w:p>
        </w:tc>
        <w:tc>
          <w:tcPr>
            <w:tcW w:w="13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视频查询</w:t>
            </w:r>
          </w:p>
        </w:tc>
        <w:tc>
          <w:tcPr>
            <w:tcW w:w="181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视频查询功能</w:t>
            </w:r>
          </w:p>
        </w:tc>
        <w:tc>
          <w:tcPr>
            <w:tcW w:w="565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系统需要满足可按时间、报警等级、监测站点、不同的角色等查询视频，支持预览和回放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7</w:t>
            </w:r>
          </w:p>
        </w:tc>
        <w:tc>
          <w:tcPr>
            <w:tcW w:w="13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实时监控</w:t>
            </w:r>
          </w:p>
        </w:tc>
        <w:tc>
          <w:tcPr>
            <w:tcW w:w="181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实时监控功能</w:t>
            </w:r>
          </w:p>
        </w:tc>
        <w:tc>
          <w:tcPr>
            <w:tcW w:w="565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系统需要满足实时监控页面显示有视频播放页面、视频切换按钮、人脸识别区域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8</w:t>
            </w:r>
          </w:p>
        </w:tc>
        <w:tc>
          <w:tcPr>
            <w:tcW w:w="1371"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系统日志</w:t>
            </w:r>
          </w:p>
        </w:tc>
        <w:tc>
          <w:tcPr>
            <w:tcW w:w="1816" w:type="dxa"/>
            <w:tcBorders>
              <w:top w:val="single" w:color="auto" w:sz="4" w:space="0"/>
              <w:left w:val="nil"/>
              <w:bottom w:val="single" w:color="auto" w:sz="4" w:space="0"/>
              <w:right w:val="single" w:color="auto" w:sz="4" w:space="0"/>
            </w:tcBorders>
            <w:vAlign w:val="center"/>
          </w:tcPr>
          <w:p>
            <w:pPr>
              <w:rPr>
                <w:rFonts w:ascii="宋体" w:hAnsi="宋体"/>
                <w:color w:val="auto"/>
                <w:sz w:val="21"/>
                <w:szCs w:val="21"/>
                <w:highlight w:val="none"/>
              </w:rPr>
            </w:pPr>
            <w:r>
              <w:rPr>
                <w:rFonts w:hint="eastAsia" w:ascii="宋体" w:hAnsi="宋体"/>
                <w:color w:val="auto"/>
                <w:sz w:val="21"/>
                <w:szCs w:val="21"/>
                <w:highlight w:val="none"/>
              </w:rPr>
              <w:t>系统日志</w:t>
            </w:r>
          </w:p>
        </w:tc>
        <w:tc>
          <w:tcPr>
            <w:tcW w:w="5650"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系统需要满足日志可以查看系统的登录日志以及操作日志</w:t>
            </w:r>
          </w:p>
        </w:tc>
      </w:tr>
    </w:tbl>
    <w:p>
      <w:pPr>
        <w:pStyle w:val="6"/>
        <w:rPr>
          <w:color w:val="auto"/>
          <w:highlight w:val="none"/>
        </w:rPr>
      </w:pPr>
      <w:r>
        <w:rPr>
          <w:rFonts w:hint="cs"/>
          <w:color w:val="auto"/>
          <w:highlight w:val="none"/>
        </w:rPr>
        <w:t>A</w:t>
      </w:r>
      <w:r>
        <w:rPr>
          <w:color w:val="auto"/>
          <w:highlight w:val="none"/>
        </w:rPr>
        <w:t>I</w:t>
      </w:r>
      <w:r>
        <w:rPr>
          <w:rFonts w:hint="eastAsia"/>
          <w:color w:val="auto"/>
          <w:highlight w:val="none"/>
        </w:rPr>
        <w:t>视频分析模型</w:t>
      </w:r>
    </w:p>
    <w:tbl>
      <w:tblPr>
        <w:tblStyle w:val="9"/>
        <w:tblW w:w="9420" w:type="dxa"/>
        <w:tblInd w:w="0" w:type="dxa"/>
        <w:tblLayout w:type="fixed"/>
        <w:tblCellMar>
          <w:top w:w="0" w:type="dxa"/>
          <w:left w:w="0" w:type="dxa"/>
          <w:bottom w:w="0" w:type="dxa"/>
          <w:right w:w="0" w:type="dxa"/>
        </w:tblCellMar>
      </w:tblPr>
      <w:tblGrid>
        <w:gridCol w:w="2235"/>
        <w:gridCol w:w="2406"/>
        <w:gridCol w:w="4779"/>
      </w:tblGrid>
      <w:tr>
        <w:tblPrEx>
          <w:tblCellMar>
            <w:top w:w="0" w:type="dxa"/>
            <w:left w:w="0" w:type="dxa"/>
            <w:bottom w:w="0" w:type="dxa"/>
            <w:right w:w="0" w:type="dxa"/>
          </w:tblCellMar>
        </w:tblPrEx>
        <w:trPr>
          <w:trHeight w:val="23" w:hRule="atLeast"/>
        </w:trPr>
        <w:tc>
          <w:tcPr>
            <w:tcW w:w="22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
                <w:bCs/>
                <w:color w:val="auto"/>
                <w:sz w:val="18"/>
                <w:szCs w:val="18"/>
                <w:highlight w:val="none"/>
              </w:rPr>
            </w:pPr>
            <w:r>
              <w:rPr>
                <w:rStyle w:val="18"/>
                <w:rFonts w:hint="default"/>
                <w:b/>
                <w:bCs/>
                <w:color w:val="auto"/>
                <w:sz w:val="18"/>
                <w:szCs w:val="18"/>
                <w:highlight w:val="none"/>
              </w:rPr>
              <w:t>建设内容</w:t>
            </w:r>
          </w:p>
        </w:tc>
        <w:tc>
          <w:tcPr>
            <w:tcW w:w="240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b/>
                <w:bCs/>
                <w:color w:val="auto"/>
                <w:kern w:val="0"/>
                <w:sz w:val="18"/>
                <w:szCs w:val="18"/>
                <w:highlight w:val="none"/>
              </w:rPr>
            </w:pPr>
            <w:r>
              <w:rPr>
                <w:rStyle w:val="18"/>
                <w:rFonts w:hint="default"/>
                <w:b/>
                <w:bCs/>
                <w:color w:val="auto"/>
                <w:sz w:val="18"/>
                <w:szCs w:val="18"/>
                <w:highlight w:val="none"/>
              </w:rPr>
              <w:t>子模块</w:t>
            </w:r>
          </w:p>
        </w:tc>
        <w:tc>
          <w:tcPr>
            <w:tcW w:w="4779" w:type="dxa"/>
            <w:tcBorders>
              <w:top w:val="single" w:color="auto" w:sz="4" w:space="0"/>
              <w:left w:val="single" w:color="auto" w:sz="4" w:space="0"/>
              <w:bottom w:val="single" w:color="auto" w:sz="4" w:space="0"/>
              <w:right w:val="single" w:color="auto" w:sz="4" w:space="0"/>
            </w:tcBorders>
            <w:vAlign w:val="center"/>
          </w:tcPr>
          <w:p>
            <w:pPr>
              <w:pStyle w:val="19"/>
              <w:ind w:firstLine="361"/>
              <w:jc w:val="center"/>
              <w:rPr>
                <w:rFonts w:ascii="Calibri" w:hAnsi="Calibri" w:eastAsia="宋体" w:cs="Calibri"/>
                <w:b/>
                <w:bCs/>
                <w:color w:val="auto"/>
                <w:sz w:val="18"/>
                <w:szCs w:val="18"/>
                <w:highlight w:val="none"/>
              </w:rPr>
            </w:pPr>
            <w:r>
              <w:rPr>
                <w:rFonts w:hint="eastAsia" w:ascii="Calibri" w:hAnsi="Calibri" w:eastAsia="宋体" w:cs="Calibri"/>
                <w:b/>
                <w:bCs/>
                <w:color w:val="auto"/>
                <w:sz w:val="18"/>
                <w:szCs w:val="18"/>
                <w:highlight w:val="none"/>
              </w:rPr>
              <w:t>详细功能</w:t>
            </w:r>
          </w:p>
        </w:tc>
      </w:tr>
      <w:tr>
        <w:tblPrEx>
          <w:tblCellMar>
            <w:top w:w="0" w:type="dxa"/>
            <w:left w:w="0" w:type="dxa"/>
            <w:bottom w:w="0" w:type="dxa"/>
            <w:right w:w="0" w:type="dxa"/>
          </w:tblCellMar>
        </w:tblPrEx>
        <w:trPr>
          <w:trHeight w:val="23" w:hRule="atLeast"/>
        </w:trPr>
        <w:tc>
          <w:tcPr>
            <w:tcW w:w="2235" w:type="dxa"/>
            <w:vMerge w:val="restart"/>
            <w:tcBorders>
              <w:top w:val="single" w:color="auto" w:sz="4" w:space="0"/>
              <w:left w:val="single" w:color="auto" w:sz="4" w:space="0"/>
              <w:right w:val="single" w:color="000000" w:sz="4" w:space="0"/>
            </w:tcBorders>
            <w:vAlign w:val="center"/>
          </w:tcPr>
          <w:p>
            <w:pPr>
              <w:widowControl/>
              <w:jc w:val="left"/>
              <w:textAlignment w:val="center"/>
              <w:rPr>
                <w:rFonts w:ascii="宋体" w:hAnsi="宋体"/>
                <w:color w:val="auto"/>
                <w:sz w:val="18"/>
                <w:szCs w:val="18"/>
                <w:highlight w:val="none"/>
              </w:rPr>
            </w:pPr>
            <w:r>
              <w:rPr>
                <w:rFonts w:hint="eastAsia" w:ascii="宋体" w:hAnsi="宋体"/>
                <w:color w:val="auto"/>
                <w:sz w:val="18"/>
                <w:szCs w:val="18"/>
                <w:highlight w:val="none"/>
              </w:rPr>
              <w:t>视频分析人工智能算法库</w:t>
            </w:r>
          </w:p>
        </w:tc>
        <w:tc>
          <w:tcPr>
            <w:tcW w:w="2406" w:type="dxa"/>
            <w:tcBorders>
              <w:top w:val="single" w:color="auto" w:sz="4" w:space="0"/>
              <w:left w:val="nil"/>
              <w:bottom w:val="single" w:color="auto" w:sz="4" w:space="0"/>
              <w:right w:val="single" w:color="000000" w:sz="4" w:space="0"/>
            </w:tcBorders>
            <w:vAlign w:val="center"/>
          </w:tcPr>
          <w:p>
            <w:pPr>
              <w:widowControl/>
              <w:jc w:val="left"/>
              <w:textAlignment w:val="center"/>
              <w:rPr>
                <w:rFonts w:ascii="宋体" w:hAnsi="宋体"/>
                <w:color w:val="auto"/>
                <w:kern w:val="0"/>
                <w:sz w:val="18"/>
                <w:szCs w:val="18"/>
                <w:highlight w:val="none"/>
              </w:rPr>
            </w:pPr>
            <w:r>
              <w:rPr>
                <w:rFonts w:hint="eastAsia" w:ascii="宋体" w:hAnsi="宋体"/>
                <w:color w:val="auto"/>
                <w:kern w:val="0"/>
                <w:sz w:val="18"/>
                <w:szCs w:val="18"/>
                <w:highlight w:val="none"/>
              </w:rPr>
              <w:t>人脸识别模型</w:t>
            </w:r>
          </w:p>
        </w:tc>
        <w:tc>
          <w:tcPr>
            <w:tcW w:w="4779" w:type="dxa"/>
            <w:tcBorders>
              <w:top w:val="single" w:color="auto" w:sz="4" w:space="0"/>
              <w:left w:val="nil"/>
              <w:bottom w:val="single" w:color="auto" w:sz="4" w:space="0"/>
              <w:right w:val="single" w:color="auto" w:sz="4" w:space="0"/>
            </w:tcBorders>
            <w:vAlign w:val="center"/>
          </w:tcPr>
          <w:p>
            <w:pPr>
              <w:pStyle w:val="19"/>
              <w:ind w:firstLine="0" w:firstLineChars="0"/>
              <w:rPr>
                <w:rFonts w:ascii="Calibri" w:hAnsi="Calibri" w:eastAsia="宋体" w:cs="Calibri"/>
                <w:color w:val="auto"/>
                <w:sz w:val="18"/>
                <w:szCs w:val="18"/>
                <w:highlight w:val="none"/>
              </w:rPr>
            </w:pPr>
            <w:r>
              <w:rPr>
                <w:rFonts w:hint="eastAsia" w:ascii="Calibri" w:hAnsi="Calibri" w:eastAsia="宋体" w:cs="Calibri"/>
                <w:color w:val="auto"/>
                <w:sz w:val="18"/>
                <w:szCs w:val="18"/>
                <w:highlight w:val="none"/>
              </w:rPr>
              <w:t>通过对人脸关键点识别和分析，实现人员身份确认。</w:t>
            </w:r>
          </w:p>
        </w:tc>
      </w:tr>
      <w:tr>
        <w:tblPrEx>
          <w:tblCellMar>
            <w:top w:w="0" w:type="dxa"/>
            <w:left w:w="0" w:type="dxa"/>
            <w:bottom w:w="0" w:type="dxa"/>
            <w:right w:w="0" w:type="dxa"/>
          </w:tblCellMar>
        </w:tblPrEx>
        <w:trPr>
          <w:trHeight w:val="23" w:hRule="atLeast"/>
        </w:trPr>
        <w:tc>
          <w:tcPr>
            <w:tcW w:w="2235" w:type="dxa"/>
            <w:vMerge w:val="continue"/>
            <w:tcBorders>
              <w:left w:val="single" w:color="auto" w:sz="4" w:space="0"/>
              <w:right w:val="single" w:color="000000" w:sz="4" w:space="0"/>
            </w:tcBorders>
            <w:vAlign w:val="center"/>
          </w:tcPr>
          <w:p>
            <w:pPr>
              <w:widowControl/>
              <w:jc w:val="left"/>
              <w:textAlignment w:val="center"/>
              <w:rPr>
                <w:rFonts w:ascii="宋体" w:hAnsi="宋体"/>
                <w:color w:val="auto"/>
                <w:sz w:val="18"/>
                <w:szCs w:val="18"/>
                <w:highlight w:val="none"/>
              </w:rPr>
            </w:pPr>
          </w:p>
        </w:tc>
        <w:tc>
          <w:tcPr>
            <w:tcW w:w="2406" w:type="dxa"/>
            <w:tcBorders>
              <w:top w:val="single" w:color="000000" w:sz="4" w:space="0"/>
              <w:left w:val="nil"/>
              <w:bottom w:val="single" w:color="auto" w:sz="4" w:space="0"/>
              <w:right w:val="single" w:color="000000" w:sz="4" w:space="0"/>
            </w:tcBorders>
            <w:vAlign w:val="center"/>
          </w:tcPr>
          <w:p>
            <w:pPr>
              <w:widowControl/>
              <w:jc w:val="left"/>
              <w:textAlignment w:val="center"/>
              <w:rPr>
                <w:rFonts w:ascii="宋体" w:hAnsi="宋体"/>
                <w:color w:val="auto"/>
                <w:kern w:val="0"/>
                <w:sz w:val="18"/>
                <w:szCs w:val="18"/>
                <w:highlight w:val="none"/>
              </w:rPr>
            </w:pPr>
            <w:r>
              <w:rPr>
                <w:rFonts w:hint="eastAsia" w:ascii="宋体" w:hAnsi="宋体"/>
                <w:color w:val="auto"/>
                <w:kern w:val="0"/>
                <w:sz w:val="18"/>
                <w:szCs w:val="18"/>
                <w:highlight w:val="none"/>
              </w:rPr>
              <w:t>姿态识别模型</w:t>
            </w:r>
          </w:p>
        </w:tc>
        <w:tc>
          <w:tcPr>
            <w:tcW w:w="4779" w:type="dxa"/>
            <w:tcBorders>
              <w:top w:val="single" w:color="000000" w:sz="4" w:space="0"/>
              <w:left w:val="nil"/>
              <w:bottom w:val="single" w:color="auto" w:sz="4" w:space="0"/>
              <w:right w:val="single" w:color="auto" w:sz="4" w:space="0"/>
            </w:tcBorders>
            <w:vAlign w:val="center"/>
          </w:tcPr>
          <w:p>
            <w:pPr>
              <w:pStyle w:val="19"/>
              <w:ind w:firstLine="0" w:firstLineChars="0"/>
              <w:rPr>
                <w:rFonts w:ascii="Calibri" w:hAnsi="Calibri" w:eastAsia="宋体" w:cs="Calibri"/>
                <w:color w:val="auto"/>
                <w:sz w:val="18"/>
                <w:szCs w:val="18"/>
                <w:highlight w:val="none"/>
              </w:rPr>
            </w:pPr>
            <w:r>
              <w:rPr>
                <w:rFonts w:hint="eastAsia" w:ascii="Calibri" w:hAnsi="Calibri" w:eastAsia="宋体" w:cs="Calibri"/>
                <w:color w:val="auto"/>
                <w:sz w:val="18"/>
                <w:szCs w:val="18"/>
                <w:highlight w:val="none"/>
              </w:rPr>
              <w:t>通过人体关键点识别和分析，实现人员行为甄别。</w:t>
            </w:r>
          </w:p>
        </w:tc>
      </w:tr>
      <w:tr>
        <w:tblPrEx>
          <w:tblCellMar>
            <w:top w:w="0" w:type="dxa"/>
            <w:left w:w="0" w:type="dxa"/>
            <w:bottom w:w="0" w:type="dxa"/>
            <w:right w:w="0" w:type="dxa"/>
          </w:tblCellMar>
        </w:tblPrEx>
        <w:trPr>
          <w:trHeight w:val="23" w:hRule="atLeast"/>
        </w:trPr>
        <w:tc>
          <w:tcPr>
            <w:tcW w:w="2235" w:type="dxa"/>
            <w:vMerge w:val="continue"/>
            <w:tcBorders>
              <w:left w:val="single" w:color="auto" w:sz="4" w:space="0"/>
              <w:right w:val="single" w:color="000000" w:sz="4" w:space="0"/>
            </w:tcBorders>
            <w:vAlign w:val="center"/>
          </w:tcPr>
          <w:p>
            <w:pPr>
              <w:widowControl/>
              <w:jc w:val="left"/>
              <w:textAlignment w:val="center"/>
              <w:rPr>
                <w:rFonts w:ascii="宋体" w:hAnsi="宋体"/>
                <w:color w:val="auto"/>
                <w:sz w:val="18"/>
                <w:szCs w:val="18"/>
                <w:highlight w:val="none"/>
              </w:rPr>
            </w:pPr>
          </w:p>
        </w:tc>
        <w:tc>
          <w:tcPr>
            <w:tcW w:w="2406" w:type="dxa"/>
            <w:tcBorders>
              <w:top w:val="single" w:color="000000" w:sz="4" w:space="0"/>
              <w:left w:val="nil"/>
              <w:bottom w:val="single" w:color="auto" w:sz="4" w:space="0"/>
              <w:right w:val="single" w:color="000000" w:sz="4" w:space="0"/>
            </w:tcBorders>
            <w:vAlign w:val="center"/>
          </w:tcPr>
          <w:p>
            <w:pPr>
              <w:widowControl/>
              <w:jc w:val="left"/>
              <w:textAlignment w:val="center"/>
              <w:rPr>
                <w:rFonts w:ascii="宋体" w:hAnsi="宋体"/>
                <w:color w:val="auto"/>
                <w:kern w:val="0"/>
                <w:sz w:val="18"/>
                <w:szCs w:val="18"/>
                <w:highlight w:val="none"/>
              </w:rPr>
            </w:pPr>
            <w:r>
              <w:rPr>
                <w:rFonts w:hint="eastAsia" w:ascii="宋体" w:hAnsi="宋体"/>
                <w:color w:val="auto"/>
                <w:kern w:val="0"/>
                <w:sz w:val="18"/>
                <w:szCs w:val="18"/>
                <w:highlight w:val="none"/>
              </w:rPr>
              <w:t>烟火检测模型</w:t>
            </w:r>
          </w:p>
        </w:tc>
        <w:tc>
          <w:tcPr>
            <w:tcW w:w="4779" w:type="dxa"/>
            <w:tcBorders>
              <w:top w:val="single" w:color="000000" w:sz="4" w:space="0"/>
              <w:left w:val="nil"/>
              <w:bottom w:val="single" w:color="auto" w:sz="4" w:space="0"/>
              <w:right w:val="single" w:color="auto" w:sz="4" w:space="0"/>
            </w:tcBorders>
            <w:vAlign w:val="center"/>
          </w:tcPr>
          <w:p>
            <w:pPr>
              <w:pStyle w:val="19"/>
              <w:ind w:firstLine="0" w:firstLineChars="0"/>
              <w:rPr>
                <w:rFonts w:ascii="Calibri" w:hAnsi="Calibri" w:eastAsia="宋体" w:cs="Calibri"/>
                <w:color w:val="auto"/>
                <w:sz w:val="18"/>
                <w:szCs w:val="18"/>
                <w:highlight w:val="none"/>
              </w:rPr>
            </w:pPr>
            <w:r>
              <w:rPr>
                <w:rFonts w:hint="eastAsia" w:ascii="Calibri" w:hAnsi="Calibri" w:eastAsia="宋体" w:cs="Calibri"/>
                <w:color w:val="auto"/>
                <w:sz w:val="18"/>
                <w:szCs w:val="18"/>
                <w:highlight w:val="none"/>
              </w:rPr>
              <w:t>利用火焰的动态特征和静态特征从而对火焰进行识别。</w:t>
            </w:r>
          </w:p>
        </w:tc>
      </w:tr>
      <w:tr>
        <w:tblPrEx>
          <w:tblCellMar>
            <w:top w:w="0" w:type="dxa"/>
            <w:left w:w="0" w:type="dxa"/>
            <w:bottom w:w="0" w:type="dxa"/>
            <w:right w:w="0" w:type="dxa"/>
          </w:tblCellMar>
        </w:tblPrEx>
        <w:trPr>
          <w:trHeight w:val="23" w:hRule="atLeast"/>
        </w:trPr>
        <w:tc>
          <w:tcPr>
            <w:tcW w:w="2235" w:type="dxa"/>
            <w:vMerge w:val="continue"/>
            <w:tcBorders>
              <w:left w:val="single" w:color="auto" w:sz="4" w:space="0"/>
              <w:right w:val="single" w:color="000000" w:sz="4" w:space="0"/>
            </w:tcBorders>
            <w:vAlign w:val="center"/>
          </w:tcPr>
          <w:p>
            <w:pPr>
              <w:widowControl/>
              <w:jc w:val="left"/>
              <w:textAlignment w:val="center"/>
              <w:rPr>
                <w:rFonts w:ascii="宋体" w:hAnsi="宋体"/>
                <w:color w:val="auto"/>
                <w:sz w:val="18"/>
                <w:szCs w:val="18"/>
                <w:highlight w:val="none"/>
              </w:rPr>
            </w:pPr>
          </w:p>
        </w:tc>
        <w:tc>
          <w:tcPr>
            <w:tcW w:w="2406" w:type="dxa"/>
            <w:tcBorders>
              <w:top w:val="single" w:color="000000" w:sz="4" w:space="0"/>
              <w:left w:val="nil"/>
              <w:bottom w:val="single" w:color="auto" w:sz="4" w:space="0"/>
              <w:right w:val="single" w:color="000000" w:sz="4" w:space="0"/>
            </w:tcBorders>
            <w:vAlign w:val="center"/>
          </w:tcPr>
          <w:p>
            <w:pPr>
              <w:widowControl/>
              <w:jc w:val="left"/>
              <w:textAlignment w:val="center"/>
              <w:rPr>
                <w:rFonts w:ascii="宋体" w:hAnsi="宋体"/>
                <w:color w:val="auto"/>
                <w:kern w:val="0"/>
                <w:sz w:val="18"/>
                <w:szCs w:val="18"/>
                <w:highlight w:val="none"/>
              </w:rPr>
            </w:pPr>
            <w:r>
              <w:rPr>
                <w:rFonts w:hint="eastAsia" w:ascii="宋体" w:hAnsi="宋体"/>
                <w:color w:val="auto"/>
                <w:kern w:val="0"/>
                <w:sz w:val="18"/>
                <w:szCs w:val="18"/>
                <w:highlight w:val="none"/>
              </w:rPr>
              <w:t>人员入侵模型</w:t>
            </w:r>
          </w:p>
        </w:tc>
        <w:tc>
          <w:tcPr>
            <w:tcW w:w="4779" w:type="dxa"/>
            <w:tcBorders>
              <w:top w:val="single" w:color="000000" w:sz="4" w:space="0"/>
              <w:left w:val="nil"/>
              <w:bottom w:val="single" w:color="auto" w:sz="4" w:space="0"/>
              <w:right w:val="single" w:color="auto" w:sz="4" w:space="0"/>
            </w:tcBorders>
            <w:vAlign w:val="center"/>
          </w:tcPr>
          <w:p>
            <w:pPr>
              <w:pStyle w:val="19"/>
              <w:ind w:firstLine="0" w:firstLineChars="0"/>
              <w:rPr>
                <w:rFonts w:ascii="Calibri" w:hAnsi="Calibri" w:eastAsia="宋体" w:cs="Calibri"/>
                <w:color w:val="auto"/>
                <w:sz w:val="18"/>
                <w:szCs w:val="18"/>
                <w:highlight w:val="none"/>
              </w:rPr>
            </w:pPr>
            <w:r>
              <w:rPr>
                <w:rFonts w:hint="eastAsia" w:ascii="Calibri" w:hAnsi="Calibri" w:eastAsia="宋体" w:cs="Calibri"/>
                <w:color w:val="auto"/>
                <w:sz w:val="18"/>
                <w:szCs w:val="18"/>
                <w:highlight w:val="none"/>
              </w:rPr>
              <w:t>对视频做实时检测，当侦测到目标入侵用户设置的警戒线/区域时，系统自动产生报警。</w:t>
            </w:r>
          </w:p>
        </w:tc>
      </w:tr>
      <w:tr>
        <w:tblPrEx>
          <w:tblCellMar>
            <w:top w:w="0" w:type="dxa"/>
            <w:left w:w="0" w:type="dxa"/>
            <w:bottom w:w="0" w:type="dxa"/>
            <w:right w:w="0" w:type="dxa"/>
          </w:tblCellMar>
        </w:tblPrEx>
        <w:trPr>
          <w:trHeight w:val="23" w:hRule="atLeast"/>
        </w:trPr>
        <w:tc>
          <w:tcPr>
            <w:tcW w:w="2235" w:type="dxa"/>
            <w:vMerge w:val="continue"/>
            <w:tcBorders>
              <w:left w:val="single" w:color="auto" w:sz="4" w:space="0"/>
              <w:bottom w:val="single" w:color="auto" w:sz="4" w:space="0"/>
              <w:right w:val="single" w:color="000000" w:sz="4" w:space="0"/>
            </w:tcBorders>
            <w:vAlign w:val="center"/>
          </w:tcPr>
          <w:p>
            <w:pPr>
              <w:widowControl/>
              <w:jc w:val="left"/>
              <w:textAlignment w:val="center"/>
              <w:rPr>
                <w:rFonts w:ascii="宋体" w:hAnsi="宋体"/>
                <w:color w:val="auto"/>
                <w:sz w:val="18"/>
                <w:szCs w:val="18"/>
                <w:highlight w:val="none"/>
              </w:rPr>
            </w:pPr>
          </w:p>
        </w:tc>
        <w:tc>
          <w:tcPr>
            <w:tcW w:w="2406" w:type="dxa"/>
            <w:tcBorders>
              <w:top w:val="single" w:color="000000" w:sz="4" w:space="0"/>
              <w:left w:val="nil"/>
              <w:bottom w:val="single" w:color="auto" w:sz="4" w:space="0"/>
              <w:right w:val="single" w:color="000000" w:sz="4" w:space="0"/>
            </w:tcBorders>
            <w:vAlign w:val="center"/>
          </w:tcPr>
          <w:p>
            <w:pPr>
              <w:widowControl/>
              <w:jc w:val="left"/>
              <w:textAlignment w:val="center"/>
              <w:rPr>
                <w:rFonts w:ascii="宋体" w:hAnsi="宋体"/>
                <w:color w:val="auto"/>
                <w:kern w:val="0"/>
                <w:sz w:val="18"/>
                <w:szCs w:val="18"/>
                <w:highlight w:val="none"/>
              </w:rPr>
            </w:pPr>
            <w:r>
              <w:rPr>
                <w:rFonts w:hint="eastAsia" w:ascii="宋体" w:hAnsi="宋体"/>
                <w:color w:val="auto"/>
                <w:kern w:val="0"/>
                <w:sz w:val="18"/>
                <w:szCs w:val="18"/>
                <w:highlight w:val="none"/>
              </w:rPr>
              <w:t>绊线检测模型</w:t>
            </w:r>
          </w:p>
        </w:tc>
        <w:tc>
          <w:tcPr>
            <w:tcW w:w="4779" w:type="dxa"/>
            <w:tcBorders>
              <w:top w:val="single" w:color="000000" w:sz="4" w:space="0"/>
              <w:left w:val="nil"/>
              <w:bottom w:val="single" w:color="auto" w:sz="4" w:space="0"/>
              <w:right w:val="single" w:color="auto" w:sz="4" w:space="0"/>
            </w:tcBorders>
            <w:vAlign w:val="center"/>
          </w:tcPr>
          <w:p>
            <w:pPr>
              <w:pStyle w:val="19"/>
              <w:ind w:firstLine="0" w:firstLineChars="0"/>
              <w:rPr>
                <w:rFonts w:ascii="Calibri" w:hAnsi="Calibri" w:eastAsia="宋体" w:cs="Calibri"/>
                <w:color w:val="auto"/>
                <w:sz w:val="18"/>
                <w:szCs w:val="18"/>
                <w:highlight w:val="none"/>
              </w:rPr>
            </w:pPr>
            <w:r>
              <w:rPr>
                <w:rFonts w:hint="eastAsia" w:ascii="Calibri" w:hAnsi="Calibri" w:eastAsia="宋体" w:cs="Calibri"/>
                <w:color w:val="auto"/>
                <w:sz w:val="18"/>
                <w:szCs w:val="18"/>
                <w:highlight w:val="none"/>
              </w:rPr>
              <w:t>自动检测穿越绊线的入侵者，当入侵者穿越设置的警戒线时，发出报警</w:t>
            </w:r>
            <w:r>
              <w:rPr>
                <w:rFonts w:ascii="Calibri" w:hAnsi="Calibri" w:eastAsia="宋体" w:cs="Calibri"/>
                <w:color w:val="auto"/>
                <w:sz w:val="18"/>
                <w:szCs w:val="18"/>
                <w:highlight w:val="none"/>
              </w:rPr>
              <w:cr/>
            </w:r>
            <w:r>
              <w:rPr>
                <w:rFonts w:hint="eastAsia" w:ascii="Calibri" w:hAnsi="Calibri" w:eastAsia="宋体" w:cs="Calibri"/>
                <w:color w:val="auto"/>
                <w:sz w:val="18"/>
                <w:szCs w:val="18"/>
                <w:highlight w:val="none"/>
              </w:rPr>
              <w:t>。</w:t>
            </w:r>
          </w:p>
        </w:tc>
      </w:tr>
    </w:tbl>
    <w:p>
      <w:pPr>
        <w:rPr>
          <w:color w:val="auto"/>
          <w:highlight w:val="none"/>
          <w:lang w:eastAsia="ar-SA"/>
        </w:rPr>
      </w:pPr>
    </w:p>
    <w:p>
      <w:pPr>
        <w:pStyle w:val="6"/>
        <w:rPr>
          <w:color w:val="auto"/>
          <w:highlight w:val="none"/>
        </w:rPr>
      </w:pPr>
      <w:r>
        <w:rPr>
          <w:rFonts w:hint="eastAsia"/>
          <w:color w:val="auto"/>
          <w:highlight w:val="none"/>
        </w:rPr>
        <w:t>人工智能服务集成平台</w:t>
      </w:r>
    </w:p>
    <w:tbl>
      <w:tblPr>
        <w:tblStyle w:val="9"/>
        <w:tblW w:w="9420" w:type="dxa"/>
        <w:tblInd w:w="0" w:type="dxa"/>
        <w:tblLayout w:type="fixed"/>
        <w:tblCellMar>
          <w:top w:w="0" w:type="dxa"/>
          <w:left w:w="0" w:type="dxa"/>
          <w:bottom w:w="0" w:type="dxa"/>
          <w:right w:w="0" w:type="dxa"/>
        </w:tblCellMar>
      </w:tblPr>
      <w:tblGrid>
        <w:gridCol w:w="2235"/>
        <w:gridCol w:w="2406"/>
        <w:gridCol w:w="4779"/>
      </w:tblGrid>
      <w:tr>
        <w:tblPrEx>
          <w:tblCellMar>
            <w:top w:w="0" w:type="dxa"/>
            <w:left w:w="0" w:type="dxa"/>
            <w:bottom w:w="0" w:type="dxa"/>
            <w:right w:w="0" w:type="dxa"/>
          </w:tblCellMar>
        </w:tblPrEx>
        <w:trPr>
          <w:trHeight w:val="261" w:hRule="atLeast"/>
        </w:trPr>
        <w:tc>
          <w:tcPr>
            <w:tcW w:w="223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Calibri" w:hAnsi="Calibri" w:cs="Calibri"/>
                <w:b/>
                <w:bCs/>
                <w:color w:val="auto"/>
                <w:sz w:val="18"/>
                <w:szCs w:val="18"/>
                <w:highlight w:val="none"/>
              </w:rPr>
            </w:pPr>
            <w:bookmarkStart w:id="1" w:name="_Hlk27562923"/>
            <w:r>
              <w:rPr>
                <w:rStyle w:val="18"/>
                <w:rFonts w:hint="default"/>
                <w:color w:val="auto"/>
                <w:sz w:val="18"/>
                <w:szCs w:val="18"/>
                <w:highlight w:val="none"/>
              </w:rPr>
              <w:t>建设内容</w:t>
            </w:r>
          </w:p>
        </w:tc>
        <w:tc>
          <w:tcPr>
            <w:tcW w:w="2406" w:type="dxa"/>
            <w:tcBorders>
              <w:top w:val="single" w:color="000000" w:sz="4" w:space="0"/>
              <w:left w:val="nil"/>
              <w:bottom w:val="single" w:color="auto" w:sz="4" w:space="0"/>
              <w:right w:val="single" w:color="000000" w:sz="4" w:space="0"/>
            </w:tcBorders>
            <w:vAlign w:val="center"/>
          </w:tcPr>
          <w:p>
            <w:pPr>
              <w:widowControl/>
              <w:jc w:val="center"/>
              <w:textAlignment w:val="center"/>
              <w:rPr>
                <w:rStyle w:val="18"/>
                <w:rFonts w:hint="default"/>
                <w:b/>
                <w:bCs/>
                <w:color w:val="auto"/>
                <w:sz w:val="18"/>
                <w:szCs w:val="18"/>
                <w:highlight w:val="none"/>
              </w:rPr>
            </w:pPr>
            <w:r>
              <w:rPr>
                <w:rStyle w:val="18"/>
                <w:rFonts w:hint="default"/>
                <w:color w:val="auto"/>
                <w:sz w:val="18"/>
                <w:szCs w:val="18"/>
                <w:highlight w:val="none"/>
              </w:rPr>
              <w:t>子模块</w:t>
            </w:r>
          </w:p>
        </w:tc>
        <w:tc>
          <w:tcPr>
            <w:tcW w:w="4779" w:type="dxa"/>
            <w:tcBorders>
              <w:top w:val="single" w:color="000000" w:sz="4" w:space="0"/>
              <w:left w:val="nil"/>
              <w:bottom w:val="single" w:color="auto" w:sz="4" w:space="0"/>
              <w:right w:val="single" w:color="000000" w:sz="4" w:space="0"/>
            </w:tcBorders>
            <w:vAlign w:val="center"/>
          </w:tcPr>
          <w:p>
            <w:pPr>
              <w:widowControl/>
              <w:jc w:val="center"/>
              <w:textAlignment w:val="center"/>
              <w:rPr>
                <w:rFonts w:ascii="Calibri" w:hAnsi="Calibri" w:cs="Calibri"/>
                <w:color w:val="auto"/>
                <w:highlight w:val="none"/>
              </w:rPr>
            </w:pPr>
            <w:r>
              <w:rPr>
                <w:rFonts w:hint="eastAsia" w:ascii="Calibri" w:hAnsi="Calibri" w:cs="Calibri"/>
                <w:b/>
                <w:bCs/>
                <w:color w:val="auto"/>
                <w:sz w:val="18"/>
                <w:szCs w:val="18"/>
                <w:highlight w:val="none"/>
              </w:rPr>
              <w:t>详细功能</w:t>
            </w:r>
          </w:p>
        </w:tc>
      </w:tr>
      <w:bookmarkEnd w:id="1"/>
      <w:tr>
        <w:tblPrEx>
          <w:tblCellMar>
            <w:top w:w="0" w:type="dxa"/>
            <w:left w:w="0" w:type="dxa"/>
            <w:bottom w:w="0" w:type="dxa"/>
            <w:right w:w="0" w:type="dxa"/>
          </w:tblCellMar>
        </w:tblPrEx>
        <w:trPr>
          <w:trHeight w:val="191" w:hRule="atLeast"/>
        </w:trPr>
        <w:tc>
          <w:tcPr>
            <w:tcW w:w="2235" w:type="dxa"/>
            <w:vMerge w:val="restart"/>
            <w:tcBorders>
              <w:top w:val="single" w:color="auto" w:sz="4" w:space="0"/>
              <w:left w:val="single" w:color="auto" w:sz="4" w:space="0"/>
              <w:right w:val="single" w:color="auto" w:sz="4" w:space="0"/>
            </w:tcBorders>
            <w:vAlign w:val="center"/>
          </w:tcPr>
          <w:p>
            <w:pPr>
              <w:widowControl/>
              <w:jc w:val="left"/>
              <w:textAlignment w:val="center"/>
              <w:rPr>
                <w:rFonts w:ascii="Calibri" w:hAnsi="Calibri" w:cs="Calibri"/>
                <w:color w:val="auto"/>
                <w:kern w:val="0"/>
                <w:sz w:val="18"/>
                <w:szCs w:val="18"/>
                <w:highlight w:val="none"/>
              </w:rPr>
            </w:pPr>
            <w:r>
              <w:rPr>
                <w:rFonts w:hint="eastAsia" w:ascii="Calibri" w:hAnsi="Calibri" w:cs="Calibri"/>
                <w:color w:val="auto"/>
                <w:kern w:val="0"/>
                <w:sz w:val="18"/>
                <w:szCs w:val="18"/>
                <w:highlight w:val="none"/>
              </w:rPr>
              <w:t>人工智能服务集成平台</w:t>
            </w:r>
          </w:p>
          <w:p>
            <w:pPr>
              <w:jc w:val="left"/>
              <w:textAlignment w:val="center"/>
              <w:rPr>
                <w:rFonts w:ascii="Calibri" w:hAnsi="Calibri" w:cs="Calibri"/>
                <w:color w:val="auto"/>
                <w:kern w:val="0"/>
                <w:sz w:val="18"/>
                <w:szCs w:val="18"/>
                <w:highlight w:val="none"/>
              </w:rPr>
            </w:pPr>
          </w:p>
        </w:tc>
        <w:tc>
          <w:tcPr>
            <w:tcW w:w="2406" w:type="dxa"/>
            <w:tcBorders>
              <w:top w:val="single" w:color="auto" w:sz="4" w:space="0"/>
              <w:left w:val="single" w:color="auto" w:sz="4" w:space="0"/>
              <w:bottom w:val="single" w:color="auto" w:sz="4" w:space="0"/>
              <w:right w:val="single" w:color="auto" w:sz="4" w:space="0"/>
            </w:tcBorders>
            <w:vAlign w:val="center"/>
          </w:tcPr>
          <w:p>
            <w:pPr>
              <w:jc w:val="left"/>
              <w:rPr>
                <w:rFonts w:ascii="Calibri" w:hAnsi="Calibri" w:cs="Calibri"/>
                <w:color w:val="auto"/>
                <w:sz w:val="18"/>
                <w:szCs w:val="18"/>
                <w:highlight w:val="none"/>
              </w:rPr>
            </w:pPr>
            <w:r>
              <w:rPr>
                <w:rFonts w:hint="eastAsia" w:ascii="Calibri" w:hAnsi="Calibri" w:cs="Calibri"/>
                <w:color w:val="auto"/>
                <w:sz w:val="18"/>
                <w:szCs w:val="18"/>
                <w:highlight w:val="none"/>
              </w:rPr>
              <w:t>视频前端接入控制和管理子模块</w:t>
            </w:r>
          </w:p>
        </w:tc>
        <w:tc>
          <w:tcPr>
            <w:tcW w:w="4779" w:type="dxa"/>
            <w:tcBorders>
              <w:top w:val="single" w:color="auto" w:sz="4" w:space="0"/>
              <w:left w:val="single" w:color="auto" w:sz="4" w:space="0"/>
              <w:bottom w:val="single" w:color="auto" w:sz="4" w:space="0"/>
              <w:right w:val="single" w:color="auto" w:sz="4" w:space="0"/>
            </w:tcBorders>
            <w:vAlign w:val="center"/>
          </w:tcPr>
          <w:p>
            <w:pPr>
              <w:pStyle w:val="19"/>
              <w:widowControl/>
              <w:ind w:firstLine="0" w:firstLineChars="0"/>
              <w:textAlignment w:val="center"/>
              <w:rPr>
                <w:rFonts w:ascii="Calibri" w:hAnsi="Calibri" w:eastAsia="宋体" w:cs="Calibri"/>
                <w:color w:val="auto"/>
                <w:sz w:val="18"/>
                <w:szCs w:val="18"/>
                <w:highlight w:val="none"/>
              </w:rPr>
            </w:pPr>
            <w:r>
              <w:rPr>
                <w:rFonts w:hint="eastAsia" w:ascii="Calibri" w:hAnsi="Calibri" w:eastAsia="宋体" w:cs="Calibri"/>
                <w:color w:val="auto"/>
                <w:sz w:val="18"/>
                <w:szCs w:val="18"/>
                <w:highlight w:val="none"/>
              </w:rPr>
              <w:t>实现前端摄像头的接入和认证控制；实时监测摄像头在线状态。</w:t>
            </w:r>
          </w:p>
        </w:tc>
      </w:tr>
      <w:tr>
        <w:tblPrEx>
          <w:tblCellMar>
            <w:top w:w="0" w:type="dxa"/>
            <w:left w:w="0" w:type="dxa"/>
            <w:bottom w:w="0" w:type="dxa"/>
            <w:right w:w="0" w:type="dxa"/>
          </w:tblCellMar>
        </w:tblPrEx>
        <w:trPr>
          <w:trHeight w:val="191" w:hRule="atLeast"/>
        </w:trPr>
        <w:tc>
          <w:tcPr>
            <w:tcW w:w="2235" w:type="dxa"/>
            <w:vMerge w:val="continue"/>
            <w:tcBorders>
              <w:left w:val="single" w:color="auto" w:sz="4" w:space="0"/>
              <w:right w:val="single" w:color="auto" w:sz="4" w:space="0"/>
            </w:tcBorders>
            <w:vAlign w:val="center"/>
          </w:tcPr>
          <w:p>
            <w:pPr>
              <w:jc w:val="left"/>
              <w:textAlignment w:val="center"/>
              <w:rPr>
                <w:rFonts w:ascii="Calibri" w:hAnsi="Calibri" w:cs="Calibri"/>
                <w:color w:val="auto"/>
                <w:kern w:val="0"/>
                <w:sz w:val="18"/>
                <w:szCs w:val="18"/>
                <w:highlight w:val="none"/>
              </w:rPr>
            </w:pPr>
          </w:p>
        </w:tc>
        <w:tc>
          <w:tcPr>
            <w:tcW w:w="2406" w:type="dxa"/>
            <w:tcBorders>
              <w:top w:val="single" w:color="auto" w:sz="4" w:space="0"/>
              <w:left w:val="single" w:color="auto" w:sz="4" w:space="0"/>
              <w:bottom w:val="single" w:color="auto" w:sz="4" w:space="0"/>
              <w:right w:val="single" w:color="auto" w:sz="4" w:space="0"/>
            </w:tcBorders>
            <w:vAlign w:val="center"/>
          </w:tcPr>
          <w:p>
            <w:pPr>
              <w:jc w:val="left"/>
              <w:rPr>
                <w:rFonts w:ascii="Calibri" w:hAnsi="Calibri" w:cs="Calibri"/>
                <w:color w:val="auto"/>
                <w:sz w:val="18"/>
                <w:szCs w:val="18"/>
                <w:highlight w:val="none"/>
              </w:rPr>
            </w:pPr>
            <w:r>
              <w:rPr>
                <w:rFonts w:hint="eastAsia" w:ascii="Calibri" w:hAnsi="Calibri" w:cs="Calibri"/>
                <w:color w:val="auto"/>
                <w:sz w:val="18"/>
                <w:szCs w:val="18"/>
                <w:highlight w:val="none"/>
              </w:rPr>
              <w:t>视频流编解码子模块</w:t>
            </w:r>
          </w:p>
        </w:tc>
        <w:tc>
          <w:tcPr>
            <w:tcW w:w="4779" w:type="dxa"/>
            <w:tcBorders>
              <w:top w:val="single" w:color="auto" w:sz="4" w:space="0"/>
              <w:left w:val="single" w:color="auto" w:sz="4" w:space="0"/>
              <w:bottom w:val="single" w:color="auto" w:sz="4" w:space="0"/>
              <w:right w:val="single" w:color="auto" w:sz="4" w:space="0"/>
            </w:tcBorders>
            <w:vAlign w:val="center"/>
          </w:tcPr>
          <w:p>
            <w:pPr>
              <w:pStyle w:val="19"/>
              <w:widowControl/>
              <w:ind w:firstLine="0" w:firstLineChars="0"/>
              <w:textAlignment w:val="center"/>
              <w:rPr>
                <w:rFonts w:ascii="Calibri" w:hAnsi="Calibri" w:eastAsia="宋体" w:cs="Calibri"/>
                <w:color w:val="auto"/>
                <w:sz w:val="18"/>
                <w:szCs w:val="18"/>
                <w:highlight w:val="none"/>
              </w:rPr>
            </w:pPr>
            <w:r>
              <w:rPr>
                <w:rFonts w:hint="eastAsia" w:ascii="Calibri" w:hAnsi="Calibri" w:eastAsia="宋体" w:cs="Calibri"/>
                <w:color w:val="auto"/>
                <w:sz w:val="18"/>
                <w:szCs w:val="18"/>
                <w:highlight w:val="none"/>
              </w:rPr>
              <w:t>视频RTP</w:t>
            </w:r>
            <w:r>
              <w:rPr>
                <w:rFonts w:hint="eastAsia" w:ascii="宋体" w:hAnsi="宋体" w:eastAsia="宋体" w:cs="Calibri"/>
                <w:color w:val="auto"/>
                <w:sz w:val="18"/>
                <w:szCs w:val="18"/>
                <w:highlight w:val="none"/>
              </w:rPr>
              <w:t>码流的接收、缓存、去抖，基于</w:t>
            </w:r>
            <w:r>
              <w:rPr>
                <w:rFonts w:hint="eastAsia" w:ascii="Calibri" w:hAnsi="Calibri" w:eastAsia="宋体" w:cs="Calibri"/>
                <w:color w:val="auto"/>
                <w:sz w:val="18"/>
                <w:szCs w:val="18"/>
                <w:highlight w:val="none"/>
              </w:rPr>
              <w:t>H</w:t>
            </w:r>
            <w:r>
              <w:rPr>
                <w:rFonts w:ascii="Calibri" w:hAnsi="Calibri" w:eastAsia="宋体" w:cs="Calibri"/>
                <w:color w:val="auto"/>
                <w:sz w:val="18"/>
                <w:szCs w:val="18"/>
                <w:highlight w:val="none"/>
              </w:rPr>
              <w:t>.264</w:t>
            </w:r>
            <w:r>
              <w:rPr>
                <w:rFonts w:hint="eastAsia" w:ascii="Calibri" w:hAnsi="Calibri" w:eastAsia="宋体" w:cs="Calibri"/>
                <w:color w:val="auto"/>
                <w:sz w:val="18"/>
                <w:szCs w:val="18"/>
                <w:highlight w:val="none"/>
              </w:rPr>
              <w:t>或者H</w:t>
            </w:r>
            <w:r>
              <w:rPr>
                <w:rFonts w:ascii="Calibri" w:hAnsi="Calibri" w:eastAsia="宋体" w:cs="Calibri"/>
                <w:color w:val="auto"/>
                <w:sz w:val="18"/>
                <w:szCs w:val="18"/>
                <w:highlight w:val="none"/>
              </w:rPr>
              <w:t>.265</w:t>
            </w:r>
            <w:r>
              <w:rPr>
                <w:rFonts w:hint="eastAsia" w:ascii="Calibri" w:hAnsi="Calibri" w:eastAsia="宋体" w:cs="Calibri"/>
                <w:color w:val="auto"/>
                <w:sz w:val="18"/>
                <w:szCs w:val="18"/>
                <w:highlight w:val="none"/>
              </w:rPr>
              <w:t>标准进行视频解码；</w:t>
            </w:r>
          </w:p>
        </w:tc>
      </w:tr>
      <w:tr>
        <w:tblPrEx>
          <w:tblCellMar>
            <w:top w:w="0" w:type="dxa"/>
            <w:left w:w="0" w:type="dxa"/>
            <w:bottom w:w="0" w:type="dxa"/>
            <w:right w:w="0" w:type="dxa"/>
          </w:tblCellMar>
        </w:tblPrEx>
        <w:trPr>
          <w:trHeight w:val="191" w:hRule="atLeast"/>
        </w:trPr>
        <w:tc>
          <w:tcPr>
            <w:tcW w:w="2235" w:type="dxa"/>
            <w:vMerge w:val="continue"/>
            <w:tcBorders>
              <w:left w:val="single" w:color="auto" w:sz="4" w:space="0"/>
              <w:right w:val="single" w:color="auto" w:sz="4" w:space="0"/>
            </w:tcBorders>
            <w:vAlign w:val="center"/>
          </w:tcPr>
          <w:p>
            <w:pPr>
              <w:jc w:val="left"/>
              <w:textAlignment w:val="center"/>
              <w:rPr>
                <w:rFonts w:ascii="Calibri" w:hAnsi="Calibri" w:cs="Calibri"/>
                <w:color w:val="auto"/>
                <w:kern w:val="0"/>
                <w:sz w:val="18"/>
                <w:szCs w:val="18"/>
                <w:highlight w:val="none"/>
              </w:rPr>
            </w:pPr>
          </w:p>
        </w:tc>
        <w:tc>
          <w:tcPr>
            <w:tcW w:w="2406" w:type="dxa"/>
            <w:tcBorders>
              <w:top w:val="single" w:color="auto" w:sz="4" w:space="0"/>
              <w:left w:val="single" w:color="auto" w:sz="4" w:space="0"/>
              <w:bottom w:val="single" w:color="auto" w:sz="4" w:space="0"/>
              <w:right w:val="single" w:color="auto" w:sz="4" w:space="0"/>
            </w:tcBorders>
            <w:vAlign w:val="center"/>
          </w:tcPr>
          <w:p>
            <w:pPr>
              <w:jc w:val="left"/>
              <w:rPr>
                <w:rFonts w:ascii="Calibri" w:hAnsi="Calibri" w:cs="Calibri"/>
                <w:color w:val="auto"/>
                <w:sz w:val="18"/>
                <w:szCs w:val="18"/>
                <w:highlight w:val="none"/>
              </w:rPr>
            </w:pPr>
            <w:r>
              <w:rPr>
                <w:rFonts w:hint="eastAsia" w:ascii="Calibri" w:hAnsi="Calibri" w:cs="Calibri"/>
                <w:color w:val="auto"/>
                <w:sz w:val="18"/>
                <w:szCs w:val="18"/>
                <w:highlight w:val="none"/>
              </w:rPr>
              <w:t>视频流服务子模块</w:t>
            </w:r>
          </w:p>
        </w:tc>
        <w:tc>
          <w:tcPr>
            <w:tcW w:w="4779" w:type="dxa"/>
            <w:tcBorders>
              <w:top w:val="single" w:color="auto" w:sz="4" w:space="0"/>
              <w:left w:val="single" w:color="auto" w:sz="4" w:space="0"/>
              <w:bottom w:val="single" w:color="auto" w:sz="4" w:space="0"/>
              <w:right w:val="single" w:color="auto" w:sz="4" w:space="0"/>
            </w:tcBorders>
            <w:vAlign w:val="center"/>
          </w:tcPr>
          <w:p>
            <w:pPr>
              <w:pStyle w:val="19"/>
              <w:widowControl/>
              <w:ind w:firstLine="0" w:firstLineChars="0"/>
              <w:textAlignment w:val="center"/>
              <w:rPr>
                <w:rFonts w:ascii="Calibri" w:hAnsi="Calibri" w:eastAsia="宋体" w:cs="Calibri"/>
                <w:color w:val="auto"/>
                <w:sz w:val="18"/>
                <w:szCs w:val="18"/>
                <w:highlight w:val="none"/>
              </w:rPr>
            </w:pPr>
            <w:r>
              <w:rPr>
                <w:rFonts w:hint="eastAsia" w:ascii="Calibri" w:hAnsi="Calibri" w:eastAsia="宋体" w:cs="Calibri"/>
                <w:color w:val="auto"/>
                <w:sz w:val="18"/>
                <w:szCs w:val="18"/>
                <w:highlight w:val="none"/>
              </w:rPr>
              <w:t>响应视频播放请求，视频流实时转码，推送给流媒体服务器。</w:t>
            </w:r>
          </w:p>
        </w:tc>
      </w:tr>
      <w:tr>
        <w:tblPrEx>
          <w:tblCellMar>
            <w:top w:w="0" w:type="dxa"/>
            <w:left w:w="0" w:type="dxa"/>
            <w:bottom w:w="0" w:type="dxa"/>
            <w:right w:w="0" w:type="dxa"/>
          </w:tblCellMar>
        </w:tblPrEx>
        <w:trPr>
          <w:trHeight w:val="191" w:hRule="atLeast"/>
        </w:trPr>
        <w:tc>
          <w:tcPr>
            <w:tcW w:w="2235" w:type="dxa"/>
            <w:vMerge w:val="continue"/>
            <w:tcBorders>
              <w:left w:val="single" w:color="auto" w:sz="4" w:space="0"/>
              <w:right w:val="single" w:color="auto" w:sz="4" w:space="0"/>
            </w:tcBorders>
            <w:vAlign w:val="center"/>
          </w:tcPr>
          <w:p>
            <w:pPr>
              <w:jc w:val="left"/>
              <w:textAlignment w:val="center"/>
              <w:rPr>
                <w:rFonts w:ascii="Calibri" w:hAnsi="Calibri" w:cs="Calibri"/>
                <w:color w:val="auto"/>
                <w:kern w:val="0"/>
                <w:sz w:val="18"/>
                <w:szCs w:val="18"/>
                <w:highlight w:val="none"/>
              </w:rPr>
            </w:pPr>
          </w:p>
        </w:tc>
        <w:tc>
          <w:tcPr>
            <w:tcW w:w="2406" w:type="dxa"/>
            <w:tcBorders>
              <w:top w:val="single" w:color="auto" w:sz="4" w:space="0"/>
              <w:left w:val="single" w:color="auto" w:sz="4" w:space="0"/>
              <w:bottom w:val="single" w:color="auto" w:sz="4" w:space="0"/>
              <w:right w:val="single" w:color="auto" w:sz="4" w:space="0"/>
            </w:tcBorders>
            <w:vAlign w:val="center"/>
          </w:tcPr>
          <w:p>
            <w:pPr>
              <w:jc w:val="left"/>
              <w:rPr>
                <w:rFonts w:ascii="Calibri" w:hAnsi="Calibri" w:cs="Calibri"/>
                <w:color w:val="auto"/>
                <w:sz w:val="18"/>
                <w:szCs w:val="18"/>
                <w:highlight w:val="none"/>
              </w:rPr>
            </w:pPr>
            <w:r>
              <w:rPr>
                <w:rFonts w:hint="eastAsia" w:ascii="Calibri" w:hAnsi="Calibri" w:cs="Calibri"/>
                <w:color w:val="auto"/>
                <w:sz w:val="18"/>
                <w:szCs w:val="18"/>
                <w:highlight w:val="none"/>
              </w:rPr>
              <w:t>数据存储服务子模块</w:t>
            </w:r>
          </w:p>
        </w:tc>
        <w:tc>
          <w:tcPr>
            <w:tcW w:w="4779" w:type="dxa"/>
            <w:tcBorders>
              <w:top w:val="single" w:color="auto" w:sz="4" w:space="0"/>
              <w:left w:val="single" w:color="auto" w:sz="4" w:space="0"/>
              <w:bottom w:val="single" w:color="auto" w:sz="4" w:space="0"/>
              <w:right w:val="single" w:color="auto" w:sz="4" w:space="0"/>
            </w:tcBorders>
            <w:vAlign w:val="center"/>
          </w:tcPr>
          <w:p>
            <w:pPr>
              <w:pStyle w:val="19"/>
              <w:widowControl/>
              <w:ind w:firstLine="0" w:firstLineChars="0"/>
              <w:textAlignment w:val="center"/>
              <w:rPr>
                <w:rFonts w:ascii="Calibri" w:hAnsi="Calibri" w:eastAsia="宋体" w:cs="Calibri"/>
                <w:color w:val="auto"/>
                <w:sz w:val="18"/>
                <w:szCs w:val="18"/>
                <w:highlight w:val="none"/>
              </w:rPr>
            </w:pPr>
            <w:r>
              <w:rPr>
                <w:rFonts w:hint="eastAsia" w:ascii="Calibri" w:hAnsi="Calibri" w:eastAsia="宋体" w:cs="Calibri"/>
                <w:color w:val="auto"/>
                <w:sz w:val="18"/>
                <w:szCs w:val="18"/>
                <w:highlight w:val="none"/>
              </w:rPr>
              <w:t>提供高性能并发的视频数据高速存储和读取的服务；</w:t>
            </w:r>
          </w:p>
        </w:tc>
      </w:tr>
      <w:tr>
        <w:tblPrEx>
          <w:tblCellMar>
            <w:top w:w="0" w:type="dxa"/>
            <w:left w:w="0" w:type="dxa"/>
            <w:bottom w:w="0" w:type="dxa"/>
            <w:right w:w="0" w:type="dxa"/>
          </w:tblCellMar>
        </w:tblPrEx>
        <w:trPr>
          <w:trHeight w:val="191" w:hRule="atLeast"/>
        </w:trPr>
        <w:tc>
          <w:tcPr>
            <w:tcW w:w="2235" w:type="dxa"/>
            <w:vMerge w:val="continue"/>
            <w:tcBorders>
              <w:left w:val="single" w:color="auto" w:sz="4" w:space="0"/>
              <w:right w:val="single" w:color="auto" w:sz="4" w:space="0"/>
            </w:tcBorders>
            <w:vAlign w:val="center"/>
          </w:tcPr>
          <w:p>
            <w:pPr>
              <w:widowControl/>
              <w:jc w:val="left"/>
              <w:textAlignment w:val="center"/>
              <w:rPr>
                <w:rFonts w:ascii="Calibri" w:hAnsi="Calibri" w:cs="Calibri"/>
                <w:color w:val="auto"/>
                <w:kern w:val="0"/>
                <w:sz w:val="18"/>
                <w:szCs w:val="18"/>
                <w:highlight w:val="none"/>
              </w:rPr>
            </w:pPr>
          </w:p>
        </w:tc>
        <w:tc>
          <w:tcPr>
            <w:tcW w:w="2406" w:type="dxa"/>
            <w:tcBorders>
              <w:top w:val="single" w:color="auto" w:sz="4" w:space="0"/>
              <w:left w:val="single" w:color="auto" w:sz="4" w:space="0"/>
              <w:bottom w:val="single" w:color="auto" w:sz="4" w:space="0"/>
              <w:right w:val="single" w:color="auto" w:sz="4" w:space="0"/>
            </w:tcBorders>
            <w:vAlign w:val="center"/>
          </w:tcPr>
          <w:p>
            <w:pPr>
              <w:jc w:val="left"/>
              <w:rPr>
                <w:rFonts w:ascii="Calibri" w:hAnsi="Calibri" w:cs="Calibri"/>
                <w:color w:val="auto"/>
                <w:sz w:val="18"/>
                <w:szCs w:val="18"/>
                <w:highlight w:val="none"/>
              </w:rPr>
            </w:pPr>
            <w:r>
              <w:rPr>
                <w:rFonts w:hint="eastAsia" w:ascii="Calibri" w:hAnsi="Calibri" w:cs="Calibri"/>
                <w:color w:val="auto"/>
                <w:sz w:val="18"/>
                <w:szCs w:val="18"/>
                <w:highlight w:val="none"/>
              </w:rPr>
              <w:t>GPU调度子模块</w:t>
            </w:r>
          </w:p>
        </w:tc>
        <w:tc>
          <w:tcPr>
            <w:tcW w:w="4779" w:type="dxa"/>
            <w:tcBorders>
              <w:top w:val="single" w:color="auto" w:sz="4" w:space="0"/>
              <w:left w:val="single" w:color="auto" w:sz="4" w:space="0"/>
              <w:bottom w:val="single" w:color="auto" w:sz="4" w:space="0"/>
              <w:right w:val="single" w:color="auto" w:sz="4" w:space="0"/>
            </w:tcBorders>
            <w:vAlign w:val="center"/>
          </w:tcPr>
          <w:p>
            <w:pPr>
              <w:pStyle w:val="19"/>
              <w:widowControl/>
              <w:ind w:firstLine="0" w:firstLineChars="0"/>
              <w:textAlignment w:val="center"/>
              <w:rPr>
                <w:rFonts w:ascii="Calibri" w:hAnsi="Calibri" w:eastAsia="宋体" w:cs="Calibri"/>
                <w:color w:val="auto"/>
                <w:sz w:val="18"/>
                <w:szCs w:val="18"/>
                <w:highlight w:val="none"/>
              </w:rPr>
            </w:pPr>
            <w:r>
              <w:rPr>
                <w:rFonts w:hint="eastAsia" w:ascii="Calibri" w:hAnsi="Calibri" w:eastAsia="宋体" w:cs="Calibri"/>
                <w:color w:val="auto"/>
                <w:sz w:val="18"/>
                <w:szCs w:val="18"/>
                <w:highlight w:val="none"/>
              </w:rPr>
              <w:t>实现多任务实时的视频分析功能，支持GPU多卡调度。</w:t>
            </w:r>
          </w:p>
        </w:tc>
      </w:tr>
      <w:tr>
        <w:tblPrEx>
          <w:tblCellMar>
            <w:top w:w="0" w:type="dxa"/>
            <w:left w:w="0" w:type="dxa"/>
            <w:bottom w:w="0" w:type="dxa"/>
            <w:right w:w="0" w:type="dxa"/>
          </w:tblCellMar>
        </w:tblPrEx>
        <w:trPr>
          <w:trHeight w:val="936" w:hRule="atLeast"/>
        </w:trPr>
        <w:tc>
          <w:tcPr>
            <w:tcW w:w="2235" w:type="dxa"/>
            <w:vMerge w:val="continue"/>
            <w:tcBorders>
              <w:left w:val="single" w:color="auto" w:sz="4" w:space="0"/>
              <w:right w:val="single" w:color="auto" w:sz="4" w:space="0"/>
            </w:tcBorders>
            <w:vAlign w:val="center"/>
          </w:tcPr>
          <w:p>
            <w:pPr>
              <w:widowControl/>
              <w:jc w:val="left"/>
              <w:textAlignment w:val="center"/>
              <w:rPr>
                <w:rFonts w:ascii="Calibri" w:hAnsi="Calibri" w:cs="Calibri"/>
                <w:color w:val="auto"/>
                <w:kern w:val="0"/>
                <w:sz w:val="18"/>
                <w:szCs w:val="18"/>
                <w:highlight w:val="none"/>
              </w:rPr>
            </w:pPr>
          </w:p>
        </w:tc>
        <w:tc>
          <w:tcPr>
            <w:tcW w:w="2406" w:type="dxa"/>
            <w:tcBorders>
              <w:top w:val="single" w:color="auto" w:sz="4" w:space="0"/>
              <w:left w:val="single" w:color="auto" w:sz="4" w:space="0"/>
              <w:right w:val="single" w:color="auto" w:sz="4" w:space="0"/>
            </w:tcBorders>
            <w:vAlign w:val="center"/>
          </w:tcPr>
          <w:p>
            <w:pPr>
              <w:jc w:val="left"/>
              <w:rPr>
                <w:rFonts w:ascii="Calibri" w:hAnsi="Calibri" w:cs="Calibri"/>
                <w:color w:val="auto"/>
                <w:sz w:val="18"/>
                <w:szCs w:val="18"/>
                <w:highlight w:val="none"/>
              </w:rPr>
            </w:pPr>
            <w:r>
              <w:rPr>
                <w:rFonts w:hint="eastAsia" w:ascii="Calibri" w:hAnsi="Calibri" w:cs="Calibri"/>
                <w:color w:val="auto"/>
                <w:sz w:val="18"/>
                <w:szCs w:val="18"/>
                <w:highlight w:val="none"/>
              </w:rPr>
              <w:t>样本采集和处理子模块</w:t>
            </w:r>
          </w:p>
        </w:tc>
        <w:tc>
          <w:tcPr>
            <w:tcW w:w="4779" w:type="dxa"/>
            <w:tcBorders>
              <w:top w:val="single" w:color="auto" w:sz="4" w:space="0"/>
              <w:left w:val="single" w:color="auto" w:sz="4" w:space="0"/>
              <w:right w:val="single" w:color="auto" w:sz="4" w:space="0"/>
            </w:tcBorders>
            <w:vAlign w:val="center"/>
          </w:tcPr>
          <w:p>
            <w:pPr>
              <w:pStyle w:val="19"/>
              <w:ind w:firstLine="0" w:firstLineChars="0"/>
              <w:textAlignment w:val="center"/>
              <w:rPr>
                <w:rFonts w:ascii="Calibri" w:hAnsi="Calibri" w:eastAsia="宋体" w:cs="Calibri"/>
                <w:color w:val="auto"/>
                <w:sz w:val="18"/>
                <w:szCs w:val="18"/>
                <w:highlight w:val="none"/>
              </w:rPr>
            </w:pPr>
            <w:r>
              <w:rPr>
                <w:rFonts w:hint="eastAsia" w:ascii="Calibri" w:hAnsi="Calibri" w:eastAsia="宋体" w:cs="Calibri"/>
                <w:color w:val="auto"/>
                <w:sz w:val="18"/>
                <w:szCs w:val="18"/>
                <w:highlight w:val="none"/>
              </w:rPr>
              <w:t>视频样本的采集、录入和管理，构建样本库；样本打标签、分类、特征数据提取。</w:t>
            </w:r>
          </w:p>
        </w:tc>
      </w:tr>
      <w:tr>
        <w:tblPrEx>
          <w:tblCellMar>
            <w:top w:w="0" w:type="dxa"/>
            <w:left w:w="0" w:type="dxa"/>
            <w:bottom w:w="0" w:type="dxa"/>
            <w:right w:w="0" w:type="dxa"/>
          </w:tblCellMar>
        </w:tblPrEx>
        <w:trPr>
          <w:trHeight w:val="191" w:hRule="atLeast"/>
        </w:trPr>
        <w:tc>
          <w:tcPr>
            <w:tcW w:w="2235" w:type="dxa"/>
            <w:vMerge w:val="continue"/>
            <w:tcBorders>
              <w:left w:val="single" w:color="auto" w:sz="4" w:space="0"/>
              <w:bottom w:val="single" w:color="auto" w:sz="4" w:space="0"/>
              <w:right w:val="single" w:color="auto" w:sz="4" w:space="0"/>
            </w:tcBorders>
            <w:vAlign w:val="center"/>
          </w:tcPr>
          <w:p>
            <w:pPr>
              <w:widowControl/>
              <w:jc w:val="left"/>
              <w:textAlignment w:val="center"/>
              <w:rPr>
                <w:rFonts w:ascii="Calibri" w:hAnsi="Calibri" w:cs="Calibri"/>
                <w:color w:val="auto"/>
                <w:kern w:val="0"/>
                <w:sz w:val="18"/>
                <w:szCs w:val="18"/>
                <w:highlight w:val="none"/>
              </w:rPr>
            </w:pPr>
          </w:p>
        </w:tc>
        <w:tc>
          <w:tcPr>
            <w:tcW w:w="2406" w:type="dxa"/>
            <w:tcBorders>
              <w:top w:val="single" w:color="auto" w:sz="4" w:space="0"/>
              <w:left w:val="single" w:color="auto" w:sz="4" w:space="0"/>
              <w:bottom w:val="single" w:color="auto" w:sz="4" w:space="0"/>
              <w:right w:val="single" w:color="auto" w:sz="4" w:space="0"/>
            </w:tcBorders>
            <w:vAlign w:val="center"/>
          </w:tcPr>
          <w:p>
            <w:pPr>
              <w:rPr>
                <w:color w:val="auto"/>
                <w:sz w:val="21"/>
                <w:highlight w:val="none"/>
              </w:rPr>
            </w:pPr>
            <w:r>
              <w:rPr>
                <w:rFonts w:hint="eastAsia" w:ascii="宋体" w:hAnsi="宋体"/>
                <w:color w:val="auto"/>
                <w:kern w:val="0"/>
                <w:sz w:val="18"/>
                <w:szCs w:val="18"/>
                <w:highlight w:val="none"/>
              </w:rPr>
              <w:t>资源监控子模块</w:t>
            </w:r>
          </w:p>
        </w:tc>
        <w:tc>
          <w:tcPr>
            <w:tcW w:w="4779" w:type="dxa"/>
            <w:tcBorders>
              <w:top w:val="single" w:color="auto" w:sz="4" w:space="0"/>
              <w:left w:val="single" w:color="auto" w:sz="4" w:space="0"/>
              <w:bottom w:val="single" w:color="auto" w:sz="4" w:space="0"/>
              <w:right w:val="single" w:color="auto" w:sz="4" w:space="0"/>
            </w:tcBorders>
            <w:vAlign w:val="center"/>
          </w:tcPr>
          <w:p>
            <w:pPr>
              <w:pStyle w:val="20"/>
              <w:rPr>
                <w:color w:val="auto"/>
                <w:highlight w:val="none"/>
              </w:rPr>
            </w:pPr>
            <w:r>
              <w:rPr>
                <w:rFonts w:hint="eastAsia" w:ascii="宋体" w:hAnsi="宋体" w:cs="Calibri"/>
                <w:color w:val="auto"/>
                <w:sz w:val="18"/>
                <w:szCs w:val="18"/>
                <w:highlight w:val="none"/>
              </w:rPr>
              <w:t>实时监控计算资源使用情况如</w:t>
            </w:r>
            <w:r>
              <w:rPr>
                <w:rFonts w:hint="eastAsia" w:ascii="Calibri" w:hAnsi="Calibri" w:cs="Calibri"/>
                <w:color w:val="auto"/>
                <w:sz w:val="18"/>
                <w:szCs w:val="18"/>
                <w:highlight w:val="none"/>
              </w:rPr>
              <w:t xml:space="preserve">GPU </w:t>
            </w:r>
            <w:r>
              <w:rPr>
                <w:rFonts w:hint="eastAsia" w:ascii="宋体" w:hAnsi="宋体" w:cs="Calibri"/>
                <w:color w:val="auto"/>
                <w:sz w:val="18"/>
                <w:szCs w:val="18"/>
                <w:highlight w:val="none"/>
              </w:rPr>
              <w:t>资源使用率和显存使用率。</w:t>
            </w:r>
          </w:p>
        </w:tc>
      </w:tr>
    </w:tbl>
    <w:p>
      <w:pPr>
        <w:pStyle w:val="6"/>
        <w:rPr>
          <w:color w:val="auto"/>
          <w:highlight w:val="none"/>
        </w:rPr>
      </w:pPr>
      <w:r>
        <w:rPr>
          <w:rFonts w:hint="eastAsia"/>
          <w:color w:val="auto"/>
          <w:highlight w:val="none"/>
        </w:rPr>
        <w:t>人工智能监测硬件配置</w:t>
      </w:r>
    </w:p>
    <w:tbl>
      <w:tblPr>
        <w:tblStyle w:val="9"/>
        <w:tblW w:w="9628" w:type="dxa"/>
        <w:tblInd w:w="0" w:type="dxa"/>
        <w:tblLayout w:type="fixed"/>
        <w:tblCellMar>
          <w:top w:w="0" w:type="dxa"/>
          <w:left w:w="108" w:type="dxa"/>
          <w:bottom w:w="0" w:type="dxa"/>
          <w:right w:w="108" w:type="dxa"/>
        </w:tblCellMar>
      </w:tblPr>
      <w:tblGrid>
        <w:gridCol w:w="984"/>
        <w:gridCol w:w="2688"/>
        <w:gridCol w:w="5956"/>
      </w:tblGrid>
      <w:tr>
        <w:tblPrEx>
          <w:tblCellMar>
            <w:top w:w="0" w:type="dxa"/>
            <w:left w:w="108" w:type="dxa"/>
            <w:bottom w:w="0" w:type="dxa"/>
            <w:right w:w="108" w:type="dxa"/>
          </w:tblCellMar>
        </w:tblPrEx>
        <w:trPr>
          <w:trHeight w:val="270" w:hRule="atLeast"/>
        </w:trPr>
        <w:tc>
          <w:tcPr>
            <w:tcW w:w="984" w:type="dxa"/>
            <w:tcBorders>
              <w:top w:val="single" w:color="auto" w:sz="4" w:space="0"/>
              <w:left w:val="single" w:color="auto" w:sz="4" w:space="0"/>
              <w:bottom w:val="single" w:color="auto" w:sz="4" w:space="0"/>
              <w:right w:val="single" w:color="auto" w:sz="4" w:space="0"/>
            </w:tcBorders>
            <w:vAlign w:val="center"/>
          </w:tcPr>
          <w:p>
            <w:pPr>
              <w:jc w:val="center"/>
              <w:rPr>
                <w:b/>
                <w:bCs/>
                <w:color w:val="auto"/>
                <w:sz w:val="21"/>
                <w:szCs w:val="21"/>
                <w:highlight w:val="none"/>
              </w:rPr>
            </w:pPr>
            <w:r>
              <w:rPr>
                <w:b/>
                <w:bCs/>
                <w:color w:val="auto"/>
                <w:sz w:val="21"/>
                <w:szCs w:val="21"/>
                <w:highlight w:val="none"/>
              </w:rPr>
              <w:t>序号</w:t>
            </w:r>
          </w:p>
        </w:tc>
        <w:tc>
          <w:tcPr>
            <w:tcW w:w="2688" w:type="dxa"/>
            <w:tcBorders>
              <w:top w:val="single" w:color="auto" w:sz="4" w:space="0"/>
              <w:left w:val="nil"/>
              <w:bottom w:val="single" w:color="auto" w:sz="4" w:space="0"/>
              <w:right w:val="single" w:color="auto" w:sz="4" w:space="0"/>
            </w:tcBorders>
            <w:vAlign w:val="center"/>
          </w:tcPr>
          <w:p>
            <w:pPr>
              <w:jc w:val="center"/>
              <w:rPr>
                <w:b/>
                <w:bCs/>
                <w:color w:val="auto"/>
                <w:sz w:val="21"/>
                <w:szCs w:val="21"/>
                <w:highlight w:val="none"/>
              </w:rPr>
            </w:pPr>
            <w:r>
              <w:rPr>
                <w:b/>
                <w:bCs/>
                <w:color w:val="auto"/>
                <w:sz w:val="21"/>
                <w:szCs w:val="21"/>
                <w:highlight w:val="none"/>
              </w:rPr>
              <w:t>设备名称</w:t>
            </w:r>
          </w:p>
        </w:tc>
        <w:tc>
          <w:tcPr>
            <w:tcW w:w="5956" w:type="dxa"/>
            <w:tcBorders>
              <w:top w:val="single" w:color="auto" w:sz="4" w:space="0"/>
              <w:left w:val="nil"/>
              <w:bottom w:val="single" w:color="auto" w:sz="4" w:space="0"/>
              <w:right w:val="single" w:color="auto" w:sz="4" w:space="0"/>
            </w:tcBorders>
            <w:vAlign w:val="center"/>
          </w:tcPr>
          <w:p>
            <w:pPr>
              <w:jc w:val="center"/>
              <w:rPr>
                <w:b/>
                <w:bCs/>
                <w:color w:val="auto"/>
                <w:sz w:val="21"/>
                <w:szCs w:val="21"/>
                <w:highlight w:val="none"/>
              </w:rPr>
            </w:pPr>
            <w:r>
              <w:rPr>
                <w:b/>
                <w:bCs/>
                <w:color w:val="auto"/>
                <w:sz w:val="21"/>
                <w:szCs w:val="21"/>
                <w:highlight w:val="none"/>
              </w:rPr>
              <w:t>参数配置</w:t>
            </w:r>
          </w:p>
        </w:tc>
      </w:tr>
      <w:tr>
        <w:tblPrEx>
          <w:tblCellMar>
            <w:top w:w="0" w:type="dxa"/>
            <w:left w:w="108" w:type="dxa"/>
            <w:bottom w:w="0" w:type="dxa"/>
            <w:right w:w="108" w:type="dxa"/>
          </w:tblCellMar>
        </w:tblPrEx>
        <w:trPr>
          <w:trHeight w:val="1179" w:hRule="atLeast"/>
        </w:trPr>
        <w:tc>
          <w:tcPr>
            <w:tcW w:w="984" w:type="dxa"/>
            <w:tcBorders>
              <w:top w:val="nil"/>
              <w:left w:val="single" w:color="auto" w:sz="4" w:space="0"/>
              <w:bottom w:val="single" w:color="auto" w:sz="4" w:space="0"/>
              <w:right w:val="single" w:color="auto" w:sz="4" w:space="0"/>
            </w:tcBorders>
            <w:vAlign w:val="center"/>
          </w:tcPr>
          <w:p>
            <w:pPr>
              <w:jc w:val="center"/>
              <w:rPr>
                <w:color w:val="auto"/>
                <w:sz w:val="21"/>
                <w:szCs w:val="21"/>
                <w:highlight w:val="none"/>
              </w:rPr>
            </w:pPr>
            <w:r>
              <w:rPr>
                <w:color w:val="auto"/>
                <w:sz w:val="21"/>
                <w:szCs w:val="21"/>
                <w:highlight w:val="none"/>
              </w:rPr>
              <w:t>1</w:t>
            </w:r>
          </w:p>
        </w:tc>
        <w:tc>
          <w:tcPr>
            <w:tcW w:w="2688" w:type="dxa"/>
            <w:tcBorders>
              <w:top w:val="nil"/>
              <w:left w:val="nil"/>
              <w:bottom w:val="single" w:color="auto" w:sz="4" w:space="0"/>
              <w:right w:val="single" w:color="auto" w:sz="4" w:space="0"/>
            </w:tcBorders>
            <w:vAlign w:val="center"/>
          </w:tcPr>
          <w:p>
            <w:pPr>
              <w:rPr>
                <w:color w:val="auto"/>
                <w:sz w:val="21"/>
                <w:szCs w:val="21"/>
                <w:highlight w:val="none"/>
              </w:rPr>
            </w:pPr>
            <w:r>
              <w:rPr>
                <w:color w:val="auto"/>
                <w:sz w:val="21"/>
                <w:szCs w:val="21"/>
                <w:highlight w:val="none"/>
              </w:rPr>
              <w:t>视频接入和解码/</w:t>
            </w:r>
            <w:r>
              <w:rPr>
                <w:rFonts w:ascii="宋体" w:hAnsi="宋体"/>
                <w:color w:val="auto"/>
                <w:sz w:val="21"/>
                <w:szCs w:val="21"/>
                <w:highlight w:val="none"/>
              </w:rPr>
              <w:t>数据接入行为分析</w:t>
            </w:r>
            <w:r>
              <w:rPr>
                <w:color w:val="auto"/>
                <w:sz w:val="21"/>
                <w:szCs w:val="21"/>
                <w:highlight w:val="none"/>
              </w:rPr>
              <w:t>/WEB</w:t>
            </w:r>
            <w:r>
              <w:rPr>
                <w:rFonts w:ascii="宋体" w:hAnsi="宋体"/>
                <w:color w:val="auto"/>
                <w:sz w:val="21"/>
                <w:szCs w:val="21"/>
                <w:highlight w:val="none"/>
              </w:rPr>
              <w:t>平台服务器</w:t>
            </w:r>
          </w:p>
        </w:tc>
        <w:tc>
          <w:tcPr>
            <w:tcW w:w="5956" w:type="dxa"/>
            <w:tcBorders>
              <w:top w:val="nil"/>
              <w:left w:val="nil"/>
              <w:bottom w:val="single" w:color="auto" w:sz="4" w:space="0"/>
              <w:right w:val="single" w:color="auto" w:sz="4" w:space="0"/>
            </w:tcBorders>
            <w:vAlign w:val="center"/>
          </w:tcPr>
          <w:p>
            <w:pPr>
              <w:rPr>
                <w:color w:val="auto"/>
                <w:sz w:val="21"/>
                <w:szCs w:val="21"/>
                <w:highlight w:val="none"/>
              </w:rPr>
            </w:pPr>
            <w:r>
              <w:rPr>
                <w:color w:val="auto"/>
                <w:sz w:val="21"/>
                <w:szCs w:val="21"/>
                <w:highlight w:val="none"/>
              </w:rPr>
              <w:t>2U</w:t>
            </w:r>
            <w:r>
              <w:rPr>
                <w:rFonts w:ascii="宋体" w:hAnsi="宋体"/>
                <w:color w:val="auto"/>
                <w:sz w:val="21"/>
                <w:szCs w:val="21"/>
                <w:highlight w:val="none"/>
              </w:rPr>
              <w:t>机架式</w:t>
            </w:r>
          </w:p>
          <w:p>
            <w:pPr>
              <w:rPr>
                <w:color w:val="auto"/>
                <w:sz w:val="21"/>
                <w:szCs w:val="21"/>
                <w:highlight w:val="none"/>
              </w:rPr>
            </w:pPr>
            <w:r>
              <w:rPr>
                <w:rFonts w:hint="eastAsia"/>
                <w:color w:val="auto"/>
                <w:sz w:val="21"/>
                <w:szCs w:val="21"/>
                <w:highlight w:val="none"/>
              </w:rPr>
              <w:t>至少</w:t>
            </w:r>
            <w:r>
              <w:rPr>
                <w:color w:val="auto"/>
                <w:sz w:val="21"/>
                <w:szCs w:val="21"/>
                <w:highlight w:val="none"/>
              </w:rPr>
              <w:t>配置2</w:t>
            </w:r>
            <w:r>
              <w:rPr>
                <w:rFonts w:ascii="宋体" w:hAnsi="宋体"/>
                <w:color w:val="auto"/>
                <w:sz w:val="21"/>
                <w:szCs w:val="21"/>
                <w:highlight w:val="none"/>
              </w:rPr>
              <w:t>颗</w:t>
            </w:r>
            <w:r>
              <w:rPr>
                <w:color w:val="auto"/>
                <w:sz w:val="21"/>
                <w:szCs w:val="21"/>
                <w:highlight w:val="none"/>
              </w:rPr>
              <w:t>Intel Xeon E5-2620</w:t>
            </w:r>
            <w:r>
              <w:rPr>
                <w:rFonts w:ascii="宋体" w:hAnsi="宋体"/>
                <w:color w:val="auto"/>
                <w:sz w:val="21"/>
                <w:szCs w:val="21"/>
                <w:highlight w:val="none"/>
              </w:rPr>
              <w:t>六核处理器（</w:t>
            </w:r>
            <w:r>
              <w:rPr>
                <w:color w:val="auto"/>
                <w:sz w:val="21"/>
                <w:szCs w:val="21"/>
                <w:highlight w:val="none"/>
              </w:rPr>
              <w:t>2.0GHz</w:t>
            </w:r>
            <w:r>
              <w:rPr>
                <w:rFonts w:ascii="宋体" w:hAnsi="宋体"/>
                <w:color w:val="auto"/>
                <w:sz w:val="21"/>
                <w:szCs w:val="21"/>
                <w:highlight w:val="none"/>
              </w:rPr>
              <w:t>）</w:t>
            </w:r>
          </w:p>
          <w:p>
            <w:pPr>
              <w:rPr>
                <w:color w:val="auto"/>
                <w:sz w:val="21"/>
                <w:szCs w:val="21"/>
                <w:highlight w:val="none"/>
              </w:rPr>
            </w:pPr>
            <w:r>
              <w:rPr>
                <w:color w:val="auto"/>
                <w:sz w:val="21"/>
                <w:szCs w:val="21"/>
                <w:highlight w:val="none"/>
              </w:rPr>
              <w:t>当前配置</w:t>
            </w:r>
            <w:r>
              <w:rPr>
                <w:rFonts w:hint="eastAsia"/>
                <w:color w:val="auto"/>
                <w:sz w:val="21"/>
                <w:szCs w:val="21"/>
                <w:highlight w:val="none"/>
              </w:rPr>
              <w:t>不低于</w:t>
            </w:r>
            <w:r>
              <w:rPr>
                <w:color w:val="auto"/>
                <w:sz w:val="21"/>
                <w:szCs w:val="21"/>
                <w:highlight w:val="none"/>
              </w:rPr>
              <w:t>16GB</w:t>
            </w:r>
            <w:r>
              <w:rPr>
                <w:rFonts w:ascii="宋体" w:hAnsi="宋体"/>
                <w:color w:val="auto"/>
                <w:sz w:val="21"/>
                <w:szCs w:val="21"/>
                <w:highlight w:val="none"/>
              </w:rPr>
              <w:t>（</w:t>
            </w:r>
            <w:r>
              <w:rPr>
                <w:color w:val="auto"/>
                <w:sz w:val="21"/>
                <w:szCs w:val="21"/>
                <w:highlight w:val="none"/>
              </w:rPr>
              <w:t>8</w:t>
            </w:r>
            <w:r>
              <w:rPr>
                <w:rFonts w:hint="eastAsia"/>
                <w:color w:val="auto"/>
                <w:sz w:val="21"/>
                <w:szCs w:val="21"/>
                <w:highlight w:val="none"/>
              </w:rPr>
              <w:t>*</w:t>
            </w:r>
            <w:r>
              <w:rPr>
                <w:color w:val="auto"/>
                <w:sz w:val="21"/>
                <w:szCs w:val="21"/>
                <w:highlight w:val="none"/>
              </w:rPr>
              <w:t>2G</w:t>
            </w:r>
            <w:r>
              <w:rPr>
                <w:rFonts w:ascii="宋体" w:hAnsi="宋体"/>
                <w:color w:val="auto"/>
                <w:sz w:val="21"/>
                <w:szCs w:val="21"/>
                <w:highlight w:val="none"/>
              </w:rPr>
              <w:t xml:space="preserve">） </w:t>
            </w:r>
            <w:r>
              <w:rPr>
                <w:color w:val="auto"/>
                <w:sz w:val="21"/>
                <w:szCs w:val="21"/>
                <w:highlight w:val="none"/>
              </w:rPr>
              <w:t>DDR3</w:t>
            </w:r>
            <w:r>
              <w:rPr>
                <w:rFonts w:ascii="宋体" w:hAnsi="宋体"/>
                <w:color w:val="auto"/>
                <w:sz w:val="21"/>
                <w:szCs w:val="21"/>
                <w:highlight w:val="none"/>
              </w:rPr>
              <w:t>内存，最大支持</w:t>
            </w:r>
            <w:r>
              <w:rPr>
                <w:color w:val="auto"/>
                <w:sz w:val="21"/>
                <w:szCs w:val="21"/>
                <w:highlight w:val="none"/>
              </w:rPr>
              <w:t>8</w:t>
            </w:r>
            <w:r>
              <w:rPr>
                <w:rFonts w:ascii="宋体" w:hAnsi="宋体"/>
                <w:color w:val="auto"/>
                <w:sz w:val="21"/>
                <w:szCs w:val="21"/>
                <w:highlight w:val="none"/>
              </w:rPr>
              <w:t>块</w:t>
            </w:r>
            <w:r>
              <w:rPr>
                <w:color w:val="auto"/>
                <w:sz w:val="21"/>
                <w:szCs w:val="21"/>
                <w:highlight w:val="none"/>
              </w:rPr>
              <w:t>3.5</w:t>
            </w:r>
            <w:r>
              <w:rPr>
                <w:rFonts w:ascii="宋体" w:hAnsi="宋体"/>
                <w:color w:val="auto"/>
                <w:sz w:val="21"/>
                <w:szCs w:val="21"/>
                <w:highlight w:val="none"/>
              </w:rPr>
              <w:t>英寸硬盘</w:t>
            </w:r>
            <w:r>
              <w:rPr>
                <w:color w:val="auto"/>
                <w:sz w:val="21"/>
                <w:szCs w:val="21"/>
                <w:highlight w:val="none"/>
              </w:rPr>
              <w:t>/16</w:t>
            </w:r>
            <w:r>
              <w:rPr>
                <w:rFonts w:ascii="宋体" w:hAnsi="宋体"/>
                <w:color w:val="auto"/>
                <w:sz w:val="21"/>
                <w:szCs w:val="21"/>
                <w:highlight w:val="none"/>
              </w:rPr>
              <w:t>块</w:t>
            </w:r>
            <w:r>
              <w:rPr>
                <w:color w:val="auto"/>
                <w:sz w:val="21"/>
                <w:szCs w:val="21"/>
                <w:highlight w:val="none"/>
              </w:rPr>
              <w:t>2.5</w:t>
            </w:r>
            <w:r>
              <w:rPr>
                <w:rFonts w:ascii="宋体" w:hAnsi="宋体"/>
                <w:color w:val="auto"/>
                <w:sz w:val="21"/>
                <w:szCs w:val="21"/>
                <w:highlight w:val="none"/>
              </w:rPr>
              <w:t>英寸硬盘</w:t>
            </w:r>
          </w:p>
          <w:p>
            <w:pPr>
              <w:rPr>
                <w:color w:val="auto"/>
                <w:sz w:val="21"/>
                <w:szCs w:val="21"/>
                <w:highlight w:val="none"/>
              </w:rPr>
            </w:pPr>
            <w:r>
              <w:rPr>
                <w:rFonts w:hint="eastAsia"/>
                <w:color w:val="auto"/>
                <w:sz w:val="21"/>
                <w:szCs w:val="21"/>
                <w:highlight w:val="none"/>
              </w:rPr>
              <w:t>不低于</w:t>
            </w:r>
            <w:r>
              <w:rPr>
                <w:color w:val="auto"/>
                <w:sz w:val="21"/>
                <w:szCs w:val="21"/>
                <w:highlight w:val="none"/>
              </w:rPr>
              <w:t>Intel</w:t>
            </w:r>
            <w:r>
              <w:rPr>
                <w:rFonts w:ascii="宋体" w:hAnsi="宋体"/>
                <w:color w:val="auto"/>
                <w:sz w:val="21"/>
                <w:szCs w:val="21"/>
                <w:highlight w:val="none"/>
              </w:rPr>
              <w:t>四端口千兆网卡</w:t>
            </w:r>
            <w:r>
              <w:rPr>
                <w:color w:val="auto"/>
                <w:sz w:val="21"/>
                <w:szCs w:val="21"/>
                <w:highlight w:val="none"/>
              </w:rPr>
              <w:t>/</w:t>
            </w:r>
            <w:r>
              <w:rPr>
                <w:rFonts w:ascii="宋体" w:hAnsi="宋体"/>
                <w:color w:val="auto"/>
                <w:sz w:val="21"/>
                <w:szCs w:val="21"/>
                <w:highlight w:val="none"/>
              </w:rPr>
              <w:t>双端口万兆网卡</w:t>
            </w:r>
          </w:p>
          <w:p>
            <w:pPr>
              <w:rPr>
                <w:rFonts w:ascii="宋体" w:hAnsi="宋体"/>
                <w:color w:val="auto"/>
                <w:sz w:val="21"/>
                <w:szCs w:val="21"/>
                <w:highlight w:val="none"/>
              </w:rPr>
            </w:pPr>
            <w:r>
              <w:rPr>
                <w:color w:val="auto"/>
                <w:sz w:val="21"/>
                <w:szCs w:val="21"/>
                <w:highlight w:val="none"/>
              </w:rPr>
              <w:t>当前配置≥16</w:t>
            </w:r>
            <w:r>
              <w:rPr>
                <w:rFonts w:ascii="宋体" w:hAnsi="宋体"/>
                <w:color w:val="auto"/>
                <w:sz w:val="21"/>
                <w:szCs w:val="21"/>
                <w:highlight w:val="none"/>
              </w:rPr>
              <w:t>个内存插槽，最大可扩展至</w:t>
            </w:r>
            <w:r>
              <w:rPr>
                <w:color w:val="auto"/>
                <w:sz w:val="21"/>
                <w:szCs w:val="21"/>
                <w:highlight w:val="none"/>
              </w:rPr>
              <w:t>64</w:t>
            </w:r>
            <w:r>
              <w:rPr>
                <w:rFonts w:ascii="宋体" w:hAnsi="宋体"/>
                <w:color w:val="auto"/>
                <w:sz w:val="21"/>
                <w:szCs w:val="21"/>
                <w:highlight w:val="none"/>
              </w:rPr>
              <w:t>个内存插槽</w:t>
            </w:r>
          </w:p>
          <w:p>
            <w:pPr>
              <w:rPr>
                <w:color w:val="auto"/>
                <w:sz w:val="21"/>
                <w:szCs w:val="21"/>
                <w:highlight w:val="none"/>
              </w:rPr>
            </w:pPr>
            <w:r>
              <w:rPr>
                <w:rFonts w:hint="eastAsia" w:ascii="宋体" w:hAnsi="宋体"/>
                <w:color w:val="auto"/>
                <w:sz w:val="21"/>
                <w:szCs w:val="21"/>
                <w:highlight w:val="none"/>
              </w:rPr>
              <w:t>硬盘存储空间不低于3TB</w:t>
            </w:r>
          </w:p>
        </w:tc>
      </w:tr>
      <w:tr>
        <w:tblPrEx>
          <w:tblCellMar>
            <w:top w:w="0" w:type="dxa"/>
            <w:left w:w="108" w:type="dxa"/>
            <w:bottom w:w="0" w:type="dxa"/>
            <w:right w:w="108" w:type="dxa"/>
          </w:tblCellMar>
        </w:tblPrEx>
        <w:trPr>
          <w:trHeight w:val="270" w:hRule="atLeast"/>
        </w:trPr>
        <w:tc>
          <w:tcPr>
            <w:tcW w:w="984" w:type="dxa"/>
            <w:tcBorders>
              <w:top w:val="nil"/>
              <w:left w:val="single" w:color="auto" w:sz="4" w:space="0"/>
              <w:bottom w:val="single" w:color="auto" w:sz="4" w:space="0"/>
              <w:right w:val="single" w:color="auto" w:sz="4" w:space="0"/>
            </w:tcBorders>
            <w:vAlign w:val="center"/>
          </w:tcPr>
          <w:p>
            <w:pPr>
              <w:jc w:val="center"/>
              <w:rPr>
                <w:color w:val="auto"/>
                <w:sz w:val="21"/>
                <w:szCs w:val="21"/>
                <w:highlight w:val="none"/>
              </w:rPr>
            </w:pPr>
            <w:r>
              <w:rPr>
                <w:color w:val="auto"/>
                <w:sz w:val="21"/>
                <w:szCs w:val="21"/>
                <w:highlight w:val="none"/>
              </w:rPr>
              <w:t>2</w:t>
            </w:r>
          </w:p>
        </w:tc>
        <w:tc>
          <w:tcPr>
            <w:tcW w:w="2688" w:type="dxa"/>
            <w:tcBorders>
              <w:top w:val="nil"/>
              <w:left w:val="nil"/>
              <w:bottom w:val="single" w:color="auto" w:sz="4" w:space="0"/>
              <w:right w:val="single" w:color="auto" w:sz="4" w:space="0"/>
            </w:tcBorders>
            <w:shd w:val="clear" w:color="auto" w:fill="FFFFFF"/>
            <w:vAlign w:val="center"/>
          </w:tcPr>
          <w:p>
            <w:pPr>
              <w:rPr>
                <w:color w:val="auto"/>
                <w:sz w:val="21"/>
                <w:szCs w:val="21"/>
                <w:highlight w:val="none"/>
              </w:rPr>
            </w:pPr>
            <w:r>
              <w:rPr>
                <w:color w:val="auto"/>
                <w:sz w:val="21"/>
                <w:szCs w:val="21"/>
                <w:highlight w:val="none"/>
              </w:rPr>
              <w:t>服务器操作系统</w:t>
            </w:r>
            <w:r>
              <w:rPr>
                <w:rFonts w:hint="eastAsia"/>
                <w:color w:val="auto"/>
                <w:sz w:val="21"/>
                <w:szCs w:val="21"/>
                <w:highlight w:val="none"/>
              </w:rPr>
              <w:t>（要求正版）</w:t>
            </w:r>
          </w:p>
        </w:tc>
        <w:tc>
          <w:tcPr>
            <w:tcW w:w="5956" w:type="dxa"/>
            <w:tcBorders>
              <w:top w:val="nil"/>
              <w:left w:val="nil"/>
              <w:bottom w:val="single" w:color="auto" w:sz="4" w:space="0"/>
              <w:right w:val="single" w:color="auto" w:sz="4" w:space="0"/>
            </w:tcBorders>
            <w:shd w:val="clear" w:color="auto" w:fill="FFFFFF"/>
            <w:vAlign w:val="center"/>
          </w:tcPr>
          <w:p>
            <w:pPr>
              <w:rPr>
                <w:color w:val="auto"/>
                <w:sz w:val="21"/>
                <w:szCs w:val="21"/>
                <w:highlight w:val="none"/>
              </w:rPr>
            </w:pPr>
            <w:r>
              <w:rPr>
                <w:color w:val="auto"/>
                <w:sz w:val="21"/>
                <w:szCs w:val="21"/>
                <w:highlight w:val="none"/>
              </w:rPr>
              <w:t>CentOS 7.6</w:t>
            </w:r>
            <w:r>
              <w:rPr>
                <w:rFonts w:hint="eastAsia"/>
                <w:color w:val="auto"/>
                <w:sz w:val="21"/>
                <w:szCs w:val="21"/>
                <w:highlight w:val="none"/>
              </w:rPr>
              <w:t>及以上版本</w:t>
            </w:r>
          </w:p>
        </w:tc>
      </w:tr>
      <w:tr>
        <w:tblPrEx>
          <w:tblCellMar>
            <w:top w:w="0" w:type="dxa"/>
            <w:left w:w="108" w:type="dxa"/>
            <w:bottom w:w="0" w:type="dxa"/>
            <w:right w:w="108" w:type="dxa"/>
          </w:tblCellMar>
        </w:tblPrEx>
        <w:trPr>
          <w:trHeight w:val="270" w:hRule="atLeast"/>
        </w:trPr>
        <w:tc>
          <w:tcPr>
            <w:tcW w:w="984" w:type="dxa"/>
            <w:tcBorders>
              <w:top w:val="nil"/>
              <w:left w:val="single" w:color="auto" w:sz="4" w:space="0"/>
              <w:bottom w:val="single" w:color="auto" w:sz="4" w:space="0"/>
              <w:right w:val="single" w:color="auto" w:sz="4" w:space="0"/>
            </w:tcBorders>
            <w:vAlign w:val="center"/>
          </w:tcPr>
          <w:p>
            <w:pPr>
              <w:jc w:val="center"/>
              <w:rPr>
                <w:color w:val="auto"/>
                <w:sz w:val="21"/>
                <w:szCs w:val="21"/>
                <w:highlight w:val="none"/>
              </w:rPr>
            </w:pPr>
            <w:r>
              <w:rPr>
                <w:color w:val="auto"/>
                <w:sz w:val="21"/>
                <w:szCs w:val="21"/>
                <w:highlight w:val="none"/>
              </w:rPr>
              <w:t>3</w:t>
            </w:r>
          </w:p>
        </w:tc>
        <w:tc>
          <w:tcPr>
            <w:tcW w:w="2688" w:type="dxa"/>
            <w:tcBorders>
              <w:top w:val="nil"/>
              <w:left w:val="nil"/>
              <w:bottom w:val="single" w:color="auto" w:sz="4" w:space="0"/>
              <w:right w:val="single" w:color="auto" w:sz="4" w:space="0"/>
            </w:tcBorders>
            <w:shd w:val="clear" w:color="auto" w:fill="FFFFFF"/>
            <w:vAlign w:val="center"/>
          </w:tcPr>
          <w:p>
            <w:pPr>
              <w:rPr>
                <w:color w:val="auto"/>
                <w:sz w:val="21"/>
                <w:szCs w:val="21"/>
                <w:highlight w:val="none"/>
              </w:rPr>
            </w:pPr>
            <w:r>
              <w:rPr>
                <w:color w:val="auto"/>
                <w:sz w:val="21"/>
                <w:szCs w:val="21"/>
                <w:highlight w:val="none"/>
              </w:rPr>
              <w:t>数据库软件</w:t>
            </w:r>
            <w:r>
              <w:rPr>
                <w:rFonts w:hint="eastAsia"/>
                <w:color w:val="auto"/>
                <w:sz w:val="21"/>
                <w:szCs w:val="21"/>
                <w:highlight w:val="none"/>
              </w:rPr>
              <w:t>（要求正版）</w:t>
            </w:r>
          </w:p>
        </w:tc>
        <w:tc>
          <w:tcPr>
            <w:tcW w:w="5956" w:type="dxa"/>
            <w:tcBorders>
              <w:top w:val="nil"/>
              <w:left w:val="nil"/>
              <w:bottom w:val="single" w:color="auto" w:sz="4" w:space="0"/>
              <w:right w:val="single" w:color="auto" w:sz="4" w:space="0"/>
            </w:tcBorders>
            <w:shd w:val="clear" w:color="auto" w:fill="FFFFFF"/>
            <w:vAlign w:val="center"/>
          </w:tcPr>
          <w:p>
            <w:pPr>
              <w:rPr>
                <w:color w:val="auto"/>
                <w:sz w:val="21"/>
                <w:szCs w:val="21"/>
                <w:highlight w:val="none"/>
              </w:rPr>
            </w:pPr>
            <w:r>
              <w:rPr>
                <w:rFonts w:hint="eastAsia"/>
                <w:color w:val="auto"/>
                <w:sz w:val="21"/>
                <w:szCs w:val="21"/>
                <w:highlight w:val="none"/>
              </w:rPr>
              <w:t>Redis</w:t>
            </w:r>
          </w:p>
        </w:tc>
      </w:tr>
      <w:tr>
        <w:tblPrEx>
          <w:tblCellMar>
            <w:top w:w="0" w:type="dxa"/>
            <w:left w:w="108" w:type="dxa"/>
            <w:bottom w:w="0" w:type="dxa"/>
            <w:right w:w="108" w:type="dxa"/>
          </w:tblCellMar>
        </w:tblPrEx>
        <w:trPr>
          <w:trHeight w:val="60" w:hRule="atLeast"/>
        </w:trPr>
        <w:tc>
          <w:tcPr>
            <w:tcW w:w="984" w:type="dxa"/>
            <w:tcBorders>
              <w:top w:val="nil"/>
              <w:left w:val="single" w:color="auto" w:sz="4" w:space="0"/>
              <w:bottom w:val="single" w:color="auto" w:sz="4" w:space="0"/>
              <w:right w:val="single" w:color="auto" w:sz="4" w:space="0"/>
            </w:tcBorders>
            <w:vAlign w:val="center"/>
          </w:tcPr>
          <w:p>
            <w:pPr>
              <w:jc w:val="center"/>
              <w:rPr>
                <w:color w:val="auto"/>
                <w:sz w:val="21"/>
                <w:szCs w:val="21"/>
                <w:highlight w:val="none"/>
              </w:rPr>
            </w:pPr>
            <w:r>
              <w:rPr>
                <w:color w:val="auto"/>
                <w:sz w:val="21"/>
                <w:szCs w:val="21"/>
                <w:highlight w:val="none"/>
              </w:rPr>
              <w:t>4</w:t>
            </w:r>
          </w:p>
        </w:tc>
        <w:tc>
          <w:tcPr>
            <w:tcW w:w="2688" w:type="dxa"/>
            <w:tcBorders>
              <w:top w:val="nil"/>
              <w:left w:val="nil"/>
              <w:bottom w:val="single" w:color="auto" w:sz="4" w:space="0"/>
              <w:right w:val="single" w:color="auto" w:sz="4" w:space="0"/>
            </w:tcBorders>
            <w:vAlign w:val="center"/>
          </w:tcPr>
          <w:p>
            <w:pPr>
              <w:rPr>
                <w:color w:val="auto"/>
                <w:sz w:val="21"/>
                <w:szCs w:val="21"/>
                <w:highlight w:val="none"/>
              </w:rPr>
            </w:pPr>
            <w:r>
              <w:rPr>
                <w:color w:val="auto"/>
                <w:sz w:val="21"/>
                <w:szCs w:val="21"/>
                <w:highlight w:val="none"/>
              </w:rPr>
              <w:t>交换机</w:t>
            </w:r>
          </w:p>
        </w:tc>
        <w:tc>
          <w:tcPr>
            <w:tcW w:w="5956" w:type="dxa"/>
            <w:tcBorders>
              <w:top w:val="nil"/>
              <w:left w:val="nil"/>
              <w:bottom w:val="single" w:color="auto" w:sz="4" w:space="0"/>
              <w:right w:val="single" w:color="auto" w:sz="4" w:space="0"/>
            </w:tcBorders>
            <w:vAlign w:val="center"/>
          </w:tcPr>
          <w:p>
            <w:pPr>
              <w:rPr>
                <w:color w:val="auto"/>
                <w:sz w:val="21"/>
                <w:szCs w:val="21"/>
                <w:highlight w:val="none"/>
              </w:rPr>
            </w:pPr>
            <w:r>
              <w:rPr>
                <w:color w:val="auto"/>
                <w:sz w:val="21"/>
                <w:szCs w:val="21"/>
                <w:highlight w:val="none"/>
              </w:rPr>
              <w:t>千兆以太网交换机</w:t>
            </w:r>
          </w:p>
          <w:p>
            <w:pPr>
              <w:rPr>
                <w:color w:val="auto"/>
                <w:sz w:val="21"/>
                <w:szCs w:val="21"/>
                <w:highlight w:val="none"/>
              </w:rPr>
            </w:pPr>
            <w:r>
              <w:rPr>
                <w:color w:val="auto"/>
                <w:sz w:val="21"/>
                <w:szCs w:val="21"/>
                <w:highlight w:val="none"/>
              </w:rPr>
              <w:t>传输速率</w:t>
            </w:r>
            <w:r>
              <w:rPr>
                <w:rFonts w:hint="eastAsia"/>
                <w:color w:val="auto"/>
                <w:sz w:val="21"/>
                <w:szCs w:val="21"/>
                <w:highlight w:val="none"/>
              </w:rPr>
              <w:t xml:space="preserve"> </w:t>
            </w:r>
            <w:r>
              <w:rPr>
                <w:color w:val="auto"/>
                <w:sz w:val="21"/>
                <w:szCs w:val="21"/>
                <w:highlight w:val="none"/>
              </w:rPr>
              <w:t xml:space="preserve">10/100/1000Mbps </w:t>
            </w:r>
          </w:p>
          <w:p>
            <w:pPr>
              <w:rPr>
                <w:color w:val="auto"/>
                <w:sz w:val="21"/>
                <w:szCs w:val="21"/>
                <w:highlight w:val="none"/>
              </w:rPr>
            </w:pPr>
            <w:r>
              <w:rPr>
                <w:color w:val="auto"/>
                <w:sz w:val="21"/>
                <w:szCs w:val="21"/>
                <w:highlight w:val="none"/>
              </w:rPr>
              <w:t xml:space="preserve">应用层级 三层 </w:t>
            </w:r>
          </w:p>
          <w:p>
            <w:pPr>
              <w:rPr>
                <w:color w:val="auto"/>
                <w:sz w:val="21"/>
                <w:szCs w:val="21"/>
                <w:highlight w:val="none"/>
              </w:rPr>
            </w:pPr>
            <w:r>
              <w:rPr>
                <w:color w:val="auto"/>
                <w:sz w:val="21"/>
                <w:szCs w:val="21"/>
                <w:highlight w:val="none"/>
              </w:rPr>
              <w:t>交换方式 存储-</w:t>
            </w:r>
            <w:r>
              <w:rPr>
                <w:rFonts w:ascii="宋体" w:hAnsi="宋体"/>
                <w:color w:val="auto"/>
                <w:sz w:val="21"/>
                <w:szCs w:val="21"/>
                <w:highlight w:val="none"/>
              </w:rPr>
              <w:t>转发</w:t>
            </w:r>
          </w:p>
          <w:p>
            <w:pPr>
              <w:rPr>
                <w:color w:val="auto"/>
                <w:sz w:val="21"/>
                <w:szCs w:val="21"/>
                <w:highlight w:val="none"/>
              </w:rPr>
            </w:pPr>
            <w:r>
              <w:rPr>
                <w:color w:val="auto"/>
                <w:sz w:val="21"/>
                <w:szCs w:val="21"/>
                <w:highlight w:val="none"/>
              </w:rPr>
              <w:t xml:space="preserve">背板带宽 </w:t>
            </w:r>
            <w:r>
              <w:rPr>
                <w:rFonts w:hint="eastAsia"/>
                <w:color w:val="auto"/>
                <w:sz w:val="21"/>
                <w:szCs w:val="21"/>
                <w:highlight w:val="none"/>
              </w:rPr>
              <w:t>不低于</w:t>
            </w:r>
            <w:r>
              <w:rPr>
                <w:color w:val="auto"/>
                <w:sz w:val="21"/>
                <w:szCs w:val="21"/>
                <w:highlight w:val="none"/>
              </w:rPr>
              <w:t xml:space="preserve">256Gbps </w:t>
            </w:r>
          </w:p>
        </w:tc>
      </w:tr>
      <w:tr>
        <w:tblPrEx>
          <w:tblCellMar>
            <w:top w:w="0" w:type="dxa"/>
            <w:left w:w="108" w:type="dxa"/>
            <w:bottom w:w="0" w:type="dxa"/>
            <w:right w:w="108" w:type="dxa"/>
          </w:tblCellMar>
        </w:tblPrEx>
        <w:trPr>
          <w:trHeight w:val="195" w:hRule="atLeast"/>
        </w:trPr>
        <w:tc>
          <w:tcPr>
            <w:tcW w:w="984" w:type="dxa"/>
            <w:tcBorders>
              <w:top w:val="nil"/>
              <w:left w:val="single" w:color="auto" w:sz="4" w:space="0"/>
              <w:bottom w:val="single" w:color="auto" w:sz="4" w:space="0"/>
              <w:right w:val="single" w:color="auto" w:sz="4" w:space="0"/>
            </w:tcBorders>
            <w:vAlign w:val="center"/>
          </w:tcPr>
          <w:p>
            <w:pPr>
              <w:jc w:val="center"/>
              <w:rPr>
                <w:color w:val="auto"/>
                <w:sz w:val="21"/>
                <w:szCs w:val="21"/>
                <w:highlight w:val="none"/>
              </w:rPr>
            </w:pPr>
            <w:r>
              <w:rPr>
                <w:color w:val="auto"/>
                <w:sz w:val="21"/>
                <w:szCs w:val="21"/>
                <w:highlight w:val="none"/>
              </w:rPr>
              <w:t>5</w:t>
            </w:r>
          </w:p>
        </w:tc>
        <w:tc>
          <w:tcPr>
            <w:tcW w:w="2688" w:type="dxa"/>
            <w:tcBorders>
              <w:top w:val="nil"/>
              <w:left w:val="nil"/>
              <w:bottom w:val="single" w:color="auto" w:sz="4" w:space="0"/>
              <w:right w:val="single" w:color="auto" w:sz="4" w:space="0"/>
            </w:tcBorders>
            <w:shd w:val="clear" w:color="auto" w:fill="FFFFFF"/>
            <w:vAlign w:val="center"/>
          </w:tcPr>
          <w:p>
            <w:pPr>
              <w:rPr>
                <w:color w:val="auto"/>
                <w:sz w:val="21"/>
                <w:szCs w:val="21"/>
                <w:highlight w:val="none"/>
              </w:rPr>
            </w:pPr>
            <w:r>
              <w:rPr>
                <w:color w:val="auto"/>
                <w:sz w:val="21"/>
                <w:szCs w:val="21"/>
                <w:highlight w:val="none"/>
              </w:rPr>
              <w:t>KVM</w:t>
            </w:r>
            <w:r>
              <w:rPr>
                <w:rFonts w:ascii="宋体" w:hAnsi="宋体"/>
                <w:color w:val="auto"/>
                <w:sz w:val="21"/>
                <w:szCs w:val="21"/>
                <w:highlight w:val="none"/>
              </w:rPr>
              <w:t>切换器</w:t>
            </w:r>
          </w:p>
        </w:tc>
        <w:tc>
          <w:tcPr>
            <w:tcW w:w="5956" w:type="dxa"/>
            <w:tcBorders>
              <w:top w:val="nil"/>
              <w:left w:val="nil"/>
              <w:bottom w:val="single" w:color="auto" w:sz="4" w:space="0"/>
              <w:right w:val="single" w:color="auto" w:sz="4" w:space="0"/>
            </w:tcBorders>
            <w:vAlign w:val="center"/>
          </w:tcPr>
          <w:p>
            <w:pPr>
              <w:rPr>
                <w:color w:val="auto"/>
                <w:sz w:val="21"/>
                <w:szCs w:val="21"/>
                <w:highlight w:val="none"/>
              </w:rPr>
            </w:pPr>
            <w:r>
              <w:rPr>
                <w:color w:val="auto"/>
                <w:sz w:val="21"/>
                <w:szCs w:val="21"/>
                <w:highlight w:val="none"/>
              </w:rPr>
              <w:t>产品类型：KVM</w:t>
            </w:r>
            <w:r>
              <w:rPr>
                <w:rFonts w:ascii="宋体" w:hAnsi="宋体"/>
                <w:color w:val="auto"/>
                <w:sz w:val="21"/>
                <w:szCs w:val="21"/>
                <w:highlight w:val="none"/>
              </w:rPr>
              <w:t>一体机</w:t>
            </w:r>
          </w:p>
          <w:p>
            <w:pPr>
              <w:rPr>
                <w:color w:val="auto"/>
                <w:sz w:val="21"/>
                <w:szCs w:val="21"/>
                <w:highlight w:val="none"/>
              </w:rPr>
            </w:pPr>
            <w:r>
              <w:rPr>
                <w:color w:val="auto"/>
                <w:sz w:val="21"/>
                <w:szCs w:val="21"/>
                <w:highlight w:val="none"/>
              </w:rPr>
              <w:t>主要参数：17"LCD KVM</w:t>
            </w:r>
            <w:r>
              <w:rPr>
                <w:rFonts w:ascii="宋体" w:hAnsi="宋体"/>
                <w:color w:val="auto"/>
                <w:sz w:val="21"/>
                <w:szCs w:val="21"/>
                <w:highlight w:val="none"/>
              </w:rPr>
              <w:t>切换器</w:t>
            </w:r>
          </w:p>
          <w:p>
            <w:pPr>
              <w:rPr>
                <w:color w:val="auto"/>
                <w:sz w:val="21"/>
                <w:szCs w:val="21"/>
                <w:highlight w:val="none"/>
              </w:rPr>
            </w:pPr>
            <w:r>
              <w:rPr>
                <w:color w:val="auto"/>
                <w:sz w:val="21"/>
                <w:szCs w:val="21"/>
                <w:highlight w:val="none"/>
              </w:rPr>
              <w:t>接口数：</w:t>
            </w:r>
            <w:r>
              <w:rPr>
                <w:rFonts w:hint="eastAsia"/>
                <w:color w:val="auto"/>
                <w:sz w:val="21"/>
                <w:szCs w:val="21"/>
                <w:highlight w:val="none"/>
              </w:rPr>
              <w:t>不低于</w:t>
            </w:r>
            <w:r>
              <w:rPr>
                <w:color w:val="auto"/>
                <w:sz w:val="21"/>
                <w:szCs w:val="21"/>
                <w:highlight w:val="none"/>
              </w:rPr>
              <w:t>8</w:t>
            </w:r>
            <w:r>
              <w:rPr>
                <w:rFonts w:ascii="宋体" w:hAnsi="宋体"/>
                <w:color w:val="auto"/>
                <w:sz w:val="21"/>
                <w:szCs w:val="21"/>
                <w:highlight w:val="none"/>
              </w:rPr>
              <w:t>口</w:t>
            </w:r>
          </w:p>
          <w:p>
            <w:pPr>
              <w:rPr>
                <w:color w:val="auto"/>
                <w:sz w:val="21"/>
                <w:szCs w:val="21"/>
                <w:highlight w:val="none"/>
              </w:rPr>
            </w:pPr>
            <w:r>
              <w:rPr>
                <w:color w:val="auto"/>
                <w:sz w:val="21"/>
                <w:szCs w:val="21"/>
                <w:highlight w:val="none"/>
              </w:rPr>
              <w:t xml:space="preserve">输出接口：HDB15 </w:t>
            </w:r>
          </w:p>
        </w:tc>
      </w:tr>
      <w:tr>
        <w:tblPrEx>
          <w:tblCellMar>
            <w:top w:w="0" w:type="dxa"/>
            <w:left w:w="108" w:type="dxa"/>
            <w:bottom w:w="0" w:type="dxa"/>
            <w:right w:w="108" w:type="dxa"/>
          </w:tblCellMar>
        </w:tblPrEx>
        <w:trPr>
          <w:trHeight w:val="450" w:hRule="atLeast"/>
        </w:trPr>
        <w:tc>
          <w:tcPr>
            <w:tcW w:w="984" w:type="dxa"/>
            <w:tcBorders>
              <w:top w:val="nil"/>
              <w:left w:val="single" w:color="auto" w:sz="4" w:space="0"/>
              <w:bottom w:val="single" w:color="auto" w:sz="4" w:space="0"/>
              <w:right w:val="single" w:color="auto" w:sz="4" w:space="0"/>
            </w:tcBorders>
            <w:vAlign w:val="center"/>
          </w:tcPr>
          <w:p>
            <w:pPr>
              <w:jc w:val="center"/>
              <w:rPr>
                <w:color w:val="auto"/>
                <w:sz w:val="21"/>
                <w:szCs w:val="21"/>
                <w:highlight w:val="none"/>
              </w:rPr>
            </w:pPr>
            <w:r>
              <w:rPr>
                <w:color w:val="auto"/>
                <w:sz w:val="21"/>
                <w:szCs w:val="21"/>
                <w:highlight w:val="none"/>
              </w:rPr>
              <w:t>6</w:t>
            </w:r>
          </w:p>
        </w:tc>
        <w:tc>
          <w:tcPr>
            <w:tcW w:w="2688" w:type="dxa"/>
            <w:tcBorders>
              <w:top w:val="nil"/>
              <w:left w:val="nil"/>
              <w:bottom w:val="single" w:color="auto" w:sz="4" w:space="0"/>
              <w:right w:val="single" w:color="auto" w:sz="4" w:space="0"/>
            </w:tcBorders>
            <w:shd w:val="clear" w:color="auto" w:fill="FFFFFF"/>
            <w:vAlign w:val="center"/>
          </w:tcPr>
          <w:p>
            <w:pPr>
              <w:rPr>
                <w:color w:val="auto"/>
                <w:sz w:val="21"/>
                <w:szCs w:val="21"/>
                <w:highlight w:val="none"/>
              </w:rPr>
            </w:pPr>
            <w:r>
              <w:rPr>
                <w:color w:val="auto"/>
                <w:sz w:val="21"/>
                <w:szCs w:val="21"/>
                <w:highlight w:val="none"/>
              </w:rPr>
              <w:t>网闸</w:t>
            </w:r>
          </w:p>
        </w:tc>
        <w:tc>
          <w:tcPr>
            <w:tcW w:w="5956" w:type="dxa"/>
            <w:tcBorders>
              <w:top w:val="nil"/>
              <w:left w:val="nil"/>
              <w:bottom w:val="single" w:color="auto" w:sz="4" w:space="0"/>
              <w:right w:val="single" w:color="auto" w:sz="4" w:space="0"/>
            </w:tcBorders>
            <w:vAlign w:val="center"/>
          </w:tcPr>
          <w:p>
            <w:pPr>
              <w:rPr>
                <w:color w:val="auto"/>
                <w:sz w:val="21"/>
                <w:szCs w:val="21"/>
                <w:highlight w:val="none"/>
              </w:rPr>
            </w:pPr>
            <w:r>
              <w:rPr>
                <w:color w:val="auto"/>
                <w:sz w:val="21"/>
                <w:szCs w:val="21"/>
                <w:highlight w:val="none"/>
              </w:rPr>
              <w:t>内外网数据交换安全隔离网闸（含全部功能模块）</w:t>
            </w:r>
            <w:r>
              <w:rPr>
                <w:rFonts w:hint="eastAsia"/>
                <w:color w:val="auto"/>
                <w:sz w:val="21"/>
                <w:szCs w:val="21"/>
                <w:highlight w:val="none"/>
              </w:rPr>
              <w:t>，</w:t>
            </w:r>
            <w:r>
              <w:rPr>
                <w:color w:val="auto"/>
                <w:sz w:val="21"/>
                <w:szCs w:val="21"/>
                <w:highlight w:val="none"/>
              </w:rPr>
              <w:t>2U</w:t>
            </w:r>
            <w:r>
              <w:rPr>
                <w:rFonts w:ascii="宋体" w:hAnsi="宋体"/>
                <w:color w:val="auto"/>
                <w:sz w:val="21"/>
                <w:szCs w:val="21"/>
                <w:highlight w:val="none"/>
              </w:rPr>
              <w:t>机架式，</w:t>
            </w:r>
            <w:r>
              <w:rPr>
                <w:rFonts w:hint="eastAsia" w:ascii="宋体" w:hAnsi="宋体"/>
                <w:color w:val="auto"/>
                <w:sz w:val="21"/>
                <w:szCs w:val="21"/>
                <w:highlight w:val="none"/>
              </w:rPr>
              <w:t>不少于</w:t>
            </w:r>
            <w:r>
              <w:rPr>
                <w:color w:val="auto"/>
                <w:sz w:val="21"/>
                <w:szCs w:val="21"/>
                <w:highlight w:val="none"/>
              </w:rPr>
              <w:t>6</w:t>
            </w:r>
            <w:r>
              <w:rPr>
                <w:rFonts w:ascii="宋体" w:hAnsi="宋体"/>
                <w:color w:val="auto"/>
                <w:sz w:val="21"/>
                <w:szCs w:val="21"/>
                <w:highlight w:val="none"/>
              </w:rPr>
              <w:t>个</w:t>
            </w:r>
            <w:r>
              <w:rPr>
                <w:color w:val="auto"/>
                <w:sz w:val="21"/>
                <w:szCs w:val="21"/>
                <w:highlight w:val="none"/>
              </w:rPr>
              <w:t>10/100/1000M</w:t>
            </w:r>
            <w:r>
              <w:rPr>
                <w:rFonts w:ascii="宋体" w:hAnsi="宋体"/>
                <w:color w:val="auto"/>
                <w:sz w:val="21"/>
                <w:szCs w:val="21"/>
                <w:highlight w:val="none"/>
              </w:rPr>
              <w:t>自适应电口，内外网具有独立的管理口、</w:t>
            </w:r>
            <w:r>
              <w:rPr>
                <w:color w:val="auto"/>
                <w:sz w:val="21"/>
                <w:szCs w:val="21"/>
                <w:highlight w:val="none"/>
              </w:rPr>
              <w:t>HA</w:t>
            </w:r>
            <w:r>
              <w:rPr>
                <w:rFonts w:ascii="宋体" w:hAnsi="宋体"/>
                <w:color w:val="auto"/>
                <w:sz w:val="21"/>
                <w:szCs w:val="21"/>
                <w:highlight w:val="none"/>
              </w:rPr>
              <w:t>口（热备口）。</w:t>
            </w:r>
          </w:p>
        </w:tc>
      </w:tr>
      <w:tr>
        <w:tblPrEx>
          <w:tblCellMar>
            <w:top w:w="0" w:type="dxa"/>
            <w:left w:w="108" w:type="dxa"/>
            <w:bottom w:w="0" w:type="dxa"/>
            <w:right w:w="108" w:type="dxa"/>
          </w:tblCellMar>
        </w:tblPrEx>
        <w:trPr>
          <w:trHeight w:val="450" w:hRule="atLeast"/>
        </w:trPr>
        <w:tc>
          <w:tcPr>
            <w:tcW w:w="984" w:type="dxa"/>
            <w:tcBorders>
              <w:top w:val="single" w:color="auto" w:sz="4" w:space="0"/>
              <w:left w:val="single" w:color="auto" w:sz="4" w:space="0"/>
              <w:bottom w:val="single" w:color="auto" w:sz="4" w:space="0"/>
              <w:right w:val="single" w:color="auto" w:sz="4" w:space="0"/>
            </w:tcBorders>
            <w:vAlign w:val="center"/>
          </w:tcPr>
          <w:p>
            <w:pPr>
              <w:jc w:val="center"/>
              <w:rPr>
                <w:color w:val="auto"/>
                <w:sz w:val="21"/>
                <w:szCs w:val="21"/>
                <w:highlight w:val="none"/>
              </w:rPr>
            </w:pPr>
            <w:r>
              <w:rPr>
                <w:color w:val="auto"/>
                <w:sz w:val="21"/>
                <w:szCs w:val="21"/>
                <w:highlight w:val="none"/>
              </w:rPr>
              <w:t>7</w:t>
            </w:r>
          </w:p>
        </w:tc>
        <w:tc>
          <w:tcPr>
            <w:tcW w:w="2688" w:type="dxa"/>
            <w:tcBorders>
              <w:top w:val="single" w:color="auto" w:sz="4" w:space="0"/>
              <w:left w:val="nil"/>
              <w:bottom w:val="single" w:color="auto" w:sz="4" w:space="0"/>
              <w:right w:val="single" w:color="auto" w:sz="4" w:space="0"/>
            </w:tcBorders>
            <w:vAlign w:val="center"/>
          </w:tcPr>
          <w:p>
            <w:pPr>
              <w:rPr>
                <w:color w:val="auto"/>
                <w:sz w:val="21"/>
                <w:szCs w:val="21"/>
                <w:highlight w:val="none"/>
              </w:rPr>
            </w:pPr>
            <w:r>
              <w:rPr>
                <w:color w:val="auto"/>
                <w:sz w:val="21"/>
                <w:szCs w:val="21"/>
                <w:highlight w:val="none"/>
              </w:rPr>
              <w:t>视频AI</w:t>
            </w:r>
            <w:r>
              <w:rPr>
                <w:rFonts w:ascii="宋体" w:hAnsi="宋体"/>
                <w:color w:val="auto"/>
                <w:sz w:val="21"/>
                <w:szCs w:val="21"/>
                <w:highlight w:val="none"/>
              </w:rPr>
              <w:t>、</w:t>
            </w:r>
            <w:r>
              <w:rPr>
                <w:color w:val="auto"/>
                <w:sz w:val="21"/>
                <w:szCs w:val="21"/>
                <w:highlight w:val="none"/>
              </w:rPr>
              <w:t>GPU</w:t>
            </w:r>
            <w:r>
              <w:rPr>
                <w:rFonts w:ascii="宋体" w:hAnsi="宋体"/>
                <w:color w:val="auto"/>
                <w:sz w:val="21"/>
                <w:szCs w:val="21"/>
                <w:highlight w:val="none"/>
              </w:rPr>
              <w:t>服务器</w:t>
            </w:r>
          </w:p>
        </w:tc>
        <w:tc>
          <w:tcPr>
            <w:tcW w:w="5956" w:type="dxa"/>
            <w:tcBorders>
              <w:top w:val="single" w:color="auto" w:sz="4" w:space="0"/>
              <w:left w:val="nil"/>
              <w:bottom w:val="single" w:color="auto" w:sz="4" w:space="0"/>
              <w:right w:val="single" w:color="auto" w:sz="4" w:space="0"/>
            </w:tcBorders>
            <w:vAlign w:val="center"/>
          </w:tcPr>
          <w:p>
            <w:pPr>
              <w:rPr>
                <w:color w:val="auto"/>
                <w:sz w:val="21"/>
                <w:szCs w:val="21"/>
                <w:highlight w:val="none"/>
              </w:rPr>
            </w:pPr>
            <w:r>
              <w:rPr>
                <w:color w:val="auto"/>
                <w:sz w:val="21"/>
                <w:szCs w:val="21"/>
                <w:highlight w:val="none"/>
              </w:rPr>
              <w:t>CPU</w:t>
            </w:r>
            <w:r>
              <w:rPr>
                <w:rFonts w:hint="eastAsia"/>
                <w:color w:val="auto"/>
                <w:sz w:val="21"/>
                <w:szCs w:val="21"/>
                <w:highlight w:val="none"/>
              </w:rPr>
              <w:t>：</w:t>
            </w:r>
            <w:r>
              <w:rPr>
                <w:color w:val="auto"/>
                <w:sz w:val="21"/>
                <w:szCs w:val="21"/>
                <w:highlight w:val="none"/>
              </w:rPr>
              <w:t xml:space="preserve"> Intel i7 7800x</w:t>
            </w:r>
            <w:r>
              <w:rPr>
                <w:rFonts w:hint="eastAsia"/>
                <w:color w:val="auto"/>
                <w:sz w:val="21"/>
                <w:szCs w:val="21"/>
                <w:highlight w:val="none"/>
              </w:rPr>
              <w:t>及以上</w:t>
            </w:r>
          </w:p>
          <w:p>
            <w:pPr>
              <w:rPr>
                <w:color w:val="auto"/>
                <w:sz w:val="21"/>
                <w:szCs w:val="21"/>
                <w:highlight w:val="none"/>
              </w:rPr>
            </w:pPr>
            <w:r>
              <w:rPr>
                <w:color w:val="auto"/>
                <w:sz w:val="21"/>
                <w:szCs w:val="21"/>
                <w:highlight w:val="none"/>
              </w:rPr>
              <w:t>GPU</w:t>
            </w:r>
            <w:r>
              <w:rPr>
                <w:rFonts w:hint="eastAsia"/>
                <w:color w:val="auto"/>
                <w:sz w:val="21"/>
                <w:szCs w:val="21"/>
                <w:highlight w:val="none"/>
              </w:rPr>
              <w:t>：</w:t>
            </w:r>
            <w:r>
              <w:rPr>
                <w:color w:val="auto"/>
                <w:sz w:val="21"/>
                <w:szCs w:val="21"/>
                <w:highlight w:val="none"/>
              </w:rPr>
              <w:t xml:space="preserve"> GTX1070</w:t>
            </w:r>
            <w:r>
              <w:rPr>
                <w:rFonts w:hint="eastAsia"/>
                <w:color w:val="auto"/>
                <w:sz w:val="21"/>
                <w:szCs w:val="21"/>
                <w:highlight w:val="none"/>
              </w:rPr>
              <w:t>*</w:t>
            </w:r>
            <w:r>
              <w:rPr>
                <w:color w:val="auto"/>
                <w:sz w:val="21"/>
                <w:szCs w:val="21"/>
                <w:highlight w:val="none"/>
              </w:rPr>
              <w:t>2</w:t>
            </w:r>
            <w:r>
              <w:rPr>
                <w:rFonts w:hint="eastAsia"/>
                <w:color w:val="auto"/>
                <w:sz w:val="21"/>
                <w:szCs w:val="21"/>
                <w:highlight w:val="none"/>
              </w:rPr>
              <w:t>及以上</w:t>
            </w:r>
          </w:p>
          <w:p>
            <w:pPr>
              <w:rPr>
                <w:color w:val="auto"/>
                <w:sz w:val="21"/>
                <w:szCs w:val="21"/>
                <w:highlight w:val="none"/>
              </w:rPr>
            </w:pPr>
            <w:r>
              <w:rPr>
                <w:color w:val="auto"/>
                <w:sz w:val="21"/>
                <w:szCs w:val="21"/>
                <w:highlight w:val="none"/>
              </w:rPr>
              <w:t>硬盘：</w:t>
            </w:r>
            <w:r>
              <w:rPr>
                <w:rFonts w:hint="eastAsia"/>
                <w:color w:val="auto"/>
                <w:sz w:val="21"/>
                <w:szCs w:val="21"/>
                <w:highlight w:val="none"/>
              </w:rPr>
              <w:t>不小于</w:t>
            </w:r>
            <w:r>
              <w:rPr>
                <w:color w:val="auto"/>
                <w:sz w:val="21"/>
                <w:szCs w:val="21"/>
                <w:highlight w:val="none"/>
              </w:rPr>
              <w:t>500GBSSD+2TB</w:t>
            </w:r>
            <w:r>
              <w:rPr>
                <w:rFonts w:hint="eastAsia"/>
                <w:color w:val="auto"/>
                <w:sz w:val="21"/>
                <w:szCs w:val="21"/>
                <w:highlight w:val="none"/>
              </w:rPr>
              <w:t>*</w:t>
            </w:r>
            <w:r>
              <w:rPr>
                <w:color w:val="auto"/>
                <w:sz w:val="21"/>
                <w:szCs w:val="21"/>
                <w:highlight w:val="none"/>
              </w:rPr>
              <w:t>2 SAS</w:t>
            </w:r>
          </w:p>
          <w:p>
            <w:pPr>
              <w:rPr>
                <w:color w:val="auto"/>
                <w:sz w:val="21"/>
                <w:szCs w:val="21"/>
                <w:highlight w:val="none"/>
              </w:rPr>
            </w:pPr>
            <w:r>
              <w:rPr>
                <w:color w:val="auto"/>
                <w:sz w:val="21"/>
                <w:szCs w:val="21"/>
                <w:highlight w:val="none"/>
              </w:rPr>
              <w:t>专用机箱</w:t>
            </w:r>
          </w:p>
          <w:p>
            <w:pPr>
              <w:rPr>
                <w:color w:val="auto"/>
                <w:sz w:val="21"/>
                <w:szCs w:val="21"/>
                <w:highlight w:val="none"/>
              </w:rPr>
            </w:pPr>
            <w:r>
              <w:rPr>
                <w:color w:val="auto"/>
                <w:sz w:val="21"/>
                <w:szCs w:val="21"/>
                <w:highlight w:val="none"/>
              </w:rPr>
              <w:t>专用散热器</w:t>
            </w:r>
          </w:p>
          <w:p>
            <w:pPr>
              <w:rPr>
                <w:color w:val="auto"/>
                <w:sz w:val="21"/>
                <w:szCs w:val="21"/>
                <w:highlight w:val="none"/>
              </w:rPr>
            </w:pPr>
            <w:r>
              <w:rPr>
                <w:rFonts w:hint="eastAsia"/>
                <w:color w:val="auto"/>
                <w:sz w:val="21"/>
                <w:szCs w:val="21"/>
                <w:highlight w:val="none"/>
              </w:rPr>
              <w:t>不低于</w:t>
            </w:r>
            <w:r>
              <w:rPr>
                <w:color w:val="auto"/>
                <w:sz w:val="21"/>
                <w:szCs w:val="21"/>
                <w:highlight w:val="none"/>
              </w:rPr>
              <w:t>1610W</w:t>
            </w:r>
            <w:r>
              <w:rPr>
                <w:rFonts w:ascii="宋体" w:hAnsi="宋体"/>
                <w:color w:val="auto"/>
                <w:sz w:val="21"/>
                <w:szCs w:val="21"/>
                <w:highlight w:val="none"/>
              </w:rPr>
              <w:t>电源</w:t>
            </w:r>
          </w:p>
        </w:tc>
      </w:tr>
      <w:tr>
        <w:tblPrEx>
          <w:tblCellMar>
            <w:top w:w="0" w:type="dxa"/>
            <w:left w:w="108" w:type="dxa"/>
            <w:bottom w:w="0" w:type="dxa"/>
            <w:right w:w="108" w:type="dxa"/>
          </w:tblCellMar>
        </w:tblPrEx>
        <w:trPr>
          <w:trHeight w:val="450" w:hRule="atLeast"/>
        </w:trPr>
        <w:tc>
          <w:tcPr>
            <w:tcW w:w="984" w:type="dxa"/>
            <w:tcBorders>
              <w:top w:val="single" w:color="auto" w:sz="4" w:space="0"/>
              <w:left w:val="single" w:color="auto" w:sz="4" w:space="0"/>
              <w:bottom w:val="single" w:color="auto" w:sz="4" w:space="0"/>
              <w:right w:val="single" w:color="auto" w:sz="4" w:space="0"/>
            </w:tcBorders>
            <w:vAlign w:val="center"/>
          </w:tcPr>
          <w:p>
            <w:pPr>
              <w:jc w:val="center"/>
              <w:rPr>
                <w:color w:val="auto"/>
                <w:sz w:val="21"/>
                <w:szCs w:val="21"/>
                <w:highlight w:val="none"/>
              </w:rPr>
            </w:pPr>
            <w:r>
              <w:rPr>
                <w:rFonts w:hint="eastAsia"/>
                <w:color w:val="auto"/>
                <w:sz w:val="21"/>
                <w:szCs w:val="21"/>
                <w:highlight w:val="none"/>
              </w:rPr>
              <w:t>8</w:t>
            </w:r>
          </w:p>
        </w:tc>
        <w:tc>
          <w:tcPr>
            <w:tcW w:w="2688" w:type="dxa"/>
            <w:tcBorders>
              <w:top w:val="single" w:color="auto" w:sz="4" w:space="0"/>
              <w:left w:val="nil"/>
              <w:bottom w:val="single" w:color="auto" w:sz="4" w:space="0"/>
              <w:right w:val="single" w:color="auto" w:sz="4" w:space="0"/>
            </w:tcBorders>
            <w:vAlign w:val="center"/>
          </w:tcPr>
          <w:p>
            <w:pPr>
              <w:rPr>
                <w:color w:val="auto"/>
                <w:sz w:val="21"/>
                <w:szCs w:val="21"/>
                <w:highlight w:val="none"/>
              </w:rPr>
            </w:pPr>
            <w:r>
              <w:rPr>
                <w:rFonts w:hint="eastAsia" w:ascii="宋体" w:hAnsi="宋体"/>
                <w:color w:val="auto"/>
                <w:kern w:val="0"/>
                <w:sz w:val="20"/>
                <w:highlight w:val="none"/>
              </w:rPr>
              <w:t>200万红外高清半球型网络摄像机</w:t>
            </w:r>
          </w:p>
        </w:tc>
        <w:tc>
          <w:tcPr>
            <w:tcW w:w="5956" w:type="dxa"/>
            <w:tcBorders>
              <w:top w:val="single" w:color="auto" w:sz="4" w:space="0"/>
              <w:left w:val="nil"/>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rPr>
              <w:t>采用不低于200万像素CMOS</w:t>
            </w:r>
            <w:r>
              <w:rPr>
                <w:rFonts w:hint="eastAsia" w:ascii="宋体" w:hAnsi="宋体"/>
                <w:color w:val="auto"/>
                <w:sz w:val="21"/>
                <w:szCs w:val="21"/>
                <w:highlight w:val="none"/>
              </w:rPr>
              <w:t>传感器</w:t>
            </w:r>
          </w:p>
          <w:p>
            <w:pPr>
              <w:rPr>
                <w:color w:val="auto"/>
                <w:sz w:val="21"/>
                <w:szCs w:val="21"/>
                <w:highlight w:val="none"/>
              </w:rPr>
            </w:pPr>
            <w:r>
              <w:rPr>
                <w:rFonts w:hint="eastAsia"/>
                <w:color w:val="auto"/>
                <w:sz w:val="21"/>
                <w:szCs w:val="21"/>
                <w:highlight w:val="none"/>
              </w:rPr>
              <w:t>支持2.8-12mm</w:t>
            </w:r>
            <w:r>
              <w:rPr>
                <w:rFonts w:hint="eastAsia" w:ascii="宋体" w:hAnsi="宋体"/>
                <w:color w:val="auto"/>
                <w:sz w:val="21"/>
                <w:szCs w:val="21"/>
                <w:highlight w:val="none"/>
              </w:rPr>
              <w:t>电动变焦镜头</w:t>
            </w:r>
          </w:p>
          <w:p>
            <w:pPr>
              <w:rPr>
                <w:color w:val="auto"/>
                <w:sz w:val="21"/>
                <w:szCs w:val="21"/>
                <w:highlight w:val="none"/>
              </w:rPr>
            </w:pPr>
            <w:r>
              <w:rPr>
                <w:rFonts w:hint="eastAsia"/>
                <w:color w:val="auto"/>
                <w:sz w:val="21"/>
                <w:szCs w:val="21"/>
                <w:highlight w:val="none"/>
              </w:rPr>
              <w:t>支持H.265/H.264</w:t>
            </w:r>
            <w:r>
              <w:rPr>
                <w:rFonts w:hint="eastAsia" w:ascii="宋体" w:hAnsi="宋体"/>
                <w:color w:val="auto"/>
                <w:sz w:val="21"/>
                <w:szCs w:val="21"/>
                <w:highlight w:val="none"/>
              </w:rPr>
              <w:t>视频编码算法</w:t>
            </w:r>
          </w:p>
          <w:p>
            <w:pPr>
              <w:rPr>
                <w:color w:val="auto"/>
                <w:sz w:val="21"/>
                <w:szCs w:val="21"/>
                <w:highlight w:val="none"/>
              </w:rPr>
            </w:pPr>
            <w:r>
              <w:rPr>
                <w:rFonts w:hint="eastAsia"/>
                <w:color w:val="auto"/>
                <w:sz w:val="21"/>
                <w:szCs w:val="21"/>
                <w:highlight w:val="none"/>
              </w:rPr>
              <w:t>最大输出分辨率不低于1920*1080@25fps/30fps</w:t>
            </w:r>
            <w:r>
              <w:rPr>
                <w:rFonts w:hint="eastAsia" w:ascii="宋体" w:hAnsi="宋体"/>
                <w:color w:val="auto"/>
                <w:sz w:val="21"/>
                <w:szCs w:val="21"/>
                <w:highlight w:val="none"/>
              </w:rPr>
              <w:t>，支持三码流传输</w:t>
            </w:r>
          </w:p>
          <w:p>
            <w:pPr>
              <w:rPr>
                <w:color w:val="auto"/>
                <w:sz w:val="21"/>
                <w:szCs w:val="21"/>
                <w:highlight w:val="none"/>
              </w:rPr>
            </w:pPr>
            <w:r>
              <w:rPr>
                <w:rFonts w:hint="eastAsia"/>
                <w:color w:val="auto"/>
                <w:sz w:val="21"/>
                <w:szCs w:val="21"/>
                <w:highlight w:val="none"/>
              </w:rPr>
              <w:t>支持真实宽动态，动态范围120dB</w:t>
            </w:r>
            <w:r>
              <w:rPr>
                <w:rFonts w:hint="eastAsia" w:ascii="宋体" w:hAnsi="宋体"/>
                <w:color w:val="auto"/>
                <w:sz w:val="21"/>
                <w:szCs w:val="21"/>
                <w:highlight w:val="none"/>
              </w:rPr>
              <w:t>，适合逆光环境</w:t>
            </w:r>
          </w:p>
          <w:p>
            <w:pPr>
              <w:rPr>
                <w:color w:val="auto"/>
                <w:sz w:val="21"/>
                <w:szCs w:val="21"/>
                <w:highlight w:val="none"/>
              </w:rPr>
            </w:pPr>
            <w:r>
              <w:rPr>
                <w:rFonts w:hint="eastAsia"/>
                <w:color w:val="auto"/>
                <w:sz w:val="21"/>
                <w:szCs w:val="21"/>
                <w:highlight w:val="none"/>
              </w:rPr>
              <w:t>采用高灵敏度传感器，满足星光级监控需求</w:t>
            </w:r>
          </w:p>
          <w:p>
            <w:pPr>
              <w:rPr>
                <w:color w:val="auto"/>
                <w:sz w:val="21"/>
                <w:szCs w:val="21"/>
                <w:highlight w:val="none"/>
              </w:rPr>
            </w:pPr>
            <w:r>
              <w:rPr>
                <w:rFonts w:hint="eastAsia"/>
                <w:color w:val="auto"/>
                <w:sz w:val="21"/>
                <w:szCs w:val="21"/>
                <w:highlight w:val="none"/>
              </w:rPr>
              <w:t>支持人脸检测、周界入侵、物品遗留/</w:t>
            </w:r>
            <w:r>
              <w:rPr>
                <w:rFonts w:hint="eastAsia" w:ascii="宋体" w:hAnsi="宋体"/>
                <w:color w:val="auto"/>
                <w:sz w:val="21"/>
                <w:szCs w:val="21"/>
                <w:highlight w:val="none"/>
              </w:rPr>
              <w:t>盗移、跨越围栏、逆行检测、徘徊检测、密度检测、数量统计等高级智能化功能</w:t>
            </w:r>
          </w:p>
          <w:p>
            <w:pPr>
              <w:rPr>
                <w:color w:val="auto"/>
                <w:sz w:val="21"/>
                <w:szCs w:val="21"/>
                <w:highlight w:val="none"/>
              </w:rPr>
            </w:pPr>
            <w:r>
              <w:rPr>
                <w:rFonts w:hint="eastAsia"/>
                <w:color w:val="auto"/>
                <w:sz w:val="21"/>
                <w:szCs w:val="21"/>
                <w:highlight w:val="none"/>
              </w:rPr>
              <w:t>支持三种视频诊断功能：图像偏色检测、图像虚焦检测、摄像机移位检测</w:t>
            </w:r>
          </w:p>
          <w:p>
            <w:pPr>
              <w:rPr>
                <w:color w:val="auto"/>
                <w:sz w:val="21"/>
                <w:szCs w:val="21"/>
                <w:highlight w:val="none"/>
              </w:rPr>
            </w:pPr>
            <w:r>
              <w:rPr>
                <w:rFonts w:hint="eastAsia"/>
                <w:color w:val="auto"/>
                <w:sz w:val="21"/>
                <w:szCs w:val="21"/>
                <w:highlight w:val="none"/>
              </w:rPr>
              <w:t>支持走廊模式、感兴趣区域（ROI</w:t>
            </w:r>
            <w:r>
              <w:rPr>
                <w:rFonts w:hint="eastAsia" w:ascii="宋体" w:hAnsi="宋体"/>
                <w:color w:val="auto"/>
                <w:sz w:val="21"/>
                <w:szCs w:val="21"/>
                <w:highlight w:val="none"/>
              </w:rPr>
              <w:t>）</w:t>
            </w:r>
          </w:p>
          <w:p>
            <w:pPr>
              <w:rPr>
                <w:color w:val="auto"/>
                <w:sz w:val="21"/>
                <w:szCs w:val="21"/>
                <w:highlight w:val="none"/>
              </w:rPr>
            </w:pPr>
            <w:r>
              <w:rPr>
                <w:rFonts w:hint="eastAsia"/>
                <w:color w:val="auto"/>
                <w:sz w:val="21"/>
                <w:szCs w:val="21"/>
                <w:highlight w:val="none"/>
              </w:rPr>
              <w:t>支持数字水印加密，防止数据被篡改</w:t>
            </w:r>
          </w:p>
          <w:p>
            <w:pPr>
              <w:rPr>
                <w:color w:val="auto"/>
                <w:sz w:val="21"/>
                <w:szCs w:val="21"/>
                <w:highlight w:val="none"/>
              </w:rPr>
            </w:pPr>
            <w:r>
              <w:rPr>
                <w:rFonts w:hint="eastAsia"/>
                <w:color w:val="auto"/>
                <w:sz w:val="21"/>
                <w:szCs w:val="21"/>
                <w:highlight w:val="none"/>
              </w:rPr>
              <w:t>支持IR_CUT</w:t>
            </w:r>
            <w:r>
              <w:rPr>
                <w:rFonts w:hint="eastAsia" w:ascii="宋体" w:hAnsi="宋体"/>
                <w:color w:val="auto"/>
                <w:sz w:val="21"/>
                <w:szCs w:val="21"/>
                <w:highlight w:val="none"/>
              </w:rPr>
              <w:t>（红外滤片式自动切换），实现真正的日夜监控</w:t>
            </w:r>
          </w:p>
          <w:p>
            <w:pPr>
              <w:rPr>
                <w:color w:val="auto"/>
                <w:sz w:val="21"/>
                <w:szCs w:val="21"/>
                <w:highlight w:val="none"/>
              </w:rPr>
            </w:pPr>
            <w:r>
              <w:rPr>
                <w:rFonts w:hint="eastAsia"/>
                <w:color w:val="auto"/>
                <w:sz w:val="21"/>
                <w:szCs w:val="21"/>
                <w:highlight w:val="none"/>
              </w:rPr>
              <w:t>支持手机直连监控，支持私网穿透</w:t>
            </w:r>
          </w:p>
          <w:p>
            <w:pPr>
              <w:rPr>
                <w:color w:val="auto"/>
                <w:sz w:val="21"/>
                <w:szCs w:val="21"/>
                <w:highlight w:val="none"/>
              </w:rPr>
            </w:pPr>
            <w:r>
              <w:rPr>
                <w:rFonts w:hint="eastAsia"/>
                <w:color w:val="auto"/>
                <w:sz w:val="21"/>
                <w:szCs w:val="21"/>
                <w:highlight w:val="none"/>
              </w:rPr>
              <w:t>支持Onvif/CGI/GB28181</w:t>
            </w:r>
          </w:p>
          <w:p>
            <w:pPr>
              <w:rPr>
                <w:color w:val="auto"/>
                <w:sz w:val="21"/>
                <w:szCs w:val="21"/>
                <w:highlight w:val="none"/>
              </w:rPr>
            </w:pPr>
            <w:r>
              <w:rPr>
                <w:rFonts w:hint="eastAsia"/>
                <w:color w:val="auto"/>
                <w:sz w:val="21"/>
                <w:szCs w:val="21"/>
                <w:highlight w:val="none"/>
              </w:rPr>
              <w:t>支持移动侦测，网络异常，遮挡报警等智能报警</w:t>
            </w:r>
          </w:p>
          <w:p>
            <w:pPr>
              <w:rPr>
                <w:color w:val="auto"/>
                <w:sz w:val="21"/>
                <w:szCs w:val="21"/>
                <w:highlight w:val="none"/>
              </w:rPr>
            </w:pPr>
            <w:r>
              <w:rPr>
                <w:rFonts w:hint="eastAsia"/>
                <w:color w:val="auto"/>
                <w:sz w:val="21"/>
                <w:szCs w:val="21"/>
                <w:highlight w:val="none"/>
              </w:rPr>
              <w:t>支持音频/</w:t>
            </w:r>
            <w:r>
              <w:rPr>
                <w:rFonts w:hint="eastAsia" w:ascii="宋体" w:hAnsi="宋体"/>
                <w:color w:val="auto"/>
                <w:sz w:val="21"/>
                <w:szCs w:val="21"/>
                <w:highlight w:val="none"/>
              </w:rPr>
              <w:t>报警</w:t>
            </w:r>
            <w:r>
              <w:rPr>
                <w:rFonts w:hint="eastAsia"/>
                <w:color w:val="auto"/>
                <w:sz w:val="21"/>
                <w:szCs w:val="21"/>
                <w:highlight w:val="none"/>
              </w:rPr>
              <w:t>/RS485/</w:t>
            </w:r>
            <w:r>
              <w:rPr>
                <w:rFonts w:hint="eastAsia" w:ascii="宋体" w:hAnsi="宋体"/>
                <w:color w:val="auto"/>
                <w:sz w:val="21"/>
                <w:szCs w:val="21"/>
                <w:highlight w:val="none"/>
              </w:rPr>
              <w:t>模拟输出等全功能接口</w:t>
            </w:r>
          </w:p>
          <w:p>
            <w:pPr>
              <w:rPr>
                <w:color w:val="auto"/>
                <w:sz w:val="21"/>
                <w:szCs w:val="21"/>
                <w:highlight w:val="none"/>
              </w:rPr>
            </w:pPr>
            <w:r>
              <w:rPr>
                <w:rFonts w:hint="eastAsia"/>
                <w:color w:val="auto"/>
                <w:sz w:val="21"/>
                <w:szCs w:val="21"/>
                <w:highlight w:val="none"/>
              </w:rPr>
              <w:t>支持POE</w:t>
            </w:r>
            <w:r>
              <w:rPr>
                <w:rFonts w:hint="eastAsia" w:ascii="宋体" w:hAnsi="宋体"/>
                <w:color w:val="auto"/>
                <w:sz w:val="21"/>
                <w:szCs w:val="21"/>
                <w:highlight w:val="none"/>
              </w:rPr>
              <w:t>供电，支持</w:t>
            </w:r>
            <w:r>
              <w:rPr>
                <w:rFonts w:hint="eastAsia"/>
                <w:color w:val="auto"/>
                <w:sz w:val="21"/>
                <w:szCs w:val="21"/>
                <w:highlight w:val="none"/>
              </w:rPr>
              <w:t>reset</w:t>
            </w:r>
            <w:r>
              <w:rPr>
                <w:rFonts w:hint="eastAsia" w:ascii="宋体" w:hAnsi="宋体"/>
                <w:color w:val="auto"/>
                <w:sz w:val="21"/>
                <w:szCs w:val="21"/>
                <w:highlight w:val="none"/>
              </w:rPr>
              <w:t>复位按键，支持本地</w:t>
            </w:r>
            <w:r>
              <w:rPr>
                <w:rFonts w:hint="eastAsia"/>
                <w:color w:val="auto"/>
                <w:sz w:val="21"/>
                <w:szCs w:val="21"/>
                <w:highlight w:val="none"/>
              </w:rPr>
              <w:t>TF</w:t>
            </w:r>
            <w:r>
              <w:rPr>
                <w:rFonts w:hint="eastAsia" w:ascii="宋体" w:hAnsi="宋体"/>
                <w:color w:val="auto"/>
                <w:sz w:val="21"/>
                <w:szCs w:val="21"/>
                <w:highlight w:val="none"/>
              </w:rPr>
              <w:t>卡存储（最大支持</w:t>
            </w:r>
            <w:r>
              <w:rPr>
                <w:rFonts w:hint="eastAsia"/>
                <w:color w:val="auto"/>
                <w:sz w:val="21"/>
                <w:szCs w:val="21"/>
                <w:highlight w:val="none"/>
              </w:rPr>
              <w:t>128G</w:t>
            </w:r>
            <w:r>
              <w:rPr>
                <w:rFonts w:hint="eastAsia" w:ascii="宋体" w:hAnsi="宋体"/>
                <w:color w:val="auto"/>
                <w:sz w:val="21"/>
                <w:szCs w:val="21"/>
                <w:highlight w:val="none"/>
              </w:rPr>
              <w:t>）</w:t>
            </w:r>
          </w:p>
          <w:p>
            <w:pPr>
              <w:rPr>
                <w:color w:val="auto"/>
                <w:sz w:val="21"/>
                <w:szCs w:val="21"/>
                <w:highlight w:val="none"/>
              </w:rPr>
            </w:pPr>
            <w:r>
              <w:rPr>
                <w:rFonts w:hint="eastAsia"/>
                <w:color w:val="auto"/>
                <w:sz w:val="21"/>
                <w:szCs w:val="21"/>
                <w:highlight w:val="none"/>
              </w:rPr>
              <w:t>不低于IP66</w:t>
            </w:r>
            <w:r>
              <w:rPr>
                <w:rFonts w:hint="eastAsia" w:ascii="宋体" w:hAnsi="宋体"/>
                <w:color w:val="auto"/>
                <w:sz w:val="21"/>
                <w:szCs w:val="21"/>
                <w:highlight w:val="none"/>
              </w:rPr>
              <w:t>级防水防尘设计</w:t>
            </w:r>
          </w:p>
          <w:p>
            <w:pPr>
              <w:rPr>
                <w:color w:val="auto"/>
                <w:sz w:val="21"/>
                <w:szCs w:val="21"/>
                <w:highlight w:val="none"/>
              </w:rPr>
            </w:pPr>
            <w:r>
              <w:rPr>
                <w:rFonts w:hint="eastAsia"/>
                <w:color w:val="auto"/>
                <w:sz w:val="21"/>
                <w:szCs w:val="21"/>
                <w:highlight w:val="none"/>
              </w:rPr>
              <w:t>不低于IK10</w:t>
            </w:r>
            <w:r>
              <w:rPr>
                <w:rFonts w:hint="eastAsia" w:ascii="宋体" w:hAnsi="宋体"/>
                <w:color w:val="auto"/>
                <w:sz w:val="21"/>
                <w:szCs w:val="21"/>
                <w:highlight w:val="none"/>
              </w:rPr>
              <w:t>防暴等级</w:t>
            </w:r>
          </w:p>
        </w:tc>
      </w:tr>
    </w:tbl>
    <w:p>
      <w:pPr>
        <w:pStyle w:val="5"/>
        <w:rPr>
          <w:color w:val="auto"/>
          <w:highlight w:val="none"/>
        </w:rPr>
      </w:pPr>
      <w:r>
        <w:rPr>
          <w:rFonts w:hint="eastAsia"/>
          <w:color w:val="auto"/>
          <w:highlight w:val="none"/>
        </w:rPr>
        <w:t>基础支撑软件</w:t>
      </w:r>
    </w:p>
    <w:p>
      <w:pPr>
        <w:pStyle w:val="6"/>
        <w:rPr>
          <w:color w:val="auto"/>
          <w:highlight w:val="none"/>
        </w:rPr>
      </w:pPr>
      <w:r>
        <w:rPr>
          <w:rFonts w:hint="eastAsia"/>
          <w:color w:val="auto"/>
          <w:highlight w:val="none"/>
        </w:rPr>
        <w:t>服务器操作系统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要求</w:t>
      </w:r>
      <w:r>
        <w:rPr>
          <w:rFonts w:ascii="宋体" w:hAnsi="宋体"/>
          <w:color w:val="auto"/>
          <w:sz w:val="24"/>
          <w:szCs w:val="24"/>
          <w:highlight w:val="none"/>
        </w:rPr>
        <w:t>Windows Server</w:t>
      </w:r>
      <w:r>
        <w:rPr>
          <w:rFonts w:hint="eastAsia" w:ascii="宋体" w:hAnsi="宋体"/>
          <w:color w:val="auto"/>
          <w:sz w:val="24"/>
          <w:szCs w:val="24"/>
          <w:highlight w:val="none"/>
        </w:rPr>
        <w:t>或其它与平台配套的系统。</w:t>
      </w:r>
    </w:p>
    <w:p>
      <w:pPr>
        <w:pStyle w:val="6"/>
        <w:rPr>
          <w:color w:val="auto"/>
          <w:highlight w:val="none"/>
        </w:rPr>
      </w:pPr>
      <w:r>
        <w:rPr>
          <w:rFonts w:hint="eastAsia"/>
          <w:color w:val="auto"/>
          <w:highlight w:val="none"/>
        </w:rPr>
        <w:t>数据库软件</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要求支持</w:t>
      </w:r>
      <w:r>
        <w:rPr>
          <w:rFonts w:ascii="宋体" w:hAnsi="宋体"/>
          <w:color w:val="auto"/>
          <w:sz w:val="24"/>
          <w:szCs w:val="24"/>
          <w:highlight w:val="none"/>
        </w:rPr>
        <w:t xml:space="preserve">PostgreSQL </w:t>
      </w:r>
      <w:r>
        <w:rPr>
          <w:rFonts w:hint="eastAsia" w:ascii="宋体" w:hAnsi="宋体"/>
          <w:color w:val="auto"/>
          <w:sz w:val="24"/>
          <w:szCs w:val="24"/>
          <w:highlight w:val="none"/>
        </w:rPr>
        <w:t>、SQL Server 2014或其它与平台配套的数据库。</w:t>
      </w:r>
    </w:p>
    <w:p>
      <w:pPr>
        <w:pStyle w:val="6"/>
        <w:rPr>
          <w:color w:val="auto"/>
          <w:highlight w:val="none"/>
        </w:rPr>
      </w:pPr>
      <w:r>
        <w:rPr>
          <w:rFonts w:hint="eastAsia"/>
          <w:color w:val="auto"/>
          <w:highlight w:val="none"/>
        </w:rPr>
        <w:t>双机热备软件</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基于共享存储的高可用集群产品，实时监测应用资源运行状态，实现资源故障时自动切换，解决软、硬件的单点故障，从而保障业务系统连续运营。</w:t>
      </w:r>
    </w:p>
    <w:p>
      <w:pPr>
        <w:pStyle w:val="5"/>
        <w:rPr>
          <w:color w:val="auto"/>
          <w:highlight w:val="none"/>
        </w:rPr>
      </w:pPr>
      <w:r>
        <w:rPr>
          <w:rFonts w:hint="eastAsia"/>
          <w:color w:val="auto"/>
          <w:highlight w:val="none"/>
        </w:rPr>
        <w:t>视频会议与音响系统</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988"/>
        <w:gridCol w:w="7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988" w:type="dxa"/>
            <w:tcBorders>
              <w:top w:val="single" w:color="auto" w:sz="4" w:space="0"/>
              <w:left w:val="nil"/>
              <w:bottom w:val="single" w:color="auto" w:sz="4" w:space="0"/>
              <w:right w:val="single" w:color="auto" w:sz="4" w:space="0"/>
            </w:tcBorders>
            <w:shd w:val="clear" w:color="auto" w:fill="FFFFFF"/>
            <w:vAlign w:val="center"/>
          </w:tcPr>
          <w:p>
            <w:pPr>
              <w:pStyle w:val="15"/>
              <w:jc w:val="center"/>
              <w:rPr>
                <w:rFonts w:ascii="宋体" w:hAnsi="宋体"/>
                <w:b/>
                <w:bCs/>
                <w:color w:val="auto"/>
                <w:szCs w:val="21"/>
                <w:highlight w:val="none"/>
              </w:rPr>
            </w:pPr>
            <w:r>
              <w:rPr>
                <w:rFonts w:hint="eastAsia" w:ascii="宋体" w:hAnsi="宋体"/>
                <w:b/>
                <w:bCs/>
                <w:color w:val="auto"/>
                <w:highlight w:val="none"/>
              </w:rPr>
              <w:t>指标项</w:t>
            </w:r>
          </w:p>
        </w:tc>
        <w:tc>
          <w:tcPr>
            <w:tcW w:w="7862" w:type="dxa"/>
            <w:tcBorders>
              <w:top w:val="single" w:color="auto" w:sz="4" w:space="0"/>
              <w:left w:val="nil"/>
              <w:bottom w:val="single" w:color="auto" w:sz="4" w:space="0"/>
              <w:right w:val="single" w:color="auto" w:sz="4" w:space="0"/>
            </w:tcBorders>
            <w:shd w:val="clear" w:color="auto" w:fill="FFFFFF"/>
            <w:vAlign w:val="center"/>
          </w:tcPr>
          <w:p>
            <w:pPr>
              <w:pStyle w:val="15"/>
              <w:jc w:val="center"/>
              <w:rPr>
                <w:rFonts w:ascii="宋体" w:hAnsi="宋体"/>
                <w:b/>
                <w:bCs/>
                <w:color w:val="auto"/>
                <w:highlight w:val="none"/>
              </w:rPr>
            </w:pPr>
            <w:r>
              <w:rPr>
                <w:rFonts w:hint="eastAsia" w:ascii="宋体" w:hAnsi="宋体"/>
                <w:b/>
                <w:bCs/>
                <w:color w:val="auto"/>
                <w:highlight w:val="none"/>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pStyle w:val="15"/>
              <w:jc w:val="center"/>
              <w:rPr>
                <w:rStyle w:val="18"/>
                <w:rFonts w:hint="default"/>
                <w:color w:val="auto"/>
                <w:sz w:val="21"/>
                <w:szCs w:val="21"/>
                <w:highlight w:val="none"/>
              </w:rPr>
            </w:pPr>
            <w:r>
              <w:rPr>
                <w:rStyle w:val="18"/>
                <w:rFonts w:hint="default"/>
                <w:color w:val="auto"/>
                <w:sz w:val="21"/>
                <w:szCs w:val="21"/>
                <w:highlight w:val="none"/>
              </w:rPr>
              <w:t>1</w:t>
            </w:r>
          </w:p>
        </w:tc>
        <w:tc>
          <w:tcPr>
            <w:tcW w:w="988"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MCU多点控制单元</w:t>
            </w:r>
          </w:p>
        </w:tc>
        <w:tc>
          <w:tcPr>
            <w:tcW w:w="7862"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1 MCU要求符合标准的H.323、H320、SIP协议。能够和符合国际标准的产品互通。设备需与现网的视频会议终端兼容对接，并能接入现有的视频会议管理系统</w:t>
            </w:r>
          </w:p>
          <w:p>
            <w:pPr>
              <w:pStyle w:val="15"/>
              <w:rPr>
                <w:rStyle w:val="18"/>
                <w:rFonts w:hint="default"/>
                <w:color w:val="auto"/>
                <w:sz w:val="21"/>
                <w:szCs w:val="21"/>
                <w:highlight w:val="none"/>
              </w:rPr>
            </w:pPr>
            <w:r>
              <w:rPr>
                <w:rStyle w:val="18"/>
                <w:rFonts w:hint="default"/>
                <w:color w:val="auto"/>
                <w:sz w:val="21"/>
                <w:szCs w:val="21"/>
                <w:highlight w:val="none"/>
              </w:rPr>
              <w:t>2 支持视频会议录播功能</w:t>
            </w:r>
          </w:p>
          <w:p>
            <w:pPr>
              <w:pStyle w:val="15"/>
              <w:rPr>
                <w:rStyle w:val="18"/>
                <w:rFonts w:hint="default"/>
                <w:color w:val="auto"/>
                <w:sz w:val="21"/>
                <w:szCs w:val="21"/>
                <w:highlight w:val="none"/>
              </w:rPr>
            </w:pPr>
            <w:r>
              <w:rPr>
                <w:rStyle w:val="18"/>
                <w:rFonts w:hint="default"/>
                <w:color w:val="auto"/>
                <w:sz w:val="21"/>
                <w:szCs w:val="21"/>
                <w:highlight w:val="none"/>
              </w:rPr>
              <w:t>3 嵌入式一体化设计，电信级机架式MCU，电源风扇1＋1备份配置</w:t>
            </w:r>
          </w:p>
          <w:p>
            <w:pPr>
              <w:pStyle w:val="15"/>
              <w:rPr>
                <w:rStyle w:val="18"/>
                <w:rFonts w:hint="default"/>
                <w:color w:val="auto"/>
                <w:sz w:val="21"/>
                <w:szCs w:val="21"/>
                <w:highlight w:val="none"/>
              </w:rPr>
            </w:pPr>
            <w:r>
              <w:rPr>
                <w:rStyle w:val="18"/>
                <w:rFonts w:hint="default"/>
                <w:color w:val="auto"/>
                <w:sz w:val="21"/>
                <w:szCs w:val="21"/>
                <w:highlight w:val="none"/>
              </w:rPr>
              <w:t>4 MCU必须采用嵌入式操作系统</w:t>
            </w:r>
          </w:p>
          <w:p>
            <w:pPr>
              <w:pStyle w:val="15"/>
              <w:rPr>
                <w:rStyle w:val="18"/>
                <w:rFonts w:hint="default"/>
                <w:color w:val="auto"/>
                <w:sz w:val="21"/>
                <w:szCs w:val="21"/>
                <w:highlight w:val="none"/>
              </w:rPr>
            </w:pPr>
            <w:r>
              <w:rPr>
                <w:rStyle w:val="18"/>
                <w:rFonts w:hint="default"/>
                <w:color w:val="auto"/>
                <w:sz w:val="21"/>
                <w:szCs w:val="21"/>
                <w:highlight w:val="none"/>
              </w:rPr>
              <w:t>5 支持不低于720p 50/60fps、1080p 50/60 fps</w:t>
            </w:r>
          </w:p>
          <w:p>
            <w:pPr>
              <w:pStyle w:val="15"/>
              <w:rPr>
                <w:rStyle w:val="18"/>
                <w:rFonts w:hint="default"/>
                <w:color w:val="auto"/>
                <w:sz w:val="21"/>
                <w:szCs w:val="21"/>
                <w:highlight w:val="none"/>
              </w:rPr>
            </w:pPr>
            <w:r>
              <w:rPr>
                <w:rStyle w:val="18"/>
                <w:rFonts w:hint="default"/>
                <w:color w:val="auto"/>
                <w:sz w:val="21"/>
                <w:szCs w:val="21"/>
                <w:highlight w:val="none"/>
              </w:rPr>
              <w:t>6 支持G.711A，G.711U，G.722，G.728，G723.1，G.729 AnnexA、G722.1(SIREN7、SIREN14)、AAC_LD音频编解码标准协议</w:t>
            </w:r>
          </w:p>
          <w:p>
            <w:pPr>
              <w:pStyle w:val="15"/>
              <w:rPr>
                <w:rStyle w:val="18"/>
                <w:rFonts w:hint="default"/>
                <w:color w:val="auto"/>
                <w:sz w:val="21"/>
                <w:szCs w:val="21"/>
                <w:highlight w:val="none"/>
              </w:rPr>
            </w:pPr>
            <w:r>
              <w:rPr>
                <w:rStyle w:val="18"/>
                <w:rFonts w:hint="default"/>
                <w:color w:val="auto"/>
                <w:sz w:val="21"/>
                <w:szCs w:val="21"/>
                <w:highlight w:val="none"/>
              </w:rPr>
              <w:t>7 支持符合国际标准的H.239双流协议，实现双流功能</w:t>
            </w:r>
          </w:p>
          <w:p>
            <w:pPr>
              <w:pStyle w:val="15"/>
              <w:rPr>
                <w:rStyle w:val="18"/>
                <w:rFonts w:hint="default"/>
                <w:color w:val="auto"/>
                <w:sz w:val="21"/>
                <w:szCs w:val="21"/>
                <w:highlight w:val="none"/>
              </w:rPr>
            </w:pPr>
            <w:r>
              <w:rPr>
                <w:rStyle w:val="18"/>
                <w:rFonts w:hint="default"/>
                <w:color w:val="auto"/>
                <w:sz w:val="21"/>
                <w:szCs w:val="21"/>
                <w:highlight w:val="none"/>
              </w:rPr>
              <w:t>8 支持收发对称1080p60帧编码能，具备全编全解处理能力</w:t>
            </w:r>
          </w:p>
          <w:p>
            <w:pPr>
              <w:pStyle w:val="15"/>
              <w:rPr>
                <w:rStyle w:val="18"/>
                <w:rFonts w:hint="default"/>
                <w:color w:val="auto"/>
                <w:sz w:val="21"/>
                <w:szCs w:val="21"/>
                <w:highlight w:val="none"/>
              </w:rPr>
            </w:pPr>
            <w:r>
              <w:rPr>
                <w:rStyle w:val="18"/>
                <w:rFonts w:hint="default"/>
                <w:color w:val="auto"/>
                <w:sz w:val="21"/>
                <w:szCs w:val="21"/>
                <w:highlight w:val="none"/>
              </w:rPr>
              <w:t>9 支持使用H.264 HighProfile可节省高达50%的带宽资源</w:t>
            </w:r>
          </w:p>
          <w:p>
            <w:pPr>
              <w:pStyle w:val="15"/>
              <w:rPr>
                <w:rStyle w:val="18"/>
                <w:rFonts w:hint="default"/>
                <w:color w:val="auto"/>
                <w:sz w:val="21"/>
                <w:szCs w:val="21"/>
                <w:highlight w:val="none"/>
              </w:rPr>
            </w:pPr>
            <w:r>
              <w:rPr>
                <w:rStyle w:val="18"/>
                <w:rFonts w:hint="default"/>
                <w:color w:val="auto"/>
                <w:sz w:val="21"/>
                <w:szCs w:val="21"/>
                <w:highlight w:val="none"/>
              </w:rPr>
              <w:t>9 支持通过动态资源分配支持更多方同时呼叫加入视频和音频会议。</w:t>
            </w:r>
          </w:p>
          <w:p>
            <w:pPr>
              <w:pStyle w:val="15"/>
              <w:rPr>
                <w:rStyle w:val="18"/>
                <w:rFonts w:hint="default"/>
                <w:color w:val="auto"/>
                <w:sz w:val="21"/>
                <w:szCs w:val="21"/>
                <w:highlight w:val="none"/>
              </w:rPr>
            </w:pPr>
            <w:r>
              <w:rPr>
                <w:rStyle w:val="18"/>
                <w:rFonts w:hint="default"/>
                <w:color w:val="auto"/>
                <w:sz w:val="21"/>
                <w:szCs w:val="21"/>
                <w:highlight w:val="none"/>
              </w:rPr>
              <w:t>10 支持22K Hz宽频技术，展现环绕立体声。</w:t>
            </w:r>
          </w:p>
          <w:p>
            <w:pPr>
              <w:pStyle w:val="15"/>
              <w:rPr>
                <w:rStyle w:val="18"/>
                <w:rFonts w:hint="default"/>
                <w:color w:val="auto"/>
                <w:sz w:val="21"/>
                <w:szCs w:val="21"/>
                <w:highlight w:val="none"/>
              </w:rPr>
            </w:pPr>
            <w:r>
              <w:rPr>
                <w:rStyle w:val="18"/>
                <w:rFonts w:hint="default"/>
                <w:color w:val="auto"/>
                <w:sz w:val="21"/>
                <w:szCs w:val="21"/>
                <w:highlight w:val="none"/>
              </w:rPr>
              <w:t>11 支持从QCIF到1080p 60</w:t>
            </w:r>
          </w:p>
          <w:p>
            <w:pPr>
              <w:pStyle w:val="15"/>
              <w:rPr>
                <w:rStyle w:val="18"/>
                <w:rFonts w:hint="default"/>
                <w:color w:val="auto"/>
                <w:sz w:val="21"/>
                <w:szCs w:val="21"/>
                <w:highlight w:val="none"/>
              </w:rPr>
            </w:pPr>
            <w:r>
              <w:rPr>
                <w:rStyle w:val="18"/>
                <w:rFonts w:hint="default"/>
                <w:color w:val="auto"/>
                <w:sz w:val="21"/>
                <w:szCs w:val="21"/>
                <w:highlight w:val="none"/>
              </w:rPr>
              <w:t>12 具备10/100/1000 Mb网络接口</w:t>
            </w:r>
          </w:p>
          <w:p>
            <w:pPr>
              <w:pStyle w:val="15"/>
              <w:rPr>
                <w:rStyle w:val="18"/>
                <w:rFonts w:hint="default"/>
                <w:color w:val="auto"/>
                <w:sz w:val="21"/>
                <w:szCs w:val="21"/>
                <w:highlight w:val="none"/>
              </w:rPr>
            </w:pPr>
            <w:r>
              <w:rPr>
                <w:rStyle w:val="18"/>
                <w:rFonts w:hint="default"/>
                <w:color w:val="auto"/>
                <w:sz w:val="21"/>
                <w:szCs w:val="21"/>
                <w:highlight w:val="none"/>
              </w:rPr>
              <w:t>13 音频：支持DTMF，回声及键盘噪声抑制，Audio Clarity锐化和音频质量提升</w:t>
            </w:r>
          </w:p>
          <w:p>
            <w:pPr>
              <w:pStyle w:val="15"/>
              <w:rPr>
                <w:rFonts w:ascii="宋体" w:hAnsi="宋体"/>
                <w:color w:val="auto"/>
                <w:sz w:val="24"/>
                <w:szCs w:val="24"/>
                <w:highlight w:val="none"/>
              </w:rPr>
            </w:pPr>
            <w:r>
              <w:rPr>
                <w:rStyle w:val="18"/>
                <w:rFonts w:hint="default"/>
                <w:color w:val="auto"/>
                <w:sz w:val="21"/>
                <w:szCs w:val="21"/>
                <w:highlight w:val="none"/>
              </w:rPr>
              <w:t>14 支持安全会议模式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pStyle w:val="15"/>
              <w:jc w:val="center"/>
              <w:rPr>
                <w:rStyle w:val="18"/>
                <w:rFonts w:hint="default"/>
                <w:color w:val="auto"/>
                <w:sz w:val="21"/>
                <w:szCs w:val="21"/>
                <w:highlight w:val="none"/>
              </w:rPr>
            </w:pPr>
            <w:r>
              <w:rPr>
                <w:rStyle w:val="18"/>
                <w:rFonts w:hint="default"/>
                <w:color w:val="auto"/>
                <w:sz w:val="21"/>
                <w:szCs w:val="21"/>
                <w:highlight w:val="none"/>
              </w:rPr>
              <w:t>2</w:t>
            </w:r>
          </w:p>
        </w:tc>
        <w:tc>
          <w:tcPr>
            <w:tcW w:w="988"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音视频会议系统终端</w:t>
            </w:r>
          </w:p>
        </w:tc>
        <w:tc>
          <w:tcPr>
            <w:tcW w:w="7862"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1、分体式硬件架构，嵌入式操作系统</w:t>
            </w:r>
          </w:p>
          <w:p>
            <w:pPr>
              <w:pStyle w:val="15"/>
              <w:rPr>
                <w:rStyle w:val="18"/>
                <w:rFonts w:hint="default"/>
                <w:color w:val="auto"/>
                <w:sz w:val="21"/>
                <w:szCs w:val="21"/>
                <w:highlight w:val="none"/>
              </w:rPr>
            </w:pPr>
            <w:r>
              <w:rPr>
                <w:rStyle w:val="18"/>
                <w:rFonts w:hint="default"/>
                <w:color w:val="auto"/>
                <w:sz w:val="21"/>
                <w:szCs w:val="21"/>
                <w:highlight w:val="none"/>
              </w:rPr>
              <w:t>2、支持H.323协议和SIP协议，并支持同时运行H.323和SIP协议；无需第三方协议网关即可与主流视频会议厂商设备进行互联互通</w:t>
            </w:r>
          </w:p>
          <w:p>
            <w:pPr>
              <w:pStyle w:val="15"/>
              <w:rPr>
                <w:rStyle w:val="18"/>
                <w:rFonts w:hint="default"/>
                <w:color w:val="auto"/>
                <w:sz w:val="21"/>
                <w:szCs w:val="21"/>
                <w:highlight w:val="none"/>
              </w:rPr>
            </w:pPr>
            <w:r>
              <w:rPr>
                <w:rStyle w:val="18"/>
                <w:rFonts w:hint="default"/>
                <w:color w:val="auto"/>
                <w:sz w:val="21"/>
                <w:szCs w:val="21"/>
                <w:highlight w:val="none"/>
              </w:rPr>
              <w:t>3、在H.323和SIP标准下都支持128Kbps－6Mbps的呼叫速率</w:t>
            </w:r>
          </w:p>
          <w:p>
            <w:pPr>
              <w:pStyle w:val="15"/>
              <w:rPr>
                <w:rStyle w:val="18"/>
                <w:rFonts w:hint="default"/>
                <w:color w:val="auto"/>
                <w:sz w:val="21"/>
                <w:szCs w:val="21"/>
                <w:highlight w:val="none"/>
              </w:rPr>
            </w:pPr>
            <w:r>
              <w:rPr>
                <w:rStyle w:val="18"/>
                <w:rFonts w:hint="default"/>
                <w:color w:val="auto"/>
                <w:sz w:val="21"/>
                <w:szCs w:val="21"/>
                <w:highlight w:val="none"/>
              </w:rPr>
              <w:t>4、设备必须支持H.261, H.263, H.264，H.264HP, H.264 SVC</w:t>
            </w:r>
          </w:p>
          <w:p>
            <w:pPr>
              <w:pStyle w:val="15"/>
              <w:rPr>
                <w:rStyle w:val="18"/>
                <w:rFonts w:hint="default"/>
                <w:color w:val="auto"/>
                <w:sz w:val="21"/>
                <w:szCs w:val="21"/>
                <w:highlight w:val="none"/>
              </w:rPr>
            </w:pPr>
            <w:r>
              <w:rPr>
                <w:rStyle w:val="18"/>
                <w:rFonts w:hint="default"/>
                <w:color w:val="auto"/>
                <w:sz w:val="21"/>
                <w:szCs w:val="21"/>
                <w:highlight w:val="none"/>
              </w:rPr>
              <w:t>5、音频编码协议支持G.711、G.722、G.722.1 Annex C、G.719、G.729等音频标准，并支持20KHz及以上的高清立体声音频技术，支持唇音同步，支持消除回音啸叫</w:t>
            </w:r>
          </w:p>
          <w:p>
            <w:pPr>
              <w:pStyle w:val="15"/>
              <w:rPr>
                <w:rStyle w:val="18"/>
                <w:rFonts w:hint="default"/>
                <w:color w:val="auto"/>
                <w:sz w:val="21"/>
                <w:szCs w:val="21"/>
                <w:highlight w:val="none"/>
              </w:rPr>
            </w:pPr>
            <w:r>
              <w:rPr>
                <w:rStyle w:val="18"/>
                <w:rFonts w:hint="default"/>
                <w:color w:val="auto"/>
                <w:sz w:val="21"/>
                <w:szCs w:val="21"/>
                <w:highlight w:val="none"/>
              </w:rPr>
              <w:t>6、支持H.239和SIP下双流标准。支持1080P@60fps动态双流传输能力</w:t>
            </w:r>
          </w:p>
          <w:p>
            <w:pPr>
              <w:pStyle w:val="15"/>
              <w:rPr>
                <w:rStyle w:val="18"/>
                <w:rFonts w:hint="default"/>
                <w:color w:val="auto"/>
                <w:sz w:val="21"/>
                <w:szCs w:val="21"/>
                <w:highlight w:val="none"/>
              </w:rPr>
            </w:pPr>
            <w:r>
              <w:rPr>
                <w:rStyle w:val="18"/>
                <w:rFonts w:hint="default"/>
                <w:color w:val="auto"/>
                <w:sz w:val="21"/>
                <w:szCs w:val="21"/>
                <w:highlight w:val="none"/>
              </w:rPr>
              <w:t>7、设备需支持CIF，4CIF，HD720P@30fps，HD720P@60fps，HD1080P@30fps，HD1080P@60fps</w:t>
            </w:r>
          </w:p>
          <w:p>
            <w:pPr>
              <w:pStyle w:val="15"/>
              <w:rPr>
                <w:rStyle w:val="18"/>
                <w:rFonts w:hint="default"/>
                <w:color w:val="auto"/>
                <w:sz w:val="21"/>
                <w:szCs w:val="21"/>
                <w:highlight w:val="none"/>
              </w:rPr>
            </w:pPr>
            <w:r>
              <w:rPr>
                <w:rStyle w:val="18"/>
                <w:rFonts w:hint="default"/>
                <w:color w:val="auto"/>
                <w:sz w:val="21"/>
                <w:szCs w:val="21"/>
                <w:highlight w:val="none"/>
              </w:rPr>
              <w:t>8、至少具备4路高清视频输入和4路高清视频输出接口，且接口方式必须采用国际标准高清视频接口，具备3G/HD SDI接口，以便支持长距离1080P@60fps的数字传输</w:t>
            </w:r>
          </w:p>
          <w:p>
            <w:pPr>
              <w:pStyle w:val="15"/>
              <w:rPr>
                <w:rStyle w:val="18"/>
                <w:rFonts w:hint="default"/>
                <w:color w:val="auto"/>
                <w:sz w:val="21"/>
                <w:szCs w:val="21"/>
                <w:highlight w:val="none"/>
              </w:rPr>
            </w:pPr>
            <w:r>
              <w:rPr>
                <w:rStyle w:val="18"/>
                <w:rFonts w:hint="default"/>
                <w:color w:val="auto"/>
                <w:sz w:val="21"/>
                <w:szCs w:val="21"/>
                <w:highlight w:val="none"/>
              </w:rPr>
              <w:t>9、终端需支持双屏多远端功能，支持在两个显示屏上同时分别显示远端和近端图像。充分利用会议室现有显示屏，提供更多的会议信息，提升使用体验</w:t>
            </w:r>
          </w:p>
          <w:p>
            <w:pPr>
              <w:pStyle w:val="15"/>
              <w:rPr>
                <w:rStyle w:val="18"/>
                <w:rFonts w:hint="default"/>
                <w:color w:val="auto"/>
                <w:sz w:val="21"/>
                <w:szCs w:val="21"/>
                <w:highlight w:val="none"/>
              </w:rPr>
            </w:pPr>
            <w:r>
              <w:rPr>
                <w:rStyle w:val="18"/>
                <w:rFonts w:hint="default"/>
                <w:color w:val="auto"/>
                <w:sz w:val="21"/>
                <w:szCs w:val="21"/>
                <w:highlight w:val="none"/>
              </w:rPr>
              <w:t>10、终端需支持同时输出三种不同画面：本地、远端、内容画面，并且三种画面可根据需要进行切换</w:t>
            </w:r>
          </w:p>
          <w:p>
            <w:pPr>
              <w:pStyle w:val="15"/>
              <w:rPr>
                <w:rStyle w:val="18"/>
                <w:rFonts w:hint="default"/>
                <w:color w:val="auto"/>
                <w:sz w:val="21"/>
                <w:szCs w:val="21"/>
                <w:highlight w:val="none"/>
              </w:rPr>
            </w:pPr>
            <w:r>
              <w:rPr>
                <w:rStyle w:val="18"/>
                <w:rFonts w:hint="default"/>
                <w:color w:val="auto"/>
                <w:sz w:val="21"/>
                <w:szCs w:val="21"/>
                <w:highlight w:val="none"/>
              </w:rPr>
              <w:t>11、输入：支持至少3路音频输入。输出：支持至少2路输出音频接口，具备1路HDMI音视频输出接口</w:t>
            </w:r>
          </w:p>
          <w:p>
            <w:pPr>
              <w:pStyle w:val="15"/>
              <w:rPr>
                <w:rStyle w:val="18"/>
                <w:rFonts w:hint="default"/>
                <w:color w:val="auto"/>
                <w:sz w:val="21"/>
                <w:szCs w:val="21"/>
                <w:highlight w:val="none"/>
              </w:rPr>
            </w:pPr>
            <w:r>
              <w:rPr>
                <w:rStyle w:val="18"/>
                <w:rFonts w:hint="default"/>
                <w:color w:val="auto"/>
                <w:sz w:val="21"/>
                <w:szCs w:val="21"/>
                <w:highlight w:val="none"/>
              </w:rPr>
              <w:t>12、至少具备2个USB接口和1个RS232接口</w:t>
            </w:r>
          </w:p>
          <w:p>
            <w:pPr>
              <w:pStyle w:val="15"/>
              <w:rPr>
                <w:rStyle w:val="18"/>
                <w:rFonts w:hint="default"/>
                <w:color w:val="auto"/>
                <w:sz w:val="21"/>
                <w:szCs w:val="21"/>
                <w:highlight w:val="none"/>
              </w:rPr>
            </w:pPr>
            <w:r>
              <w:rPr>
                <w:rStyle w:val="18"/>
                <w:rFonts w:hint="default"/>
                <w:color w:val="auto"/>
                <w:sz w:val="21"/>
                <w:szCs w:val="21"/>
                <w:highlight w:val="none"/>
              </w:rPr>
              <w:t>13、支持H.235身份认证和AES加密，并且AES加密情况下呼叫速率可以达到6M</w:t>
            </w:r>
          </w:p>
          <w:p>
            <w:pPr>
              <w:pStyle w:val="15"/>
              <w:rPr>
                <w:rStyle w:val="18"/>
                <w:rFonts w:hint="default"/>
                <w:color w:val="auto"/>
                <w:sz w:val="21"/>
                <w:szCs w:val="21"/>
                <w:highlight w:val="none"/>
              </w:rPr>
            </w:pPr>
            <w:r>
              <w:rPr>
                <w:rStyle w:val="18"/>
                <w:rFonts w:hint="default"/>
                <w:color w:val="auto"/>
                <w:sz w:val="21"/>
                <w:szCs w:val="21"/>
                <w:highlight w:val="none"/>
              </w:rPr>
              <w:t>14、要求须配置至少1台云台摄像头；支持1080p60帧动态视频的摄像，摄像头支持至少12倍光学变焦，支持自动对焦和自动及手动白平衡功能</w:t>
            </w:r>
          </w:p>
          <w:p>
            <w:pPr>
              <w:pStyle w:val="15"/>
              <w:rPr>
                <w:rStyle w:val="18"/>
                <w:rFonts w:hint="default"/>
                <w:color w:val="auto"/>
                <w:sz w:val="21"/>
                <w:szCs w:val="21"/>
                <w:highlight w:val="none"/>
              </w:rPr>
            </w:pPr>
            <w:r>
              <w:rPr>
                <w:rStyle w:val="18"/>
                <w:rFonts w:hint="default"/>
                <w:color w:val="auto"/>
                <w:sz w:val="21"/>
                <w:szCs w:val="21"/>
                <w:highlight w:val="none"/>
              </w:rPr>
              <w:t>高清摄像机预置位不少于10个，并具有镜头预置位预览功能。（须与高清视频终端同一品牌）</w:t>
            </w:r>
          </w:p>
          <w:p>
            <w:pPr>
              <w:pStyle w:val="15"/>
              <w:rPr>
                <w:rStyle w:val="18"/>
                <w:rFonts w:hint="default"/>
                <w:color w:val="auto"/>
                <w:sz w:val="21"/>
                <w:szCs w:val="21"/>
                <w:highlight w:val="none"/>
              </w:rPr>
            </w:pPr>
            <w:r>
              <w:rPr>
                <w:rStyle w:val="18"/>
                <w:rFonts w:hint="default"/>
                <w:color w:val="auto"/>
                <w:sz w:val="21"/>
                <w:szCs w:val="21"/>
                <w:highlight w:val="none"/>
              </w:rPr>
              <w:t>要求配置全向数字式麦克风，具备回音抑制功能，可屏蔽手机信号干扰； 360 度拾音，有效拾音半径须达到5米，支持多个麦克风级联，扩展会场拾音范围。麦克风上具备声音开关按钮，并且具备静音状态显示（须与高清视频终端同一品牌）</w:t>
            </w:r>
          </w:p>
          <w:p>
            <w:pPr>
              <w:pStyle w:val="15"/>
              <w:rPr>
                <w:rStyle w:val="18"/>
                <w:rFonts w:hint="default"/>
                <w:color w:val="auto"/>
                <w:sz w:val="21"/>
                <w:szCs w:val="21"/>
                <w:highlight w:val="none"/>
              </w:rPr>
            </w:pPr>
            <w:r>
              <w:rPr>
                <w:rStyle w:val="18"/>
                <w:rFonts w:hint="default"/>
                <w:color w:val="auto"/>
                <w:sz w:val="21"/>
                <w:szCs w:val="21"/>
                <w:highlight w:val="none"/>
              </w:rPr>
              <w:t>终端要求支持桌面数字麦克与吊顶数字麦克接入，并且可实现桌面麦克与吊顶麦克分别拾音功能，有效屏蔽会议室杂音（须与高清视频终端同一品牌）</w:t>
            </w:r>
          </w:p>
          <w:p>
            <w:pPr>
              <w:pStyle w:val="15"/>
              <w:rPr>
                <w:rStyle w:val="18"/>
                <w:rFonts w:hint="default"/>
                <w:color w:val="auto"/>
                <w:sz w:val="21"/>
                <w:szCs w:val="21"/>
                <w:highlight w:val="none"/>
              </w:rPr>
            </w:pPr>
            <w:r>
              <w:rPr>
                <w:rStyle w:val="18"/>
                <w:rFonts w:hint="default"/>
                <w:color w:val="auto"/>
                <w:sz w:val="21"/>
                <w:szCs w:val="21"/>
                <w:highlight w:val="none"/>
              </w:rPr>
              <w:t>15、要求具备智能纠错网络丢包纠错技术， 保证呼叫带宽内的音视频效果正常，不通过降速、降低会议效果的方法，能够保证在网络丢包率5%以下的多点视频会议正常进行；在70%掉包情况下，音频仍然保持通畅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pStyle w:val="15"/>
              <w:jc w:val="center"/>
              <w:rPr>
                <w:rStyle w:val="18"/>
                <w:rFonts w:hint="default"/>
                <w:color w:val="auto"/>
                <w:sz w:val="21"/>
                <w:szCs w:val="21"/>
                <w:highlight w:val="none"/>
              </w:rPr>
            </w:pPr>
            <w:r>
              <w:rPr>
                <w:rStyle w:val="18"/>
                <w:rFonts w:hint="default"/>
                <w:color w:val="auto"/>
                <w:sz w:val="21"/>
                <w:szCs w:val="21"/>
                <w:highlight w:val="none"/>
              </w:rPr>
              <w:t>3</w:t>
            </w:r>
          </w:p>
        </w:tc>
        <w:tc>
          <w:tcPr>
            <w:tcW w:w="988"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高清摄像头</w:t>
            </w:r>
          </w:p>
        </w:tc>
        <w:tc>
          <w:tcPr>
            <w:tcW w:w="7862"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1、采用不低于200万像素CMOS传感器</w:t>
            </w:r>
          </w:p>
          <w:p>
            <w:pPr>
              <w:pStyle w:val="15"/>
              <w:rPr>
                <w:rStyle w:val="18"/>
                <w:rFonts w:hint="default"/>
                <w:color w:val="auto"/>
                <w:sz w:val="21"/>
                <w:szCs w:val="21"/>
                <w:highlight w:val="none"/>
              </w:rPr>
            </w:pPr>
            <w:r>
              <w:rPr>
                <w:rStyle w:val="18"/>
                <w:rFonts w:hint="default"/>
                <w:color w:val="auto"/>
                <w:sz w:val="21"/>
                <w:szCs w:val="21"/>
                <w:highlight w:val="none"/>
              </w:rPr>
              <w:t>2、支持不低于1080/60P到标清的多格式视频输出</w:t>
            </w:r>
          </w:p>
          <w:p>
            <w:pPr>
              <w:pStyle w:val="15"/>
              <w:rPr>
                <w:rStyle w:val="18"/>
                <w:rFonts w:hint="default"/>
                <w:color w:val="auto"/>
                <w:sz w:val="21"/>
                <w:szCs w:val="21"/>
                <w:highlight w:val="none"/>
              </w:rPr>
            </w:pPr>
            <w:r>
              <w:rPr>
                <w:rStyle w:val="18"/>
                <w:rFonts w:hint="default"/>
                <w:color w:val="auto"/>
                <w:sz w:val="21"/>
                <w:szCs w:val="21"/>
                <w:highlight w:val="none"/>
              </w:rPr>
              <w:t>3、支持SDI, DVI-I等高清视频输出接口</w:t>
            </w:r>
          </w:p>
          <w:p>
            <w:pPr>
              <w:pStyle w:val="15"/>
              <w:rPr>
                <w:rStyle w:val="18"/>
                <w:rFonts w:hint="default"/>
                <w:color w:val="auto"/>
                <w:sz w:val="21"/>
                <w:szCs w:val="21"/>
                <w:highlight w:val="none"/>
              </w:rPr>
            </w:pPr>
            <w:r>
              <w:rPr>
                <w:rStyle w:val="18"/>
                <w:rFonts w:hint="default"/>
                <w:color w:val="auto"/>
                <w:sz w:val="21"/>
                <w:szCs w:val="21"/>
                <w:highlight w:val="none"/>
              </w:rPr>
              <w:t>4、内置OSD操作菜单</w:t>
            </w:r>
          </w:p>
          <w:p>
            <w:pPr>
              <w:pStyle w:val="15"/>
              <w:rPr>
                <w:rStyle w:val="18"/>
                <w:rFonts w:hint="default"/>
                <w:color w:val="auto"/>
                <w:sz w:val="21"/>
                <w:szCs w:val="21"/>
                <w:highlight w:val="none"/>
              </w:rPr>
            </w:pPr>
            <w:r>
              <w:rPr>
                <w:rStyle w:val="18"/>
                <w:rFonts w:hint="default"/>
                <w:color w:val="auto"/>
                <w:sz w:val="21"/>
                <w:szCs w:val="21"/>
                <w:highlight w:val="none"/>
              </w:rPr>
              <w:t>5、光学变焦不小于20倍</w:t>
            </w:r>
          </w:p>
          <w:p>
            <w:pPr>
              <w:pStyle w:val="15"/>
              <w:rPr>
                <w:rStyle w:val="18"/>
                <w:rFonts w:hint="default"/>
                <w:color w:val="auto"/>
                <w:sz w:val="21"/>
                <w:szCs w:val="21"/>
                <w:highlight w:val="none"/>
              </w:rPr>
            </w:pPr>
            <w:r>
              <w:rPr>
                <w:rStyle w:val="18"/>
                <w:rFonts w:hint="default"/>
                <w:color w:val="auto"/>
                <w:sz w:val="21"/>
                <w:szCs w:val="21"/>
                <w:highlight w:val="none"/>
              </w:rPr>
              <w:t>6、支持图像翻转功能</w:t>
            </w:r>
          </w:p>
          <w:p>
            <w:pPr>
              <w:pStyle w:val="15"/>
              <w:rPr>
                <w:rStyle w:val="18"/>
                <w:rFonts w:hint="default"/>
                <w:color w:val="auto"/>
                <w:sz w:val="21"/>
                <w:szCs w:val="21"/>
                <w:highlight w:val="none"/>
              </w:rPr>
            </w:pPr>
            <w:r>
              <w:rPr>
                <w:rStyle w:val="18"/>
                <w:rFonts w:hint="default"/>
                <w:color w:val="auto"/>
                <w:sz w:val="21"/>
                <w:szCs w:val="21"/>
                <w:highlight w:val="none"/>
              </w:rPr>
              <w:t>7、支持VISCA等多种协议及多种控制接口，支持菊花链组网</w:t>
            </w:r>
          </w:p>
          <w:p>
            <w:pPr>
              <w:pStyle w:val="15"/>
              <w:rPr>
                <w:rStyle w:val="18"/>
                <w:rFonts w:hint="default"/>
                <w:color w:val="auto"/>
                <w:sz w:val="21"/>
                <w:szCs w:val="21"/>
                <w:highlight w:val="none"/>
              </w:rPr>
            </w:pPr>
            <w:r>
              <w:rPr>
                <w:rStyle w:val="18"/>
                <w:rFonts w:hint="default"/>
                <w:color w:val="auto"/>
                <w:sz w:val="21"/>
                <w:szCs w:val="21"/>
                <w:highlight w:val="none"/>
              </w:rPr>
              <w:t>8、支持桌面安装、吸顶安装、壁挂安装，吊杆安装四种安装方式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pStyle w:val="15"/>
              <w:jc w:val="center"/>
              <w:rPr>
                <w:rStyle w:val="18"/>
                <w:rFonts w:hint="default"/>
                <w:color w:val="auto"/>
                <w:sz w:val="21"/>
                <w:szCs w:val="21"/>
                <w:highlight w:val="none"/>
              </w:rPr>
            </w:pPr>
            <w:r>
              <w:rPr>
                <w:rStyle w:val="18"/>
                <w:rFonts w:hint="default"/>
                <w:color w:val="auto"/>
                <w:sz w:val="21"/>
                <w:szCs w:val="21"/>
                <w:highlight w:val="none"/>
              </w:rPr>
              <w:t>4</w:t>
            </w:r>
          </w:p>
        </w:tc>
        <w:tc>
          <w:tcPr>
            <w:tcW w:w="988"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音箱</w:t>
            </w:r>
          </w:p>
        </w:tc>
        <w:tc>
          <w:tcPr>
            <w:tcW w:w="7862"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6寸挂墙式音箱 40W/8欧 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pStyle w:val="15"/>
              <w:jc w:val="center"/>
              <w:rPr>
                <w:rStyle w:val="18"/>
                <w:rFonts w:hint="default"/>
                <w:color w:val="auto"/>
                <w:sz w:val="21"/>
                <w:szCs w:val="21"/>
                <w:highlight w:val="none"/>
              </w:rPr>
            </w:pPr>
            <w:r>
              <w:rPr>
                <w:rStyle w:val="18"/>
                <w:rFonts w:hint="default"/>
                <w:color w:val="auto"/>
                <w:sz w:val="21"/>
                <w:szCs w:val="21"/>
                <w:highlight w:val="none"/>
              </w:rPr>
              <w:t>5</w:t>
            </w:r>
          </w:p>
        </w:tc>
        <w:tc>
          <w:tcPr>
            <w:tcW w:w="988"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功率放大器</w:t>
            </w:r>
          </w:p>
        </w:tc>
        <w:tc>
          <w:tcPr>
            <w:tcW w:w="7862"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面板采用高档铝合材料精心加工而成，机器内部局部采用SMT技术。</w:t>
            </w:r>
          </w:p>
          <w:p>
            <w:pPr>
              <w:pStyle w:val="15"/>
              <w:rPr>
                <w:rStyle w:val="18"/>
                <w:rFonts w:hint="default"/>
                <w:color w:val="auto"/>
                <w:sz w:val="21"/>
                <w:szCs w:val="21"/>
                <w:highlight w:val="none"/>
              </w:rPr>
            </w:pPr>
            <w:r>
              <w:rPr>
                <w:rStyle w:val="18"/>
                <w:rFonts w:hint="default"/>
                <w:color w:val="auto"/>
                <w:sz w:val="21"/>
                <w:szCs w:val="21"/>
                <w:highlight w:val="none"/>
              </w:rPr>
              <w:t>高效率的环形变压器，保证充足电源供应。</w:t>
            </w:r>
          </w:p>
          <w:p>
            <w:pPr>
              <w:pStyle w:val="15"/>
              <w:rPr>
                <w:rStyle w:val="18"/>
                <w:rFonts w:hint="default"/>
                <w:color w:val="auto"/>
                <w:sz w:val="21"/>
                <w:szCs w:val="21"/>
                <w:highlight w:val="none"/>
              </w:rPr>
            </w:pPr>
            <w:r>
              <w:rPr>
                <w:rStyle w:val="18"/>
                <w:rFonts w:hint="default"/>
                <w:color w:val="auto"/>
                <w:sz w:val="21"/>
                <w:szCs w:val="21"/>
                <w:highlight w:val="none"/>
              </w:rPr>
              <w:t>功放电路选用半导体元器件，每只元件有足够的余量。</w:t>
            </w:r>
          </w:p>
          <w:p>
            <w:pPr>
              <w:pStyle w:val="15"/>
              <w:rPr>
                <w:rStyle w:val="18"/>
                <w:rFonts w:hint="default"/>
                <w:color w:val="auto"/>
                <w:sz w:val="21"/>
                <w:szCs w:val="21"/>
                <w:highlight w:val="none"/>
              </w:rPr>
            </w:pPr>
            <w:r>
              <w:rPr>
                <w:rStyle w:val="18"/>
                <w:rFonts w:hint="default"/>
                <w:color w:val="auto"/>
                <w:sz w:val="21"/>
                <w:szCs w:val="21"/>
                <w:highlight w:val="none"/>
              </w:rPr>
              <w:t>散热风扇采用无级调速电路，保证了功放工作在较低的温度下。</w:t>
            </w:r>
          </w:p>
          <w:p>
            <w:pPr>
              <w:pStyle w:val="15"/>
              <w:rPr>
                <w:rStyle w:val="18"/>
                <w:rFonts w:hint="default"/>
                <w:color w:val="auto"/>
                <w:sz w:val="21"/>
                <w:szCs w:val="21"/>
                <w:highlight w:val="none"/>
              </w:rPr>
            </w:pPr>
            <w:r>
              <w:rPr>
                <w:rStyle w:val="18"/>
                <w:rFonts w:hint="default"/>
                <w:color w:val="auto"/>
                <w:sz w:val="21"/>
                <w:szCs w:val="21"/>
                <w:highlight w:val="none"/>
              </w:rPr>
              <w:t>配有信号输入口与并联信号输出口。功放输出端配有Speakon和接线柱，适用与</w:t>
            </w:r>
          </w:p>
          <w:p>
            <w:pPr>
              <w:pStyle w:val="15"/>
              <w:rPr>
                <w:rStyle w:val="18"/>
                <w:rFonts w:hint="default"/>
                <w:color w:val="auto"/>
                <w:sz w:val="21"/>
                <w:szCs w:val="21"/>
                <w:highlight w:val="none"/>
              </w:rPr>
            </w:pPr>
            <w:r>
              <w:rPr>
                <w:rStyle w:val="18"/>
                <w:rFonts w:hint="default"/>
                <w:color w:val="auto"/>
                <w:sz w:val="21"/>
                <w:szCs w:val="21"/>
                <w:highlight w:val="none"/>
              </w:rPr>
              <w:t>各种系统的安装要求。</w:t>
            </w:r>
          </w:p>
          <w:p>
            <w:pPr>
              <w:pStyle w:val="15"/>
              <w:rPr>
                <w:rStyle w:val="18"/>
                <w:rFonts w:hint="default"/>
                <w:color w:val="auto"/>
                <w:sz w:val="21"/>
                <w:szCs w:val="21"/>
                <w:highlight w:val="none"/>
              </w:rPr>
            </w:pPr>
            <w:r>
              <w:rPr>
                <w:rStyle w:val="18"/>
                <w:rFonts w:hint="default"/>
                <w:color w:val="auto"/>
                <w:sz w:val="21"/>
                <w:szCs w:val="21"/>
                <w:highlight w:val="none"/>
              </w:rPr>
              <w:t xml:space="preserve">完善的保护，包括限幅，直流，开/关机冲击电路，输出短路保护，过热保护。                                                                                                                           </w:t>
            </w:r>
          </w:p>
          <w:p>
            <w:pPr>
              <w:pStyle w:val="15"/>
              <w:rPr>
                <w:rStyle w:val="18"/>
                <w:rFonts w:hint="default"/>
                <w:color w:val="auto"/>
                <w:sz w:val="21"/>
                <w:szCs w:val="21"/>
                <w:highlight w:val="none"/>
              </w:rPr>
            </w:pPr>
            <w:r>
              <w:rPr>
                <w:rStyle w:val="18"/>
                <w:rFonts w:hint="default"/>
                <w:color w:val="auto"/>
                <w:sz w:val="21"/>
                <w:szCs w:val="21"/>
                <w:highlight w:val="none"/>
              </w:rPr>
              <w:t>输出功率/Power8Ω 350W×2</w:t>
            </w:r>
          </w:p>
          <w:p>
            <w:pPr>
              <w:pStyle w:val="15"/>
              <w:rPr>
                <w:rStyle w:val="18"/>
                <w:rFonts w:hint="default"/>
                <w:color w:val="auto"/>
                <w:sz w:val="21"/>
                <w:szCs w:val="21"/>
                <w:highlight w:val="none"/>
              </w:rPr>
            </w:pPr>
            <w:r>
              <w:rPr>
                <w:rStyle w:val="18"/>
                <w:rFonts w:hint="default"/>
                <w:color w:val="auto"/>
                <w:sz w:val="21"/>
                <w:szCs w:val="21"/>
                <w:highlight w:val="none"/>
              </w:rPr>
              <w:t>输出功率/Power4Ω 475W×2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pStyle w:val="15"/>
              <w:jc w:val="center"/>
              <w:rPr>
                <w:rStyle w:val="18"/>
                <w:rFonts w:hint="default"/>
                <w:color w:val="auto"/>
                <w:sz w:val="21"/>
                <w:szCs w:val="21"/>
                <w:highlight w:val="none"/>
              </w:rPr>
            </w:pPr>
            <w:r>
              <w:rPr>
                <w:rStyle w:val="18"/>
                <w:rFonts w:hint="default"/>
                <w:color w:val="auto"/>
                <w:sz w:val="21"/>
                <w:szCs w:val="21"/>
                <w:highlight w:val="none"/>
              </w:rPr>
              <w:t>6</w:t>
            </w:r>
          </w:p>
        </w:tc>
        <w:tc>
          <w:tcPr>
            <w:tcW w:w="988"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8路调音台</w:t>
            </w:r>
          </w:p>
        </w:tc>
        <w:tc>
          <w:tcPr>
            <w:tcW w:w="7862"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8路输入调音台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pStyle w:val="15"/>
              <w:jc w:val="center"/>
              <w:rPr>
                <w:rStyle w:val="18"/>
                <w:rFonts w:hint="default"/>
                <w:color w:val="auto"/>
                <w:sz w:val="21"/>
                <w:szCs w:val="21"/>
                <w:highlight w:val="none"/>
              </w:rPr>
            </w:pPr>
            <w:r>
              <w:rPr>
                <w:rStyle w:val="18"/>
                <w:rFonts w:hint="default"/>
                <w:color w:val="auto"/>
                <w:sz w:val="21"/>
                <w:szCs w:val="21"/>
                <w:highlight w:val="none"/>
              </w:rPr>
              <w:t>7</w:t>
            </w:r>
          </w:p>
        </w:tc>
        <w:tc>
          <w:tcPr>
            <w:tcW w:w="988"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数字音频处理器</w:t>
            </w:r>
          </w:p>
        </w:tc>
        <w:tc>
          <w:tcPr>
            <w:tcW w:w="7862"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基于DSP的处理器</w:t>
            </w:r>
          </w:p>
          <w:p>
            <w:pPr>
              <w:pStyle w:val="15"/>
              <w:rPr>
                <w:rStyle w:val="18"/>
                <w:rFonts w:hint="default"/>
                <w:color w:val="auto"/>
                <w:sz w:val="21"/>
                <w:szCs w:val="21"/>
                <w:highlight w:val="none"/>
              </w:rPr>
            </w:pPr>
            <w:r>
              <w:rPr>
                <w:rStyle w:val="18"/>
                <w:rFonts w:hint="default"/>
                <w:color w:val="auto"/>
                <w:sz w:val="21"/>
                <w:szCs w:val="21"/>
                <w:highlight w:val="none"/>
              </w:rPr>
              <w:t>支持不低于24位高精度DSP低失真，大动态</w:t>
            </w:r>
          </w:p>
          <w:p>
            <w:pPr>
              <w:pStyle w:val="15"/>
              <w:rPr>
                <w:rStyle w:val="18"/>
                <w:rFonts w:hint="default"/>
                <w:color w:val="auto"/>
                <w:sz w:val="21"/>
                <w:szCs w:val="21"/>
                <w:highlight w:val="none"/>
              </w:rPr>
            </w:pPr>
            <w:r>
              <w:rPr>
                <w:rStyle w:val="18"/>
                <w:rFonts w:hint="default"/>
                <w:color w:val="auto"/>
                <w:sz w:val="21"/>
                <w:szCs w:val="21"/>
                <w:highlight w:val="none"/>
              </w:rPr>
              <w:t>不少于2输入，4输出，包括4种配置模式：2X2way，2X3way，2X4way sub。</w:t>
            </w:r>
          </w:p>
          <w:p>
            <w:pPr>
              <w:pStyle w:val="15"/>
              <w:rPr>
                <w:rStyle w:val="18"/>
                <w:rFonts w:hint="default"/>
                <w:color w:val="auto"/>
                <w:sz w:val="21"/>
                <w:szCs w:val="21"/>
                <w:highlight w:val="none"/>
              </w:rPr>
            </w:pPr>
            <w:r>
              <w:rPr>
                <w:rStyle w:val="18"/>
                <w:rFonts w:hint="default"/>
                <w:color w:val="auto"/>
                <w:sz w:val="21"/>
                <w:szCs w:val="21"/>
                <w:highlight w:val="none"/>
              </w:rPr>
              <w:t>每一款都包括输入增益控制，每一个通道都包括独立的分频限制器</w:t>
            </w:r>
          </w:p>
          <w:p>
            <w:pPr>
              <w:pStyle w:val="15"/>
              <w:rPr>
                <w:rStyle w:val="18"/>
                <w:rFonts w:hint="default"/>
                <w:color w:val="auto"/>
                <w:sz w:val="21"/>
                <w:szCs w:val="21"/>
                <w:highlight w:val="none"/>
              </w:rPr>
            </w:pPr>
            <w:r>
              <w:rPr>
                <w:rStyle w:val="18"/>
                <w:rFonts w:hint="default"/>
                <w:color w:val="auto"/>
                <w:sz w:val="21"/>
                <w:szCs w:val="21"/>
                <w:highlight w:val="none"/>
              </w:rPr>
              <w:t>5段参量均衡，延时，延时最大7ms</w:t>
            </w:r>
          </w:p>
          <w:p>
            <w:pPr>
              <w:pStyle w:val="15"/>
              <w:rPr>
                <w:rStyle w:val="18"/>
                <w:rFonts w:hint="default"/>
                <w:color w:val="auto"/>
                <w:sz w:val="21"/>
                <w:szCs w:val="21"/>
                <w:highlight w:val="none"/>
              </w:rPr>
            </w:pPr>
            <w:r>
              <w:rPr>
                <w:rStyle w:val="18"/>
                <w:rFonts w:hint="default"/>
                <w:color w:val="auto"/>
                <w:sz w:val="21"/>
                <w:szCs w:val="21"/>
                <w:highlight w:val="none"/>
              </w:rPr>
              <w:t>输出增益及相位控制，参数加锁，避免误操作</w:t>
            </w:r>
          </w:p>
          <w:p>
            <w:pPr>
              <w:pStyle w:val="15"/>
              <w:rPr>
                <w:rStyle w:val="18"/>
                <w:rFonts w:hint="default"/>
                <w:color w:val="auto"/>
                <w:sz w:val="21"/>
                <w:szCs w:val="21"/>
                <w:highlight w:val="none"/>
              </w:rPr>
            </w:pPr>
            <w:r>
              <w:rPr>
                <w:rStyle w:val="18"/>
                <w:rFonts w:hint="default"/>
                <w:color w:val="auto"/>
                <w:sz w:val="21"/>
                <w:szCs w:val="21"/>
                <w:highlight w:val="none"/>
              </w:rPr>
              <w:t>USB接口实时控制，含PC软件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pStyle w:val="15"/>
              <w:jc w:val="center"/>
              <w:rPr>
                <w:rStyle w:val="18"/>
                <w:rFonts w:hint="default"/>
                <w:color w:val="auto"/>
                <w:sz w:val="21"/>
                <w:szCs w:val="21"/>
                <w:highlight w:val="none"/>
              </w:rPr>
            </w:pPr>
            <w:r>
              <w:rPr>
                <w:rStyle w:val="18"/>
                <w:rFonts w:hint="default"/>
                <w:color w:val="auto"/>
                <w:sz w:val="21"/>
                <w:szCs w:val="21"/>
                <w:highlight w:val="none"/>
              </w:rPr>
              <w:t>8</w:t>
            </w:r>
          </w:p>
        </w:tc>
        <w:tc>
          <w:tcPr>
            <w:tcW w:w="988"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蓝光DVD</w:t>
            </w:r>
          </w:p>
        </w:tc>
        <w:tc>
          <w:tcPr>
            <w:tcW w:w="7862"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兼容CD/DVD/MP3等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pStyle w:val="15"/>
              <w:jc w:val="center"/>
              <w:rPr>
                <w:rStyle w:val="18"/>
                <w:rFonts w:hint="default"/>
                <w:color w:val="auto"/>
                <w:sz w:val="21"/>
                <w:szCs w:val="21"/>
                <w:highlight w:val="none"/>
              </w:rPr>
            </w:pPr>
            <w:r>
              <w:rPr>
                <w:rStyle w:val="18"/>
                <w:rFonts w:hint="default"/>
                <w:color w:val="auto"/>
                <w:sz w:val="21"/>
                <w:szCs w:val="21"/>
                <w:highlight w:val="none"/>
              </w:rPr>
              <w:t>9</w:t>
            </w:r>
          </w:p>
        </w:tc>
        <w:tc>
          <w:tcPr>
            <w:tcW w:w="988"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双手持无线话筒</w:t>
            </w:r>
          </w:p>
        </w:tc>
        <w:tc>
          <w:tcPr>
            <w:tcW w:w="7862"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采用23级电子音量控制,简约搭配</w:t>
            </w:r>
          </w:p>
          <w:p>
            <w:pPr>
              <w:pStyle w:val="15"/>
              <w:rPr>
                <w:rStyle w:val="18"/>
                <w:rFonts w:hint="default"/>
                <w:color w:val="auto"/>
                <w:sz w:val="21"/>
                <w:szCs w:val="21"/>
                <w:highlight w:val="none"/>
              </w:rPr>
            </w:pPr>
            <w:r>
              <w:rPr>
                <w:rStyle w:val="18"/>
                <w:rFonts w:hint="default"/>
                <w:color w:val="auto"/>
                <w:sz w:val="21"/>
                <w:szCs w:val="21"/>
                <w:highlight w:val="none"/>
              </w:rPr>
              <w:t>采用真分集接收技术，空阔最大使用距离300米</w:t>
            </w:r>
          </w:p>
          <w:p>
            <w:pPr>
              <w:pStyle w:val="15"/>
              <w:rPr>
                <w:rStyle w:val="18"/>
                <w:rFonts w:hint="default"/>
                <w:color w:val="auto"/>
                <w:sz w:val="21"/>
                <w:szCs w:val="21"/>
                <w:highlight w:val="none"/>
              </w:rPr>
            </w:pPr>
            <w:r>
              <w:rPr>
                <w:rStyle w:val="18"/>
                <w:rFonts w:hint="default"/>
                <w:color w:val="auto"/>
                <w:sz w:val="21"/>
                <w:szCs w:val="21"/>
                <w:highlight w:val="none"/>
              </w:rPr>
              <w:t>具有一键自动搜空闲频点功能、一键锁定按键功能</w:t>
            </w:r>
          </w:p>
          <w:p>
            <w:pPr>
              <w:pStyle w:val="15"/>
              <w:rPr>
                <w:rStyle w:val="18"/>
                <w:rFonts w:hint="default"/>
                <w:color w:val="auto"/>
                <w:sz w:val="21"/>
                <w:szCs w:val="21"/>
                <w:highlight w:val="none"/>
              </w:rPr>
            </w:pPr>
            <w:r>
              <w:rPr>
                <w:rStyle w:val="18"/>
                <w:rFonts w:hint="default"/>
                <w:color w:val="auto"/>
                <w:sz w:val="21"/>
                <w:szCs w:val="21"/>
                <w:highlight w:val="none"/>
              </w:rPr>
              <w:t>300组频点红外线对频，手咪通用，抗干扰能力强</w:t>
            </w:r>
          </w:p>
          <w:p>
            <w:pPr>
              <w:pStyle w:val="15"/>
              <w:rPr>
                <w:rStyle w:val="18"/>
                <w:rFonts w:hint="default"/>
                <w:color w:val="auto"/>
                <w:sz w:val="21"/>
                <w:szCs w:val="21"/>
                <w:highlight w:val="none"/>
              </w:rPr>
            </w:pPr>
            <w:r>
              <w:rPr>
                <w:rStyle w:val="18"/>
                <w:rFonts w:hint="default"/>
                <w:color w:val="auto"/>
                <w:sz w:val="21"/>
                <w:szCs w:val="21"/>
                <w:highlight w:val="none"/>
              </w:rPr>
              <w:t>发射LCD显示频道和电池电量，电池低压闪烁至1.8V自动关机</w:t>
            </w:r>
          </w:p>
          <w:p>
            <w:pPr>
              <w:pStyle w:val="15"/>
              <w:jc w:val="left"/>
              <w:rPr>
                <w:rStyle w:val="18"/>
                <w:rFonts w:hint="default"/>
                <w:color w:val="auto"/>
                <w:sz w:val="21"/>
                <w:szCs w:val="21"/>
                <w:highlight w:val="none"/>
              </w:rPr>
            </w:pPr>
            <w:r>
              <w:rPr>
                <w:rStyle w:val="18"/>
                <w:rFonts w:hint="default"/>
                <w:color w:val="auto"/>
                <w:sz w:val="21"/>
                <w:szCs w:val="21"/>
                <w:highlight w:val="none"/>
              </w:rPr>
              <w:t xml:space="preserve">设有回输啸叫抑制减弱功能，能有效减少回输啸叫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pStyle w:val="15"/>
              <w:jc w:val="center"/>
              <w:rPr>
                <w:rStyle w:val="18"/>
                <w:rFonts w:hint="default"/>
                <w:color w:val="auto"/>
                <w:sz w:val="21"/>
                <w:szCs w:val="21"/>
                <w:highlight w:val="none"/>
              </w:rPr>
            </w:pPr>
            <w:r>
              <w:rPr>
                <w:rStyle w:val="18"/>
                <w:rFonts w:hint="default"/>
                <w:color w:val="auto"/>
                <w:sz w:val="21"/>
                <w:szCs w:val="21"/>
                <w:highlight w:val="none"/>
              </w:rPr>
              <w:t>10</w:t>
            </w:r>
          </w:p>
        </w:tc>
        <w:tc>
          <w:tcPr>
            <w:tcW w:w="988"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有线鹅颈话筒</w:t>
            </w:r>
          </w:p>
        </w:tc>
        <w:tc>
          <w:tcPr>
            <w:tcW w:w="7862"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换能方式：电容式</w:t>
            </w:r>
          </w:p>
          <w:p>
            <w:pPr>
              <w:pStyle w:val="15"/>
              <w:rPr>
                <w:rStyle w:val="18"/>
                <w:rFonts w:hint="default"/>
                <w:color w:val="auto"/>
                <w:sz w:val="21"/>
                <w:szCs w:val="21"/>
                <w:highlight w:val="none"/>
              </w:rPr>
            </w:pPr>
            <w:r>
              <w:rPr>
                <w:rStyle w:val="18"/>
                <w:rFonts w:hint="default"/>
                <w:color w:val="auto"/>
                <w:sz w:val="21"/>
                <w:szCs w:val="21"/>
                <w:highlight w:val="none"/>
              </w:rPr>
              <w:t>频率响应：30Hz-20KHz</w:t>
            </w:r>
          </w:p>
          <w:p>
            <w:pPr>
              <w:pStyle w:val="15"/>
              <w:rPr>
                <w:rStyle w:val="18"/>
                <w:rFonts w:hint="default"/>
                <w:color w:val="auto"/>
                <w:sz w:val="21"/>
                <w:szCs w:val="21"/>
                <w:highlight w:val="none"/>
              </w:rPr>
            </w:pPr>
            <w:r>
              <w:rPr>
                <w:rStyle w:val="18"/>
                <w:rFonts w:hint="default"/>
                <w:color w:val="auto"/>
                <w:sz w:val="21"/>
                <w:szCs w:val="21"/>
                <w:highlight w:val="none"/>
              </w:rPr>
              <w:t>指向性：单指向性</w:t>
            </w:r>
          </w:p>
          <w:p>
            <w:pPr>
              <w:pStyle w:val="15"/>
              <w:rPr>
                <w:rStyle w:val="18"/>
                <w:rFonts w:hint="default"/>
                <w:color w:val="auto"/>
                <w:sz w:val="21"/>
                <w:szCs w:val="21"/>
                <w:highlight w:val="none"/>
              </w:rPr>
            </w:pPr>
            <w:r>
              <w:rPr>
                <w:rStyle w:val="18"/>
                <w:rFonts w:hint="default"/>
                <w:color w:val="auto"/>
                <w:sz w:val="21"/>
                <w:szCs w:val="21"/>
                <w:highlight w:val="none"/>
              </w:rPr>
              <w:t>输出阻抗（欧姆）：75Ω</w:t>
            </w:r>
          </w:p>
          <w:p>
            <w:pPr>
              <w:pStyle w:val="15"/>
              <w:rPr>
                <w:rStyle w:val="18"/>
                <w:rFonts w:hint="default"/>
                <w:color w:val="auto"/>
                <w:sz w:val="21"/>
                <w:szCs w:val="21"/>
                <w:highlight w:val="none"/>
              </w:rPr>
            </w:pPr>
            <w:r>
              <w:rPr>
                <w:rStyle w:val="18"/>
                <w:rFonts w:hint="default"/>
                <w:color w:val="auto"/>
                <w:sz w:val="21"/>
                <w:szCs w:val="21"/>
                <w:highlight w:val="none"/>
              </w:rPr>
              <w:t>灵敏度：-45dB</w:t>
            </w:r>
          </w:p>
          <w:p>
            <w:pPr>
              <w:pStyle w:val="15"/>
              <w:rPr>
                <w:rStyle w:val="18"/>
                <w:rFonts w:hint="default"/>
                <w:color w:val="auto"/>
                <w:sz w:val="21"/>
                <w:szCs w:val="21"/>
                <w:highlight w:val="none"/>
              </w:rPr>
            </w:pPr>
            <w:r>
              <w:rPr>
                <w:rStyle w:val="18"/>
                <w:rFonts w:hint="default"/>
                <w:color w:val="auto"/>
                <w:sz w:val="21"/>
                <w:szCs w:val="21"/>
                <w:highlight w:val="none"/>
              </w:rPr>
              <w:t>最高输入音量：138dB声压</w:t>
            </w:r>
          </w:p>
          <w:p>
            <w:pPr>
              <w:pStyle w:val="15"/>
              <w:rPr>
                <w:rStyle w:val="18"/>
                <w:rFonts w:hint="default"/>
                <w:color w:val="auto"/>
                <w:sz w:val="21"/>
                <w:szCs w:val="21"/>
                <w:highlight w:val="none"/>
              </w:rPr>
            </w:pPr>
            <w:r>
              <w:rPr>
                <w:rStyle w:val="18"/>
                <w:rFonts w:hint="default"/>
                <w:color w:val="auto"/>
                <w:sz w:val="21"/>
                <w:szCs w:val="21"/>
                <w:highlight w:val="none"/>
              </w:rPr>
              <w:t>动态范围：109dB、1KHz</w:t>
            </w:r>
          </w:p>
          <w:p>
            <w:pPr>
              <w:pStyle w:val="15"/>
              <w:rPr>
                <w:rStyle w:val="18"/>
                <w:rFonts w:hint="default"/>
                <w:color w:val="auto"/>
                <w:sz w:val="21"/>
                <w:szCs w:val="21"/>
                <w:highlight w:val="none"/>
              </w:rPr>
            </w:pPr>
            <w:r>
              <w:rPr>
                <w:rStyle w:val="18"/>
                <w:rFonts w:hint="default"/>
                <w:color w:val="auto"/>
                <w:sz w:val="21"/>
                <w:szCs w:val="21"/>
                <w:highlight w:val="none"/>
              </w:rPr>
              <w:t>讯噪比：65d</w:t>
            </w:r>
          </w:p>
          <w:p>
            <w:pPr>
              <w:pStyle w:val="15"/>
              <w:rPr>
                <w:rStyle w:val="18"/>
                <w:rFonts w:hint="default"/>
                <w:color w:val="auto"/>
                <w:sz w:val="21"/>
                <w:szCs w:val="21"/>
                <w:highlight w:val="none"/>
              </w:rPr>
            </w:pPr>
            <w:r>
              <w:rPr>
                <w:rStyle w:val="18"/>
                <w:rFonts w:hint="default"/>
                <w:color w:val="auto"/>
                <w:sz w:val="21"/>
                <w:szCs w:val="21"/>
                <w:highlight w:val="none"/>
              </w:rPr>
              <w:t>抗手机、电磁、高频干扰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pStyle w:val="15"/>
              <w:jc w:val="center"/>
              <w:rPr>
                <w:rStyle w:val="18"/>
                <w:rFonts w:hint="default"/>
                <w:color w:val="auto"/>
                <w:sz w:val="21"/>
                <w:szCs w:val="21"/>
                <w:highlight w:val="none"/>
              </w:rPr>
            </w:pPr>
            <w:r>
              <w:rPr>
                <w:rStyle w:val="18"/>
                <w:rFonts w:hint="default"/>
                <w:color w:val="auto"/>
                <w:sz w:val="21"/>
                <w:szCs w:val="21"/>
                <w:highlight w:val="none"/>
              </w:rPr>
              <w:t>11</w:t>
            </w:r>
          </w:p>
        </w:tc>
        <w:tc>
          <w:tcPr>
            <w:tcW w:w="988"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8路净化电源时序器</w:t>
            </w:r>
          </w:p>
        </w:tc>
        <w:tc>
          <w:tcPr>
            <w:tcW w:w="7862"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额定输出电压:交流220V.50Hz-60Hz</w:t>
            </w:r>
          </w:p>
          <w:p>
            <w:pPr>
              <w:pStyle w:val="15"/>
              <w:rPr>
                <w:rStyle w:val="18"/>
                <w:rFonts w:hint="default"/>
                <w:color w:val="auto"/>
                <w:sz w:val="21"/>
                <w:szCs w:val="21"/>
                <w:highlight w:val="none"/>
              </w:rPr>
            </w:pPr>
            <w:r>
              <w:rPr>
                <w:rStyle w:val="18"/>
                <w:rFonts w:hint="default"/>
                <w:color w:val="auto"/>
                <w:sz w:val="21"/>
                <w:szCs w:val="21"/>
                <w:highlight w:val="none"/>
              </w:rPr>
              <w:t>大功率线路，满足较大功率用电系统使用。</w:t>
            </w:r>
          </w:p>
          <w:p>
            <w:pPr>
              <w:pStyle w:val="15"/>
              <w:rPr>
                <w:rStyle w:val="18"/>
                <w:rFonts w:hint="default"/>
                <w:color w:val="auto"/>
                <w:sz w:val="21"/>
                <w:szCs w:val="21"/>
                <w:highlight w:val="none"/>
              </w:rPr>
            </w:pPr>
            <w:r>
              <w:rPr>
                <w:rStyle w:val="18"/>
                <w:rFonts w:hint="default"/>
                <w:color w:val="auto"/>
                <w:sz w:val="21"/>
                <w:szCs w:val="21"/>
                <w:highlight w:val="none"/>
              </w:rPr>
              <w:t>芯片控制,使电路更加稳定可靠。</w:t>
            </w:r>
          </w:p>
          <w:p>
            <w:pPr>
              <w:pStyle w:val="15"/>
              <w:rPr>
                <w:rStyle w:val="18"/>
                <w:rFonts w:hint="default"/>
                <w:color w:val="auto"/>
                <w:sz w:val="21"/>
                <w:szCs w:val="21"/>
                <w:highlight w:val="none"/>
              </w:rPr>
            </w:pPr>
            <w:r>
              <w:rPr>
                <w:rStyle w:val="18"/>
                <w:rFonts w:hint="default"/>
                <w:color w:val="auto"/>
                <w:sz w:val="21"/>
                <w:szCs w:val="21"/>
                <w:highlight w:val="none"/>
              </w:rPr>
              <w:t>万能插座，适合各种类型插头使用。</w:t>
            </w:r>
          </w:p>
          <w:p>
            <w:pPr>
              <w:pStyle w:val="15"/>
              <w:rPr>
                <w:rStyle w:val="18"/>
                <w:rFonts w:hint="default"/>
                <w:color w:val="auto"/>
                <w:sz w:val="21"/>
                <w:szCs w:val="21"/>
                <w:highlight w:val="none"/>
              </w:rPr>
            </w:pPr>
            <w:r>
              <w:rPr>
                <w:rStyle w:val="18"/>
                <w:rFonts w:hint="default"/>
                <w:color w:val="auto"/>
                <w:sz w:val="21"/>
                <w:szCs w:val="21"/>
                <w:highlight w:val="none"/>
              </w:rPr>
              <w:t>可控制电源：8路</w:t>
            </w:r>
          </w:p>
          <w:p>
            <w:pPr>
              <w:pStyle w:val="15"/>
              <w:rPr>
                <w:rStyle w:val="18"/>
                <w:rFonts w:hint="default"/>
                <w:color w:val="auto"/>
                <w:sz w:val="21"/>
                <w:szCs w:val="21"/>
                <w:highlight w:val="none"/>
              </w:rPr>
            </w:pPr>
            <w:r>
              <w:rPr>
                <w:rStyle w:val="18"/>
                <w:rFonts w:hint="default"/>
                <w:color w:val="auto"/>
                <w:sz w:val="21"/>
                <w:szCs w:val="21"/>
                <w:highlight w:val="none"/>
              </w:rPr>
              <w:t>每路动作延时时间：1 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78" w:type="dxa"/>
            <w:tcBorders>
              <w:top w:val="single" w:color="auto" w:sz="4" w:space="0"/>
              <w:left w:val="single" w:color="auto" w:sz="4" w:space="0"/>
              <w:bottom w:val="single" w:color="auto" w:sz="4" w:space="0"/>
              <w:right w:val="single" w:color="auto" w:sz="4" w:space="0"/>
            </w:tcBorders>
            <w:vAlign w:val="center"/>
          </w:tcPr>
          <w:p>
            <w:pPr>
              <w:pStyle w:val="15"/>
              <w:jc w:val="center"/>
              <w:rPr>
                <w:rStyle w:val="18"/>
                <w:rFonts w:hint="default"/>
                <w:color w:val="auto"/>
                <w:sz w:val="21"/>
                <w:szCs w:val="21"/>
                <w:highlight w:val="none"/>
              </w:rPr>
            </w:pPr>
            <w:r>
              <w:rPr>
                <w:rStyle w:val="18"/>
                <w:rFonts w:hint="default"/>
                <w:color w:val="auto"/>
                <w:sz w:val="21"/>
                <w:szCs w:val="21"/>
                <w:highlight w:val="none"/>
              </w:rPr>
              <w:t>12</w:t>
            </w:r>
          </w:p>
        </w:tc>
        <w:tc>
          <w:tcPr>
            <w:tcW w:w="988"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机柜</w:t>
            </w:r>
          </w:p>
        </w:tc>
        <w:tc>
          <w:tcPr>
            <w:tcW w:w="7862" w:type="dxa"/>
            <w:tcBorders>
              <w:top w:val="single" w:color="auto" w:sz="4" w:space="0"/>
              <w:left w:val="nil"/>
              <w:bottom w:val="single" w:color="auto" w:sz="4" w:space="0"/>
              <w:right w:val="single" w:color="auto" w:sz="4" w:space="0"/>
            </w:tcBorders>
            <w:vAlign w:val="center"/>
          </w:tcPr>
          <w:p>
            <w:pPr>
              <w:pStyle w:val="15"/>
              <w:rPr>
                <w:rStyle w:val="18"/>
                <w:rFonts w:hint="default"/>
                <w:color w:val="auto"/>
                <w:sz w:val="21"/>
                <w:szCs w:val="21"/>
                <w:highlight w:val="none"/>
              </w:rPr>
            </w:pPr>
            <w:r>
              <w:rPr>
                <w:rStyle w:val="18"/>
                <w:rFonts w:hint="default"/>
                <w:color w:val="auto"/>
                <w:sz w:val="21"/>
                <w:szCs w:val="21"/>
                <w:highlight w:val="none"/>
              </w:rPr>
              <w:t>钢化机柜，带门带风扇，42U高度</w:t>
            </w:r>
          </w:p>
        </w:tc>
      </w:tr>
    </w:tbl>
    <w:p>
      <w:pPr>
        <w:rPr>
          <w:color w:val="auto"/>
          <w:highlight w:val="none"/>
        </w:rPr>
      </w:pPr>
    </w:p>
    <w:p>
      <w:pPr>
        <w:pStyle w:val="4"/>
        <w:rPr>
          <w:color w:val="auto"/>
          <w:szCs w:val="32"/>
          <w:highlight w:val="none"/>
        </w:rPr>
      </w:pPr>
      <w:r>
        <w:rPr>
          <w:rFonts w:hint="eastAsia"/>
          <w:color w:val="auto"/>
          <w:highlight w:val="none"/>
        </w:rPr>
        <w:t>机房中心装修</w:t>
      </w:r>
    </w:p>
    <w:p>
      <w:pPr>
        <w:pStyle w:val="5"/>
        <w:rPr>
          <w:color w:val="auto"/>
          <w:highlight w:val="none"/>
        </w:rPr>
      </w:pPr>
      <w:r>
        <w:rPr>
          <w:rFonts w:hint="eastAsia"/>
          <w:color w:val="auto"/>
          <w:highlight w:val="none"/>
        </w:rPr>
        <w:t>墙体工程</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 整体指挥中心墙体工程建设充分考虑稳固、防火、隔音等多方面因素进行设计施工。 </w:t>
      </w:r>
    </w:p>
    <w:p>
      <w:pPr>
        <w:pStyle w:val="5"/>
        <w:rPr>
          <w:color w:val="auto"/>
          <w:highlight w:val="none"/>
        </w:rPr>
      </w:pPr>
      <w:r>
        <w:rPr>
          <w:rFonts w:hint="eastAsia"/>
          <w:color w:val="auto"/>
          <w:highlight w:val="none"/>
        </w:rPr>
        <w:t>综合布线</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主要涉及强电布线、弱电布线，其中强电布线和弱电布线均放在金属布线槽内，具体的金属布线槽尺寸可根据线量的多少并考虑留有一定的余量。强电线槽和弱电线槽之间的距离应保持至少5cm以上，互相之间不能穿越，以防止相互之间的电磁干扰。</w:t>
      </w:r>
    </w:p>
    <w:p>
      <w:pPr>
        <w:pStyle w:val="3"/>
        <w:rPr>
          <w:color w:val="auto"/>
          <w:highlight w:val="none"/>
        </w:rPr>
      </w:pPr>
      <w:r>
        <w:rPr>
          <w:rFonts w:hint="eastAsia"/>
          <w:color w:val="auto"/>
          <w:highlight w:val="none"/>
        </w:rPr>
        <w:t>总体建设要求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为了充分发挥项目技术优势，提高监测结果的客观性和科学性，确保本系统能长期、稳定、正常地运行，项目各单元应符合以下基本要求：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1）系统应基于性能可靠的设备、成熟的技术、先进的体系结构建立的系统。系统应具有可靠运行、完善的功能、灵活的操作及长期的稳定运行；</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2）应用软件必须同时支持多种浏览器，并在多种浏览器下正常运行和显示；</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3）提供全方位的技术支持服务，进行完善的项目管理；</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4）系统总体设计符合国家、行业相关技术标准和规范。以物联网技术应用为支撑，总体框架设计具有较高的系统集成顶层设计规划。</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5）系统设计要求界面美观、风格统一, 人机界面友好, 操作体验人性化。</w:t>
      </w:r>
    </w:p>
    <w:p>
      <w:pPr>
        <w:pStyle w:val="4"/>
        <w:rPr>
          <w:color w:val="auto"/>
          <w:highlight w:val="none"/>
        </w:rPr>
      </w:pPr>
      <w:r>
        <w:rPr>
          <w:rFonts w:hint="eastAsia"/>
          <w:color w:val="auto"/>
          <w:highlight w:val="none"/>
        </w:rPr>
        <w:t>敏感区域空气质量超级站建设要求</w:t>
      </w:r>
    </w:p>
    <w:p>
      <w:pPr>
        <w:spacing w:line="360" w:lineRule="auto"/>
        <w:ind w:firstLine="480"/>
        <w:rPr>
          <w:color w:val="auto"/>
          <w:highlight w:val="none"/>
        </w:rPr>
      </w:pPr>
      <w:r>
        <w:rPr>
          <w:rFonts w:hint="eastAsia" w:ascii="宋体" w:hAnsi="宋体"/>
          <w:color w:val="auto"/>
          <w:sz w:val="24"/>
          <w:szCs w:val="24"/>
          <w:highlight w:val="none"/>
        </w:rPr>
        <w:t>见空气质量超级站章节关于标准站房及辅助设施的详细要求。</w:t>
      </w:r>
    </w:p>
    <w:p>
      <w:pPr>
        <w:pStyle w:val="4"/>
        <w:rPr>
          <w:color w:val="auto"/>
          <w:highlight w:val="none"/>
        </w:rPr>
      </w:pPr>
      <w:r>
        <w:rPr>
          <w:rFonts w:hint="eastAsia"/>
          <w:color w:val="auto"/>
          <w:highlight w:val="none"/>
        </w:rPr>
        <w:t>有毒有害多气体监测仪安装要求</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2170"/>
        <w:gridCol w:w="6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b/>
                <w:bCs/>
                <w:color w:val="auto"/>
                <w:highlight w:val="none"/>
              </w:rPr>
            </w:pPr>
            <w:r>
              <w:rPr>
                <w:rFonts w:hint="eastAsia" w:ascii="宋体" w:hAnsi="宋体"/>
                <w:b/>
                <w:bCs/>
                <w:color w:val="auto"/>
                <w:sz w:val="21"/>
                <w:szCs w:val="21"/>
                <w:highlight w:val="none"/>
              </w:rPr>
              <w:t>序号</w:t>
            </w:r>
          </w:p>
        </w:tc>
        <w:tc>
          <w:tcPr>
            <w:tcW w:w="2170" w:type="dxa"/>
            <w:tcBorders>
              <w:top w:val="single" w:color="auto" w:sz="4" w:space="0"/>
              <w:left w:val="nil"/>
              <w:bottom w:val="single" w:color="auto" w:sz="4" w:space="0"/>
              <w:right w:val="single" w:color="auto" w:sz="4" w:space="0"/>
            </w:tcBorders>
            <w:shd w:val="clear" w:color="auto" w:fill="FFFFFF"/>
          </w:tcPr>
          <w:p>
            <w:pPr>
              <w:pStyle w:val="14"/>
              <w:jc w:val="center"/>
              <w:rPr>
                <w:rFonts w:ascii="宋体" w:hAnsi="宋体"/>
                <w:b/>
                <w:bCs/>
                <w:color w:val="auto"/>
                <w:highlight w:val="none"/>
              </w:rPr>
            </w:pPr>
            <w:r>
              <w:rPr>
                <w:rFonts w:hint="eastAsia" w:ascii="宋体" w:hAnsi="宋体"/>
                <w:b/>
                <w:bCs/>
                <w:color w:val="auto"/>
                <w:highlight w:val="none"/>
              </w:rPr>
              <w:t>项目名称</w:t>
            </w:r>
          </w:p>
        </w:tc>
        <w:tc>
          <w:tcPr>
            <w:tcW w:w="6303" w:type="dxa"/>
            <w:tcBorders>
              <w:top w:val="single" w:color="auto" w:sz="4" w:space="0"/>
              <w:left w:val="nil"/>
              <w:bottom w:val="single" w:color="auto" w:sz="4" w:space="0"/>
              <w:right w:val="single" w:color="auto" w:sz="4" w:space="0"/>
            </w:tcBorders>
            <w:shd w:val="clear" w:color="auto" w:fill="FFFFFF"/>
          </w:tcPr>
          <w:p>
            <w:pPr>
              <w:pStyle w:val="14"/>
              <w:jc w:val="center"/>
              <w:rPr>
                <w:rFonts w:ascii="宋体" w:hAnsi="宋体"/>
                <w:b/>
                <w:bCs/>
                <w:color w:val="auto"/>
                <w:highlight w:val="none"/>
              </w:rPr>
            </w:pPr>
            <w:r>
              <w:rPr>
                <w:rFonts w:hint="eastAsia" w:ascii="宋体" w:hAnsi="宋体"/>
                <w:b/>
                <w:bCs/>
                <w:color w:val="auto"/>
                <w:highlight w:val="none"/>
              </w:rPr>
              <w:t>项目特征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1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ascii="宋体" w:hAnsi="宋体"/>
                <w:color w:val="auto"/>
                <w:sz w:val="21"/>
                <w:szCs w:val="21"/>
                <w:highlight w:val="none"/>
              </w:rPr>
              <w:t>水泥基础</w:t>
            </w:r>
          </w:p>
        </w:tc>
        <w:tc>
          <w:tcPr>
            <w:tcW w:w="6303"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水泥基座尺寸：600x600X500</w:t>
            </w:r>
            <w:r>
              <w:rPr>
                <w:rFonts w:ascii="宋体" w:hAnsi="宋体"/>
                <w:color w:val="auto"/>
                <w:sz w:val="21"/>
                <w:szCs w:val="21"/>
                <w:highlight w:val="none"/>
              </w:rPr>
              <w:t>mm</w:t>
            </w:r>
            <w:r>
              <w:rPr>
                <w:rFonts w:hint="eastAsia" w:ascii="宋体" w:hAnsi="宋体"/>
                <w:color w:val="auto"/>
                <w:sz w:val="21"/>
                <w:szCs w:val="21"/>
                <w:highlight w:val="none"/>
              </w:rPr>
              <w:t>，采用C25混凝土浇筑，铺设双向φ10@200钢筋网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1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ascii="宋体" w:hAnsi="宋体"/>
                <w:color w:val="auto"/>
                <w:sz w:val="21"/>
                <w:szCs w:val="21"/>
                <w:highlight w:val="none"/>
              </w:rPr>
              <w:t>立杆</w:t>
            </w:r>
          </w:p>
        </w:tc>
        <w:tc>
          <w:tcPr>
            <w:tcW w:w="6303"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ascii="宋体" w:hAnsi="宋体"/>
                <w:color w:val="auto"/>
                <w:sz w:val="21"/>
                <w:szCs w:val="21"/>
                <w:highlight w:val="none"/>
              </w:rPr>
              <w:t>室外球头立杆</w:t>
            </w:r>
            <w:r>
              <w:rPr>
                <w:rFonts w:hint="eastAsia" w:ascii="宋体" w:hAnsi="宋体"/>
                <w:color w:val="auto"/>
                <w:sz w:val="21"/>
                <w:szCs w:val="21"/>
                <w:highlight w:val="none"/>
              </w:rPr>
              <w:t>，</w:t>
            </w:r>
            <w:r>
              <w:rPr>
                <w:rFonts w:ascii="宋体" w:hAnsi="宋体"/>
                <w:color w:val="auto"/>
                <w:sz w:val="21"/>
                <w:szCs w:val="21"/>
                <w:highlight w:val="none"/>
              </w:rPr>
              <w:t>高度≥2.5米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1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ascii="宋体" w:hAnsi="宋体"/>
                <w:color w:val="auto"/>
                <w:sz w:val="21"/>
                <w:szCs w:val="21"/>
                <w:highlight w:val="none"/>
              </w:rPr>
              <w:t>配电</w:t>
            </w:r>
          </w:p>
        </w:tc>
        <w:tc>
          <w:tcPr>
            <w:tcW w:w="6303"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ascii="宋体" w:hAnsi="宋体"/>
                <w:color w:val="auto"/>
                <w:sz w:val="21"/>
                <w:szCs w:val="21"/>
                <w:highlight w:val="none"/>
              </w:rPr>
              <w:t>YJV</w:t>
            </w:r>
            <w:r>
              <w:rPr>
                <w:rFonts w:hint="eastAsia" w:ascii="宋体" w:hAnsi="宋体"/>
                <w:color w:val="auto"/>
                <w:sz w:val="21"/>
                <w:szCs w:val="21"/>
                <w:highlight w:val="none"/>
              </w:rPr>
              <w:t>3*2.5电源进线总电缆敷设及穿管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170"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ascii="宋体" w:hAnsi="宋体"/>
                <w:color w:val="auto"/>
                <w:sz w:val="21"/>
                <w:szCs w:val="21"/>
                <w:highlight w:val="none"/>
              </w:rPr>
              <w:t>防雷接地</w:t>
            </w:r>
          </w:p>
        </w:tc>
        <w:tc>
          <w:tcPr>
            <w:tcW w:w="6303"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整体接地电阻＜4Ω</w:t>
            </w:r>
          </w:p>
        </w:tc>
      </w:tr>
    </w:tbl>
    <w:p>
      <w:pPr>
        <w:pStyle w:val="4"/>
        <w:rPr>
          <w:color w:val="auto"/>
          <w:highlight w:val="none"/>
        </w:rPr>
      </w:pPr>
      <w:r>
        <w:rPr>
          <w:rFonts w:hint="eastAsia"/>
          <w:color w:val="auto"/>
          <w:highlight w:val="none"/>
        </w:rPr>
        <w:t>高空瞭望监测设备安装要求</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153"/>
        <w:gridCol w:w="7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9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153" w:type="dxa"/>
            <w:tcBorders>
              <w:top w:val="single" w:color="auto" w:sz="4" w:space="0"/>
              <w:left w:val="nil"/>
              <w:bottom w:val="single" w:color="auto" w:sz="4" w:space="0"/>
              <w:right w:val="single" w:color="auto" w:sz="4" w:space="0"/>
            </w:tcBorders>
            <w:shd w:val="clear" w:color="auto" w:fill="FFFFFF"/>
          </w:tcPr>
          <w:p>
            <w:pPr>
              <w:pStyle w:val="14"/>
              <w:jc w:val="center"/>
              <w:rPr>
                <w:rFonts w:ascii="宋体" w:hAnsi="宋体"/>
                <w:b/>
                <w:bCs/>
                <w:color w:val="auto"/>
                <w:highlight w:val="none"/>
              </w:rPr>
            </w:pPr>
            <w:r>
              <w:rPr>
                <w:rFonts w:hint="eastAsia" w:ascii="宋体" w:hAnsi="宋体"/>
                <w:b/>
                <w:bCs/>
                <w:color w:val="auto"/>
                <w:highlight w:val="none"/>
              </w:rPr>
              <w:t>项目名称</w:t>
            </w:r>
          </w:p>
        </w:tc>
        <w:tc>
          <w:tcPr>
            <w:tcW w:w="7780" w:type="dxa"/>
            <w:tcBorders>
              <w:top w:val="single" w:color="auto" w:sz="4" w:space="0"/>
              <w:left w:val="nil"/>
              <w:bottom w:val="single" w:color="auto" w:sz="4" w:space="0"/>
              <w:right w:val="single" w:color="auto" w:sz="4" w:space="0"/>
            </w:tcBorders>
            <w:shd w:val="clear" w:color="auto" w:fill="FFFFFF"/>
          </w:tcPr>
          <w:p>
            <w:pPr>
              <w:pStyle w:val="14"/>
              <w:jc w:val="center"/>
              <w:rPr>
                <w:rFonts w:ascii="宋体" w:hAnsi="宋体"/>
                <w:b/>
                <w:bCs/>
                <w:color w:val="auto"/>
                <w:highlight w:val="none"/>
              </w:rPr>
            </w:pPr>
            <w:r>
              <w:rPr>
                <w:rFonts w:hint="eastAsia" w:ascii="宋体" w:hAnsi="宋体"/>
                <w:b/>
                <w:bCs/>
                <w:color w:val="auto"/>
                <w:highlight w:val="none"/>
              </w:rPr>
              <w:t>项目特征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153"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ascii="宋体" w:hAnsi="宋体"/>
                <w:color w:val="auto"/>
                <w:sz w:val="21"/>
                <w:szCs w:val="21"/>
                <w:highlight w:val="none"/>
              </w:rPr>
              <w:t>线缆布线</w:t>
            </w:r>
          </w:p>
        </w:tc>
        <w:tc>
          <w:tcPr>
            <w:tcW w:w="7780"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线路</w:t>
            </w:r>
            <w:r>
              <w:rPr>
                <w:rFonts w:ascii="宋体" w:hAnsi="宋体"/>
                <w:color w:val="auto"/>
                <w:sz w:val="21"/>
                <w:szCs w:val="21"/>
                <w:highlight w:val="none"/>
              </w:rPr>
              <w:t>勘察</w:t>
            </w:r>
            <w:r>
              <w:rPr>
                <w:rFonts w:hint="eastAsia" w:ascii="宋体" w:hAnsi="宋体"/>
                <w:color w:val="auto"/>
                <w:sz w:val="21"/>
                <w:szCs w:val="21"/>
                <w:highlight w:val="none"/>
              </w:rPr>
              <w:t>规划</w:t>
            </w:r>
            <w:r>
              <w:rPr>
                <w:rFonts w:ascii="宋体" w:hAnsi="宋体"/>
                <w:color w:val="auto"/>
                <w:sz w:val="21"/>
                <w:szCs w:val="21"/>
                <w:highlight w:val="none"/>
              </w:rPr>
              <w:t>、线缆布置实施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9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153"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ascii="宋体" w:hAnsi="宋体"/>
                <w:color w:val="auto"/>
                <w:sz w:val="21"/>
                <w:szCs w:val="21"/>
                <w:highlight w:val="none"/>
              </w:rPr>
              <w:t>支架固定</w:t>
            </w:r>
          </w:p>
        </w:tc>
        <w:tc>
          <w:tcPr>
            <w:tcW w:w="7780"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ascii="宋体" w:hAnsi="宋体"/>
                <w:color w:val="auto"/>
                <w:sz w:val="21"/>
                <w:szCs w:val="21"/>
                <w:highlight w:val="none"/>
              </w:rPr>
              <w:t>选择合适安装点位</w:t>
            </w:r>
            <w:r>
              <w:rPr>
                <w:rFonts w:hint="eastAsia" w:ascii="宋体" w:hAnsi="宋体"/>
                <w:color w:val="auto"/>
                <w:sz w:val="21"/>
                <w:szCs w:val="21"/>
                <w:highlight w:val="none"/>
              </w:rPr>
              <w:t>进行固定安装，确保承重和稳定可靠，保证图像的平滑性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9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153"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ascii="宋体" w:hAnsi="宋体"/>
                <w:color w:val="auto"/>
                <w:sz w:val="21"/>
                <w:szCs w:val="21"/>
                <w:highlight w:val="none"/>
              </w:rPr>
              <w:t>云台安装</w:t>
            </w:r>
          </w:p>
        </w:tc>
        <w:tc>
          <w:tcPr>
            <w:tcW w:w="7780"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ascii="宋体" w:hAnsi="宋体"/>
                <w:color w:val="auto"/>
                <w:sz w:val="21"/>
                <w:szCs w:val="21"/>
                <w:highlight w:val="none"/>
              </w:rPr>
              <w:t>云台安装就位及性能调试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9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153"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ascii="宋体" w:hAnsi="宋体"/>
                <w:color w:val="auto"/>
                <w:sz w:val="21"/>
                <w:szCs w:val="21"/>
                <w:highlight w:val="none"/>
              </w:rPr>
              <w:t>防雷接地</w:t>
            </w:r>
          </w:p>
        </w:tc>
        <w:tc>
          <w:tcPr>
            <w:tcW w:w="7780"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ascii="宋体" w:hAnsi="宋体"/>
                <w:color w:val="auto"/>
                <w:sz w:val="21"/>
                <w:szCs w:val="21"/>
                <w:highlight w:val="none"/>
              </w:rPr>
              <w:t>结合安装位置建筑物的防雷要求做好防雷接地</w:t>
            </w:r>
            <w:r>
              <w:rPr>
                <w:rFonts w:hint="eastAsia" w:ascii="宋体" w:hAnsi="宋体"/>
                <w:color w:val="auto"/>
                <w:sz w:val="21"/>
                <w:szCs w:val="21"/>
                <w:highlight w:val="none"/>
              </w:rPr>
              <w:t>，</w:t>
            </w:r>
            <w:r>
              <w:rPr>
                <w:rFonts w:ascii="宋体" w:hAnsi="宋体"/>
                <w:color w:val="auto"/>
                <w:sz w:val="21"/>
                <w:szCs w:val="21"/>
                <w:highlight w:val="none"/>
              </w:rPr>
              <w:t>确保符合国标</w:t>
            </w:r>
          </w:p>
        </w:tc>
      </w:tr>
    </w:tbl>
    <w:p>
      <w:pPr>
        <w:pStyle w:val="4"/>
        <w:rPr>
          <w:color w:val="auto"/>
          <w:highlight w:val="none"/>
        </w:rPr>
      </w:pPr>
      <w:r>
        <w:rPr>
          <w:rFonts w:hint="eastAsia"/>
          <w:color w:val="auto"/>
          <w:highlight w:val="none"/>
        </w:rPr>
        <w:t>园区智慧能源监测设备安装要求</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153"/>
        <w:gridCol w:w="7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9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153" w:type="dxa"/>
            <w:tcBorders>
              <w:top w:val="single" w:color="auto" w:sz="4" w:space="0"/>
              <w:left w:val="nil"/>
              <w:bottom w:val="single" w:color="auto" w:sz="4" w:space="0"/>
              <w:right w:val="single" w:color="auto" w:sz="4" w:space="0"/>
            </w:tcBorders>
            <w:shd w:val="clear" w:color="auto" w:fill="FFFFFF"/>
          </w:tcPr>
          <w:p>
            <w:pPr>
              <w:pStyle w:val="14"/>
              <w:jc w:val="center"/>
              <w:rPr>
                <w:rFonts w:ascii="宋体" w:hAnsi="宋体"/>
                <w:b/>
                <w:bCs/>
                <w:color w:val="auto"/>
                <w:highlight w:val="none"/>
              </w:rPr>
            </w:pPr>
            <w:r>
              <w:rPr>
                <w:rFonts w:hint="eastAsia" w:ascii="宋体" w:hAnsi="宋体"/>
                <w:b/>
                <w:bCs/>
                <w:color w:val="auto"/>
                <w:highlight w:val="none"/>
              </w:rPr>
              <w:t>项目名称</w:t>
            </w:r>
          </w:p>
        </w:tc>
        <w:tc>
          <w:tcPr>
            <w:tcW w:w="7780" w:type="dxa"/>
            <w:tcBorders>
              <w:top w:val="single" w:color="auto" w:sz="4" w:space="0"/>
              <w:left w:val="nil"/>
              <w:bottom w:val="single" w:color="auto" w:sz="4" w:space="0"/>
              <w:right w:val="single" w:color="auto" w:sz="4" w:space="0"/>
            </w:tcBorders>
            <w:shd w:val="clear" w:color="auto" w:fill="FFFFFF"/>
          </w:tcPr>
          <w:p>
            <w:pPr>
              <w:pStyle w:val="14"/>
              <w:jc w:val="center"/>
              <w:rPr>
                <w:rFonts w:ascii="宋体" w:hAnsi="宋体"/>
                <w:b/>
                <w:bCs/>
                <w:color w:val="auto"/>
                <w:highlight w:val="none"/>
              </w:rPr>
            </w:pPr>
            <w:r>
              <w:rPr>
                <w:rFonts w:hint="eastAsia" w:ascii="宋体" w:hAnsi="宋体"/>
                <w:b/>
                <w:bCs/>
                <w:color w:val="auto"/>
                <w:highlight w:val="none"/>
              </w:rPr>
              <w:t>项目特征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153"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ascii="宋体" w:hAnsi="宋体"/>
                <w:color w:val="auto"/>
                <w:sz w:val="21"/>
                <w:szCs w:val="21"/>
                <w:highlight w:val="none"/>
              </w:rPr>
              <w:t>线缆布线</w:t>
            </w:r>
          </w:p>
        </w:tc>
        <w:tc>
          <w:tcPr>
            <w:tcW w:w="7780"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线路</w:t>
            </w:r>
            <w:r>
              <w:rPr>
                <w:rFonts w:ascii="宋体" w:hAnsi="宋体"/>
                <w:color w:val="auto"/>
                <w:sz w:val="21"/>
                <w:szCs w:val="21"/>
                <w:highlight w:val="none"/>
              </w:rPr>
              <w:t>勘察</w:t>
            </w:r>
            <w:r>
              <w:rPr>
                <w:rFonts w:hint="eastAsia" w:ascii="宋体" w:hAnsi="宋体"/>
                <w:color w:val="auto"/>
                <w:sz w:val="21"/>
                <w:szCs w:val="21"/>
                <w:highlight w:val="none"/>
              </w:rPr>
              <w:t>规划</w:t>
            </w:r>
            <w:r>
              <w:rPr>
                <w:rFonts w:ascii="宋体" w:hAnsi="宋体"/>
                <w:color w:val="auto"/>
                <w:sz w:val="21"/>
                <w:szCs w:val="21"/>
                <w:highlight w:val="none"/>
              </w:rPr>
              <w:t>、线缆布置实施</w:t>
            </w:r>
            <w:r>
              <w:rPr>
                <w:rFonts w:hint="eastAsia" w:ascii="宋体" w:hAnsi="宋体"/>
                <w:color w:val="auto"/>
                <w:sz w:val="21"/>
                <w:szCs w:val="21"/>
                <w:highlight w:val="none"/>
              </w:rPr>
              <w:t>。将设备这端的电源线和信号线接好，接线时注意接线的牢固性和绝缘性，并安装随机发货的线缆线管标记。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9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153"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ascii="宋体" w:hAnsi="宋体"/>
                <w:color w:val="auto"/>
                <w:sz w:val="21"/>
                <w:szCs w:val="21"/>
                <w:highlight w:val="none"/>
              </w:rPr>
              <w:t>支架固定</w:t>
            </w:r>
          </w:p>
        </w:tc>
        <w:tc>
          <w:tcPr>
            <w:tcW w:w="7780"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在合适位置安装固定支架，确保设备牢固固定。防止在使用中脱落。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9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153"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设备</w:t>
            </w:r>
            <w:r>
              <w:rPr>
                <w:rFonts w:ascii="宋体" w:hAnsi="宋体"/>
                <w:color w:val="auto"/>
                <w:sz w:val="21"/>
                <w:szCs w:val="21"/>
                <w:highlight w:val="none"/>
              </w:rPr>
              <w:t>安装</w:t>
            </w:r>
          </w:p>
        </w:tc>
        <w:tc>
          <w:tcPr>
            <w:tcW w:w="7780"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设备确保安装在室内，没有办法安装在室内的一定要配备表箱。目标是要确保设备可以长期稳定的运行。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9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4</w:t>
            </w:r>
          </w:p>
        </w:tc>
        <w:tc>
          <w:tcPr>
            <w:tcW w:w="1153"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ascii="宋体" w:hAnsi="宋体"/>
                <w:color w:val="auto"/>
                <w:sz w:val="21"/>
                <w:szCs w:val="21"/>
                <w:highlight w:val="none"/>
              </w:rPr>
              <w:t>防雷接地</w:t>
            </w:r>
          </w:p>
        </w:tc>
        <w:tc>
          <w:tcPr>
            <w:tcW w:w="7780"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整体接地电阻＜4Ω</w:t>
            </w:r>
          </w:p>
        </w:tc>
      </w:tr>
    </w:tbl>
    <w:p>
      <w:pPr>
        <w:pStyle w:val="4"/>
        <w:rPr>
          <w:color w:val="auto"/>
          <w:highlight w:val="none"/>
        </w:rPr>
      </w:pPr>
      <w:r>
        <w:rPr>
          <w:rFonts w:hint="eastAsia"/>
          <w:color w:val="auto"/>
          <w:highlight w:val="none"/>
        </w:rPr>
        <w:t>园区道路车辆监管设备安装要求</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153"/>
        <w:gridCol w:w="7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9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1153" w:type="dxa"/>
            <w:tcBorders>
              <w:top w:val="single" w:color="auto" w:sz="4" w:space="0"/>
              <w:left w:val="nil"/>
              <w:bottom w:val="single" w:color="auto" w:sz="4" w:space="0"/>
              <w:right w:val="single" w:color="auto" w:sz="4" w:space="0"/>
            </w:tcBorders>
            <w:shd w:val="clear" w:color="auto" w:fill="FFFFFF"/>
          </w:tcPr>
          <w:p>
            <w:pPr>
              <w:pStyle w:val="14"/>
              <w:jc w:val="center"/>
              <w:rPr>
                <w:rFonts w:ascii="宋体" w:hAnsi="宋体"/>
                <w:b/>
                <w:bCs/>
                <w:color w:val="auto"/>
                <w:highlight w:val="none"/>
              </w:rPr>
            </w:pPr>
            <w:r>
              <w:rPr>
                <w:rFonts w:hint="eastAsia" w:ascii="宋体" w:hAnsi="宋体"/>
                <w:b/>
                <w:bCs/>
                <w:color w:val="auto"/>
                <w:highlight w:val="none"/>
              </w:rPr>
              <w:t>项目名称</w:t>
            </w:r>
          </w:p>
        </w:tc>
        <w:tc>
          <w:tcPr>
            <w:tcW w:w="7780" w:type="dxa"/>
            <w:tcBorders>
              <w:top w:val="single" w:color="auto" w:sz="4" w:space="0"/>
              <w:left w:val="nil"/>
              <w:bottom w:val="single" w:color="auto" w:sz="4" w:space="0"/>
              <w:right w:val="single" w:color="auto" w:sz="4" w:space="0"/>
            </w:tcBorders>
            <w:shd w:val="clear" w:color="auto" w:fill="FFFFFF"/>
          </w:tcPr>
          <w:p>
            <w:pPr>
              <w:pStyle w:val="14"/>
              <w:jc w:val="center"/>
              <w:rPr>
                <w:rFonts w:ascii="宋体" w:hAnsi="宋体"/>
                <w:b/>
                <w:bCs/>
                <w:color w:val="auto"/>
                <w:highlight w:val="none"/>
              </w:rPr>
            </w:pPr>
            <w:r>
              <w:rPr>
                <w:rFonts w:hint="eastAsia" w:ascii="宋体" w:hAnsi="宋体"/>
                <w:b/>
                <w:bCs/>
                <w:color w:val="auto"/>
                <w:highlight w:val="none"/>
              </w:rPr>
              <w:t>项目特征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153"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防水</w:t>
            </w:r>
          </w:p>
        </w:tc>
        <w:tc>
          <w:tcPr>
            <w:tcW w:w="7780"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应选择不易进水的位置确保持终端的干燥，要注意远离空调出风口以防在温差 变化时，有冷凝水积聚在终端内部严重影响产品的使用寿命。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9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153"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防震</w:t>
            </w:r>
          </w:p>
        </w:tc>
        <w:tc>
          <w:tcPr>
            <w:tcW w:w="7780"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终端不能悬空安装在长期振动较大位置。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69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153"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防干扰</w:t>
            </w:r>
          </w:p>
        </w:tc>
        <w:tc>
          <w:tcPr>
            <w:tcW w:w="7780" w:type="dxa"/>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olor w:val="auto"/>
                <w:sz w:val="21"/>
                <w:szCs w:val="21"/>
                <w:highlight w:val="none"/>
              </w:rPr>
            </w:pPr>
            <w:r>
              <w:rPr>
                <w:rFonts w:hint="eastAsia" w:ascii="宋体" w:hAnsi="宋体"/>
                <w:color w:val="auto"/>
                <w:sz w:val="21"/>
                <w:szCs w:val="21"/>
                <w:highlight w:val="none"/>
              </w:rPr>
              <w:t>终端应远离车内影音和对讲等电子设备，防止传导干扰和辐射干扰。</w:t>
            </w:r>
          </w:p>
        </w:tc>
      </w:tr>
    </w:tbl>
    <w:p>
      <w:pPr>
        <w:pStyle w:val="4"/>
        <w:rPr>
          <w:color w:val="auto"/>
          <w:highlight w:val="none"/>
        </w:rPr>
      </w:pPr>
      <w:r>
        <w:rPr>
          <w:rFonts w:hint="eastAsia"/>
          <w:color w:val="auto"/>
          <w:highlight w:val="none"/>
        </w:rPr>
        <w:t>危化品车辆停车场无死角监控施工安装要求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安装前需将摄像机逐个通电进行检测和粗调，在摄像机处于正常工作状态后，方可安装；检查云台的水平、垂直转动角度，并根据设计要求定准云台转动起点方向。</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检查摄像机防护罩含风扇、雨刷等工作是否正常；检查摄像机防护罩内紧固情况；</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检查摄像机机座与支架或云台的安装尺寸；</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从摄像机引出的电缆宜留有1米的余量，不得影响摄像机的转动。摄像机的电缆和电源线应固定，不得用插头承受电缆的自重；</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摄像机宜安装在监视目标附近不易受外界损伤的地方，安装位置固定，且安装位置不应影响现场设备运行和人员正常活动。</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信号线缆（视频线、控制线等）与电源线应分别采用2根管道进行布放，或分走道布放，间距应大于5cm，室内采用PVC管进入机架的部分要加装软套，室外应采用金属管道进行布放。</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各类线缆长度应逐盘核对，并根据设计图上各段线路的长度来选配线缆，线缆要预留适当的长度，同一类型线缆预留长度要一致。</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架设架空电缆时，宜将电缆吊线固定在电杆上，再用电缆挂钩把电缆卡挂在吊线上；挂钩的间隔距离应宜为0.5～0.6m，根据气候条件，每一杆应留出余兜。</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墙壁电缆的敷设，沿室外墙面宜采用吊挂方式；室内墙面宜采用卡子方式。墙壁电缆沿墙角转弯时，应在墙角处设转角墙担。电缆卡子的间距在水平路径上宜为0.6m；在垂直路径上宜为1m。</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直埋电缆的埋深不得小于0.8m，并应埋在冰冻层以下；紧靠电缆处应用沙土或细土覆盖，其厚度应大于0.1m，并且压上一层砖时保护。通过交通要道时，应穿钢管保护，电缆应采用具有铠装的直埋电缆。转弯地段的电缆，地面上应由电缆标志。</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管道电缆或直埋电缆在引出地面时，均应采用钢管保护。钢管伸出地面不宜小于2.5m；埋入地下宜为0.3～0.5m。</w:t>
      </w:r>
    </w:p>
    <w:p>
      <w:pPr>
        <w:pStyle w:val="4"/>
        <w:rPr>
          <w:color w:val="auto"/>
          <w:highlight w:val="none"/>
        </w:rPr>
      </w:pPr>
      <w:r>
        <w:rPr>
          <w:rFonts w:hint="eastAsia"/>
          <w:color w:val="auto"/>
          <w:highlight w:val="none"/>
        </w:rPr>
        <w:t>园区监控指挥中心建设要求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大路工业园区监控指挥中心是一个综合性的专业技术场地，建设要求如下：</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监控指挥中心具有装修、空调、通风、强电、弱电、防雷、消防等各个专业及新兴的先进的计算机及网络设备所特有的专业技术要求。</w:t>
      </w:r>
    </w:p>
    <w:p>
      <w:pPr>
        <w:ind w:firstLine="480"/>
        <w:rPr>
          <w:rFonts w:ascii="宋体" w:hAnsi="宋体"/>
          <w:color w:val="auto"/>
          <w:sz w:val="24"/>
          <w:szCs w:val="24"/>
          <w:highlight w:val="none"/>
        </w:rPr>
      </w:pPr>
      <w:r>
        <w:rPr>
          <w:rFonts w:hint="eastAsia" w:ascii="宋体" w:hAnsi="宋体"/>
          <w:color w:val="auto"/>
          <w:sz w:val="24"/>
          <w:szCs w:val="24"/>
          <w:highlight w:val="none"/>
        </w:rPr>
        <w:t>同时又要求具有建筑装饰、美学、光学及现代气息。</w:t>
      </w:r>
    </w:p>
    <w:p>
      <w:pPr>
        <w:pStyle w:val="8"/>
        <w:ind w:firstLine="482" w:firstLineChars="200"/>
        <w:jc w:val="both"/>
        <w:rPr>
          <w:b/>
          <w:bCs/>
          <w:color w:val="auto"/>
          <w:highlight w:val="none"/>
        </w:rPr>
      </w:pPr>
      <w:r>
        <w:rPr>
          <w:rFonts w:hint="eastAsia"/>
          <w:b/>
          <w:bCs/>
          <w:color w:val="auto"/>
          <w:highlight w:val="none"/>
        </w:rPr>
        <w:t>监控中心环境</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温度：设备20～24°C，最佳22°C；工作人员22～26°C，最佳25°C；</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湿度：45%-65%，最佳55%；</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温度变化率：&lt;5°C/H，并不得结露； </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含尘浓度：大于或等于0.5μm粒子数&lt;18000粒/升；</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噪声：停机时，操作员位&lt;68dB（A）； </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主机房内磁场干扰场强应低于800A/m； </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机房附近无线电波干扰应低于126dB（F=14KHZ-1GHZ）；</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地板振动加速度：停机时不大于500mm/S； </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绝缘体静电位：&lt;1KV。</w:t>
      </w:r>
    </w:p>
    <w:p>
      <w:pPr>
        <w:pStyle w:val="8"/>
        <w:ind w:firstLine="482" w:firstLineChars="200"/>
        <w:jc w:val="both"/>
        <w:rPr>
          <w:b/>
          <w:bCs/>
          <w:color w:val="auto"/>
          <w:highlight w:val="none"/>
        </w:rPr>
      </w:pPr>
      <w:r>
        <w:rPr>
          <w:rFonts w:hint="eastAsia"/>
          <w:b/>
          <w:bCs/>
          <w:color w:val="auto"/>
          <w:highlight w:val="none"/>
        </w:rPr>
        <w:t>监控中心接地</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系统接地性能良好会有效抑制电磁场的干扰，使空间电磁场干扰通过地线系泄漏，保证弱电系统的可靠运行。 </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系统接地要求严格良好的接地系统是防止外界电磁场干扰和设备间产生电容偶合干扰，提高系统可靠的必要措施。系统接地电阻要小于1欧姆。</w:t>
      </w:r>
    </w:p>
    <w:p>
      <w:pPr>
        <w:pStyle w:val="4"/>
        <w:rPr>
          <w:color w:val="auto"/>
          <w:highlight w:val="none"/>
        </w:rPr>
      </w:pPr>
      <w:r>
        <w:rPr>
          <w:rFonts w:hint="eastAsia"/>
          <w:color w:val="auto"/>
          <w:highlight w:val="none"/>
        </w:rPr>
        <w:t>企业端监测设备I</w:t>
      </w:r>
      <w:r>
        <w:rPr>
          <w:color w:val="auto"/>
          <w:highlight w:val="none"/>
        </w:rPr>
        <w:t>T</w:t>
      </w:r>
      <w:r>
        <w:rPr>
          <w:rFonts w:hint="eastAsia"/>
          <w:color w:val="auto"/>
          <w:highlight w:val="none"/>
        </w:rPr>
        <w:t>系统集成</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企业端的数据采集设备（包含环保、安监、能源、网络安全）集中集成在同一弱电机柜内；</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弱电机柜和柜内数据采集设备由园区管委会提供；</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设备安装空间位置、电源供电、环境条件等由所在企业配合提供。</w:t>
      </w:r>
    </w:p>
    <w:p>
      <w:pPr>
        <w:pStyle w:val="3"/>
        <w:rPr>
          <w:color w:val="auto"/>
          <w:highlight w:val="none"/>
        </w:rPr>
      </w:pPr>
      <w:r>
        <w:rPr>
          <w:rFonts w:hint="eastAsia"/>
          <w:color w:val="auto"/>
          <w:highlight w:val="none"/>
        </w:rPr>
        <w:t>项目实施要求</w:t>
      </w:r>
    </w:p>
    <w:p>
      <w:pPr>
        <w:pStyle w:val="4"/>
        <w:rPr>
          <w:color w:val="auto"/>
          <w:highlight w:val="none"/>
        </w:rPr>
      </w:pPr>
      <w:r>
        <w:rPr>
          <w:rFonts w:hint="eastAsia"/>
          <w:color w:val="auto"/>
          <w:highlight w:val="none"/>
        </w:rPr>
        <w:t xml:space="preserve">项目进度要求  </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本次项目新建设备施工建设工期为</w:t>
      </w:r>
      <w:r>
        <w:rPr>
          <w:rFonts w:ascii="宋体" w:hAnsi="宋体"/>
          <w:color w:val="auto"/>
          <w:sz w:val="24"/>
          <w:szCs w:val="24"/>
          <w:highlight w:val="none"/>
        </w:rPr>
        <w:t>6个月，试运行期1个月。</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项目建设运营期共细分为五个阶段：</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第一阶段</w:t>
            </w:r>
          </w:p>
        </w:tc>
        <w:tc>
          <w:tcPr>
            <w:tcW w:w="8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合同签订后1个月内完成需求调研、分析、系统设计，并细化系统实施计划，中标人向采购人（用户单位）提供相关文档并需经采购人审查通过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第二阶段</w:t>
            </w:r>
          </w:p>
        </w:tc>
        <w:tc>
          <w:tcPr>
            <w:tcW w:w="8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合同生效之日起6个月内完成项目建设（含设备供货、站点安装、软件开发、软件安装部署、机房改造、系统部署调试等），并通过初验投入试运行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第三阶段</w:t>
            </w:r>
          </w:p>
        </w:tc>
        <w:tc>
          <w:tcPr>
            <w:tcW w:w="8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正常试运行1个月后，中标商提请正式验收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第四阶段</w:t>
            </w:r>
          </w:p>
        </w:tc>
        <w:tc>
          <w:tcPr>
            <w:tcW w:w="8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若验收不合格，限期1个月整改并提请验收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第五阶段</w:t>
            </w:r>
          </w:p>
        </w:tc>
        <w:tc>
          <w:tcPr>
            <w:tcW w:w="8357" w:type="dxa"/>
            <w:tcBorders>
              <w:top w:val="single" w:color="auto" w:sz="4" w:space="0"/>
              <w:left w:val="nil"/>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验收完成后转入正式运营期。</w:t>
            </w:r>
          </w:p>
        </w:tc>
      </w:tr>
    </w:tbl>
    <w:p>
      <w:pPr>
        <w:pStyle w:val="4"/>
        <w:rPr>
          <w:color w:val="auto"/>
          <w:szCs w:val="32"/>
          <w:highlight w:val="none"/>
        </w:rPr>
      </w:pPr>
      <w:r>
        <w:rPr>
          <w:rFonts w:hint="eastAsia"/>
          <w:color w:val="auto"/>
          <w:highlight w:val="none"/>
        </w:rPr>
        <w:t>项目组织及实施要求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中标人合同签订后5个工作日内成立建设项目工作团队，并指定一名专职的项目经理，负责项目协调和调度工作。除项目经理外，项目组需配备专职的技术负责人，并按照项目实施的要求，配置相应的项目管理、系统设计、开发、测试、集成、现场实施、培训、质量保证等人员。</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参与此项目的软件技术人员需具有承担过相同类型软件开发经验，能够与采购人进行良好的沟通，掌握相关领域的相关基础知识，具备相关产品集成、应用和开发的能力。</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中标人在项目合同签订后，需组织相关实施人员在该项目招标需求的基础上进行深入调研，编制需求规格说明书。需求规格说明书经采购人、中标人确认后作为项目验收的依据。</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要求中标人在各阶段及时提供相应的项目管理文档、开发类文档及实施类文档，以便采购人及时了解项目进展情况。</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对上述安排投标人应列出详细实施方案，包括但不限于项目管理计划、项目进度计划、项目验收计划、项目组织结构（人员姓名、经验、学历和在本项目中的职责分工等）等。参与本项目的技术人员必须具有相应技术专业资格证书。</w:t>
      </w:r>
    </w:p>
    <w:p>
      <w:pPr>
        <w:pStyle w:val="4"/>
        <w:rPr>
          <w:color w:val="auto"/>
          <w:highlight w:val="none"/>
        </w:rPr>
      </w:pPr>
      <w:r>
        <w:rPr>
          <w:rFonts w:hint="eastAsia"/>
          <w:color w:val="auto"/>
          <w:highlight w:val="none"/>
        </w:rPr>
        <w:t>安装、测试及系统集成要求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本项目涉及到多个系统的数据整合，各应用系统之间要求按统一的数据交换标准进行数据交换。需要高标准进行整体规划，确保系统的稳定性、安全性、灵活性和扩展性。</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要求中标人：</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负责本项目范围内应用软件的现场安装部署、测试和调试，保证系统功能、性能要求的实现。在安装、配置和测试、调试过程中，中标人应对最终用户技术人员所提出的技术问题，给予满意的答复。</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要求有完整的安装和配置程序，具有详细的系统安装配置说明手册、用户使用说明书和系统维护说明书。</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要求具有完整的系统测试计划、合理的测试方案和测试方法。要求保留完整的测试报告。</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负责解决系统集成中全部技术问题，对采购人项目建设中碰到的其他技术问题，有责任和义务提供咨询和帮助。</w:t>
      </w:r>
    </w:p>
    <w:p>
      <w:pPr>
        <w:pStyle w:val="4"/>
        <w:rPr>
          <w:color w:val="auto"/>
          <w:highlight w:val="none"/>
        </w:rPr>
      </w:pPr>
      <w:r>
        <w:rPr>
          <w:rFonts w:hint="eastAsia"/>
          <w:color w:val="auto"/>
          <w:highlight w:val="none"/>
        </w:rPr>
        <w:t>培训要求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中标人必须为采购人提供系统使用、系统操作和管理培训，培训形式包括客户现场培训、总部课堂培训；投标人必须列明相应的培训课程。</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中标人提供详细的培训计划、大纲、课程内容等相关内容，为所有被培训人员提供培训用文字资料和讲义等相关用品。</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培训工作必须在合同生效之后系统试运行之前安排。</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所有培训费用（含培训教材费），已包括在投标总价中。</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实际培训时间、人数和地点按中标人与项目采购人商定的为准。</w:t>
      </w:r>
    </w:p>
    <w:p>
      <w:pPr>
        <w:pStyle w:val="4"/>
        <w:rPr>
          <w:color w:val="auto"/>
          <w:highlight w:val="none"/>
        </w:rPr>
      </w:pPr>
      <w:r>
        <w:rPr>
          <w:rFonts w:hint="eastAsia"/>
          <w:color w:val="auto"/>
          <w:highlight w:val="none"/>
        </w:rPr>
        <w:t>售后要求</w:t>
      </w:r>
    </w:p>
    <w:p>
      <w:pPr>
        <w:spacing w:line="360" w:lineRule="auto"/>
        <w:ind w:firstLine="480"/>
        <w:rPr>
          <w:rFonts w:ascii="宋体" w:hAnsi="宋体"/>
          <w:color w:val="auto"/>
          <w:sz w:val="24"/>
          <w:szCs w:val="24"/>
          <w:highlight w:val="none"/>
        </w:rPr>
      </w:pPr>
      <w:r>
        <w:rPr>
          <w:rFonts w:hint="eastAsia" w:ascii="宋体" w:hAnsi="宋体"/>
          <w:color w:val="auto"/>
          <w:highlight w:val="none"/>
        </w:rPr>
        <w:t xml:space="preserve">  </w:t>
      </w:r>
      <w:r>
        <w:rPr>
          <w:rFonts w:hint="eastAsia" w:ascii="宋体" w:hAnsi="宋体"/>
          <w:color w:val="auto"/>
          <w:sz w:val="24"/>
          <w:szCs w:val="24"/>
          <w:highlight w:val="none"/>
          <w:lang w:eastAsia="zh-CN"/>
        </w:rPr>
        <w:t>设备</w:t>
      </w:r>
      <w:r>
        <w:rPr>
          <w:rFonts w:hint="eastAsia" w:ascii="宋体" w:hAnsi="宋体"/>
          <w:color w:val="auto"/>
          <w:sz w:val="24"/>
          <w:szCs w:val="24"/>
          <w:highlight w:val="none"/>
        </w:rPr>
        <w:t>质保期</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年</w:t>
      </w:r>
      <w:r>
        <w:rPr>
          <w:rFonts w:hint="eastAsia" w:ascii="宋体" w:hAnsi="宋体"/>
          <w:color w:val="auto"/>
          <w:sz w:val="24"/>
          <w:szCs w:val="24"/>
          <w:highlight w:val="none"/>
          <w:lang w:eastAsia="zh-CN"/>
        </w:rPr>
        <w:t>。运营期</w:t>
      </w:r>
      <w:r>
        <w:rPr>
          <w:rFonts w:hint="eastAsia" w:ascii="宋体" w:hAnsi="宋体"/>
          <w:color w:val="auto"/>
          <w:sz w:val="24"/>
          <w:szCs w:val="24"/>
          <w:highlight w:val="none"/>
          <w:lang w:val="en-US" w:eastAsia="zh-CN"/>
        </w:rPr>
        <w:t>1年，</w:t>
      </w:r>
      <w:r>
        <w:rPr>
          <w:rFonts w:hint="eastAsia" w:ascii="宋体" w:hAnsi="宋体"/>
          <w:color w:val="auto"/>
          <w:sz w:val="24"/>
          <w:szCs w:val="24"/>
          <w:highlight w:val="none"/>
        </w:rPr>
        <w:t>要求配备</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名监控中心驻场人员。（采购方提供食宿）</w:t>
      </w:r>
    </w:p>
    <w:p>
      <w:pPr>
        <w:pStyle w:val="4"/>
        <w:rPr>
          <w:color w:val="auto"/>
          <w:highlight w:val="none"/>
        </w:rPr>
      </w:pPr>
      <w:r>
        <w:rPr>
          <w:rFonts w:hint="eastAsia"/>
          <w:color w:val="auto"/>
          <w:highlight w:val="none"/>
        </w:rPr>
        <w:t>其它要求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投标人须保证所提供产品具有合法的版权或使用权，本项目采购的产品，如在本项目范围内使用过程中出现版权或使用权纠纷，应由中标人负责，采购人和采购机构不承担任何责任。</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本项目所开发完成的所有软件系统版权归采购人所有。</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投标人须承诺质保期过后，对采购人的升级需求提供优惠的升级服务。</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雅黑">
    <w:altName w:val="黑体"/>
    <w:panose1 w:val="00000000000000000000"/>
    <w:charset w:val="00"/>
    <w:family w:val="auto"/>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665BC"/>
    <w:multiLevelType w:val="multilevel"/>
    <w:tmpl w:val="1BA665B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B6739F"/>
    <w:multiLevelType w:val="multilevel"/>
    <w:tmpl w:val="21B6739F"/>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
    <w:nsid w:val="25626943"/>
    <w:multiLevelType w:val="multilevel"/>
    <w:tmpl w:val="25626943"/>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1D91616"/>
    <w:multiLevelType w:val="multilevel"/>
    <w:tmpl w:val="31D91616"/>
    <w:lvl w:ilvl="0" w:tentative="0">
      <w:start w:val="1"/>
      <w:numFmt w:val="decimal"/>
      <w:lvlText w:val="%1、"/>
      <w:lvlJc w:val="left"/>
      <w:pPr>
        <w:ind w:left="1202" w:hanging="720"/>
      </w:pPr>
      <w:rPr>
        <w:rFonts w:hint="default"/>
        <w:sz w:val="28"/>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33173D35"/>
    <w:multiLevelType w:val="multilevel"/>
    <w:tmpl w:val="33173D35"/>
    <w:lvl w:ilvl="0" w:tentative="0">
      <w:start w:val="4"/>
      <w:numFmt w:val="chineseCounting"/>
      <w:suff w:val="nothing"/>
      <w:lvlText w:val="第%1章 "/>
      <w:lvlJc w:val="left"/>
      <w:pPr>
        <w:tabs>
          <w:tab w:val="left" w:pos="420"/>
        </w:tabs>
        <w:ind w:left="425" w:hanging="425"/>
      </w:pPr>
      <w:rPr>
        <w:rFonts w:hint="eastAsia" w:ascii="宋体" w:hAnsi="宋体" w:eastAsia="宋体"/>
      </w:rPr>
    </w:lvl>
    <w:lvl w:ilvl="1" w:tentative="0">
      <w:start w:val="1"/>
      <w:numFmt w:val="decimal"/>
      <w:pStyle w:val="3"/>
      <w:isLgl/>
      <w:lvlText w:val="%1.%2."/>
      <w:lvlJc w:val="left"/>
      <w:pPr>
        <w:tabs>
          <w:tab w:val="left" w:pos="420"/>
        </w:tabs>
        <w:ind w:left="567" w:hanging="567"/>
      </w:pPr>
      <w:rPr>
        <w:rFonts w:hint="eastAsia" w:ascii="宋体" w:hAnsi="宋体" w:eastAsia="宋体"/>
      </w:rPr>
    </w:lvl>
    <w:lvl w:ilvl="2" w:tentative="0">
      <w:start w:val="1"/>
      <w:numFmt w:val="decimal"/>
      <w:pStyle w:val="4"/>
      <w:isLgl/>
      <w:lvlText w:val="%1.%2.%3."/>
      <w:lvlJc w:val="left"/>
      <w:pPr>
        <w:ind w:left="709" w:hanging="709"/>
      </w:pPr>
      <w:rPr>
        <w:rFonts w:hint="eastAsia" w:ascii="宋体" w:hAnsi="宋体" w:eastAsia="宋体"/>
      </w:rPr>
    </w:lvl>
    <w:lvl w:ilvl="3" w:tentative="0">
      <w:start w:val="1"/>
      <w:numFmt w:val="decimal"/>
      <w:pStyle w:val="5"/>
      <w:isLgl/>
      <w:lvlText w:val="%1.%2.%3.%4."/>
      <w:lvlJc w:val="left"/>
      <w:pPr>
        <w:ind w:left="850" w:hanging="850"/>
      </w:pPr>
      <w:rPr>
        <w:rFonts w:hint="eastAsia" w:ascii="宋体" w:hAnsi="宋体" w:eastAsia="宋体"/>
      </w:rPr>
    </w:lvl>
    <w:lvl w:ilvl="4" w:tentative="0">
      <w:start w:val="1"/>
      <w:numFmt w:val="decimal"/>
      <w:pStyle w:val="6"/>
      <w:isLgl/>
      <w:lvlText w:val="%1.%2.%3.%4.%5."/>
      <w:lvlJc w:val="left"/>
      <w:pPr>
        <w:ind w:left="991" w:hanging="991"/>
      </w:pPr>
      <w:rPr>
        <w:rFonts w:hint="eastAsia" w:ascii="宋体" w:hAnsi="宋体" w:eastAsia="宋体"/>
      </w:rPr>
    </w:lvl>
    <w:lvl w:ilvl="5" w:tentative="0">
      <w:start w:val="1"/>
      <w:numFmt w:val="decimal"/>
      <w:pStyle w:val="7"/>
      <w:isLgl/>
      <w:lvlText w:val="%1.%2.%3.%4.%5.%6."/>
      <w:lvlJc w:val="left"/>
      <w:pPr>
        <w:ind w:left="1276" w:hanging="1134"/>
      </w:pPr>
      <w:rPr>
        <w:rFonts w:hint="eastAsia" w:ascii="宋体" w:hAnsi="宋体" w:eastAsia="宋体"/>
      </w:rPr>
    </w:lvl>
    <w:lvl w:ilvl="6" w:tentative="0">
      <w:start w:val="1"/>
      <w:numFmt w:val="decimal"/>
      <w:isLgl/>
      <w:lvlText w:val="%1.%2.%3.%4.%5.%6.%7."/>
      <w:lvlJc w:val="left"/>
      <w:pPr>
        <w:ind w:left="1275" w:hanging="1275"/>
      </w:pPr>
      <w:rPr>
        <w:rFonts w:hint="eastAsia" w:ascii="宋体" w:hAnsi="宋体" w:eastAsia="宋体"/>
      </w:rPr>
    </w:lvl>
    <w:lvl w:ilvl="7" w:tentative="0">
      <w:start w:val="1"/>
      <w:numFmt w:val="decimal"/>
      <w:isLgl/>
      <w:lvlText w:val="%1.%2.%3.%4.%5.%6.%7.%8."/>
      <w:lvlJc w:val="left"/>
      <w:pPr>
        <w:ind w:left="1418" w:hanging="1418"/>
      </w:pPr>
      <w:rPr>
        <w:rFonts w:hint="eastAsia" w:ascii="宋体" w:hAnsi="宋体" w:eastAsia="宋体"/>
      </w:rPr>
    </w:lvl>
    <w:lvl w:ilvl="8" w:tentative="0">
      <w:start w:val="1"/>
      <w:numFmt w:val="decimal"/>
      <w:isLgl/>
      <w:lvlText w:val="%1.%2.%3.%4.%5.%6.%7.%8.%9."/>
      <w:lvlJc w:val="left"/>
      <w:pPr>
        <w:ind w:left="1558" w:hanging="1558"/>
      </w:pPr>
      <w:rPr>
        <w:rFonts w:hint="eastAsia" w:ascii="宋体" w:hAnsi="宋体" w:eastAsia="宋体"/>
      </w:rPr>
    </w:lvl>
  </w:abstractNum>
  <w:num w:numId="1">
    <w:abstractNumId w:val="4"/>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532E3"/>
    <w:rsid w:val="10CF398A"/>
    <w:rsid w:val="14AF65D3"/>
    <w:rsid w:val="2DF91EF6"/>
    <w:rsid w:val="2E7368E9"/>
    <w:rsid w:val="36BA0E95"/>
    <w:rsid w:val="378813D0"/>
    <w:rsid w:val="5A432186"/>
    <w:rsid w:val="6FE12289"/>
    <w:rsid w:val="772D1BB4"/>
    <w:rsid w:val="7AB34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12"/>
    <w:qFormat/>
    <w:uiPriority w:val="0"/>
    <w:pPr>
      <w:keepNext/>
      <w:keepLines/>
      <w:spacing w:before="340" w:beforeLines="0" w:after="330" w:afterLines="0" w:line="576" w:lineRule="auto"/>
      <w:jc w:val="center"/>
      <w:outlineLvl w:val="0"/>
    </w:pPr>
    <w:rPr>
      <w:rFonts w:ascii="Calibri" w:hAnsi="Calibri" w:eastAsia="宋体"/>
      <w:b/>
      <w:bCs/>
      <w:kern w:val="44"/>
      <w:sz w:val="35"/>
      <w:szCs w:val="44"/>
    </w:rPr>
  </w:style>
  <w:style w:type="paragraph" w:styleId="3">
    <w:name w:val="heading 2"/>
    <w:basedOn w:val="1"/>
    <w:next w:val="1"/>
    <w:unhideWhenUsed/>
    <w:qFormat/>
    <w:uiPriority w:val="99"/>
    <w:pPr>
      <w:keepNext/>
      <w:keepLines/>
      <w:numPr>
        <w:ilvl w:val="1"/>
        <w:numId w:val="1"/>
      </w:numPr>
      <w:spacing w:line="412" w:lineRule="auto"/>
      <w:outlineLvl w:val="1"/>
    </w:pPr>
    <w:rPr>
      <w:rFonts w:ascii="黑体" w:hAnsi="黑体" w:eastAsia="黑体"/>
      <w:b/>
      <w:sz w:val="32"/>
    </w:rPr>
  </w:style>
  <w:style w:type="paragraph" w:styleId="4">
    <w:name w:val="heading 3"/>
    <w:basedOn w:val="1"/>
    <w:next w:val="1"/>
    <w:qFormat/>
    <w:uiPriority w:val="99"/>
    <w:pPr>
      <w:keepNext/>
      <w:keepLines/>
      <w:numPr>
        <w:ilvl w:val="2"/>
        <w:numId w:val="1"/>
      </w:numPr>
      <w:spacing w:before="160" w:after="160"/>
      <w:jc w:val="left"/>
      <w:outlineLvl w:val="2"/>
    </w:pPr>
    <w:rPr>
      <w:rFonts w:ascii="宋体" w:hAnsi="宋体"/>
      <w:b/>
      <w:bCs/>
      <w:sz w:val="32"/>
      <w:szCs w:val="30"/>
    </w:rPr>
  </w:style>
  <w:style w:type="paragraph" w:styleId="5">
    <w:name w:val="heading 4"/>
    <w:basedOn w:val="1"/>
    <w:next w:val="1"/>
    <w:qFormat/>
    <w:uiPriority w:val="99"/>
    <w:pPr>
      <w:keepNext/>
      <w:keepLines/>
      <w:numPr>
        <w:ilvl w:val="3"/>
        <w:numId w:val="1"/>
      </w:numPr>
      <w:tabs>
        <w:tab w:val="left" w:pos="420"/>
      </w:tabs>
      <w:spacing w:before="200" w:after="200"/>
      <w:outlineLvl w:val="3"/>
    </w:pPr>
    <w:rPr>
      <w:rFonts w:ascii="宋体" w:hAnsi="宋体"/>
      <w:b/>
      <w:bCs/>
      <w:szCs w:val="28"/>
    </w:rPr>
  </w:style>
  <w:style w:type="paragraph" w:styleId="6">
    <w:name w:val="heading 5"/>
    <w:basedOn w:val="5"/>
    <w:next w:val="1"/>
    <w:qFormat/>
    <w:uiPriority w:val="99"/>
    <w:pPr>
      <w:numPr>
        <w:ilvl w:val="4"/>
      </w:numPr>
      <w:tabs>
        <w:tab w:val="left" w:pos="1008"/>
        <w:tab w:val="left" w:pos="1674"/>
        <w:tab w:val="left" w:pos="2649"/>
        <w:tab w:val="clear" w:pos="420"/>
      </w:tabs>
      <w:suppressAutoHyphens/>
      <w:spacing w:before="280" w:after="290" w:line="372" w:lineRule="auto"/>
      <w:outlineLvl w:val="4"/>
    </w:pPr>
    <w:rPr>
      <w:kern w:val="21"/>
      <w:lang w:eastAsia="ar-SA"/>
    </w:rPr>
  </w:style>
  <w:style w:type="paragraph" w:styleId="7">
    <w:name w:val="heading 6"/>
    <w:basedOn w:val="6"/>
    <w:next w:val="1"/>
    <w:qFormat/>
    <w:uiPriority w:val="99"/>
    <w:pPr>
      <w:numPr>
        <w:ilvl w:val="5"/>
      </w:numPr>
      <w:tabs>
        <w:tab w:val="left" w:pos="1152"/>
        <w:tab w:val="clear" w:pos="1008"/>
        <w:tab w:val="clear" w:pos="2649"/>
      </w:tabs>
      <w:spacing w:before="240" w:after="64" w:line="317" w:lineRule="auto"/>
      <w:outlineLvl w:val="5"/>
    </w:pPr>
    <w:rPr>
      <w:rFonts w:ascii="Arial" w:hAnsi="Arial"/>
      <w:sz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Char"/>
    <w:link w:val="2"/>
    <w:qFormat/>
    <w:uiPriority w:val="0"/>
    <w:rPr>
      <w:rFonts w:ascii="Calibri" w:hAnsi="Calibri" w:eastAsia="宋体" w:cs="Times New Roman"/>
      <w:b/>
      <w:bCs/>
      <w:kern w:val="44"/>
      <w:sz w:val="35"/>
      <w:szCs w:val="44"/>
    </w:rPr>
  </w:style>
  <w:style w:type="paragraph" w:styleId="13">
    <w:name w:val="List Paragraph"/>
    <w:basedOn w:val="1"/>
    <w:qFormat/>
    <w:uiPriority w:val="34"/>
    <w:pPr>
      <w:ind w:firstLine="420" w:firstLineChars="200"/>
    </w:pPr>
  </w:style>
  <w:style w:type="paragraph" w:customStyle="1" w:styleId="14">
    <w:name w:val="表格"/>
    <w:basedOn w:val="1"/>
    <w:qFormat/>
    <w:uiPriority w:val="0"/>
    <w:rPr>
      <w:sz w:val="21"/>
      <w:szCs w:val="21"/>
    </w:rPr>
  </w:style>
  <w:style w:type="paragraph" w:customStyle="1" w:styleId="15">
    <w:name w:val="表"/>
    <w:basedOn w:val="1"/>
    <w:qFormat/>
    <w:uiPriority w:val="0"/>
    <w:pPr>
      <w:adjustRightInd w:val="0"/>
      <w:snapToGrid w:val="0"/>
      <w:spacing w:line="312" w:lineRule="auto"/>
    </w:pPr>
    <w:rPr>
      <w:rFonts w:ascii="Calibri" w:hAnsi="Calibri" w:cs="宋体"/>
      <w:kern w:val="0"/>
      <w:sz w:val="21"/>
      <w:szCs w:val="22"/>
    </w:rPr>
  </w:style>
  <w:style w:type="paragraph" w:customStyle="1" w:styleId="16">
    <w:name w:val="列表段落1"/>
    <w:basedOn w:val="1"/>
    <w:qFormat/>
    <w:uiPriority w:val="0"/>
    <w:pPr>
      <w:ind w:firstLine="420" w:firstLineChars="200"/>
    </w:pPr>
    <w:rPr>
      <w:rFonts w:ascii="Calibri" w:hAnsi="Calibri"/>
      <w:sz w:val="21"/>
      <w:szCs w:val="21"/>
    </w:rPr>
  </w:style>
  <w:style w:type="paragraph" w:customStyle="1" w:styleId="17">
    <w:name w:val="wei正文序号"/>
    <w:basedOn w:val="1"/>
    <w:qFormat/>
    <w:uiPriority w:val="0"/>
    <w:pPr>
      <w:adjustRightInd w:val="0"/>
      <w:snapToGrid w:val="0"/>
      <w:spacing w:beforeLines="50" w:afterLines="50" w:line="360" w:lineRule="auto"/>
      <w:ind w:left="420" w:hanging="420"/>
      <w:jc w:val="left"/>
    </w:pPr>
    <w:rPr>
      <w:sz w:val="24"/>
      <w:szCs w:val="24"/>
    </w:rPr>
  </w:style>
  <w:style w:type="character" w:customStyle="1" w:styleId="18">
    <w:name w:val="15"/>
    <w:basedOn w:val="11"/>
    <w:qFormat/>
    <w:uiPriority w:val="0"/>
    <w:rPr>
      <w:rFonts w:hint="eastAsia" w:ascii="宋体" w:hAnsi="宋体" w:eastAsia="宋体"/>
      <w:color w:val="000000"/>
      <w:sz w:val="20"/>
      <w:szCs w:val="20"/>
    </w:rPr>
  </w:style>
  <w:style w:type="paragraph" w:customStyle="1" w:styleId="19">
    <w:name w:val="List Paragraph1"/>
    <w:basedOn w:val="1"/>
    <w:qFormat/>
    <w:uiPriority w:val="0"/>
    <w:pPr>
      <w:spacing w:line="360" w:lineRule="auto"/>
      <w:ind w:firstLine="420" w:firstLineChars="200"/>
    </w:pPr>
    <w:rPr>
      <w:rFonts w:ascii="等线" w:hAnsi="等线" w:eastAsia="等线"/>
      <w:sz w:val="21"/>
      <w:szCs w:val="21"/>
    </w:rPr>
  </w:style>
  <w:style w:type="paragraph" w:customStyle="1" w:styleId="20">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NTKO</cp:lastModifiedBy>
  <dcterms:modified xsi:type="dcterms:W3CDTF">2020-06-11T03:37:01Z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