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line="360" w:lineRule="auto"/>
        <w:ind w:right="356" w:rightChars="127"/>
        <w:jc w:val="center"/>
        <w:rPr>
          <w:rFonts w:hint="eastAsia" w:ascii="宋体" w:hAnsi="宋体" w:eastAsia="宋体"/>
          <w:color w:val="000000"/>
          <w:szCs w:val="28"/>
          <w:lang w:eastAsia="zh-CN"/>
        </w:rPr>
      </w:pPr>
      <w:r>
        <w:rPr>
          <w:rFonts w:hint="eastAsia" w:ascii="宋体" w:hAnsi="宋体"/>
          <w:b/>
          <w:color w:val="000000"/>
          <w:szCs w:val="28"/>
          <w:lang w:eastAsia="zh-CN"/>
        </w:rPr>
        <w:t>最低评标价法</w:t>
      </w:r>
    </w:p>
    <w:p>
      <w:pPr>
        <w:tabs>
          <w:tab w:val="left" w:pos="315"/>
          <w:tab w:val="left" w:pos="8820"/>
        </w:tabs>
        <w:spacing w:line="360" w:lineRule="auto"/>
        <w:ind w:right="356" w:rightChars="127"/>
        <w:rPr>
          <w:rFonts w:ascii="宋体" w:hAnsi="宋体"/>
          <w:color w:val="000000"/>
          <w:szCs w:val="28"/>
        </w:rPr>
      </w:pPr>
    </w:p>
    <w:p>
      <w:pPr>
        <w:pStyle w:val="32"/>
        <w:spacing w:line="360" w:lineRule="auto"/>
        <w:ind w:firstLine="562" w:firstLineChars="2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中共准格尔旗委员会办公室采购文印设备及公文一体化集中印务系统项目</w:t>
      </w:r>
    </w:p>
    <w:p>
      <w:pPr>
        <w:widowControl/>
        <w:wordWrap w:val="0"/>
        <w:ind w:firstLine="562" w:firstLineChars="200"/>
        <w:rPr>
          <w:rFonts w:hint="eastAsia" w:ascii="宋体" w:hAnsi="宋体" w:eastAsia="宋体"/>
          <w:b/>
          <w:color w:val="000000"/>
          <w:szCs w:val="28"/>
          <w:lang w:eastAsia="zh-CN"/>
        </w:rPr>
      </w:pPr>
      <w:r>
        <w:rPr>
          <w:rFonts w:hint="eastAsia" w:ascii="宋体" w:hAnsi="宋体"/>
          <w:b/>
          <w:color w:val="000000"/>
          <w:szCs w:val="28"/>
        </w:rPr>
        <w:t>项目编号：</w:t>
      </w:r>
      <w:r>
        <w:rPr>
          <w:rFonts w:hint="eastAsia" w:ascii="宋体" w:hAnsi="宋体"/>
          <w:b/>
          <w:color w:val="000000"/>
          <w:szCs w:val="28"/>
          <w:lang w:eastAsia="zh-CN"/>
        </w:rPr>
        <w:t>CG2019HGK932</w:t>
      </w:r>
    </w:p>
    <w:p>
      <w:pPr>
        <w:pStyle w:val="32"/>
        <w:spacing w:line="360" w:lineRule="auto"/>
        <w:rPr>
          <w:rFonts w:ascii="宋体" w:hAnsi="宋体" w:eastAsia="宋体"/>
          <w:color w:val="000000"/>
          <w:szCs w:val="28"/>
        </w:rPr>
      </w:pPr>
    </w:p>
    <w:p>
      <w:pPr>
        <w:pStyle w:val="32"/>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2019年</w:t>
      </w:r>
      <w:r>
        <w:rPr>
          <w:rFonts w:hint="eastAsia" w:ascii="宋体" w:hAnsi="宋体"/>
          <w:color w:val="000000"/>
          <w:szCs w:val="28"/>
          <w:lang w:val="en-US" w:eastAsia="zh-CN"/>
        </w:rPr>
        <w:t>7</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2"/>
        <w:spacing w:before="0" w:line="360" w:lineRule="auto"/>
        <w:jc w:val="center"/>
        <w:rPr>
          <w:rFonts w:ascii="宋体" w:hAnsi="宋体"/>
          <w:color w:val="000000"/>
          <w:lang w:val="zh-CN"/>
        </w:rPr>
      </w:pPr>
      <w:r>
        <w:rPr>
          <w:rFonts w:hint="eastAsia" w:ascii="宋体" w:hAnsi="宋体"/>
          <w:color w:val="000000"/>
          <w:lang w:val="zh-CN"/>
        </w:rPr>
        <w:t>目   录</w:t>
      </w:r>
    </w:p>
    <w:p>
      <w:pPr>
        <w:pStyle w:val="11"/>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2"/>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2"/>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2"/>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2"/>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2"/>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2"/>
          <w:rFonts w:hint="eastAsia" w:ascii="宋体" w:hAnsi="宋体"/>
          <w:kern w:val="44"/>
        </w:rPr>
        <w:t>第六章评标办法（</w:t>
      </w:r>
      <w:r>
        <w:rPr>
          <w:rStyle w:val="22"/>
          <w:rFonts w:hint="eastAsia" w:ascii="宋体" w:hAnsi="宋体"/>
          <w:kern w:val="44"/>
          <w:lang w:eastAsia="zh-CN"/>
        </w:rPr>
        <w:t>最低评标价法</w:t>
      </w:r>
      <w:r>
        <w:rPr>
          <w:rStyle w:val="22"/>
          <w:rFonts w:hint="eastAsia" w:ascii="宋体" w:hAnsi="宋体"/>
          <w:kern w:val="44"/>
        </w:rPr>
        <w:t>）</w:t>
      </w:r>
      <w:r>
        <w:tab/>
      </w:r>
      <w:r>
        <w:fldChar w:fldCharType="begin"/>
      </w:r>
      <w:r>
        <w:instrText xml:space="preserve"> PAGEREF _Toc497408662 \h </w:instrText>
      </w:r>
      <w:r>
        <w:fldChar w:fldCharType="separate"/>
      </w:r>
      <w:r>
        <w:t>23</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2"/>
          <w:rFonts w:hint="eastAsia" w:ascii="宋体" w:hAnsi="宋体"/>
        </w:rPr>
        <w:t>第七章投标文件格式与要求</w:t>
      </w:r>
      <w:r>
        <w:tab/>
      </w:r>
      <w:r>
        <w:fldChar w:fldCharType="begin"/>
      </w:r>
      <w:r>
        <w:instrText xml:space="preserve"> PAGEREF _Toc497408663 \h </w:instrText>
      </w:r>
      <w:r>
        <w:fldChar w:fldCharType="separate"/>
      </w:r>
      <w:r>
        <w:t>28</w:t>
      </w:r>
      <w:r>
        <w:fldChar w:fldCharType="end"/>
      </w:r>
      <w:r>
        <w:fldChar w:fldCharType="end"/>
      </w:r>
    </w:p>
    <w:p>
      <w:pPr>
        <w:pStyle w:val="11"/>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2"/>
          <w:rFonts w:hint="eastAsia" w:ascii="宋体" w:hAnsi="宋体"/>
        </w:rPr>
        <w:t>温馨提示</w:t>
      </w:r>
      <w:r>
        <w:tab/>
      </w:r>
      <w:r>
        <w:fldChar w:fldCharType="begin"/>
      </w:r>
      <w:r>
        <w:instrText xml:space="preserve"> PAGEREF _Toc497408664 \h </w:instrText>
      </w:r>
      <w:r>
        <w:fldChar w:fldCharType="separate"/>
      </w:r>
      <w:r>
        <w:t>54</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lang w:eastAsia="zh-CN"/>
        </w:rPr>
        <w:t>中共准格尔旗委员会办公室</w:t>
      </w:r>
      <w:r>
        <w:rPr>
          <w:rFonts w:hint="eastAsia" w:ascii="宋体" w:hAnsi="宋体"/>
          <w:b/>
          <w:sz w:val="24"/>
          <w:szCs w:val="24"/>
        </w:rPr>
        <w:t>采购</w:t>
      </w:r>
      <w:r>
        <w:rPr>
          <w:rFonts w:hint="eastAsia" w:ascii="宋体" w:hAnsi="宋体"/>
          <w:b/>
          <w:sz w:val="24"/>
          <w:szCs w:val="24"/>
          <w:lang w:eastAsia="zh-CN"/>
        </w:rPr>
        <w:t>文印设备及公文一体化集中印务系统</w:t>
      </w:r>
      <w:r>
        <w:rPr>
          <w:rFonts w:hint="eastAsia" w:ascii="宋体" w:hAnsi="宋体"/>
          <w:b/>
          <w:sz w:val="24"/>
          <w:szCs w:val="24"/>
        </w:rPr>
        <w:t>项目公开招标公告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w:t>
      </w:r>
      <w:r>
        <w:rPr>
          <w:rFonts w:hint="eastAsia" w:ascii="宋体" w:hAnsi="宋体"/>
          <w:sz w:val="24"/>
          <w:szCs w:val="24"/>
          <w:lang w:eastAsia="zh-CN"/>
        </w:rPr>
        <w:t>中共准格尔旗委员会办公室</w:t>
      </w:r>
      <w:r>
        <w:rPr>
          <w:rFonts w:hint="eastAsia" w:ascii="宋体" w:hAnsi="宋体"/>
          <w:sz w:val="24"/>
          <w:szCs w:val="24"/>
        </w:rPr>
        <w:t>委托，采用公开招标方式组织采购</w:t>
      </w:r>
      <w:r>
        <w:rPr>
          <w:rFonts w:hint="eastAsia" w:ascii="宋体" w:hAnsi="宋体"/>
          <w:sz w:val="24"/>
          <w:szCs w:val="24"/>
          <w:lang w:eastAsia="zh-CN"/>
        </w:rPr>
        <w:t>文印设备及公文一体化集中印务系统</w:t>
      </w:r>
      <w:r>
        <w:rPr>
          <w:rFonts w:hint="eastAsia" w:ascii="宋体" w:hAnsi="宋体"/>
          <w:sz w:val="24"/>
          <w:szCs w:val="24"/>
        </w:rPr>
        <w:t>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1"/>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left="476" w:leftChars="170" w:firstLine="0" w:firstLineChars="0"/>
        <w:jc w:val="left"/>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sz w:val="24"/>
          <w:szCs w:val="24"/>
          <w:lang w:eastAsia="zh-CN"/>
        </w:rPr>
        <w:t>中共准格尔旗委员会办公室采购文印设备及公文一体化集中印务系统项目</w:t>
      </w:r>
      <w:r>
        <w:rPr>
          <w:rFonts w:hint="eastAsia" w:ascii="宋体" w:hAnsi="宋体"/>
          <w:sz w:val="24"/>
          <w:szCs w:val="24"/>
        </w:rPr>
        <w:t>采购文件编号：</w:t>
      </w:r>
      <w:r>
        <w:rPr>
          <w:rFonts w:hint="eastAsia" w:ascii="宋体" w:hAnsi="宋体"/>
          <w:sz w:val="24"/>
          <w:szCs w:val="24"/>
          <w:lang w:eastAsia="zh-CN"/>
        </w:rPr>
        <w:t>CG2019HGK932</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6"/>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文印设备及公文一体化集中印务系统</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97</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 xml:space="preserve">符合上述条件的投标人可于2019年 </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25</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w:t>
      </w:r>
      <w:r>
        <w:rPr>
          <w:rFonts w:hint="eastAsia" w:ascii="宋体" w:hAnsi="宋体"/>
          <w:sz w:val="24"/>
          <w:szCs w:val="24"/>
          <w:lang w:val="en-US" w:eastAsia="zh-CN"/>
        </w:rPr>
        <w:t>网</w:t>
      </w:r>
      <w:r>
        <w:rPr>
          <w:rFonts w:hint="eastAsia" w:ascii="宋体" w:hAnsi="宋体"/>
          <w:sz w:val="24"/>
          <w:szCs w:val="24"/>
        </w:rPr>
        <w:t>（http://www.ordosggzyjy.org.cn/TPFront_zgeq）登陆网站页面，点击“政府采购”中的“信息公告”栏，查询采购信息，点击信息公告页面左下角“附件”即可浏览、下载招标文件。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中共准格尔旗委员会办公室</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 系 人：</w:t>
      </w:r>
      <w:r>
        <w:rPr>
          <w:rFonts w:hint="eastAsia" w:ascii="宋体" w:hAnsi="宋体"/>
          <w:sz w:val="24"/>
          <w:szCs w:val="24"/>
          <w:lang w:val="en-US" w:eastAsia="zh-CN"/>
        </w:rPr>
        <w:t>郝培华</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13514774300</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25</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lang w:eastAsia="zh-CN"/>
              </w:rPr>
              <w:t>中共准格尔旗委员会办公室</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lang w:val="en-US" w:eastAsia="zh-CN"/>
              </w:rPr>
              <w:t>郝培华</w:t>
            </w:r>
            <w:r>
              <w:rPr>
                <w:rFonts w:hint="eastAsia" w:ascii="宋体" w:hAnsi="宋体"/>
                <w:color w:val="000000"/>
                <w:sz w:val="24"/>
                <w:szCs w:val="24"/>
              </w:rPr>
              <w:t xml:space="preserve">              联系电话：</w:t>
            </w:r>
            <w:r>
              <w:rPr>
                <w:rFonts w:hint="eastAsia" w:ascii="宋体" w:hAnsi="宋体"/>
                <w:sz w:val="24"/>
                <w:szCs w:val="24"/>
                <w:lang w:val="en-US" w:eastAsia="zh-CN"/>
              </w:rPr>
              <w:t>13514774300</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97</w:t>
            </w:r>
            <w:r>
              <w:rPr>
                <w:rFonts w:hint="eastAsia" w:ascii="宋体" w:hAnsi="宋体"/>
                <w:sz w:val="24"/>
                <w:szCs w:val="24"/>
                <w:u w:val="single"/>
              </w:rPr>
              <w:t>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15</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15</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壹万元整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hint="eastAsia" w:ascii="宋体" w:hAnsi="宋体" w:cs="宋体"/>
          <w:kern w:val="0"/>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本招标项目采用“虚拟子账号”形式收退投标保证金，每一个投标人在所投的每一项目或标包会自动生成一个账号，称为“虚拟子账号”。投标人在进行投标信息确认后，应查看“保证金缴纳信息”下方所载明的账</w:t>
      </w:r>
      <w:r>
        <w:rPr>
          <w:rFonts w:hint="eastAsia" w:ascii="宋体" w:hAnsi="宋体"/>
          <w:sz w:val="24"/>
          <w:szCs w:val="24"/>
        </w:rPr>
        <w:t>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25</w:t>
      </w:r>
      <w:r>
        <w:rPr>
          <w:rFonts w:hint="eastAsia" w:ascii="宋体" w:hAnsi="宋体" w:cs="宋体"/>
          <w:kern w:val="0"/>
          <w:sz w:val="24"/>
          <w:szCs w:val="24"/>
        </w:rPr>
        <w:t>日至2019年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1</w:t>
      </w:r>
      <w:r>
        <w:rPr>
          <w:rFonts w:hint="eastAsia" w:ascii="宋体" w:hAnsi="宋体" w:cs="宋体"/>
          <w:kern w:val="0"/>
          <w:sz w:val="24"/>
          <w:szCs w:val="24"/>
        </w:rPr>
        <w:t>日 17时整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15</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2"/>
          <w:rFonts w:hint="eastAsia" w:ascii="宋体" w:hAnsi="宋体" w:cs="宋体"/>
          <w:b/>
          <w:bCs/>
          <w:kern w:val="0"/>
          <w:sz w:val="24"/>
          <w:szCs w:val="24"/>
        </w:rPr>
        <w:t>54493864</w:t>
      </w:r>
      <w:r>
        <w:rPr>
          <w:rStyle w:val="22"/>
          <w:rFonts w:ascii="宋体" w:hAnsi="宋体" w:cs="宋体"/>
          <w:b/>
          <w:bCs/>
          <w:kern w:val="0"/>
          <w:sz w:val="24"/>
          <w:szCs w:val="24"/>
        </w:rPr>
        <w:t>@</w:t>
      </w:r>
      <w:r>
        <w:rPr>
          <w:rStyle w:val="22"/>
          <w:rFonts w:hint="eastAsia" w:ascii="宋体" w:hAnsi="宋体" w:cs="宋体"/>
          <w:b/>
          <w:bCs/>
          <w:kern w:val="0"/>
          <w:sz w:val="24"/>
          <w:szCs w:val="24"/>
        </w:rPr>
        <w:t>qq</w:t>
      </w:r>
      <w:r>
        <w:rPr>
          <w:rStyle w:val="22"/>
          <w:rFonts w:ascii="宋体" w:hAnsi="宋体" w:cs="宋体"/>
          <w:b/>
          <w:bCs/>
          <w:kern w:val="0"/>
          <w:sz w:val="24"/>
          <w:szCs w:val="24"/>
        </w:rPr>
        <w:t>.com</w:t>
      </w:r>
      <w:r>
        <w:rPr>
          <w:rStyle w:val="22"/>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6"/>
        <w:adjustRightInd w:val="0"/>
        <w:snapToGrid w:val="0"/>
        <w:spacing w:line="360" w:lineRule="auto"/>
        <w:rPr>
          <w:rFonts w:hAnsi="宋体"/>
          <w:b/>
          <w:sz w:val="24"/>
          <w:szCs w:val="24"/>
        </w:rPr>
      </w:pPr>
      <w:r>
        <w:rPr>
          <w:rFonts w:hint="eastAsia" w:hAnsi="宋体"/>
          <w:b/>
          <w:sz w:val="24"/>
          <w:szCs w:val="24"/>
        </w:rPr>
        <w:t>2.适用范围</w:t>
      </w:r>
    </w:p>
    <w:p>
      <w:pPr>
        <w:pStyle w:val="36"/>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6"/>
        <w:adjustRightInd w:val="0"/>
        <w:snapToGrid w:val="0"/>
        <w:spacing w:line="360" w:lineRule="auto"/>
        <w:rPr>
          <w:rFonts w:hAnsi="宋体"/>
          <w:b/>
          <w:sz w:val="24"/>
          <w:szCs w:val="24"/>
        </w:rPr>
      </w:pPr>
      <w:r>
        <w:rPr>
          <w:rFonts w:hint="eastAsia" w:hAnsi="宋体"/>
          <w:b/>
          <w:sz w:val="24"/>
          <w:szCs w:val="24"/>
        </w:rPr>
        <w:t>3.投标费用</w:t>
      </w:r>
    </w:p>
    <w:p>
      <w:pPr>
        <w:pStyle w:val="36"/>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中共准格尔旗委员会办公室</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4</w:t>
      </w:r>
      <w:r>
        <w:rPr>
          <w:rFonts w:hint="eastAsia" w:ascii="宋体" w:hAnsi="宋体"/>
          <w:sz w:val="24"/>
          <w:szCs w:val="24"/>
        </w:rPr>
        <w:t>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5</w:t>
      </w:r>
      <w:r>
        <w:rPr>
          <w:rFonts w:hint="eastAsia" w:ascii="宋体" w:hAnsi="宋体"/>
          <w:sz w:val="24"/>
          <w:szCs w:val="24"/>
        </w:rPr>
        <w:t>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val="en-US" w:eastAsia="zh-CN"/>
        </w:rPr>
        <w:t>和准格尔旗公共资源交易网</w:t>
      </w:r>
      <w:r>
        <w:rPr>
          <w:rFonts w:hint="eastAsia" w:ascii="宋体" w:hAnsi="宋体"/>
          <w:sz w:val="24"/>
          <w:szCs w:val="24"/>
        </w:rPr>
        <w:t>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rPr>
          <w:rFonts w:hint="eastAsia" w:ascii="宋体" w:hAnsi="宋体" w:cs="Times New Roman"/>
          <w:sz w:val="24"/>
          <w:szCs w:val="24"/>
        </w:rPr>
        <w:fldChar w:fldCharType="begin"/>
      </w:r>
      <w:r>
        <w:rPr>
          <w:rFonts w:hint="eastAsia" w:ascii="宋体" w:hAnsi="宋体" w:cs="Times New Roman"/>
          <w:sz w:val="24"/>
          <w:szCs w:val="24"/>
        </w:rPr>
        <w:instrText xml:space="preserve"> HYPERLINK "mailto:youj_0722@163.com" </w:instrText>
      </w:r>
      <w:r>
        <w:rPr>
          <w:rFonts w:hint="eastAsia" w:ascii="宋体" w:hAnsi="宋体" w:cs="Times New Roman"/>
          <w:sz w:val="24"/>
          <w:szCs w:val="24"/>
        </w:rPr>
        <w:fldChar w:fldCharType="separate"/>
      </w:r>
      <w:r>
        <w:rPr>
          <w:rFonts w:hint="eastAsia" w:ascii="宋体" w:hAnsi="宋体" w:cs="Times New Roman"/>
          <w:sz w:val="24"/>
          <w:szCs w:val="24"/>
        </w:rPr>
        <w:t>54493864@qq.com</w:t>
      </w:r>
      <w:r>
        <w:rPr>
          <w:rFonts w:hint="eastAsia" w:ascii="宋体" w:hAnsi="宋体" w:cs="Times New Roman"/>
          <w:sz w:val="24"/>
          <w:szCs w:val="24"/>
        </w:rPr>
        <w:fldChar w:fldCharType="end"/>
      </w:r>
      <w:r>
        <w:rPr>
          <w:rFonts w:hint="eastAsia" w:ascii="宋体" w:hAnsi="宋体" w:cs="Times New Roman"/>
          <w:sz w:val="24"/>
          <w:szCs w:val="24"/>
        </w:rPr>
        <w:t>，</w:t>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w:t>
      </w:r>
      <w:r>
        <w:rPr>
          <w:rFonts w:hint="eastAsia" w:ascii="宋体" w:hAnsi="宋体" w:cs="宋体"/>
          <w:kern w:val="0"/>
          <w:sz w:val="24"/>
          <w:szCs w:val="24"/>
          <w:lang w:val="en-US" w:eastAsia="zh-CN"/>
        </w:rPr>
        <w:t>7</w:t>
      </w:r>
      <w:r>
        <w:rPr>
          <w:rFonts w:hint="eastAsia" w:ascii="宋体" w:hAnsi="宋体" w:cs="宋体"/>
          <w:kern w:val="0"/>
          <w:sz w:val="24"/>
          <w:szCs w:val="24"/>
        </w:rPr>
        <w:t>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w:t>
      </w:r>
      <w:r>
        <w:rPr>
          <w:rFonts w:hint="eastAsia" w:ascii="宋体" w:hAnsi="宋体" w:cs="宋体"/>
          <w:kern w:val="0"/>
          <w:sz w:val="24"/>
          <w:szCs w:val="24"/>
          <w:lang w:val="en-US" w:eastAsia="zh-CN"/>
        </w:rPr>
        <w:t>7</w:t>
      </w:r>
      <w:r>
        <w:rPr>
          <w:rFonts w:hint="eastAsia" w:ascii="宋体" w:hAnsi="宋体" w:cs="宋体"/>
          <w:kern w:val="0"/>
          <w:sz w:val="24"/>
          <w:szCs w:val="24"/>
        </w:rPr>
        <w:t>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4"/>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4"/>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5"/>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5"/>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2" w:firstLineChars="200"/>
        <w:rPr>
          <w:rFonts w:ascii="宋体" w:hAnsi="宋体"/>
          <w:b/>
          <w:bCs/>
          <w:sz w:val="24"/>
          <w:szCs w:val="24"/>
        </w:rPr>
      </w:pPr>
      <w:r>
        <w:rPr>
          <w:rFonts w:hint="eastAsia" w:ascii="宋体" w:hAnsi="宋体"/>
          <w:b/>
          <w:bCs/>
          <w:sz w:val="24"/>
          <w:szCs w:val="24"/>
        </w:rPr>
        <w:t>自合同签订之日起2个工作日内，中标人应将政府采购合同送达至鄂尔多斯市准格尔旗公共资源交易中心305室（联系电话：0477-3864232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w:t>
      </w:r>
      <w:r>
        <w:rPr>
          <w:rFonts w:hint="eastAsia" w:ascii="宋体" w:hAnsi="宋体"/>
          <w:b/>
          <w:bCs/>
          <w:sz w:val="24"/>
          <w:szCs w:val="24"/>
        </w:rPr>
        <w:t>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outlineLvl w:val="0"/>
        <w:rPr>
          <w:rFonts w:hAnsi="宋体"/>
          <w:b/>
          <w:sz w:val="24"/>
          <w:szCs w:val="24"/>
        </w:rPr>
      </w:pPr>
      <w:r>
        <w:rPr>
          <w:rFonts w:hint="eastAsia" w:ascii="宋体" w:hAnsi="宋体"/>
          <w:b/>
          <w:kern w:val="44"/>
          <w:sz w:val="24"/>
          <w:szCs w:val="24"/>
          <w:lang w:val="zh-CN"/>
        </w:rPr>
        <w:t>一.主要商务要求</w:t>
      </w:r>
    </w:p>
    <w:tbl>
      <w:tblPr>
        <w:tblStyle w:val="16"/>
        <w:tblW w:w="8897" w:type="dxa"/>
        <w:jc w:val="center"/>
        <w:tblInd w:w="0" w:type="dxa"/>
        <w:tblLayout w:type="fixed"/>
        <w:tblCellMar>
          <w:top w:w="0" w:type="dxa"/>
          <w:left w:w="10" w:type="dxa"/>
          <w:bottom w:w="0" w:type="dxa"/>
          <w:right w:w="10" w:type="dxa"/>
        </w:tblCellMar>
      </w:tblPr>
      <w:tblGrid>
        <w:gridCol w:w="2365"/>
        <w:gridCol w:w="6532"/>
      </w:tblGrid>
      <w:tr>
        <w:tblPrEx>
          <w:tblLayout w:type="fixed"/>
          <w:tblCellMar>
            <w:top w:w="0" w:type="dxa"/>
            <w:left w:w="10" w:type="dxa"/>
            <w:bottom w:w="0" w:type="dxa"/>
            <w:right w:w="10" w:type="dxa"/>
          </w:tblCellMar>
        </w:tblPrEx>
        <w:trPr>
          <w:trHeight w:val="0" w:hRule="atLeast"/>
          <w:jc w:val="center"/>
        </w:trPr>
        <w:tc>
          <w:tcPr>
            <w:tcW w:w="2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 xml:space="preserve">   主要商务条款</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具体要求</w:t>
            </w:r>
          </w:p>
        </w:tc>
      </w:tr>
      <w:tr>
        <w:tblPrEx>
          <w:tblLayout w:type="fixed"/>
          <w:tblCellMar>
            <w:top w:w="0" w:type="dxa"/>
            <w:left w:w="10" w:type="dxa"/>
            <w:bottom w:w="0" w:type="dxa"/>
            <w:right w:w="10" w:type="dxa"/>
          </w:tblCellMar>
        </w:tblPrEx>
        <w:trPr>
          <w:trHeight w:val="0" w:hRule="atLeast"/>
          <w:jc w:val="center"/>
        </w:trPr>
        <w:tc>
          <w:tcPr>
            <w:tcW w:w="2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 xml:space="preserve">  采购预算/最高限价</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leftChars="0" w:right="0" w:firstLine="0" w:firstLineChars="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970000</w:t>
            </w:r>
            <w:r>
              <w:rPr>
                <w:rFonts w:hint="eastAsia" w:asciiTheme="minorEastAsia" w:hAnsiTheme="minorEastAsia" w:eastAsiaTheme="minorEastAsia" w:cstheme="minorEastAsia"/>
                <w:color w:val="auto"/>
                <w:spacing w:val="0"/>
                <w:position w:val="0"/>
                <w:sz w:val="24"/>
                <w:szCs w:val="24"/>
                <w:shd w:val="clear" w:fill="auto"/>
                <w:lang w:val="en-US" w:eastAsia="zh-CN"/>
              </w:rPr>
              <w:t>.00</w:t>
            </w:r>
            <w:r>
              <w:rPr>
                <w:rFonts w:hint="eastAsia" w:asciiTheme="minorEastAsia" w:hAnsiTheme="minorEastAsia" w:eastAsiaTheme="minorEastAsia" w:cstheme="minorEastAsia"/>
                <w:color w:val="auto"/>
                <w:spacing w:val="0"/>
                <w:position w:val="0"/>
                <w:sz w:val="24"/>
                <w:szCs w:val="24"/>
                <w:shd w:val="clear" w:fill="auto"/>
              </w:rPr>
              <w:t>元</w:t>
            </w:r>
          </w:p>
        </w:tc>
      </w:tr>
      <w:tr>
        <w:tblPrEx>
          <w:tblLayout w:type="fixed"/>
          <w:tblCellMar>
            <w:top w:w="0" w:type="dxa"/>
            <w:left w:w="10" w:type="dxa"/>
            <w:bottom w:w="0" w:type="dxa"/>
            <w:right w:w="10" w:type="dxa"/>
          </w:tblCellMar>
        </w:tblPrEx>
        <w:trPr>
          <w:trHeight w:val="0" w:hRule="atLeast"/>
          <w:jc w:val="center"/>
        </w:trPr>
        <w:tc>
          <w:tcPr>
            <w:tcW w:w="2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交付使用时间</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 xml:space="preserve">签订合同后10日内。 </w:t>
            </w:r>
          </w:p>
        </w:tc>
      </w:tr>
      <w:tr>
        <w:tblPrEx>
          <w:tblLayout w:type="fixed"/>
          <w:tblCellMar>
            <w:top w:w="0" w:type="dxa"/>
            <w:left w:w="10" w:type="dxa"/>
            <w:bottom w:w="0" w:type="dxa"/>
            <w:right w:w="10" w:type="dxa"/>
          </w:tblCellMar>
        </w:tblPrEx>
        <w:trPr>
          <w:trHeight w:val="0" w:hRule="atLeast"/>
          <w:jc w:val="center"/>
        </w:trPr>
        <w:tc>
          <w:tcPr>
            <w:tcW w:w="2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交付使用地点</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采购人指定地点。</w:t>
            </w:r>
          </w:p>
        </w:tc>
      </w:tr>
      <w:tr>
        <w:tblPrEx>
          <w:tblLayout w:type="fixed"/>
          <w:tblCellMar>
            <w:top w:w="0" w:type="dxa"/>
            <w:left w:w="10" w:type="dxa"/>
            <w:bottom w:w="0" w:type="dxa"/>
            <w:right w:w="10" w:type="dxa"/>
          </w:tblCellMar>
        </w:tblPrEx>
        <w:trPr>
          <w:trHeight w:val="0" w:hRule="atLeast"/>
          <w:jc w:val="center"/>
        </w:trPr>
        <w:tc>
          <w:tcPr>
            <w:tcW w:w="2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投标有效期</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从提交投标文件的截止之日起</w:t>
            </w:r>
            <w:r>
              <w:rPr>
                <w:rFonts w:hint="eastAsia" w:asciiTheme="minorEastAsia" w:hAnsiTheme="minorEastAsia" w:eastAsiaTheme="minorEastAsia" w:cstheme="minorEastAsia"/>
                <w:color w:val="auto"/>
                <w:spacing w:val="0"/>
                <w:position w:val="0"/>
                <w:sz w:val="24"/>
                <w:szCs w:val="24"/>
                <w:u w:val="single"/>
                <w:shd w:val="clear" w:fill="auto"/>
              </w:rPr>
              <w:t xml:space="preserve">  90 </w:t>
            </w:r>
            <w:r>
              <w:rPr>
                <w:rFonts w:hint="eastAsia" w:asciiTheme="minorEastAsia" w:hAnsiTheme="minorEastAsia" w:eastAsiaTheme="minorEastAsia" w:cstheme="minorEastAsia"/>
                <w:color w:val="auto"/>
                <w:spacing w:val="0"/>
                <w:position w:val="0"/>
                <w:sz w:val="24"/>
                <w:szCs w:val="24"/>
                <w:shd w:val="clear" w:fill="auto"/>
              </w:rPr>
              <w:t>日历天。</w:t>
            </w:r>
          </w:p>
        </w:tc>
      </w:tr>
      <w:tr>
        <w:tblPrEx>
          <w:tblLayout w:type="fixed"/>
          <w:tblCellMar>
            <w:top w:w="0" w:type="dxa"/>
            <w:left w:w="10" w:type="dxa"/>
            <w:bottom w:w="0" w:type="dxa"/>
            <w:right w:w="10" w:type="dxa"/>
          </w:tblCellMar>
        </w:tblPrEx>
        <w:trPr>
          <w:trHeight w:val="0" w:hRule="atLeast"/>
          <w:jc w:val="center"/>
        </w:trPr>
        <w:tc>
          <w:tcPr>
            <w:tcW w:w="2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质保期</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 xml:space="preserve"> 1年。</w:t>
            </w:r>
          </w:p>
        </w:tc>
      </w:tr>
      <w:tr>
        <w:tblPrEx>
          <w:tblLayout w:type="fixed"/>
          <w:tblCellMar>
            <w:top w:w="0" w:type="dxa"/>
            <w:left w:w="10" w:type="dxa"/>
            <w:bottom w:w="0" w:type="dxa"/>
            <w:right w:w="10" w:type="dxa"/>
          </w:tblCellMar>
        </w:tblPrEx>
        <w:trPr>
          <w:trHeight w:val="0" w:hRule="atLeast"/>
          <w:jc w:val="center"/>
        </w:trPr>
        <w:tc>
          <w:tcPr>
            <w:tcW w:w="23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付款方式</w:t>
            </w:r>
          </w:p>
        </w:tc>
        <w:tc>
          <w:tcPr>
            <w:tcW w:w="6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hint="eastAsia" w:asciiTheme="minorEastAsia" w:hAnsiTheme="minorEastAsia" w:eastAsiaTheme="minorEastAsia" w:cstheme="minorEastAsia"/>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货到验收合格后付合同的95%，其余的5%作为质保金</w:t>
            </w:r>
            <w:r>
              <w:rPr>
                <w:rFonts w:hint="eastAsia" w:asciiTheme="minorEastAsia" w:hAnsiTheme="minorEastAsia" w:eastAsiaTheme="minorEastAsia" w:cstheme="minorEastAsia"/>
                <w:color w:val="auto"/>
                <w:spacing w:val="0"/>
                <w:position w:val="0"/>
                <w:sz w:val="24"/>
                <w:szCs w:val="24"/>
                <w:shd w:val="clear" w:fill="auto"/>
                <w:lang w:val="en-US" w:eastAsia="zh-CN"/>
              </w:rPr>
              <w:t>质保期满7日内</w:t>
            </w:r>
            <w:r>
              <w:rPr>
                <w:rFonts w:hint="eastAsia" w:asciiTheme="minorEastAsia" w:hAnsiTheme="minorEastAsia" w:eastAsiaTheme="minorEastAsia" w:cstheme="minorEastAsia"/>
                <w:color w:val="auto"/>
                <w:spacing w:val="0"/>
                <w:position w:val="0"/>
                <w:sz w:val="24"/>
                <w:szCs w:val="24"/>
                <w:shd w:val="clear" w:fill="auto"/>
              </w:rPr>
              <w:t>付清。</w:t>
            </w:r>
          </w:p>
        </w:tc>
      </w:tr>
    </w:tbl>
    <w:p>
      <w:pPr>
        <w:spacing w:line="360" w:lineRule="auto"/>
        <w:jc w:val="left"/>
        <w:rPr>
          <w:rFonts w:hAnsi="宋体"/>
          <w:b/>
          <w:bCs/>
          <w:sz w:val="24"/>
          <w:szCs w:val="24"/>
        </w:rPr>
      </w:pPr>
      <w:r>
        <w:rPr>
          <w:rFonts w:hint="eastAsia" w:hAnsi="宋体"/>
          <w:b/>
          <w:bCs/>
          <w:sz w:val="24"/>
          <w:szCs w:val="24"/>
        </w:rPr>
        <w:t>二.技术标准与要求：</w:t>
      </w:r>
    </w:p>
    <w:p>
      <w:pPr>
        <w:spacing w:before="0" w:after="0" w:line="360" w:lineRule="auto"/>
        <w:ind w:left="0" w:right="57" w:firstLine="0"/>
        <w:jc w:val="both"/>
        <w:rPr>
          <w:rFonts w:hint="eastAsia" w:ascii="宋体" w:hAnsi="宋体"/>
          <w:sz w:val="24"/>
          <w:szCs w:val="24"/>
        </w:rPr>
      </w:pPr>
      <w:bookmarkStart w:id="6" w:name="_Toc497408661"/>
      <w:bookmarkStart w:id="7" w:name="_Toc494546014"/>
      <w:r>
        <w:rPr>
          <w:rFonts w:hint="eastAsia" w:ascii="宋体" w:hAnsi="宋体"/>
          <w:sz w:val="24"/>
          <w:szCs w:val="24"/>
        </w:rPr>
        <w:t>项目基本情况：</w:t>
      </w:r>
    </w:p>
    <w:p>
      <w:pPr>
        <w:spacing w:before="0" w:after="0" w:line="360" w:lineRule="auto"/>
        <w:ind w:left="0" w:right="57" w:firstLine="0"/>
        <w:jc w:val="both"/>
        <w:rPr>
          <w:rFonts w:ascii="宋体" w:hAnsi="宋体"/>
          <w:sz w:val="24"/>
          <w:szCs w:val="24"/>
        </w:rPr>
      </w:pPr>
      <w:r>
        <w:rPr>
          <w:rFonts w:hint="eastAsia" w:ascii="宋体" w:hAnsi="宋体"/>
          <w:sz w:val="24"/>
          <w:szCs w:val="24"/>
        </w:rPr>
        <w:t>1.支持多种场景，统</w:t>
      </w:r>
      <w:r>
        <w:rPr>
          <w:rFonts w:hint="eastAsia" w:ascii="宋体" w:hAnsi="宋体"/>
          <w:sz w:val="24"/>
          <w:szCs w:val="24"/>
          <w:lang w:val="en-US" w:eastAsia="zh-CN"/>
        </w:rPr>
        <w:t>一</w:t>
      </w:r>
      <w:r>
        <w:rPr>
          <w:rFonts w:hint="eastAsia" w:ascii="宋体" w:hAnsi="宋体"/>
          <w:sz w:val="24"/>
          <w:szCs w:val="24"/>
        </w:rPr>
        <w:t>提供了联网集中打印、文印室集中打印、单机打印等多种工作方式，能够适用于各种工作场景，操作过程简单，并且管理方便。</w:t>
      </w:r>
      <w:r>
        <w:rPr>
          <w:rFonts w:hint="eastAsia" w:ascii="宋体" w:hAnsi="宋体"/>
          <w:sz w:val="24"/>
          <w:szCs w:val="24"/>
        </w:rPr>
        <w:br w:type="textWrapping"/>
      </w:r>
      <w:r>
        <w:rPr>
          <w:rFonts w:hint="eastAsia" w:ascii="宋体" w:hAnsi="宋体"/>
          <w:sz w:val="24"/>
          <w:szCs w:val="24"/>
          <w:lang w:val="en-US" w:eastAsia="zh-CN"/>
        </w:rPr>
        <w:t>2</w:t>
      </w:r>
      <w:r>
        <w:rPr>
          <w:rFonts w:hint="eastAsia" w:ascii="宋体" w:hAnsi="宋体"/>
          <w:sz w:val="24"/>
          <w:szCs w:val="24"/>
        </w:rPr>
        <w:t>.支持文印室独立集中打印和连接办公网集中打印场景，以及单机打印；现有设备和结构无需调整；兼容现有管理机制；能够与集中管控系统无缝结合。</w:t>
      </w:r>
      <w:r>
        <w:rPr>
          <w:rFonts w:hint="eastAsia" w:ascii="宋体" w:hAnsi="宋体"/>
          <w:sz w:val="24"/>
          <w:szCs w:val="24"/>
        </w:rPr>
        <w:br w:type="textWrapping"/>
      </w:r>
      <w:r>
        <w:rPr>
          <w:rFonts w:hint="eastAsia" w:ascii="宋体" w:hAnsi="宋体" w:cs="宋体"/>
          <w:sz w:val="24"/>
          <w:szCs w:val="24"/>
        </w:rPr>
        <w:t>货物需求一览表：</w:t>
      </w:r>
    </w:p>
    <w:tbl>
      <w:tblPr>
        <w:tblStyle w:val="16"/>
        <w:tblW w:w="8522" w:type="dxa"/>
        <w:jc w:val="center"/>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Layout w:type="fixed"/>
          <w:tblCellMar>
            <w:top w:w="0" w:type="dxa"/>
            <w:left w:w="108" w:type="dxa"/>
            <w:bottom w:w="0" w:type="dxa"/>
            <w:right w:w="108" w:type="dxa"/>
          </w:tblCellMar>
        </w:tblPrEx>
        <w:trPr>
          <w:trHeight w:val="755"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技术参数和</w:t>
            </w:r>
            <w:r>
              <w:rPr>
                <w:rFonts w:hint="eastAsia" w:asciiTheme="minorEastAsia" w:hAnsiTheme="minorEastAsia" w:eastAsiaTheme="minorEastAsia" w:cstheme="minorEastAsia"/>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 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w:t>
            </w:r>
          </w:p>
        </w:tc>
      </w:tr>
      <w:tr>
        <w:tblPrEx>
          <w:tblLayout w:type="fixed"/>
          <w:tblCellMar>
            <w:top w:w="0" w:type="dxa"/>
            <w:left w:w="108" w:type="dxa"/>
            <w:bottom w:w="0" w:type="dxa"/>
            <w:right w:w="108" w:type="dxa"/>
          </w:tblCellMar>
        </w:tblPrEx>
        <w:trPr>
          <w:trHeight w:val="325" w:hRule="atLeast"/>
          <w:jc w:val="center"/>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spacing w:val="0"/>
                <w:position w:val="0"/>
                <w:sz w:val="24"/>
                <w:szCs w:val="24"/>
                <w:shd w:val="clear" w:fill="auto"/>
              </w:rPr>
              <w:t>公文一体化集中印务系统</w:t>
            </w:r>
          </w:p>
        </w:tc>
        <w:tc>
          <w:tcPr>
            <w:tcW w:w="2782" w:type="dxa"/>
            <w:tcBorders>
              <w:top w:val="nil"/>
              <w:left w:val="single" w:color="auto" w:sz="4" w:space="0"/>
              <w:bottom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w:t>
            </w:r>
            <w:r>
              <w:rPr>
                <w:rFonts w:hint="eastAsia" w:asciiTheme="minorEastAsia" w:hAnsiTheme="minorEastAsia" w:eastAsiaTheme="minorEastAsia" w:cstheme="minorEastAsia"/>
                <w:sz w:val="24"/>
                <w:szCs w:val="24"/>
              </w:rPr>
              <w:t>详见附表1</w:t>
            </w:r>
          </w:p>
        </w:tc>
        <w:tc>
          <w:tcPr>
            <w:tcW w:w="850" w:type="dxa"/>
            <w:tcBorders>
              <w:top w:val="nil"/>
              <w:left w:val="single" w:color="auto" w:sz="4" w:space="0"/>
              <w:bottom w:val="single" w:color="auto" w:sz="4" w:space="0"/>
            </w:tcBorders>
            <w:vAlign w:val="center"/>
          </w:tcPr>
          <w:p>
            <w:pPr>
              <w:spacing w:before="0" w:after="0" w:line="360" w:lineRule="auto"/>
              <w:ind w:left="0" w:leftChars="0" w:right="0" w:rightChars="0"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spacing w:val="0"/>
                <w:position w:val="0"/>
                <w:sz w:val="24"/>
                <w:szCs w:val="24"/>
                <w:shd w:val="clear" w:fill="auto"/>
              </w:rPr>
              <w:t>1</w:t>
            </w:r>
          </w:p>
        </w:tc>
        <w:tc>
          <w:tcPr>
            <w:tcW w:w="905" w:type="dxa"/>
            <w:tcBorders>
              <w:top w:val="nil"/>
              <w:left w:val="single" w:color="auto" w:sz="4" w:space="0"/>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spacing w:val="0"/>
                <w:position w:val="0"/>
                <w:sz w:val="24"/>
                <w:szCs w:val="24"/>
                <w:shd w:val="clear" w:fill="auto"/>
              </w:rPr>
              <w:t>套</w:t>
            </w: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2258" w:type="dxa"/>
            <w:tcBorders>
              <w:top w:val="single" w:color="auto" w:sz="4" w:space="0"/>
              <w:left w:val="single" w:color="auto" w:sz="4" w:space="0"/>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spacing w:val="0"/>
                <w:position w:val="0"/>
                <w:sz w:val="24"/>
                <w:szCs w:val="24"/>
                <w:shd w:val="clear" w:fill="auto"/>
              </w:rPr>
              <w:t>工作站</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w:t>
            </w:r>
            <w:r>
              <w:rPr>
                <w:rFonts w:hint="eastAsia" w:asciiTheme="minorEastAsia" w:hAnsiTheme="minorEastAsia" w:eastAsiaTheme="minorEastAsia" w:cstheme="minorEastAsia"/>
                <w:sz w:val="24"/>
                <w:szCs w:val="24"/>
              </w:rPr>
              <w:t>详见附表2</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905" w:type="dxa"/>
            <w:tcBorders>
              <w:top w:val="single" w:color="auto" w:sz="4" w:space="0"/>
              <w:left w:val="single" w:color="auto" w:sz="4" w:space="0"/>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spacing w:val="0"/>
                <w:position w:val="0"/>
                <w:sz w:val="24"/>
                <w:szCs w:val="24"/>
                <w:shd w:val="clear" w:fill="auto"/>
              </w:rPr>
              <w:t>台</w:t>
            </w: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w:t>
            </w:r>
          </w:p>
        </w:tc>
        <w:tc>
          <w:tcPr>
            <w:tcW w:w="2258" w:type="dxa"/>
            <w:tcBorders>
              <w:top w:val="single" w:color="auto" w:sz="4" w:space="0"/>
              <w:left w:val="single" w:color="auto" w:sz="4" w:space="0"/>
              <w:bottom w:val="single" w:color="auto" w:sz="4" w:space="0"/>
              <w:right w:val="single" w:color="auto" w:sz="4" w:space="0"/>
            </w:tcBorders>
            <w:vAlign w:val="top"/>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spacing w:val="0"/>
                <w:position w:val="0"/>
                <w:sz w:val="24"/>
                <w:szCs w:val="24"/>
                <w:shd w:val="clear" w:fill="auto"/>
              </w:rPr>
              <w:t>信息系统服务</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技术参数</w:t>
            </w:r>
            <w:r>
              <w:rPr>
                <w:rFonts w:hint="eastAsia" w:asciiTheme="minorEastAsia" w:hAnsiTheme="minorEastAsia" w:eastAsiaTheme="minorEastAsia" w:cstheme="minorEastAsia"/>
                <w:sz w:val="24"/>
                <w:szCs w:val="24"/>
              </w:rPr>
              <w:t>详见附表</w:t>
            </w:r>
            <w:r>
              <w:rPr>
                <w:rFonts w:hint="eastAsia" w:asciiTheme="minorEastAsia" w:hAnsiTheme="minorEastAsia" w:eastAsiaTheme="minorEastAsia" w:cstheme="minorEastAsia"/>
                <w:sz w:val="24"/>
                <w:szCs w:val="24"/>
                <w:lang w:val="en-US" w:eastAsia="zh-CN"/>
              </w:rPr>
              <w:t>3</w:t>
            </w:r>
          </w:p>
        </w:tc>
        <w:tc>
          <w:tcPr>
            <w:tcW w:w="850" w:type="dxa"/>
            <w:tcBorders>
              <w:top w:val="single" w:color="auto" w:sz="4" w:space="0"/>
              <w:left w:val="single" w:color="auto" w:sz="4" w:space="0"/>
              <w:bottom w:val="single" w:color="auto" w:sz="4" w:space="0"/>
              <w:right w:val="single" w:color="auto" w:sz="4" w:space="0"/>
            </w:tcBorders>
            <w:vAlign w:val="top"/>
          </w:tcPr>
          <w:p>
            <w:pPr>
              <w:spacing w:before="0" w:after="0" w:line="360" w:lineRule="auto"/>
              <w:ind w:left="0" w:leftChars="0" w:right="0" w:rightChars="0" w:firstLine="0" w:firstLineChars="0"/>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color w:val="auto"/>
                <w:spacing w:val="0"/>
                <w:position w:val="0"/>
                <w:sz w:val="24"/>
                <w:szCs w:val="24"/>
                <w:shd w:val="clear" w:fill="auto"/>
                <w:lang w:val="en-US" w:eastAsia="zh-CN"/>
              </w:rPr>
              <w:t>1</w:t>
            </w:r>
          </w:p>
        </w:tc>
        <w:tc>
          <w:tcPr>
            <w:tcW w:w="905" w:type="dxa"/>
            <w:tcBorders>
              <w:top w:val="single" w:color="auto" w:sz="4" w:space="0"/>
              <w:left w:val="single" w:color="auto" w:sz="4" w:space="0"/>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spacing w:val="0"/>
                <w:position w:val="0"/>
                <w:sz w:val="24"/>
                <w:szCs w:val="24"/>
                <w:shd w:val="clear" w:fill="auto"/>
              </w:rPr>
              <w:t>项</w:t>
            </w:r>
          </w:p>
        </w:tc>
      </w:tr>
      <w:tr>
        <w:tblPrEx>
          <w:tblLayout w:type="fixed"/>
          <w:tblCellMar>
            <w:top w:w="0" w:type="dxa"/>
            <w:left w:w="108" w:type="dxa"/>
            <w:bottom w:w="0" w:type="dxa"/>
            <w:right w:w="108" w:type="dxa"/>
          </w:tblCellMar>
        </w:tblPrEx>
        <w:trPr>
          <w:trHeight w:val="358"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注：1.“参数性质”标“△”表示此设备为核心产品。</w:t>
            </w:r>
          </w:p>
          <w:p>
            <w:pPr>
              <w:widowControl/>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2.提供相同品牌产品的不同投标人参加同一合同项下投标的，以其中通过资格审查、符合性审查且报价最低的参加评标；报价相同的，提供售后、维修、培训等方案更优的参加评标，其他投标无效。</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w:t>
      </w:r>
      <w:r>
        <w:rPr>
          <w:rFonts w:ascii="宋体" w:hAnsi="宋体" w:eastAsia="宋体" w:cs="宋体"/>
          <w:color w:val="auto"/>
          <w:spacing w:val="0"/>
          <w:position w:val="0"/>
          <w:sz w:val="24"/>
          <w:szCs w:val="24"/>
          <w:u w:val="single"/>
          <w:shd w:val="clear" w:fill="auto"/>
        </w:rPr>
        <w:t>公文一体化集中印务系统</w:t>
      </w:r>
      <w:r>
        <w:rPr>
          <w:rFonts w:hint="eastAsia" w:ascii="宋体" w:hAnsi="宋体" w:cs="宋体"/>
          <w:sz w:val="24"/>
          <w:szCs w:val="24"/>
          <w:u w:val="single"/>
        </w:rPr>
        <w:t xml:space="preserve">     </w:t>
      </w:r>
      <w:r>
        <w:rPr>
          <w:rFonts w:hint="eastAsia" w:ascii="宋体" w:hAnsi="宋体" w:cs="宋体"/>
          <w:sz w:val="24"/>
          <w:szCs w:val="24"/>
        </w:rPr>
        <w:t>。</w:t>
      </w:r>
    </w:p>
    <w:tbl>
      <w:tblPr>
        <w:tblStyle w:val="16"/>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629"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ascii="宋体" w:hAnsi="宋体"/>
                <w:kern w:val="0"/>
                <w:sz w:val="24"/>
                <w:szCs w:val="24"/>
                <w:lang w:bidi="lo-LA"/>
              </w:rPr>
            </w:pPr>
            <w:r>
              <w:rPr>
                <w:rFonts w:ascii="宋体" w:hAnsi="宋体" w:eastAsia="宋体" w:cs="宋体"/>
                <w:color w:val="auto"/>
                <w:spacing w:val="0"/>
                <w:position w:val="0"/>
                <w:sz w:val="24"/>
                <w:szCs w:val="24"/>
                <w:shd w:val="clear" w:fill="auto"/>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r>
              <w:rPr>
                <w:rFonts w:ascii="宋体" w:hAnsi="宋体" w:cs="宋体"/>
                <w:sz w:val="24"/>
                <w:szCs w:val="24"/>
              </w:rPr>
              <w:t>打印方式：</w:t>
            </w:r>
            <w:r>
              <w:rPr>
                <w:rFonts w:hint="eastAsia" w:ascii="宋体" w:hAnsi="宋体" w:cs="宋体"/>
                <w:sz w:val="24"/>
                <w:szCs w:val="24"/>
              </w:rPr>
              <w:t>全自动无版数码彩色双面印刷</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ascii="宋体" w:hAnsi="宋体"/>
                <w:kern w:val="0"/>
                <w:sz w:val="24"/>
                <w:szCs w:val="24"/>
                <w:lang w:bidi="lo-LA"/>
              </w:rPr>
            </w:pPr>
            <w:r>
              <w:rPr>
                <w:rFonts w:ascii="宋体" w:hAnsi="宋体" w:eastAsia="宋体" w:cs="宋体"/>
                <w:color w:val="auto"/>
                <w:spacing w:val="0"/>
                <w:position w:val="0"/>
                <w:sz w:val="24"/>
                <w:szCs w:val="24"/>
                <w:shd w:val="clear" w:fill="auto"/>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bookmarkStart w:id="29" w:name="_GoBack"/>
            <w:bookmarkEnd w:id="29"/>
            <w:r>
              <w:rPr>
                <w:rFonts w:hint="eastAsia" w:ascii="宋体" w:hAnsi="宋体" w:cs="宋体"/>
                <w:sz w:val="24"/>
                <w:szCs w:val="24"/>
              </w:rPr>
              <w:t>单机打印速度: A4单面≥1</w:t>
            </w:r>
            <w:r>
              <w:rPr>
                <w:rFonts w:hint="eastAsia" w:ascii="宋体" w:hAnsi="宋体" w:cs="宋体"/>
                <w:sz w:val="24"/>
                <w:szCs w:val="24"/>
                <w:lang w:val="en-US" w:eastAsia="zh-CN"/>
              </w:rPr>
              <w:t>3</w:t>
            </w:r>
            <w:r>
              <w:rPr>
                <w:rFonts w:hint="eastAsia" w:ascii="宋体" w:hAnsi="宋体" w:cs="宋体"/>
                <w:sz w:val="24"/>
                <w:szCs w:val="24"/>
              </w:rPr>
              <w:t>0面/分钟（不接受多台设备串联合计速度）</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宋体" w:hAnsi="宋体"/>
                <w:kern w:val="0"/>
                <w:sz w:val="24"/>
                <w:szCs w:val="24"/>
                <w:lang w:bidi="lo-LA"/>
              </w:rPr>
            </w:pPr>
            <w:r>
              <w:rPr>
                <w:rFonts w:ascii="宋体" w:hAnsi="宋体" w:eastAsia="宋体" w:cs="宋体"/>
                <w:color w:val="auto"/>
                <w:spacing w:val="0"/>
                <w:position w:val="0"/>
                <w:sz w:val="24"/>
                <w:szCs w:val="24"/>
                <w:shd w:val="clear" w:fill="auto"/>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r>
              <w:rPr>
                <w:rFonts w:hint="eastAsia" w:ascii="宋体" w:hAnsi="宋体" w:cs="宋体"/>
                <w:sz w:val="24"/>
                <w:szCs w:val="24"/>
              </w:rPr>
              <w:t>数据处理分辨率：≥600dpi×600dpi</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宋体" w:hAnsi="宋体"/>
                <w:kern w:val="0"/>
                <w:sz w:val="24"/>
                <w:szCs w:val="24"/>
                <w:lang w:bidi="lo-LA"/>
              </w:rPr>
            </w:pPr>
            <w:r>
              <w:rPr>
                <w:rFonts w:ascii="宋体" w:hAnsi="宋体" w:eastAsia="宋体" w:cs="宋体"/>
                <w:color w:val="auto"/>
                <w:spacing w:val="0"/>
                <w:position w:val="0"/>
                <w:sz w:val="24"/>
                <w:szCs w:val="24"/>
                <w:shd w:val="clear" w:fill="auto"/>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r>
              <w:rPr>
                <w:rFonts w:ascii="宋体" w:hAnsi="宋体" w:cs="宋体"/>
                <w:sz w:val="24"/>
                <w:szCs w:val="24"/>
              </w:rPr>
              <w:t>数据处理分辨率：</w:t>
            </w:r>
            <w:r>
              <w:rPr>
                <w:rFonts w:hint="eastAsia" w:ascii="宋体" w:hAnsi="宋体" w:cs="宋体"/>
                <w:sz w:val="24"/>
                <w:szCs w:val="24"/>
              </w:rPr>
              <w:t>≥</w:t>
            </w:r>
            <w:r>
              <w:rPr>
                <w:rFonts w:ascii="宋体" w:hAnsi="宋体" w:cs="宋体"/>
                <w:sz w:val="24"/>
                <w:szCs w:val="24"/>
              </w:rPr>
              <w:t>600dpi×600dpi</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宋体" w:hAnsi="宋体"/>
                <w:kern w:val="0"/>
                <w:sz w:val="24"/>
                <w:szCs w:val="24"/>
                <w:lang w:bidi="lo-LA"/>
              </w:rPr>
            </w:pPr>
            <w:r>
              <w:rPr>
                <w:rFonts w:ascii="宋体" w:hAnsi="宋体" w:eastAsia="宋体" w:cs="宋体"/>
                <w:color w:val="auto"/>
                <w:spacing w:val="0"/>
                <w:position w:val="0"/>
                <w:sz w:val="24"/>
                <w:szCs w:val="24"/>
                <w:shd w:val="clear" w:fill="auto"/>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r>
              <w:rPr>
                <w:rFonts w:hint="eastAsia" w:ascii="宋体" w:hAnsi="宋体" w:cs="宋体"/>
                <w:sz w:val="24"/>
                <w:szCs w:val="24"/>
              </w:rPr>
              <w:t>最大用纸尺寸：≥323mm × 465mm</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宋体" w:hAnsi="宋体"/>
                <w:kern w:val="0"/>
                <w:sz w:val="24"/>
                <w:szCs w:val="24"/>
                <w:lang w:bidi="lo-LA"/>
              </w:rPr>
            </w:pPr>
            <w:r>
              <w:rPr>
                <w:rFonts w:ascii="宋体" w:hAnsi="宋体" w:eastAsia="宋体" w:cs="宋体"/>
                <w:color w:val="auto"/>
                <w:spacing w:val="0"/>
                <w:position w:val="0"/>
                <w:sz w:val="24"/>
                <w:szCs w:val="24"/>
                <w:shd w:val="clear" w:fill="auto"/>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r>
              <w:rPr>
                <w:rFonts w:hint="eastAsia" w:ascii="宋体" w:hAnsi="宋体" w:cs="宋体"/>
                <w:sz w:val="24"/>
                <w:szCs w:val="24"/>
              </w:rPr>
              <w:t>纸盘容量：多纸盘合计≥2300张</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宋体" w:hAnsi="宋体"/>
                <w:kern w:val="0"/>
                <w:sz w:val="24"/>
                <w:szCs w:val="24"/>
                <w:lang w:bidi="lo-LA"/>
              </w:rPr>
            </w:pPr>
            <w:r>
              <w:rPr>
                <w:rFonts w:ascii="宋体" w:hAnsi="宋体" w:eastAsia="宋体" w:cs="宋体"/>
                <w:color w:val="auto"/>
                <w:spacing w:val="0"/>
                <w:position w:val="0"/>
                <w:sz w:val="24"/>
                <w:szCs w:val="24"/>
                <w:shd w:val="clear" w:fill="auto"/>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r>
              <w:rPr>
                <w:rFonts w:hint="eastAsia" w:ascii="宋体" w:hAnsi="宋体" w:cs="宋体"/>
                <w:sz w:val="24"/>
                <w:szCs w:val="24"/>
              </w:rPr>
              <w:t>进纸纸张重量：46g/m2---210g/m2</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宋体" w:hAnsi="宋体"/>
                <w:kern w:val="0"/>
                <w:sz w:val="24"/>
                <w:szCs w:val="24"/>
                <w:lang w:bidi="lo-LA"/>
              </w:rPr>
            </w:pPr>
            <w:r>
              <w:rPr>
                <w:rFonts w:ascii="宋体" w:hAnsi="宋体" w:eastAsia="宋体" w:cs="宋体"/>
                <w:color w:val="auto"/>
                <w:spacing w:val="0"/>
                <w:position w:val="0"/>
                <w:sz w:val="24"/>
                <w:szCs w:val="24"/>
                <w:shd w:val="clear" w:fill="auto"/>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r>
              <w:rPr>
                <w:rFonts w:hint="eastAsia" w:ascii="宋体" w:hAnsi="宋体" w:cs="宋体"/>
                <w:sz w:val="24"/>
                <w:szCs w:val="24"/>
              </w:rPr>
              <w:t>配置双面扫描复印单元、自动双面进稿器，扫描速度单色/彩色≥40面/分钟，扫描分辨率：600dpi</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宋体" w:hAnsi="宋体"/>
                <w:kern w:val="0"/>
                <w:sz w:val="24"/>
                <w:szCs w:val="24"/>
                <w:lang w:bidi="lo-LA"/>
              </w:rPr>
            </w:pPr>
            <w:r>
              <w:rPr>
                <w:rFonts w:ascii="宋体" w:hAnsi="宋体" w:eastAsia="宋体" w:cs="宋体"/>
                <w:color w:val="auto"/>
                <w:spacing w:val="0"/>
                <w:position w:val="0"/>
                <w:sz w:val="24"/>
                <w:szCs w:val="24"/>
                <w:shd w:val="clear" w:fill="auto"/>
              </w:rPr>
              <w:t>9</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r>
              <w:rPr>
                <w:rFonts w:hint="eastAsia" w:ascii="宋体" w:hAnsi="宋体" w:cs="宋体"/>
                <w:sz w:val="24"/>
                <w:szCs w:val="24"/>
              </w:rPr>
              <w:t>配置多功能装订器：可实现交错出纸、平钉、角钉、骑马钉、折页，并支持小册子的制作</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360" w:lineRule="auto"/>
              <w:ind w:left="0" w:leftChars="0" w:right="0" w:rightChars="0" w:firstLine="0" w:firstLineChars="0"/>
              <w:jc w:val="center"/>
              <w:rPr>
                <w:rFonts w:hint="eastAsia" w:ascii="宋体" w:hAnsi="宋体"/>
                <w:kern w:val="0"/>
                <w:sz w:val="24"/>
                <w:szCs w:val="24"/>
                <w:lang w:bidi="lo-LA"/>
              </w:rPr>
            </w:pPr>
            <w:r>
              <w:rPr>
                <w:rFonts w:ascii="宋体" w:hAnsi="宋体" w:eastAsia="宋体" w:cs="宋体"/>
                <w:color w:val="auto"/>
                <w:spacing w:val="0"/>
                <w:position w:val="0"/>
                <w:sz w:val="24"/>
                <w:szCs w:val="24"/>
                <w:shd w:val="clear" w:fill="auto"/>
              </w:rPr>
              <w:t>10</w:t>
            </w:r>
          </w:p>
        </w:tc>
        <w:tc>
          <w:tcPr>
            <w:tcW w:w="67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lang w:bidi="lo-LA"/>
              </w:rPr>
            </w:pPr>
            <w:r>
              <w:rPr>
                <w:rFonts w:hint="eastAsia" w:ascii="宋体" w:hAnsi="宋体" w:cs="宋体"/>
                <w:sz w:val="24"/>
                <w:szCs w:val="24"/>
              </w:rPr>
              <w:t>配置集中印务软件，基于PDF规范技术。主要功能包括可将打印流程整合为自动化流程，无需每次打印都进行打印设置。可对打印机色彩进行管理。可对文件进行自动拼版。对重要文件进行可变数据打印（如文档打号、文档条形码）；可以实现特殊标识打印（如盖章）</w:t>
            </w:r>
          </w:p>
        </w:tc>
      </w:tr>
      <w:tr>
        <w:tblPrEx>
          <w:tblLayout w:type="fixed"/>
          <w:tblCellMar>
            <w:top w:w="0" w:type="dxa"/>
            <w:left w:w="108" w:type="dxa"/>
            <w:bottom w:w="0" w:type="dxa"/>
            <w:right w:w="108" w:type="dxa"/>
          </w:tblCellMar>
        </w:tblPrEx>
        <w:trPr>
          <w:trHeight w:val="493"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p>
        </w:tc>
      </w:tr>
    </w:tbl>
    <w:p>
      <w:pPr>
        <w:spacing w:line="360" w:lineRule="auto"/>
        <w:rPr>
          <w:rFonts w:ascii="宋体" w:hAnsi="宋体" w:cs="宋体"/>
          <w:sz w:val="24"/>
          <w:szCs w:val="24"/>
        </w:rPr>
      </w:pPr>
      <w:r>
        <w:rPr>
          <w:rFonts w:hint="eastAsia" w:ascii="宋体" w:hAnsi="宋体" w:cs="宋体"/>
          <w:sz w:val="24"/>
          <w:szCs w:val="24"/>
        </w:rPr>
        <w:t>附表2技术参数和性能指标。货物名称：</w:t>
      </w:r>
      <w:r>
        <w:rPr>
          <w:rFonts w:hint="eastAsia" w:ascii="宋体" w:hAnsi="宋体" w:cs="宋体"/>
          <w:sz w:val="24"/>
          <w:szCs w:val="24"/>
          <w:u w:val="single"/>
        </w:rPr>
        <w:t xml:space="preserve">   </w:t>
      </w:r>
      <w:r>
        <w:rPr>
          <w:rFonts w:ascii="宋体" w:hAnsi="宋体" w:eastAsia="宋体" w:cs="宋体"/>
          <w:color w:val="auto"/>
          <w:spacing w:val="0"/>
          <w:position w:val="0"/>
          <w:sz w:val="24"/>
          <w:szCs w:val="24"/>
          <w:u w:val="single"/>
          <w:shd w:val="clear" w:fill="auto"/>
        </w:rPr>
        <w:t>工作站</w:t>
      </w:r>
      <w:r>
        <w:rPr>
          <w:rFonts w:hint="eastAsia" w:ascii="宋体" w:hAnsi="宋体" w:cs="宋体"/>
          <w:sz w:val="24"/>
          <w:szCs w:val="24"/>
          <w:u w:val="single"/>
        </w:rPr>
        <w:t xml:space="preserve">     </w:t>
      </w:r>
      <w:r>
        <w:rPr>
          <w:rFonts w:hint="eastAsia" w:ascii="宋体" w:hAnsi="宋体" w:cs="宋体"/>
          <w:sz w:val="24"/>
          <w:szCs w:val="24"/>
        </w:rPr>
        <w:t>。</w:t>
      </w:r>
    </w:p>
    <w:tbl>
      <w:tblPr>
        <w:tblStyle w:val="16"/>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629"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1</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 xml:space="preserve">Intel Core i5-7500 </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2</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存储硬盘：≥1TB HD 7200PRM 3.5 SATA</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3</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固态硬盘：≥128GB</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4</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内存大小：≥8GB DDR4 </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5</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光驱描述：DVD-RW</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6</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 xml:space="preserve">出厂预装：2G独立专业图形显卡 </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7</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预装正版：windows7专业版操作系统</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8</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电源：≥400W电源</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9</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机箱：≥18L立式机箱</w:t>
            </w:r>
          </w:p>
        </w:tc>
      </w:tr>
      <w:tr>
        <w:tblPrEx>
          <w:tblLayout w:type="fixed"/>
          <w:tblCellMar>
            <w:top w:w="0" w:type="dxa"/>
            <w:left w:w="108" w:type="dxa"/>
            <w:bottom w:w="0" w:type="dxa"/>
            <w:right w:w="108" w:type="dxa"/>
          </w:tblCellMar>
        </w:tblPrEx>
        <w:trPr>
          <w:trHeight w:val="493"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spacing w:before="0" w:after="0" w:line="240" w:lineRule="auto"/>
              <w:ind w:left="0" w:leftChars="0" w:right="0" w:rightChars="0" w:firstLine="0" w:firstLineChars="0"/>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000000"/>
                <w:spacing w:val="0"/>
                <w:position w:val="0"/>
                <w:sz w:val="24"/>
                <w:szCs w:val="24"/>
                <w:shd w:val="clear" w:fill="auto"/>
              </w:rPr>
              <w:t>10</w:t>
            </w:r>
          </w:p>
        </w:tc>
        <w:tc>
          <w:tcPr>
            <w:tcW w:w="6777" w:type="dxa"/>
            <w:tcBorders>
              <w:top w:val="single" w:color="auto" w:sz="4" w:space="0"/>
              <w:left w:val="nil"/>
              <w:bottom w:val="single" w:color="auto" w:sz="4" w:space="0"/>
              <w:right w:val="single" w:color="auto" w:sz="4" w:space="0"/>
            </w:tcBorders>
            <w:vAlign w:val="center"/>
          </w:tcPr>
          <w:p>
            <w:pPr>
              <w:widowControl w:val="0"/>
              <w:spacing w:before="0" w:after="0" w:line="240" w:lineRule="auto"/>
              <w:ind w:left="0" w:leftChars="0" w:right="0" w:rightChars="0" w:firstLine="0" w:firstLineChars="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color w:val="auto"/>
                <w:spacing w:val="0"/>
                <w:position w:val="0"/>
                <w:sz w:val="24"/>
                <w:szCs w:val="24"/>
                <w:shd w:val="clear" w:fill="auto"/>
              </w:rPr>
              <w:t>23.8英寸IPS屏与主机同品牌显示器.</w:t>
            </w:r>
          </w:p>
        </w:tc>
      </w:tr>
      <w:tr>
        <w:tblPrEx>
          <w:tblLayout w:type="fixed"/>
          <w:tblCellMar>
            <w:top w:w="0" w:type="dxa"/>
            <w:left w:w="108" w:type="dxa"/>
            <w:bottom w:w="0" w:type="dxa"/>
            <w:right w:w="108" w:type="dxa"/>
          </w:tblCellMar>
        </w:tblPrEx>
        <w:trPr>
          <w:trHeight w:val="493"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inorEastAsia" w:hAnsiTheme="minorEastAsia" w:eastAsiaTheme="minorEastAsia" w:cstheme="minorEastAsia"/>
                <w:kern w:val="0"/>
                <w:sz w:val="24"/>
                <w:szCs w:val="24"/>
              </w:rPr>
            </w:pPr>
          </w:p>
        </w:tc>
      </w:tr>
    </w:tbl>
    <w:p>
      <w:pPr>
        <w:spacing w:line="360" w:lineRule="auto"/>
        <w:rPr>
          <w:rFonts w:hint="eastAsia" w:ascii="宋体" w:hAnsi="宋体" w:eastAsia="宋体" w:cs="宋体"/>
          <w:sz w:val="24"/>
          <w:szCs w:val="24"/>
          <w:u w:val="single"/>
          <w:lang w:val="en-US" w:eastAsia="zh-CN"/>
        </w:rPr>
      </w:pPr>
      <w:r>
        <w:rPr>
          <w:rFonts w:hint="eastAsia" w:ascii="宋体" w:hAnsi="宋体" w:cs="宋体"/>
          <w:sz w:val="24"/>
          <w:szCs w:val="24"/>
        </w:rPr>
        <w:t>附表3技术参数和性能指标。货物名称：</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信息系统服务</w:t>
      </w:r>
      <w:r>
        <w:rPr>
          <w:rFonts w:hint="eastAsia" w:ascii="宋体" w:hAnsi="宋体" w:cs="宋体"/>
          <w:sz w:val="24"/>
          <w:szCs w:val="24"/>
          <w:u w:val="single"/>
          <w:lang w:val="en-US" w:eastAsia="zh-CN"/>
        </w:rPr>
        <w:t xml:space="preserve">  </w:t>
      </w:r>
    </w:p>
    <w:tbl>
      <w:tblPr>
        <w:tblStyle w:val="16"/>
        <w:tblW w:w="8840" w:type="dxa"/>
        <w:jc w:val="center"/>
        <w:tblInd w:w="0" w:type="dxa"/>
        <w:tblLayout w:type="fixed"/>
        <w:tblCellMar>
          <w:top w:w="0" w:type="dxa"/>
          <w:left w:w="10" w:type="dxa"/>
          <w:bottom w:w="0" w:type="dxa"/>
          <w:right w:w="10" w:type="dxa"/>
        </w:tblCellMar>
      </w:tblPr>
      <w:tblGrid>
        <w:gridCol w:w="1135"/>
        <w:gridCol w:w="707"/>
        <w:gridCol w:w="6998"/>
      </w:tblGrid>
      <w:tr>
        <w:tblPrEx>
          <w:tblLayout w:type="fixed"/>
          <w:tblCellMar>
            <w:top w:w="0" w:type="dxa"/>
            <w:left w:w="10" w:type="dxa"/>
            <w:bottom w:w="0" w:type="dxa"/>
            <w:right w:w="10" w:type="dxa"/>
          </w:tblCellMar>
        </w:tblPrEx>
        <w:trPr>
          <w:trHeight w:val="0"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参数性质</w:t>
            </w:r>
          </w:p>
        </w:tc>
        <w:tc>
          <w:tcPr>
            <w:tcW w:w="707" w:type="dxa"/>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编号</w:t>
            </w:r>
          </w:p>
        </w:tc>
        <w:tc>
          <w:tcPr>
            <w:tcW w:w="6998" w:type="dxa"/>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技术参数和性能指标</w:t>
            </w:r>
          </w:p>
        </w:tc>
      </w:tr>
      <w:tr>
        <w:tblPrEx>
          <w:tblLayout w:type="fixed"/>
          <w:tblCellMar>
            <w:top w:w="0" w:type="dxa"/>
            <w:left w:w="10" w:type="dxa"/>
            <w:bottom w:w="0" w:type="dxa"/>
            <w:right w:w="10" w:type="dxa"/>
          </w:tblCellMar>
        </w:tblPrEx>
        <w:trPr>
          <w:trHeight w:val="0"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Theme="minorEastAsia" w:hAnsiTheme="minorEastAsia" w:eastAsiaTheme="minorEastAsia" w:cstheme="minorEastAsia"/>
                <w:color w:val="auto"/>
                <w:spacing w:val="0"/>
                <w:position w:val="0"/>
                <w:sz w:val="24"/>
                <w:szCs w:val="24"/>
                <w:shd w:val="clear" w:fill="auto"/>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1</w:t>
            </w:r>
          </w:p>
        </w:tc>
        <w:tc>
          <w:tcPr>
            <w:tcW w:w="699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Theme="minorEastAsia" w:hAnsiTheme="minorEastAsia" w:eastAsiaTheme="minorEastAsia" w:cstheme="minorEastAsia"/>
                <w:color w:val="auto"/>
                <w:spacing w:val="0"/>
                <w:position w:val="0"/>
                <w:sz w:val="24"/>
                <w:szCs w:val="24"/>
                <w:shd w:val="clear" w:fill="auto"/>
              </w:rPr>
            </w:pPr>
            <w:r>
              <w:rPr>
                <w:rFonts w:hint="eastAsia" w:asciiTheme="minorEastAsia" w:hAnsiTheme="minorEastAsia" w:eastAsiaTheme="minorEastAsia" w:cstheme="minorEastAsia"/>
                <w:color w:val="auto"/>
                <w:spacing w:val="0"/>
                <w:position w:val="0"/>
                <w:sz w:val="24"/>
                <w:szCs w:val="24"/>
                <w:shd w:val="clear" w:fill="auto"/>
              </w:rPr>
              <w:t>包含本项目安装及软硬件实施及原厂维保服务.</w:t>
            </w:r>
          </w:p>
        </w:tc>
      </w:tr>
      <w:tr>
        <w:tblPrEx>
          <w:tblLayout w:type="fixed"/>
          <w:tblCellMar>
            <w:top w:w="0" w:type="dxa"/>
            <w:left w:w="10" w:type="dxa"/>
            <w:bottom w:w="0" w:type="dxa"/>
            <w:right w:w="10" w:type="dxa"/>
          </w:tblCellMar>
        </w:tblPrEx>
        <w:trPr>
          <w:trHeight w:val="0" w:hRule="atLeast"/>
          <w:jc w:val="center"/>
        </w:trPr>
        <w:tc>
          <w:tcPr>
            <w:tcW w:w="8840"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Theme="minorEastAsia" w:hAnsiTheme="minorEastAsia" w:eastAsiaTheme="minorEastAsia" w:cstheme="minorEastAsia"/>
                <w:color w:val="auto"/>
                <w:spacing w:val="0"/>
                <w:position w:val="0"/>
                <w:sz w:val="24"/>
                <w:szCs w:val="24"/>
                <w:shd w:val="clear" w:fill="auto"/>
              </w:rPr>
            </w:pPr>
          </w:p>
        </w:tc>
      </w:tr>
    </w:tbl>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6"/>
      <w:bookmarkEnd w:id="7"/>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8" w:name="_Toc497408676"/>
      <w:r>
        <w:rPr>
          <w:rFonts w:hint="eastAsia" w:ascii="宋体" w:hAnsi="宋体"/>
          <w:b/>
          <w:bCs/>
          <w:color w:val="000000"/>
          <w:kern w:val="44"/>
          <w:sz w:val="24"/>
          <w:szCs w:val="24"/>
        </w:rPr>
        <w:t>第六章 评标办法（最低评标价法）</w:t>
      </w:r>
      <w:bookmarkEnd w:id="8"/>
    </w:p>
    <w:p>
      <w:pPr>
        <w:spacing w:line="360" w:lineRule="auto"/>
        <w:jc w:val="center"/>
        <w:rPr>
          <w:rFonts w:ascii="宋体" w:hAnsi="宋体"/>
          <w:b/>
          <w:bCs/>
          <w:color w:val="000000"/>
          <w:kern w:val="44"/>
          <w:sz w:val="24"/>
          <w:szCs w:val="24"/>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olor w:val="000000"/>
          <w:sz w:val="24"/>
          <w:szCs w:val="24"/>
        </w:rPr>
      </w:pPr>
      <w:r>
        <w:rPr>
          <w:rFonts w:hint="eastAsia" w:ascii="宋体" w:hAnsi="宋体" w:cs="宋体"/>
          <w:sz w:val="24"/>
          <w:szCs w:val="24"/>
        </w:rPr>
        <w:t>（一）最低评标价法评标</w:t>
      </w:r>
      <w:r>
        <w:rPr>
          <w:rFonts w:ascii="宋体" w:hAnsi="宋体" w:cs="宋体"/>
          <w:sz w:val="24"/>
          <w:szCs w:val="24"/>
        </w:rPr>
        <w:t>,</w:t>
      </w:r>
      <w:r>
        <w:rPr>
          <w:rFonts w:hint="eastAsia" w:ascii="宋体" w:hAnsi="宋体" w:cs="宋体"/>
          <w:sz w:val="24"/>
          <w:szCs w:val="24"/>
        </w:rPr>
        <w:t>即</w:t>
      </w:r>
      <w:r>
        <w:rPr>
          <w:rFonts w:hint="eastAsia" w:ascii="宋体" w:hAnsi="宋体" w:cs="宋体"/>
          <w:color w:val="000000"/>
          <w:sz w:val="24"/>
          <w:szCs w:val="24"/>
        </w:rPr>
        <w:t>在</w:t>
      </w:r>
      <w:r>
        <w:rPr>
          <w:rFonts w:hint="eastAsia" w:ascii="宋体" w:hAnsi="宋体" w:cs="宋体"/>
          <w:color w:val="000000"/>
          <w:kern w:val="0"/>
          <w:sz w:val="24"/>
          <w:szCs w:val="24"/>
        </w:rPr>
        <w:t>投标文件满足招标文件全部实质性要求且投标报价最低的投标人为中标人的评标方法。</w:t>
      </w:r>
      <w:r>
        <w:rPr>
          <w:rFonts w:ascii="宋体" w:hAnsi="宋体" w:cs="宋体"/>
          <w:color w:val="000000"/>
          <w:sz w:val="24"/>
          <w:szCs w:val="24"/>
        </w:rPr>
        <w:t xml:space="preserve"> </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详见下附初审表</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numPr>
          <w:ilvl w:val="0"/>
          <w:numId w:val="2"/>
        </w:numPr>
        <w:spacing w:line="360" w:lineRule="auto"/>
        <w:ind w:firstLine="482" w:firstLineChars="201"/>
        <w:rPr>
          <w:rFonts w:ascii="宋体" w:hAnsi="宋体"/>
          <w:kern w:val="0"/>
          <w:sz w:val="24"/>
          <w:szCs w:val="24"/>
        </w:rPr>
      </w:pPr>
      <w:r>
        <w:rPr>
          <w:rFonts w:hint="eastAsia" w:ascii="宋体" w:hAnsi="宋体"/>
          <w:kern w:val="0"/>
          <w:sz w:val="24"/>
          <w:szCs w:val="24"/>
        </w:rPr>
        <w:t>技术参数比较。评审内容主要为投标货物的品牌、型号及主要技术参数满足程度和一般技术参数偏离程度等。</w:t>
      </w:r>
    </w:p>
    <w:p>
      <w:pPr>
        <w:spacing w:line="360" w:lineRule="auto"/>
        <w:ind w:firstLine="480" w:firstLineChars="200"/>
        <w:rPr>
          <w:rFonts w:ascii="宋体" w:hAnsi="宋体"/>
          <w:kern w:val="0"/>
          <w:sz w:val="24"/>
          <w:szCs w:val="24"/>
        </w:rPr>
      </w:pPr>
      <w:r>
        <w:rPr>
          <w:rFonts w:hint="eastAsia" w:ascii="宋体" w:hAnsi="宋体"/>
          <w:kern w:val="0"/>
          <w:sz w:val="24"/>
          <w:szCs w:val="24"/>
        </w:rPr>
        <w:t>根据投标企业提供的技术资料，由评标委员会逐项分别进行比较和评审。评审原则如下：</w:t>
      </w:r>
      <w:r>
        <w:rPr>
          <w:rFonts w:hint="eastAsia" w:ascii="宋体" w:hAnsi="宋体"/>
          <w:sz w:val="24"/>
          <w:szCs w:val="24"/>
        </w:rPr>
        <w:t>标“*”参数</w:t>
      </w:r>
      <w:r>
        <w:rPr>
          <w:rFonts w:hint="eastAsia" w:ascii="宋体" w:hAnsi="宋体"/>
          <w:kern w:val="0"/>
          <w:sz w:val="24"/>
          <w:szCs w:val="24"/>
        </w:rPr>
        <w:t>凡有</w:t>
      </w:r>
      <w:r>
        <w:rPr>
          <w:rFonts w:hint="eastAsia" w:ascii="宋体" w:hAnsi="宋体"/>
          <w:sz w:val="24"/>
          <w:szCs w:val="24"/>
        </w:rPr>
        <w:t>一项不满足的，属未实质性响应招标文件，按无效投标处理；一般技术参数偏离不能作为对投标人的否决依据，但不能有缺漏项，否则按无效投标处理。</w:t>
      </w:r>
    </w:p>
    <w:p>
      <w:pPr>
        <w:widowControl/>
        <w:numPr>
          <w:ilvl w:val="0"/>
          <w:numId w:val="2"/>
        </w:numPr>
        <w:spacing w:line="360" w:lineRule="auto"/>
        <w:ind w:firstLine="482" w:firstLineChars="201"/>
        <w:jc w:val="left"/>
        <w:rPr>
          <w:rFonts w:ascii="宋体" w:hAnsi="宋体"/>
          <w:sz w:val="24"/>
          <w:szCs w:val="24"/>
        </w:rPr>
      </w:pPr>
      <w:r>
        <w:rPr>
          <w:rFonts w:hint="eastAsia" w:ascii="宋体" w:hAnsi="宋体" w:cs="宋体"/>
          <w:color w:val="000000"/>
          <w:kern w:val="0"/>
          <w:sz w:val="24"/>
          <w:szCs w:val="24"/>
        </w:rPr>
        <w:t>价格比较。由评标委员会对</w:t>
      </w:r>
      <w:r>
        <w:rPr>
          <w:rFonts w:hint="eastAsia" w:ascii="宋体" w:hAnsi="宋体" w:cs="宋体"/>
          <w:kern w:val="0"/>
          <w:sz w:val="24"/>
          <w:szCs w:val="24"/>
        </w:rPr>
        <w:t>实质性响应的投标人的报价进行比较、排序。</w:t>
      </w:r>
      <w:r>
        <w:rPr>
          <w:rFonts w:hint="eastAsia" w:ascii="宋体" w:hAnsi="宋体" w:cs="宋体"/>
          <w:sz w:val="24"/>
          <w:szCs w:val="24"/>
        </w:rPr>
        <w:t>投标报价</w:t>
      </w:r>
      <w:r>
        <w:rPr>
          <w:rFonts w:hint="eastAsia" w:ascii="宋体" w:hAnsi="宋体"/>
          <w:sz w:val="24"/>
          <w:szCs w:val="24"/>
        </w:rPr>
        <w:t>相同的，按技术指标、售后服务条款、业绩的优劣顺序排列。</w:t>
      </w:r>
    </w:p>
    <w:p>
      <w:pPr>
        <w:spacing w:line="360" w:lineRule="auto"/>
        <w:ind w:firstLine="480" w:firstLineChars="200"/>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4. 投标文件满足招标文件全部实质性要求，且进行政府采购政策落实的价格扣除后，对投标报价进行由低到高排序，确定价格最低的投标人为中标人。</w:t>
      </w:r>
    </w:p>
    <w:p>
      <w:pPr>
        <w:spacing w:line="360" w:lineRule="auto"/>
        <w:ind w:firstLine="570"/>
        <w:rPr>
          <w:rFonts w:ascii="宋体" w:hAnsi="宋体" w:cs="宋体"/>
          <w:b/>
          <w:sz w:val="24"/>
          <w:szCs w:val="24"/>
        </w:rPr>
      </w:pPr>
      <w:r>
        <w:rPr>
          <w:rFonts w:hint="eastAsia" w:ascii="宋体" w:hAnsi="宋体" w:cs="宋体"/>
          <w:b/>
          <w:sz w:val="24"/>
          <w:szCs w:val="24"/>
        </w:rPr>
        <w:t>注：</w:t>
      </w:r>
    </w:p>
    <w:p>
      <w:pPr>
        <w:spacing w:line="360" w:lineRule="auto"/>
        <w:ind w:firstLine="570"/>
        <w:rPr>
          <w:rFonts w:ascii="宋体" w:hAnsi="宋体" w:cs="宋体"/>
          <w:sz w:val="24"/>
          <w:szCs w:val="24"/>
        </w:rPr>
      </w:pPr>
      <w:r>
        <w:rPr>
          <w:rFonts w:hint="eastAsia" w:ascii="宋体" w:hAnsi="宋体" w:cs="宋体"/>
          <w:sz w:val="24"/>
          <w:szCs w:val="24"/>
        </w:rPr>
        <w:t>1.提供核心产品为相同品牌的不同投标人参加同一合同项下投标的，以其中通过资格审查、符合性审查且报价最低的参加评标，其余按无效投标处理；投标报价相同的，按技术指标、售后服务条款、业绩的优劣顺序排列确定进入评审的投标人，其余按无效投标处理。</w:t>
      </w:r>
    </w:p>
    <w:p>
      <w:pPr>
        <w:spacing w:line="360" w:lineRule="auto"/>
        <w:ind w:firstLine="57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widowControl/>
        <w:spacing w:line="360" w:lineRule="auto"/>
        <w:ind w:firstLine="600" w:firstLineChars="250"/>
        <w:jc w:val="left"/>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3"/>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6"/>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vAlign w:val="top"/>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9" w:name="OLE_LINK1"/>
      <w:bookmarkStart w:id="10" w:name="OLE_LINK9"/>
      <w:r>
        <w:rPr>
          <w:rFonts w:hint="eastAsia" w:ascii="宋体" w:hAnsi="宋体"/>
          <w:sz w:val="24"/>
          <w:szCs w:val="24"/>
        </w:rPr>
        <w:t>本项所称货物不包括使用大型企业注册商标的货物。</w:t>
      </w:r>
      <w:bookmarkEnd w:id="9"/>
      <w:bookmarkEnd w:id="10"/>
      <w:r>
        <w:rPr>
          <w:rFonts w:hint="eastAsia" w:ascii="宋体" w:hAnsi="宋体"/>
          <w:sz w:val="24"/>
          <w:szCs w:val="24"/>
        </w:rPr>
        <w:t>小型、微型企业提供中型企业制造的货物的，视同为中型企业。</w:t>
      </w:r>
    </w:p>
    <w:p>
      <w:pPr>
        <w:widowControl/>
        <w:wordWrap/>
        <w:adjustRightInd/>
        <w:snapToGrid/>
        <w:spacing w:line="360" w:lineRule="auto"/>
        <w:ind w:left="0" w:leftChars="0" w:firstLine="559" w:firstLineChars="233"/>
        <w:jc w:val="left"/>
        <w:textAlignment w:val="auto"/>
        <w:outlineLvl w:val="9"/>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1" w:name="OLE_LINK14"/>
      <w:bookmarkStart w:id="12" w:name="OLE_LINK13"/>
      <w:r>
        <w:rPr>
          <w:rFonts w:hint="eastAsia" w:ascii="宋体" w:hAnsi="宋体"/>
          <w:sz w:val="24"/>
          <w:szCs w:val="24"/>
        </w:rPr>
        <w:t>《残疾人福利性单位声明函》</w:t>
      </w:r>
      <w:bookmarkEnd w:id="11"/>
      <w:bookmarkEnd w:id="12"/>
      <w:r>
        <w:rPr>
          <w:rFonts w:hint="eastAsia" w:ascii="宋体" w:hAnsi="宋体"/>
          <w:sz w:val="24"/>
          <w:szCs w:val="24"/>
        </w:rPr>
        <w:t>为判定标准，否则不认定价格扣除。</w:t>
      </w:r>
    </w:p>
    <w:p>
      <w:pPr>
        <w:widowControl/>
        <w:wordWrap/>
        <w:adjustRightInd/>
        <w:snapToGrid/>
        <w:spacing w:line="360" w:lineRule="auto"/>
        <w:ind w:firstLine="600" w:firstLineChars="250"/>
        <w:jc w:val="left"/>
        <w:textAlignment w:val="auto"/>
        <w:outlineLvl w:val="9"/>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wordWrap/>
        <w:adjustRightInd/>
        <w:snapToGrid/>
        <w:spacing w:line="360" w:lineRule="auto"/>
        <w:ind w:left="0" w:leftChars="0" w:firstLine="559" w:firstLineChars="233"/>
        <w:jc w:val="left"/>
        <w:textAlignment w:val="auto"/>
        <w:outlineLvl w:val="9"/>
        <w:rPr>
          <w:rFonts w:hint="eastAsia" w:ascii="宋体" w:hAnsi="宋体"/>
          <w:sz w:val="24"/>
          <w:szCs w:val="24"/>
        </w:rPr>
      </w:pPr>
      <w:r>
        <w:rPr>
          <w:rFonts w:hint="eastAsia" w:ascii="宋体" w:hAnsi="宋体"/>
          <w:sz w:val="24"/>
          <w:szCs w:val="24"/>
          <w:lang w:val="en-US" w:eastAsia="zh-CN"/>
        </w:rPr>
        <w:t>（4）投标人通过“国家企业信用信息公示系（http://www.gsxt.gov.cn/index.html），点击“小微企业名录”（http://xwqy.gsxt.gov.cn）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r>
        <w:rPr>
          <w:rFonts w:hint="eastAsia" w:ascii="宋体" w:hAnsi="宋体"/>
          <w:sz w:val="24"/>
          <w:szCs w:val="24"/>
          <w:lang w:val="en-US" w:eastAsia="zh-CN"/>
        </w:rPr>
        <w:br w:type="textWrapping"/>
      </w:r>
      <w:r>
        <w:rPr>
          <w:rFonts w:hint="eastAsia" w:ascii="宋体" w:hAnsi="宋体"/>
          <w:sz w:val="24"/>
          <w:szCs w:val="24"/>
          <w:lang w:val="en-US" w:eastAsia="zh-CN"/>
        </w:rPr>
        <w:t xml:space="preserve">    （5）提供声明函不实或在政府采购活动中有违法违规行为的，取消其中标资格，并严格按照相关法律法规处理。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初审表：</w:t>
      </w:r>
    </w:p>
    <w:tbl>
      <w:tblPr>
        <w:tblStyle w:val="16"/>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所有投标产品的技术参数和性能指标逐一列出并提供相应的证明材料且标明页码。对招标原文件原文复制或只注明“符合”、“满足”等无具体证明材料，将视为不符合招标文件要标。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4"/>
        <w:spacing w:line="360" w:lineRule="auto"/>
        <w:rPr>
          <w:rFonts w:ascii="宋体" w:hAnsi="宋体"/>
          <w:color w:val="000000"/>
          <w:sz w:val="24"/>
          <w:szCs w:val="24"/>
        </w:rPr>
      </w:pPr>
      <w:bookmarkStart w:id="13" w:name="_Toc497408663"/>
      <w:r>
        <w:rPr>
          <w:rFonts w:hint="eastAsia" w:ascii="宋体" w:hAnsi="宋体"/>
          <w:color w:val="000000"/>
          <w:sz w:val="24"/>
          <w:szCs w:val="24"/>
        </w:rPr>
        <w:t>第七章 投标文件格式与要求</w:t>
      </w:r>
      <w:bookmarkEnd w:id="13"/>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二</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14"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14"/>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6"/>
        <w:spacing w:line="360" w:lineRule="auto"/>
        <w:ind w:left="57" w:right="57" w:firstLine="57"/>
        <w:rPr>
          <w:rFonts w:hAnsi="宋体"/>
          <w:bCs/>
          <w:color w:val="000000"/>
          <w:sz w:val="24"/>
          <w:szCs w:val="24"/>
        </w:rPr>
      </w:pPr>
    </w:p>
    <w:p>
      <w:pPr>
        <w:pStyle w:val="36"/>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15" w:name="_Toc496001220"/>
      <w:bookmarkStart w:id="16"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15"/>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6"/>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16"/>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17" w:name="_Toc491862100"/>
      <w:r>
        <w:rPr>
          <w:rFonts w:hint="eastAsia" w:hAnsi="宋体"/>
          <w:b/>
          <w:bCs/>
          <w:color w:val="000000"/>
          <w:sz w:val="24"/>
          <w:szCs w:val="24"/>
        </w:rPr>
        <w:t>格式十：</w:t>
      </w:r>
      <w:bookmarkEnd w:id="17"/>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6"/>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34"/>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18"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18"/>
      <w:r>
        <w:rPr>
          <w:rFonts w:hint="eastAsia" w:ascii="宋体" w:hAnsi="宋体" w:cs="Courier New"/>
          <w:color w:val="000000"/>
          <w:kern w:val="0"/>
          <w:sz w:val="24"/>
          <w:szCs w:val="24"/>
        </w:rPr>
        <w:t>。</w:t>
      </w:r>
    </w:p>
    <w:p>
      <w:pPr>
        <w:pStyle w:val="36"/>
        <w:spacing w:line="336" w:lineRule="auto"/>
        <w:ind w:firstLine="480" w:firstLineChars="200"/>
        <w:rPr>
          <w:rFonts w:hAnsi="宋体"/>
          <w:color w:val="000000"/>
          <w:sz w:val="24"/>
          <w:szCs w:val="24"/>
        </w:rPr>
      </w:pPr>
      <w:bookmarkStart w:id="19"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19"/>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1"/>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6"/>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0" w:name="_Toc438714732"/>
      <w:bookmarkStart w:id="21" w:name="_Toc482026556"/>
      <w:bookmarkStart w:id="22"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0"/>
      <w:bookmarkEnd w:id="21"/>
      <w:bookmarkEnd w:id="22"/>
    </w:p>
    <w:p>
      <w:pPr>
        <w:autoSpaceDE w:val="0"/>
        <w:autoSpaceDN w:val="0"/>
        <w:spacing w:line="360" w:lineRule="auto"/>
        <w:jc w:val="center"/>
        <w:rPr>
          <w:rFonts w:ascii="宋体" w:hAnsi="宋体"/>
          <w:b/>
          <w:bCs/>
          <w:color w:val="000000"/>
          <w:sz w:val="24"/>
          <w:szCs w:val="24"/>
        </w:rPr>
      </w:pPr>
      <w:bookmarkStart w:id="23" w:name="_Toc438655703"/>
      <w:bookmarkStart w:id="24" w:name="_Toc438714733"/>
      <w:bookmarkStart w:id="25" w:name="_Toc482026557"/>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23"/>
      <w:bookmarkEnd w:id="24"/>
      <w:bookmarkEnd w:id="25"/>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2"/>
          <w:rFonts w:hint="eastAsia" w:ascii="宋体" w:hAnsi="宋体" w:cs="宋体"/>
          <w:kern w:val="0"/>
          <w:sz w:val="24"/>
          <w:szCs w:val="24"/>
        </w:rPr>
        <w:t>www.creditchina.gov.cn</w:t>
      </w:r>
      <w:r>
        <w:rPr>
          <w:rStyle w:val="22"/>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2"/>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6"/>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4"/>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4"/>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4"/>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4"/>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4"/>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4"/>
              <w:tabs>
                <w:tab w:val="left" w:pos="1260"/>
              </w:tabs>
              <w:spacing w:before="156" w:after="156"/>
              <w:ind w:firstLine="480"/>
              <w:jc w:val="center"/>
              <w:rPr>
                <w:rFonts w:ascii="宋体" w:hAnsi="宋体" w:cs="宋体"/>
                <w:kern w:val="0"/>
                <w:sz w:val="24"/>
              </w:rPr>
            </w:pPr>
          </w:p>
        </w:tc>
        <w:tc>
          <w:tcPr>
            <w:tcW w:w="1702"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4"/>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4"/>
              <w:tabs>
                <w:tab w:val="left" w:pos="1260"/>
              </w:tabs>
              <w:spacing w:before="156" w:after="156"/>
              <w:ind w:firstLine="480"/>
              <w:jc w:val="center"/>
              <w:rPr>
                <w:rFonts w:ascii="宋体" w:hAnsi="宋体" w:cs="宋体"/>
                <w:kern w:val="0"/>
                <w:sz w:val="24"/>
              </w:rPr>
            </w:pPr>
          </w:p>
        </w:tc>
        <w:tc>
          <w:tcPr>
            <w:tcW w:w="1702" w:type="dxa"/>
            <w:vAlign w:val="center"/>
          </w:tcPr>
          <w:p>
            <w:pPr>
              <w:pStyle w:val="44"/>
              <w:tabs>
                <w:tab w:val="left" w:pos="1260"/>
              </w:tabs>
              <w:spacing w:before="40" w:after="40"/>
              <w:ind w:firstLine="480"/>
              <w:jc w:val="center"/>
              <w:rPr>
                <w:rFonts w:ascii="宋体" w:hAnsi="宋体" w:cs="宋体"/>
                <w:kern w:val="0"/>
                <w:sz w:val="24"/>
              </w:rPr>
            </w:pPr>
          </w:p>
        </w:tc>
        <w:tc>
          <w:tcPr>
            <w:tcW w:w="1196" w:type="dxa"/>
            <w:vAlign w:val="center"/>
          </w:tcPr>
          <w:p>
            <w:pPr>
              <w:pStyle w:val="44"/>
              <w:tabs>
                <w:tab w:val="left" w:pos="1260"/>
              </w:tabs>
              <w:spacing w:before="40" w:after="40"/>
              <w:ind w:firstLine="480"/>
              <w:jc w:val="center"/>
              <w:rPr>
                <w:rFonts w:ascii="宋体" w:hAnsi="宋体" w:cs="宋体"/>
                <w:kern w:val="0"/>
                <w:sz w:val="24"/>
              </w:rPr>
            </w:pPr>
          </w:p>
        </w:tc>
        <w:tc>
          <w:tcPr>
            <w:tcW w:w="1356" w:type="dxa"/>
            <w:vAlign w:val="center"/>
          </w:tcPr>
          <w:p>
            <w:pPr>
              <w:pStyle w:val="44"/>
              <w:tabs>
                <w:tab w:val="left" w:pos="1260"/>
              </w:tabs>
              <w:spacing w:before="40" w:after="40"/>
              <w:ind w:firstLine="480"/>
              <w:jc w:val="center"/>
              <w:rPr>
                <w:rFonts w:ascii="宋体" w:hAnsi="宋体" w:cs="宋体"/>
                <w:kern w:val="0"/>
                <w:sz w:val="24"/>
              </w:rPr>
            </w:pPr>
          </w:p>
        </w:tc>
        <w:tc>
          <w:tcPr>
            <w:tcW w:w="1960" w:type="dxa"/>
            <w:vAlign w:val="center"/>
          </w:tcPr>
          <w:p>
            <w:pPr>
              <w:pStyle w:val="44"/>
              <w:tabs>
                <w:tab w:val="left" w:pos="1260"/>
              </w:tabs>
              <w:spacing w:before="40" w:after="40"/>
              <w:ind w:firstLine="480"/>
              <w:jc w:val="center"/>
              <w:rPr>
                <w:rFonts w:ascii="宋体" w:hAnsi="宋体" w:cs="宋体"/>
                <w:kern w:val="0"/>
                <w:sz w:val="24"/>
              </w:rPr>
            </w:pPr>
          </w:p>
        </w:tc>
        <w:tc>
          <w:tcPr>
            <w:tcW w:w="1685" w:type="dxa"/>
            <w:vAlign w:val="center"/>
          </w:tcPr>
          <w:p>
            <w:pPr>
              <w:pStyle w:val="4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4"/>
              <w:tabs>
                <w:tab w:val="left" w:pos="1260"/>
              </w:tabs>
              <w:spacing w:before="156" w:after="156"/>
              <w:ind w:firstLine="480"/>
              <w:jc w:val="center"/>
              <w:rPr>
                <w:rFonts w:ascii="宋体" w:hAnsi="宋体" w:cs="宋体"/>
                <w:kern w:val="0"/>
                <w:sz w:val="24"/>
              </w:rPr>
            </w:pPr>
          </w:p>
        </w:tc>
        <w:tc>
          <w:tcPr>
            <w:tcW w:w="1702" w:type="dxa"/>
            <w:vAlign w:val="center"/>
          </w:tcPr>
          <w:p>
            <w:pPr>
              <w:pStyle w:val="44"/>
              <w:tabs>
                <w:tab w:val="left" w:pos="1260"/>
              </w:tabs>
              <w:spacing w:before="40" w:after="40"/>
              <w:ind w:firstLine="480"/>
              <w:jc w:val="center"/>
              <w:rPr>
                <w:rFonts w:ascii="宋体" w:hAnsi="宋体" w:cs="宋体"/>
                <w:kern w:val="0"/>
                <w:sz w:val="24"/>
              </w:rPr>
            </w:pPr>
          </w:p>
        </w:tc>
        <w:tc>
          <w:tcPr>
            <w:tcW w:w="1196" w:type="dxa"/>
            <w:vAlign w:val="center"/>
          </w:tcPr>
          <w:p>
            <w:pPr>
              <w:pStyle w:val="44"/>
              <w:tabs>
                <w:tab w:val="left" w:pos="1260"/>
              </w:tabs>
              <w:spacing w:before="40" w:after="40"/>
              <w:ind w:firstLine="480"/>
              <w:jc w:val="center"/>
              <w:rPr>
                <w:rFonts w:ascii="宋体" w:hAnsi="宋体" w:cs="宋体"/>
                <w:kern w:val="0"/>
                <w:sz w:val="24"/>
              </w:rPr>
            </w:pPr>
          </w:p>
        </w:tc>
        <w:tc>
          <w:tcPr>
            <w:tcW w:w="1356" w:type="dxa"/>
            <w:vAlign w:val="center"/>
          </w:tcPr>
          <w:p>
            <w:pPr>
              <w:pStyle w:val="44"/>
              <w:tabs>
                <w:tab w:val="left" w:pos="1260"/>
              </w:tabs>
              <w:spacing w:before="40" w:after="40"/>
              <w:ind w:firstLine="480"/>
              <w:jc w:val="center"/>
              <w:rPr>
                <w:rFonts w:ascii="宋体" w:hAnsi="宋体" w:cs="宋体"/>
                <w:kern w:val="0"/>
                <w:sz w:val="24"/>
              </w:rPr>
            </w:pPr>
          </w:p>
        </w:tc>
        <w:tc>
          <w:tcPr>
            <w:tcW w:w="1960" w:type="dxa"/>
            <w:vAlign w:val="center"/>
          </w:tcPr>
          <w:p>
            <w:pPr>
              <w:pStyle w:val="44"/>
              <w:tabs>
                <w:tab w:val="left" w:pos="1260"/>
              </w:tabs>
              <w:spacing w:before="40" w:after="40"/>
              <w:ind w:firstLine="480"/>
              <w:jc w:val="center"/>
              <w:rPr>
                <w:rFonts w:ascii="宋体" w:hAnsi="宋体" w:cs="宋体"/>
                <w:kern w:val="0"/>
                <w:sz w:val="24"/>
              </w:rPr>
            </w:pPr>
          </w:p>
        </w:tc>
        <w:tc>
          <w:tcPr>
            <w:tcW w:w="1685" w:type="dxa"/>
            <w:vAlign w:val="center"/>
          </w:tcPr>
          <w:p>
            <w:pPr>
              <w:pStyle w:val="4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4"/>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4"/>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4"/>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4"/>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26" w:name="OLE_LINK5"/>
      <w:bookmarkStart w:id="27" w:name="OLE_LINK2"/>
      <w:r>
        <w:rPr>
          <w:rFonts w:hint="eastAsia" w:ascii="宋体" w:hAnsi="宋体" w:cs="宋体"/>
          <w:kern w:val="0"/>
          <w:sz w:val="24"/>
          <w:szCs w:val="24"/>
        </w:rPr>
        <w:t>______（请填写：中型、小型、微型）企业</w:t>
      </w:r>
      <w:bookmarkEnd w:id="26"/>
      <w:bookmarkEnd w:id="2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w:t>
      </w:r>
      <w:r>
        <w:rPr>
          <w:rFonts w:hint="eastAsia" w:ascii="宋体" w:hAnsi="宋体"/>
          <w:b/>
          <w:bCs/>
          <w:color w:val="000000"/>
          <w:kern w:val="0"/>
          <w:sz w:val="24"/>
          <w:szCs w:val="24"/>
          <w:lang w:val="en-US" w:eastAsia="zh-CN"/>
        </w:rPr>
        <w:t>四</w:t>
      </w:r>
      <w:r>
        <w:rPr>
          <w:rFonts w:hint="eastAsia" w:ascii="宋体" w:hAnsi="宋体"/>
          <w:b/>
          <w:bCs/>
          <w:color w:val="000000"/>
          <w:kern w:val="0"/>
          <w:sz w:val="24"/>
          <w:szCs w:val="24"/>
        </w:rPr>
        <w:t>：</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6"/>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28" w:name="_Toc497408664"/>
      <w:r>
        <w:rPr>
          <w:rFonts w:hint="eastAsia" w:ascii="宋体" w:hAnsi="宋体"/>
          <w:b/>
          <w:color w:val="000000"/>
          <w:sz w:val="24"/>
          <w:szCs w:val="24"/>
        </w:rPr>
        <w:t>温馨提示</w:t>
      </w:r>
      <w:bookmarkEnd w:id="28"/>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3"/>
      <w:lvlText w:val="%5)"/>
      <w:lvlJc w:val="left"/>
      <w:pPr>
        <w:tabs>
          <w:tab w:val="left" w:pos="2649"/>
        </w:tabs>
        <w:ind w:left="2649" w:hanging="420"/>
      </w:pPr>
    </w:lvl>
    <w:lvl w:ilvl="5" w:tentative="0">
      <w:start w:val="1"/>
      <w:numFmt w:val="lowerRoman"/>
      <w:pStyle w:val="4"/>
      <w:lvlText w:val="%6."/>
      <w:lvlJc w:val="right"/>
      <w:pPr>
        <w:tabs>
          <w:tab w:val="left" w:pos="3069"/>
        </w:tabs>
        <w:ind w:left="3069" w:hanging="420"/>
      </w:pPr>
    </w:lvl>
    <w:lvl w:ilvl="6" w:tentative="0">
      <w:start w:val="1"/>
      <w:numFmt w:val="decimal"/>
      <w:pStyle w:val="5"/>
      <w:lvlText w:val="%7."/>
      <w:lvlJc w:val="left"/>
      <w:pPr>
        <w:tabs>
          <w:tab w:val="left" w:pos="3489"/>
        </w:tabs>
        <w:ind w:left="3489" w:hanging="420"/>
      </w:pPr>
    </w:lvl>
    <w:lvl w:ilvl="7" w:tentative="0">
      <w:start w:val="1"/>
      <w:numFmt w:val="lowerLetter"/>
      <w:pStyle w:val="6"/>
      <w:lvlText w:val="%8)"/>
      <w:lvlJc w:val="left"/>
      <w:pPr>
        <w:tabs>
          <w:tab w:val="left" w:pos="3909"/>
        </w:tabs>
        <w:ind w:left="3909" w:hanging="420"/>
      </w:pPr>
    </w:lvl>
    <w:lvl w:ilvl="8" w:tentative="0">
      <w:start w:val="1"/>
      <w:numFmt w:val="lowerRoman"/>
      <w:pStyle w:val="7"/>
      <w:lvlText w:val="%9."/>
      <w:lvlJc w:val="right"/>
      <w:pPr>
        <w:tabs>
          <w:tab w:val="left" w:pos="4329"/>
        </w:tabs>
        <w:ind w:left="4329" w:hanging="420"/>
      </w:pPr>
    </w:lvl>
  </w:abstractNum>
  <w:abstractNum w:abstractNumId="1">
    <w:nsid w:val="5705E00B"/>
    <w:multiLevelType w:val="singleLevel"/>
    <w:tmpl w:val="5705E00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3019CA"/>
    <w:rsid w:val="00342D46"/>
    <w:rsid w:val="00423E2D"/>
    <w:rsid w:val="00496F72"/>
    <w:rsid w:val="00594847"/>
    <w:rsid w:val="00AE35D4"/>
    <w:rsid w:val="00FB409C"/>
    <w:rsid w:val="00FC2F80"/>
    <w:rsid w:val="01936DB4"/>
    <w:rsid w:val="086266FF"/>
    <w:rsid w:val="095F2842"/>
    <w:rsid w:val="09B72DB1"/>
    <w:rsid w:val="0F6A5613"/>
    <w:rsid w:val="1037203B"/>
    <w:rsid w:val="176604A4"/>
    <w:rsid w:val="17E45C5B"/>
    <w:rsid w:val="1A39133A"/>
    <w:rsid w:val="2150429A"/>
    <w:rsid w:val="26011572"/>
    <w:rsid w:val="27C97BB0"/>
    <w:rsid w:val="27E809FC"/>
    <w:rsid w:val="2ABF1610"/>
    <w:rsid w:val="2E895675"/>
    <w:rsid w:val="34C073E5"/>
    <w:rsid w:val="38F335BE"/>
    <w:rsid w:val="39CF7858"/>
    <w:rsid w:val="3AC130DA"/>
    <w:rsid w:val="3C6A631D"/>
    <w:rsid w:val="43813A76"/>
    <w:rsid w:val="448226F7"/>
    <w:rsid w:val="485D7099"/>
    <w:rsid w:val="48A52031"/>
    <w:rsid w:val="496E66D4"/>
    <w:rsid w:val="50CE1A60"/>
    <w:rsid w:val="5129651B"/>
    <w:rsid w:val="51EB6216"/>
    <w:rsid w:val="53606956"/>
    <w:rsid w:val="537E1D0A"/>
    <w:rsid w:val="56D26AE4"/>
    <w:rsid w:val="5853522A"/>
    <w:rsid w:val="59E503A1"/>
    <w:rsid w:val="5D55084B"/>
    <w:rsid w:val="5D9848E8"/>
    <w:rsid w:val="61C81C7F"/>
    <w:rsid w:val="653F5FCC"/>
    <w:rsid w:val="663B1B23"/>
    <w:rsid w:val="69DD4563"/>
    <w:rsid w:val="69FB5DAD"/>
    <w:rsid w:val="6AD33952"/>
    <w:rsid w:val="6B01629A"/>
    <w:rsid w:val="6D8C099A"/>
    <w:rsid w:val="6EA631FA"/>
    <w:rsid w:val="6F601391"/>
    <w:rsid w:val="6FA57FE8"/>
    <w:rsid w:val="6FEF5919"/>
    <w:rsid w:val="7057377B"/>
    <w:rsid w:val="768D2181"/>
    <w:rsid w:val="78DD67C0"/>
    <w:rsid w:val="7B3B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5"/>
    <w:basedOn w:val="1"/>
    <w:next w:val="1"/>
    <w:link w:val="45"/>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4">
    <w:name w:val="heading 6"/>
    <w:basedOn w:val="1"/>
    <w:next w:val="1"/>
    <w:link w:val="46"/>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5">
    <w:name w:val="heading 7"/>
    <w:basedOn w:val="1"/>
    <w:next w:val="1"/>
    <w:link w:val="47"/>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6">
    <w:name w:val="heading 8"/>
    <w:basedOn w:val="1"/>
    <w:next w:val="1"/>
    <w:link w:val="48"/>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7">
    <w:name w:val="heading 9"/>
    <w:basedOn w:val="1"/>
    <w:next w:val="1"/>
    <w:link w:val="49"/>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2"/>
    <w:basedOn w:val="1"/>
    <w:qFormat/>
    <w:uiPriority w:val="0"/>
    <w:pPr>
      <w:spacing w:line="480" w:lineRule="auto"/>
    </w:pPr>
  </w:style>
  <w:style w:type="paragraph" w:styleId="8">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9">
    <w:name w:val="footer"/>
    <w:basedOn w:val="1"/>
    <w:link w:val="50"/>
    <w:qFormat/>
    <w:uiPriority w:val="0"/>
    <w:pPr>
      <w:tabs>
        <w:tab w:val="center" w:pos="4153"/>
        <w:tab w:val="right" w:pos="8306"/>
      </w:tabs>
      <w:snapToGrid w:val="0"/>
      <w:jc w:val="left"/>
    </w:pPr>
    <w:rPr>
      <w:sz w:val="18"/>
      <w:szCs w:val="18"/>
    </w:rPr>
  </w:style>
  <w:style w:type="paragraph" w:styleId="10">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spacing w:before="120" w:after="120"/>
      <w:jc w:val="left"/>
    </w:pPr>
    <w:rPr>
      <w:b/>
      <w:bCs/>
      <w:caps/>
    </w:rPr>
  </w:style>
  <w:style w:type="paragraph" w:styleId="12">
    <w:name w:val="Subtitle"/>
    <w:basedOn w:val="1"/>
    <w:next w:val="1"/>
    <w:link w:val="52"/>
    <w:qFormat/>
    <w:uiPriority w:val="0"/>
    <w:pPr>
      <w:spacing w:before="240" w:after="60" w:line="312" w:lineRule="auto"/>
      <w:jc w:val="center"/>
      <w:outlineLvl w:val="1"/>
    </w:pPr>
    <w:rPr>
      <w:rFonts w:ascii="Cambria" w:hAnsi="Cambria" w:eastAsia="方正楷体简体"/>
      <w:bCs/>
      <w:kern w:val="28"/>
      <w:szCs w:val="32"/>
    </w:rPr>
  </w:style>
  <w:style w:type="paragraph" w:styleId="13">
    <w:name w:val="toc 2"/>
    <w:basedOn w:val="1"/>
    <w:next w:val="1"/>
    <w:qFormat/>
    <w:uiPriority w:val="0"/>
    <w:pPr>
      <w:ind w:left="420" w:leftChars="200"/>
    </w:pPr>
    <w:rPr>
      <w:sz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53"/>
    <w:qFormat/>
    <w:uiPriority w:val="0"/>
    <w:pPr>
      <w:spacing w:before="240" w:after="60"/>
      <w:jc w:val="center"/>
      <w:outlineLvl w:val="0"/>
    </w:pPr>
    <w:rPr>
      <w:rFonts w:ascii="Cambria" w:hAnsi="Cambria" w:eastAsia="方正小标宋简体"/>
      <w:b/>
      <w:bCs/>
      <w:sz w:val="44"/>
      <w:szCs w:val="32"/>
    </w:rPr>
  </w:style>
  <w:style w:type="table" w:styleId="17">
    <w:name w:val="Table Grid"/>
    <w:basedOn w:val="1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qFormat/>
    <w:uiPriority w:val="0"/>
    <w:rPr>
      <w:b/>
    </w:rPr>
  </w:style>
  <w:style w:type="character" w:styleId="20">
    <w:name w:val="FollowedHyperlink"/>
    <w:basedOn w:val="18"/>
    <w:qFormat/>
    <w:uiPriority w:val="0"/>
    <w:rPr>
      <w:color w:val="333333"/>
      <w:u w:val="none"/>
    </w:rPr>
  </w:style>
  <w:style w:type="character" w:styleId="21">
    <w:name w:val="Emphasis"/>
    <w:qFormat/>
    <w:uiPriority w:val="0"/>
    <w:rPr>
      <w:rFonts w:hint="default" w:ascii="Times New Roman" w:hAnsi="Times New Roman" w:cs="Times New Roman"/>
    </w:rPr>
  </w:style>
  <w:style w:type="character" w:styleId="22">
    <w:name w:val="Hyperlink"/>
    <w:basedOn w:val="18"/>
    <w:qFormat/>
    <w:uiPriority w:val="0"/>
    <w:rPr>
      <w:color w:val="333333"/>
      <w:u w:val="none"/>
    </w:rPr>
  </w:style>
  <w:style w:type="character" w:customStyle="1" w:styleId="23">
    <w:name w:val="标题 1 Char"/>
    <w:link w:val="24"/>
    <w:semiHidden/>
    <w:qFormat/>
    <w:uiPriority w:val="0"/>
    <w:rPr>
      <w:rFonts w:ascii="Times New Roman" w:hAnsi="Times New Roman"/>
      <w:b/>
      <w:bCs/>
      <w:kern w:val="44"/>
      <w:sz w:val="36"/>
      <w:szCs w:val="44"/>
    </w:rPr>
  </w:style>
  <w:style w:type="paragraph" w:customStyle="1" w:styleId="24">
    <w:name w:val="标题 11"/>
    <w:basedOn w:val="1"/>
    <w:next w:val="1"/>
    <w:link w:val="23"/>
    <w:qFormat/>
    <w:uiPriority w:val="0"/>
    <w:pPr>
      <w:keepNext/>
      <w:keepLines/>
      <w:spacing w:before="340" w:after="330" w:line="576" w:lineRule="auto"/>
      <w:jc w:val="center"/>
      <w:outlineLvl w:val="0"/>
    </w:pPr>
    <w:rPr>
      <w:b/>
      <w:bCs/>
      <w:kern w:val="44"/>
      <w:sz w:val="36"/>
      <w:szCs w:val="44"/>
    </w:rPr>
  </w:style>
  <w:style w:type="character" w:customStyle="1" w:styleId="25">
    <w:name w:val="标题 2 Char"/>
    <w:link w:val="26"/>
    <w:semiHidden/>
    <w:qFormat/>
    <w:uiPriority w:val="0"/>
    <w:rPr>
      <w:rFonts w:ascii="Arial" w:hAnsi="Arial" w:eastAsia="黑体"/>
      <w:b/>
      <w:bCs/>
      <w:sz w:val="32"/>
      <w:szCs w:val="32"/>
    </w:rPr>
  </w:style>
  <w:style w:type="paragraph" w:customStyle="1" w:styleId="26">
    <w:name w:val="标题 21"/>
    <w:basedOn w:val="1"/>
    <w:next w:val="1"/>
    <w:link w:val="25"/>
    <w:qFormat/>
    <w:uiPriority w:val="0"/>
    <w:pPr>
      <w:keepNext/>
      <w:keepLines/>
      <w:spacing w:before="260" w:after="260" w:line="413" w:lineRule="auto"/>
      <w:outlineLvl w:val="1"/>
    </w:pPr>
    <w:rPr>
      <w:rFonts w:ascii="Arial" w:hAnsi="Arial" w:eastAsia="黑体"/>
      <w:b/>
      <w:bCs/>
      <w:sz w:val="32"/>
      <w:szCs w:val="32"/>
    </w:rPr>
  </w:style>
  <w:style w:type="character" w:customStyle="1" w:styleId="27">
    <w:name w:val="标题 3 Char"/>
    <w:link w:val="28"/>
    <w:semiHidden/>
    <w:qFormat/>
    <w:uiPriority w:val="0"/>
    <w:rPr>
      <w:rFonts w:ascii="Times New Roman" w:hAnsi="Times New Roman"/>
      <w:b/>
      <w:bCs/>
      <w:sz w:val="32"/>
      <w:szCs w:val="32"/>
    </w:rPr>
  </w:style>
  <w:style w:type="paragraph" w:customStyle="1" w:styleId="28">
    <w:name w:val="标题 31"/>
    <w:basedOn w:val="1"/>
    <w:next w:val="1"/>
    <w:link w:val="27"/>
    <w:qFormat/>
    <w:uiPriority w:val="0"/>
    <w:pPr>
      <w:keepNext/>
      <w:keepLines/>
      <w:spacing w:before="260" w:after="260" w:line="413" w:lineRule="auto"/>
      <w:outlineLvl w:val="2"/>
    </w:pPr>
    <w:rPr>
      <w:b/>
      <w:bCs/>
      <w:sz w:val="32"/>
      <w:szCs w:val="32"/>
    </w:rPr>
  </w:style>
  <w:style w:type="character" w:customStyle="1" w:styleId="29">
    <w:name w:val="标题 4 Char"/>
    <w:link w:val="30"/>
    <w:semiHidden/>
    <w:qFormat/>
    <w:uiPriority w:val="0"/>
    <w:rPr>
      <w:rFonts w:ascii="仿宋_GB2312" w:hAnsi="Times New Roman" w:eastAsia="仿宋_GB2312"/>
      <w:sz w:val="28"/>
      <w:szCs w:val="24"/>
    </w:rPr>
  </w:style>
  <w:style w:type="paragraph" w:customStyle="1" w:styleId="30">
    <w:name w:val="标题 41"/>
    <w:basedOn w:val="1"/>
    <w:next w:val="1"/>
    <w:link w:val="29"/>
    <w:qFormat/>
    <w:uiPriority w:val="0"/>
    <w:pPr>
      <w:keepNext/>
      <w:spacing w:line="440" w:lineRule="exact"/>
      <w:jc w:val="center"/>
      <w:outlineLvl w:val="3"/>
    </w:pPr>
    <w:rPr>
      <w:rFonts w:ascii="仿宋_GB2312" w:eastAsia="仿宋_GB2312"/>
      <w:szCs w:val="24"/>
    </w:rPr>
  </w:style>
  <w:style w:type="character" w:customStyle="1" w:styleId="31">
    <w:name w:val="正文文本 3 Char"/>
    <w:link w:val="32"/>
    <w:semiHidden/>
    <w:qFormat/>
    <w:uiPriority w:val="0"/>
    <w:rPr>
      <w:rFonts w:ascii="黑体" w:hAnsi="Arial" w:eastAsia="黑体"/>
      <w:b/>
      <w:sz w:val="28"/>
    </w:rPr>
  </w:style>
  <w:style w:type="paragraph" w:customStyle="1" w:styleId="32">
    <w:name w:val="正文文本 31"/>
    <w:basedOn w:val="1"/>
    <w:link w:val="31"/>
    <w:qFormat/>
    <w:uiPriority w:val="0"/>
    <w:rPr>
      <w:rFonts w:ascii="黑体" w:hAnsi="Arial" w:eastAsia="黑体"/>
      <w:b/>
    </w:rPr>
  </w:style>
  <w:style w:type="character" w:customStyle="1" w:styleId="33">
    <w:name w:val="正文文本缩进 Char"/>
    <w:basedOn w:val="18"/>
    <w:link w:val="34"/>
    <w:semiHidden/>
    <w:qFormat/>
    <w:uiPriority w:val="0"/>
    <w:rPr>
      <w:rFonts w:ascii="Times New Roman" w:hAnsi="Times New Roman"/>
      <w:kern w:val="2"/>
      <w:sz w:val="28"/>
    </w:rPr>
  </w:style>
  <w:style w:type="paragraph" w:customStyle="1" w:styleId="34">
    <w:name w:val="正文文本缩进1"/>
    <w:basedOn w:val="1"/>
    <w:link w:val="33"/>
    <w:qFormat/>
    <w:uiPriority w:val="0"/>
    <w:pPr>
      <w:spacing w:after="120"/>
      <w:ind w:left="420" w:leftChars="200"/>
    </w:pPr>
  </w:style>
  <w:style w:type="character" w:customStyle="1" w:styleId="35">
    <w:name w:val="纯文本 Char"/>
    <w:link w:val="36"/>
    <w:semiHidden/>
    <w:qFormat/>
    <w:uiPriority w:val="0"/>
    <w:rPr>
      <w:rFonts w:ascii="宋体" w:hAnsi="Courier New" w:cs="Courier New"/>
      <w:szCs w:val="21"/>
    </w:rPr>
  </w:style>
  <w:style w:type="paragraph" w:customStyle="1" w:styleId="36">
    <w:name w:val="纯文本1"/>
    <w:basedOn w:val="1"/>
    <w:link w:val="35"/>
    <w:qFormat/>
    <w:uiPriority w:val="0"/>
    <w:rPr>
      <w:rFonts w:ascii="宋体" w:hAnsi="Courier New" w:cs="Courier New"/>
      <w:szCs w:val="21"/>
    </w:rPr>
  </w:style>
  <w:style w:type="character" w:customStyle="1" w:styleId="37">
    <w:name w:val="批注框文本 Char"/>
    <w:basedOn w:val="18"/>
    <w:link w:val="38"/>
    <w:semiHidden/>
    <w:qFormat/>
    <w:uiPriority w:val="0"/>
    <w:rPr>
      <w:rFonts w:ascii="Times New Roman" w:hAnsi="Times New Roman"/>
      <w:kern w:val="2"/>
      <w:sz w:val="18"/>
      <w:szCs w:val="18"/>
    </w:rPr>
  </w:style>
  <w:style w:type="paragraph" w:customStyle="1" w:styleId="38">
    <w:name w:val="批注框文本1"/>
    <w:basedOn w:val="1"/>
    <w:link w:val="37"/>
    <w:qFormat/>
    <w:uiPriority w:val="0"/>
    <w:rPr>
      <w:sz w:val="18"/>
      <w:szCs w:val="18"/>
    </w:rPr>
  </w:style>
  <w:style w:type="paragraph" w:customStyle="1" w:styleId="39">
    <w:name w:val="列出段落1"/>
    <w:basedOn w:val="1"/>
    <w:qFormat/>
    <w:uiPriority w:val="0"/>
    <w:pPr>
      <w:ind w:firstLine="420" w:firstLineChars="200"/>
    </w:pPr>
    <w:rPr>
      <w:rFonts w:ascii="Calibri" w:hAnsi="Calibri"/>
      <w:szCs w:val="22"/>
    </w:rPr>
  </w:style>
  <w:style w:type="paragraph" w:customStyle="1" w:styleId="40">
    <w:name w:val="无间隔1"/>
    <w:link w:val="54"/>
    <w:qFormat/>
    <w:uiPriority w:val="0"/>
    <w:rPr>
      <w:rFonts w:ascii="Calibri" w:hAnsi="Calibri" w:eastAsia="宋体" w:cs="Calibri"/>
      <w:sz w:val="22"/>
      <w:lang w:val="en-US" w:eastAsia="zh-CN" w:bidi="ar-SA"/>
    </w:rPr>
  </w:style>
  <w:style w:type="paragraph" w:customStyle="1" w:styleId="41">
    <w:name w:val="列出段落2"/>
    <w:basedOn w:val="1"/>
    <w:qFormat/>
    <w:uiPriority w:val="0"/>
    <w:pPr>
      <w:ind w:firstLine="420" w:firstLineChars="200"/>
    </w:pPr>
    <w:rPr>
      <w:szCs w:val="21"/>
    </w:rPr>
  </w:style>
  <w:style w:type="paragraph" w:customStyle="1" w:styleId="42">
    <w:name w:val="TOC 标题1"/>
    <w:basedOn w:val="2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3">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4">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5">
    <w:name w:val="标题 5 Char"/>
    <w:link w:val="3"/>
    <w:qFormat/>
    <w:uiPriority w:val="0"/>
    <w:rPr>
      <w:rFonts w:ascii="宋体" w:hAnsi="宋体"/>
      <w:b/>
      <w:kern w:val="21"/>
      <w:sz w:val="28"/>
      <w:lang w:eastAsia="ar-SA"/>
    </w:rPr>
  </w:style>
  <w:style w:type="character" w:customStyle="1" w:styleId="46">
    <w:name w:val="标题 6 Char"/>
    <w:link w:val="4"/>
    <w:qFormat/>
    <w:uiPriority w:val="0"/>
    <w:rPr>
      <w:rFonts w:ascii="Arial" w:hAnsi="Arial" w:eastAsia="黑体"/>
      <w:b/>
      <w:kern w:val="21"/>
      <w:sz w:val="24"/>
      <w:lang w:eastAsia="ar-SA"/>
    </w:rPr>
  </w:style>
  <w:style w:type="character" w:customStyle="1" w:styleId="47">
    <w:name w:val="标题 7 Char"/>
    <w:link w:val="5"/>
    <w:qFormat/>
    <w:uiPriority w:val="0"/>
    <w:rPr>
      <w:rFonts w:ascii="宋体" w:hAnsi="宋体"/>
      <w:b/>
      <w:kern w:val="21"/>
      <w:sz w:val="24"/>
      <w:lang w:eastAsia="ar-SA"/>
    </w:rPr>
  </w:style>
  <w:style w:type="character" w:customStyle="1" w:styleId="48">
    <w:name w:val="标题 8 Char"/>
    <w:link w:val="6"/>
    <w:qFormat/>
    <w:uiPriority w:val="0"/>
    <w:rPr>
      <w:rFonts w:ascii="Arial" w:hAnsi="Arial" w:eastAsia="黑体"/>
      <w:kern w:val="21"/>
      <w:sz w:val="24"/>
      <w:lang w:eastAsia="ar-SA"/>
    </w:rPr>
  </w:style>
  <w:style w:type="character" w:customStyle="1" w:styleId="49">
    <w:name w:val="标题 9 Char"/>
    <w:link w:val="7"/>
    <w:qFormat/>
    <w:uiPriority w:val="0"/>
    <w:rPr>
      <w:rFonts w:ascii="Arial" w:hAnsi="Arial" w:eastAsia="黑体"/>
      <w:kern w:val="21"/>
      <w:sz w:val="21"/>
      <w:lang w:eastAsia="ar-SA"/>
    </w:rPr>
  </w:style>
  <w:style w:type="character" w:customStyle="1" w:styleId="50">
    <w:name w:val="页脚 Char"/>
    <w:basedOn w:val="18"/>
    <w:link w:val="9"/>
    <w:qFormat/>
    <w:uiPriority w:val="0"/>
    <w:rPr>
      <w:rFonts w:ascii="Times New Roman" w:hAnsi="Times New Roman"/>
      <w:kern w:val="2"/>
      <w:sz w:val="18"/>
      <w:szCs w:val="18"/>
    </w:rPr>
  </w:style>
  <w:style w:type="character" w:customStyle="1" w:styleId="51">
    <w:name w:val="页眉 Char"/>
    <w:basedOn w:val="18"/>
    <w:link w:val="10"/>
    <w:qFormat/>
    <w:uiPriority w:val="0"/>
    <w:rPr>
      <w:rFonts w:ascii="Times New Roman" w:hAnsi="Times New Roman"/>
      <w:kern w:val="2"/>
      <w:sz w:val="18"/>
      <w:szCs w:val="18"/>
    </w:rPr>
  </w:style>
  <w:style w:type="character" w:customStyle="1" w:styleId="52">
    <w:name w:val="副标题 Char"/>
    <w:link w:val="12"/>
    <w:qFormat/>
    <w:uiPriority w:val="0"/>
    <w:rPr>
      <w:rFonts w:ascii="Cambria" w:hAnsi="Cambria" w:eastAsia="方正楷体简体"/>
      <w:bCs/>
      <w:kern w:val="28"/>
      <w:szCs w:val="32"/>
    </w:rPr>
  </w:style>
  <w:style w:type="character" w:customStyle="1" w:styleId="53">
    <w:name w:val="标题 Char"/>
    <w:link w:val="15"/>
    <w:qFormat/>
    <w:uiPriority w:val="0"/>
    <w:rPr>
      <w:rFonts w:ascii="Cambria" w:hAnsi="Cambria" w:eastAsia="方正小标宋简体"/>
      <w:b/>
      <w:bCs/>
      <w:sz w:val="44"/>
      <w:szCs w:val="32"/>
    </w:rPr>
  </w:style>
  <w:style w:type="character" w:customStyle="1" w:styleId="54">
    <w:name w:val="无间隔 Char"/>
    <w:link w:val="40"/>
    <w:semiHidden/>
    <w:qFormat/>
    <w:uiPriority w:val="0"/>
    <w:rPr>
      <w:sz w:val="22"/>
    </w:rPr>
  </w:style>
  <w:style w:type="character" w:customStyle="1" w:styleId="55">
    <w:name w:val="正文文本 3 Char1"/>
    <w:basedOn w:val="18"/>
    <w:qFormat/>
    <w:uiPriority w:val="0"/>
    <w:rPr>
      <w:rFonts w:ascii="Times New Roman" w:hAnsi="Times New Roman"/>
      <w:kern w:val="2"/>
      <w:sz w:val="16"/>
      <w:szCs w:val="16"/>
    </w:rPr>
  </w:style>
  <w:style w:type="paragraph" w:styleId="5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4441</Words>
  <Characters>25320</Characters>
  <Lines>211</Lines>
  <Paragraphs>59</Paragraphs>
  <TotalTime>9</TotalTime>
  <ScaleCrop>false</ScaleCrop>
  <LinksUpToDate>false</LinksUpToDate>
  <CharactersWithSpaces>29702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2019-06-06T07:50:00Z</dcterms:created>
  <dc:creator>Administrator</dc:creator>
  <cp:lastModifiedBy>乔志忠</cp:lastModifiedBy>
  <cp:lastPrinted>2019-06-06T07:50:00Z</cp:lastPrinted>
  <dcterms:modified xsi:type="dcterms:W3CDTF">2019-07-25T02:56:58Z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