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line="360" w:lineRule="auto"/>
        <w:ind w:right="356" w:rightChars="127"/>
        <w:jc w:val="center"/>
        <w:rPr>
          <w:rFonts w:hint="eastAsia" w:ascii="宋体" w:hAnsi="宋体" w:eastAsia="宋体"/>
          <w:color w:val="000000"/>
          <w:szCs w:val="28"/>
          <w:lang w:eastAsia="zh-CN"/>
        </w:rPr>
      </w:pPr>
      <w:r>
        <w:rPr>
          <w:rFonts w:hint="eastAsia" w:ascii="宋体" w:hAnsi="宋体"/>
          <w:b/>
          <w:color w:val="000000"/>
          <w:szCs w:val="28"/>
          <w:lang w:eastAsia="zh-CN"/>
        </w:rPr>
        <w:t>最低评标价法</w:t>
      </w:r>
    </w:p>
    <w:p>
      <w:pPr>
        <w:tabs>
          <w:tab w:val="left" w:pos="315"/>
          <w:tab w:val="left" w:pos="8820"/>
        </w:tabs>
        <w:spacing w:line="360" w:lineRule="auto"/>
        <w:ind w:right="356" w:rightChars="127"/>
        <w:rPr>
          <w:rFonts w:ascii="宋体" w:hAnsi="宋体"/>
          <w:color w:val="000000"/>
          <w:szCs w:val="28"/>
        </w:rPr>
      </w:pPr>
    </w:p>
    <w:p>
      <w:pPr>
        <w:pStyle w:val="17"/>
        <w:spacing w:line="360" w:lineRule="auto"/>
        <w:ind w:firstLine="562" w:firstLineChars="2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准格尔旗教育体育局采购玻璃圪旦、五家尧、龙口小学和准八中、准四中室内外监控项目</w:t>
      </w:r>
    </w:p>
    <w:p>
      <w:pPr>
        <w:widowControl/>
        <w:wordWrap w:val="0"/>
        <w:ind w:firstLine="562" w:firstLineChars="200"/>
        <w:rPr>
          <w:rFonts w:hint="eastAsia" w:ascii="宋体" w:hAnsi="宋体" w:eastAsia="宋体"/>
          <w:b/>
          <w:color w:val="000000"/>
          <w:szCs w:val="28"/>
          <w:lang w:eastAsia="zh-CN"/>
        </w:rPr>
      </w:pPr>
      <w:r>
        <w:rPr>
          <w:rFonts w:hint="eastAsia" w:ascii="宋体" w:hAnsi="宋体"/>
          <w:b/>
          <w:color w:val="000000"/>
          <w:szCs w:val="28"/>
        </w:rPr>
        <w:t>项目编号：</w:t>
      </w:r>
      <w:r>
        <w:rPr>
          <w:rFonts w:hint="eastAsia" w:ascii="宋体" w:hAnsi="宋体"/>
          <w:b/>
          <w:color w:val="000000"/>
          <w:szCs w:val="28"/>
          <w:lang w:eastAsia="zh-CN"/>
        </w:rPr>
        <w:t>CG2019HGK2</w:t>
      </w:r>
      <w:r>
        <w:rPr>
          <w:rFonts w:hint="eastAsia" w:ascii="宋体" w:hAnsi="宋体"/>
          <w:b/>
          <w:color w:val="000000"/>
          <w:szCs w:val="28"/>
          <w:lang w:val="en-US" w:eastAsia="zh-CN"/>
        </w:rPr>
        <w:t>2</w:t>
      </w:r>
      <w:r>
        <w:rPr>
          <w:rFonts w:hint="eastAsia" w:ascii="宋体" w:hAnsi="宋体"/>
          <w:b/>
          <w:color w:val="000000"/>
          <w:szCs w:val="28"/>
          <w:lang w:eastAsia="zh-CN"/>
        </w:rPr>
        <w:t>66</w:t>
      </w: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rPr>
        <w:t>20</w:t>
      </w:r>
      <w:r>
        <w:rPr>
          <w:rFonts w:hint="eastAsia" w:ascii="宋体" w:hAnsi="宋体"/>
          <w:color w:val="000000"/>
          <w:szCs w:val="28"/>
          <w:lang w:val="en-US" w:eastAsia="zh-CN"/>
        </w:rPr>
        <w:t>20</w:t>
      </w:r>
      <w:r>
        <w:rPr>
          <w:rFonts w:hint="eastAsia" w:ascii="宋体" w:hAnsi="宋体"/>
          <w:color w:val="000000"/>
          <w:szCs w:val="28"/>
        </w:rPr>
        <w:t>年</w:t>
      </w:r>
      <w:r>
        <w:rPr>
          <w:rFonts w:hint="eastAsia" w:ascii="宋体" w:hAnsi="宋体"/>
          <w:color w:val="000000"/>
          <w:szCs w:val="28"/>
          <w:lang w:val="en-US" w:eastAsia="zh-CN"/>
        </w:rPr>
        <w:t>4</w:t>
      </w:r>
      <w:r>
        <w:rPr>
          <w:rFonts w:hint="eastAsia" w:ascii="宋体" w:hAnsi="宋体"/>
          <w:color w:val="000000"/>
          <w:szCs w:val="28"/>
        </w:rPr>
        <w:t>月</w:t>
      </w:r>
    </w:p>
    <w:p>
      <w:pPr>
        <w:jc w:val="center"/>
        <w:rPr>
          <w:rFonts w:ascii="宋体" w:hAnsi="宋体"/>
          <w:color w:val="000000"/>
          <w:szCs w:val="28"/>
        </w:rPr>
      </w:pPr>
    </w:p>
    <w:p>
      <w:pPr>
        <w:jc w:val="center"/>
        <w:rPr>
          <w:rFonts w:ascii="宋体" w:hAnsi="宋体"/>
          <w:color w:val="000000"/>
          <w:szCs w:val="28"/>
        </w:rPr>
      </w:pPr>
      <w:r>
        <w:rPr>
          <w:rFonts w:ascii="宋体" w:hAnsi="宋体"/>
          <w:color w:val="000000"/>
          <w:szCs w:val="28"/>
        </w:rPr>
        <w:br w:type="page"/>
      </w:r>
    </w:p>
    <w:p>
      <w:pPr>
        <w:pStyle w:val="41"/>
        <w:spacing w:before="0" w:line="360" w:lineRule="auto"/>
        <w:jc w:val="center"/>
        <w:rPr>
          <w:rFonts w:ascii="宋体" w:hAnsi="宋体"/>
          <w:color w:val="000000"/>
          <w:lang w:val="zh-CN"/>
        </w:rPr>
      </w:pPr>
      <w:r>
        <w:rPr>
          <w:rFonts w:hint="eastAsia" w:ascii="宋体" w:hAnsi="宋体"/>
          <w:color w:val="000000"/>
          <w:lang w:val="zh-CN"/>
        </w:rPr>
        <w:t>目   录</w:t>
      </w:r>
    </w:p>
    <w:p>
      <w:pPr>
        <w:pStyle w:val="29"/>
        <w:tabs>
          <w:tab w:val="right" w:leader="dot" w:pos="9402"/>
        </w:tabs>
        <w:rPr>
          <w:rFonts w:ascii="Calibri" w:hAnsi="Calibri"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"_Toc497408657" </w:instrText>
      </w:r>
      <w:r>
        <w:fldChar w:fldCharType="separate"/>
      </w:r>
      <w:r>
        <w:rPr>
          <w:rStyle w:val="37"/>
          <w:rFonts w:hint="eastAsia" w:ascii="宋体" w:hAnsi="宋体"/>
        </w:rPr>
        <w:t>第一章招标公告</w:t>
      </w:r>
      <w:r>
        <w:tab/>
      </w:r>
      <w:r>
        <w:fldChar w:fldCharType="begin"/>
      </w:r>
      <w:r>
        <w:instrText xml:space="preserve"> PAGEREF _Toc497408657 \h </w:instrText>
      </w:r>
      <w:r>
        <w:fldChar w:fldCharType="separate"/>
      </w:r>
      <w:r>
        <w:t>2</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"_Toc497408658" </w:instrText>
      </w:r>
      <w:r>
        <w:fldChar w:fldCharType="separate"/>
      </w:r>
      <w:r>
        <w:rPr>
          <w:rStyle w:val="37"/>
          <w:rFonts w:hint="eastAsia" w:ascii="宋体" w:hAnsi="宋体"/>
        </w:rPr>
        <w:t>第二章投标人须知</w:t>
      </w:r>
      <w:r>
        <w:tab/>
      </w:r>
      <w:r>
        <w:fldChar w:fldCharType="begin"/>
      </w:r>
      <w:r>
        <w:instrText xml:space="preserve"> PAGEREF _Toc497408658 \h </w:instrText>
      </w:r>
      <w:r>
        <w:fldChar w:fldCharType="separate"/>
      </w:r>
      <w:r>
        <w:t>4</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"_Toc497408659" </w:instrText>
      </w:r>
      <w:r>
        <w:fldChar w:fldCharType="separate"/>
      </w:r>
      <w:r>
        <w:rPr>
          <w:rStyle w:val="37"/>
          <w:rFonts w:hint="eastAsia" w:ascii="宋体" w:hAnsi="宋体" w:cs="宋体"/>
        </w:rPr>
        <w:t>第三章合同与验收</w:t>
      </w:r>
      <w:r>
        <w:tab/>
      </w:r>
      <w:r>
        <w:fldChar w:fldCharType="begin"/>
      </w:r>
      <w:r>
        <w:instrText xml:space="preserve"> PAGEREF _Toc497408659 \h </w:instrText>
      </w:r>
      <w:r>
        <w:fldChar w:fldCharType="separate"/>
      </w:r>
      <w:r>
        <w:t>17</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"_Toc497408660" </w:instrText>
      </w:r>
      <w:r>
        <w:fldChar w:fldCharType="separate"/>
      </w:r>
      <w:r>
        <w:rPr>
          <w:rStyle w:val="37"/>
          <w:rFonts w:hint="eastAsia" w:ascii="宋体" w:hAnsi="宋体"/>
          <w:kern w:val="44"/>
        </w:rPr>
        <w:t>第四章招标内容与技术要求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"_Toc497408661" </w:instrText>
      </w:r>
      <w:r>
        <w:fldChar w:fldCharType="separate"/>
      </w:r>
      <w:r>
        <w:rPr>
          <w:rStyle w:val="37"/>
          <w:rFonts w:hint="eastAsia" w:ascii="宋体" w:hAnsi="宋体"/>
          <w:kern w:val="44"/>
        </w:rPr>
        <w:t>第五章投标人资格证明及相关文件要求</w:t>
      </w:r>
      <w:r>
        <w:tab/>
      </w:r>
      <w:r>
        <w:fldChar w:fldCharType="begin"/>
      </w:r>
      <w:r>
        <w:instrText xml:space="preserve"> PAGEREF _Toc497408661 \h </w:instrText>
      </w:r>
      <w:r>
        <w:fldChar w:fldCharType="separate"/>
      </w:r>
      <w:r>
        <w:t>20</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"_Toc497408662" </w:instrText>
      </w:r>
      <w:r>
        <w:fldChar w:fldCharType="separate"/>
      </w:r>
      <w:r>
        <w:rPr>
          <w:rStyle w:val="37"/>
          <w:rFonts w:hint="eastAsia" w:ascii="宋体" w:hAnsi="宋体"/>
          <w:kern w:val="44"/>
        </w:rPr>
        <w:t>第六章评标办法（</w:t>
      </w:r>
      <w:r>
        <w:rPr>
          <w:rStyle w:val="37"/>
          <w:rFonts w:hint="eastAsia" w:ascii="宋体" w:hAnsi="宋体"/>
          <w:kern w:val="44"/>
          <w:lang w:eastAsia="zh-CN"/>
        </w:rPr>
        <w:t>最低评标价法</w:t>
      </w:r>
      <w:r>
        <w:rPr>
          <w:rStyle w:val="37"/>
          <w:rFonts w:hint="eastAsia" w:ascii="宋体" w:hAnsi="宋体"/>
          <w:kern w:val="44"/>
        </w:rPr>
        <w:t>）</w:t>
      </w:r>
      <w:r>
        <w:tab/>
      </w:r>
      <w:r>
        <w:fldChar w:fldCharType="begin"/>
      </w:r>
      <w:r>
        <w:instrText xml:space="preserve"> PAGEREF _Toc497408662 \h </w:instrText>
      </w:r>
      <w:r>
        <w:fldChar w:fldCharType="separate"/>
      </w:r>
      <w:r>
        <w:t>23</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"_Toc497408663" </w:instrText>
      </w:r>
      <w:r>
        <w:fldChar w:fldCharType="separate"/>
      </w:r>
      <w:r>
        <w:rPr>
          <w:rStyle w:val="37"/>
          <w:rFonts w:hint="eastAsia" w:ascii="宋体" w:hAnsi="宋体"/>
        </w:rPr>
        <w:t>第七章投标文件格式与要求</w:t>
      </w:r>
      <w:r>
        <w:tab/>
      </w:r>
      <w:r>
        <w:fldChar w:fldCharType="begin"/>
      </w:r>
      <w:r>
        <w:instrText xml:space="preserve"> PAGEREF _Toc497408663 \h </w:instrText>
      </w:r>
      <w:r>
        <w:fldChar w:fldCharType="separate"/>
      </w:r>
      <w:r>
        <w:t>28</w:t>
      </w:r>
      <w:r>
        <w:fldChar w:fldCharType="end"/>
      </w:r>
      <w:r>
        <w:fldChar w:fldCharType="end"/>
      </w:r>
    </w:p>
    <w:p>
      <w:pPr>
        <w:pStyle w:val="29"/>
        <w:tabs>
          <w:tab w:val="right" w:leader="dot" w:pos="9402"/>
        </w:tabs>
        <w:rPr>
          <w:rFonts w:ascii="Calibri" w:hAnsi="Calibri" w:cs="黑体"/>
          <w:b w:val="0"/>
          <w:bCs w:val="0"/>
          <w:caps w:val="0"/>
          <w:sz w:val="21"/>
          <w:szCs w:val="22"/>
        </w:rPr>
      </w:pPr>
      <w:r>
        <w:fldChar w:fldCharType="begin"/>
      </w:r>
      <w:r>
        <w:instrText xml:space="preserve"> HYPERLINK \l "_Toc497408664" </w:instrText>
      </w:r>
      <w:r>
        <w:fldChar w:fldCharType="separate"/>
      </w:r>
      <w:r>
        <w:rPr>
          <w:rStyle w:val="37"/>
          <w:rFonts w:hint="eastAsia" w:ascii="宋体" w:hAnsi="宋体"/>
        </w:rPr>
        <w:t>温馨提示</w:t>
      </w:r>
      <w:r>
        <w:tab/>
      </w:r>
      <w:r>
        <w:fldChar w:fldCharType="begin"/>
      </w:r>
      <w:r>
        <w:instrText xml:space="preserve"> PAGEREF _Toc497408664 \h </w:instrText>
      </w:r>
      <w:r>
        <w:fldChar w:fldCharType="separate"/>
      </w:r>
      <w:r>
        <w:t>54</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jc w:val="center"/>
        <w:rPr>
          <w:rFonts w:ascii="宋体" w:hAnsi="宋体"/>
          <w:b/>
          <w:sz w:val="24"/>
          <w:szCs w:val="24"/>
        </w:rPr>
      </w:pPr>
      <w:r>
        <w:rPr>
          <w:rFonts w:hint="eastAsia" w:ascii="宋体" w:hAnsi="宋体"/>
          <w:b/>
          <w:sz w:val="24"/>
          <w:szCs w:val="24"/>
          <w:lang w:eastAsia="zh-CN"/>
        </w:rPr>
        <w:t>准格尔旗教育体育局采购玻璃圪旦、五家尧、龙口小学和准八中、准四中室内外监控项目</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鄂尔多斯市准格尔旗公共资源交易中心受</w:t>
      </w:r>
      <w:r>
        <w:rPr>
          <w:rFonts w:hint="eastAsia" w:ascii="宋体" w:hAnsi="宋体"/>
          <w:sz w:val="24"/>
          <w:szCs w:val="24"/>
          <w:lang w:eastAsia="zh-CN"/>
        </w:rPr>
        <w:t>准格尔旗教育体育局</w:t>
      </w:r>
      <w:r>
        <w:rPr>
          <w:rFonts w:hint="eastAsia" w:ascii="宋体" w:hAnsi="宋体"/>
          <w:sz w:val="24"/>
          <w:szCs w:val="24"/>
        </w:rPr>
        <w:t>委托，采用公开招标方式组织采购</w:t>
      </w:r>
      <w:r>
        <w:rPr>
          <w:rFonts w:hint="eastAsia" w:ascii="宋体" w:hAnsi="宋体"/>
          <w:sz w:val="24"/>
          <w:szCs w:val="24"/>
          <w:lang w:eastAsia="zh-CN"/>
        </w:rPr>
        <w:t>准格尔旗教育体育局采购玻璃圪旦、五家尧、龙口小学和准八中、准四中室内外监控项目</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0"/>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left="476" w:leftChars="170" w:firstLine="0" w:firstLineChars="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准格尔旗教育体育局采购玻璃圪旦、五家尧、龙口小学和准八中、准四中室内外监控项目</w:t>
      </w:r>
    </w:p>
    <w:p>
      <w:pPr>
        <w:spacing w:line="360" w:lineRule="auto"/>
        <w:ind w:left="476" w:leftChars="170" w:firstLine="0" w:firstLineChars="0"/>
        <w:jc w:val="left"/>
        <w:rPr>
          <w:rFonts w:hint="eastAsia" w:ascii="宋体" w:hAnsi="宋体" w:eastAsia="宋体"/>
          <w:sz w:val="24"/>
          <w:szCs w:val="24"/>
          <w:lang w:eastAsia="zh-CN"/>
        </w:rPr>
      </w:pPr>
      <w:r>
        <w:rPr>
          <w:rFonts w:hint="eastAsia" w:ascii="宋体" w:hAnsi="宋体"/>
          <w:sz w:val="24"/>
          <w:szCs w:val="24"/>
        </w:rPr>
        <w:t>采购文件编号：</w:t>
      </w:r>
      <w:r>
        <w:rPr>
          <w:rFonts w:hint="eastAsia" w:ascii="宋体" w:hAnsi="宋体"/>
          <w:sz w:val="24"/>
          <w:szCs w:val="24"/>
          <w:lang w:eastAsia="zh-CN"/>
        </w:rPr>
        <w:t>CG2019HGK2</w:t>
      </w:r>
      <w:r>
        <w:rPr>
          <w:rFonts w:hint="eastAsia" w:ascii="宋体" w:hAnsi="宋体"/>
          <w:sz w:val="24"/>
          <w:szCs w:val="24"/>
          <w:lang w:val="en-US" w:eastAsia="zh-CN"/>
        </w:rPr>
        <w:t>2</w:t>
      </w:r>
      <w:r>
        <w:rPr>
          <w:rFonts w:hint="eastAsia" w:ascii="宋体" w:hAnsi="宋体"/>
          <w:sz w:val="24"/>
          <w:szCs w:val="24"/>
          <w:lang w:eastAsia="zh-CN"/>
        </w:rPr>
        <w:t>66</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W w:w="9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c>
          <w:tcPr>
            <w:tcW w:w="7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预算金额（万元）</w:t>
            </w:r>
          </w:p>
        </w:tc>
      </w:tr>
      <w:tr>
        <w:trPr>
          <w:trHeight w:val="575" w:hRule="atLeast"/>
        </w:trPr>
        <w:tc>
          <w:tcPr>
            <w:tcW w:w="776"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Calibri"/>
                <w:color w:val="auto"/>
                <w:sz w:val="24"/>
                <w:szCs w:val="24"/>
                <w:highlight w:val="none"/>
                <w:lang w:eastAsia="zh-CN"/>
              </w:rPr>
            </w:pPr>
            <w:r>
              <w:rPr>
                <w:rFonts w:hint="eastAsia" w:ascii="宋体" w:hAnsi="宋体" w:cs="Calibri"/>
                <w:color w:val="auto"/>
                <w:sz w:val="24"/>
                <w:szCs w:val="24"/>
                <w:highlight w:val="none"/>
                <w:lang w:eastAsia="zh-CN"/>
              </w:rPr>
              <w:t>玻璃圪旦、五家尧、龙口小学和准八中、准四中室内外监控</w:t>
            </w:r>
          </w:p>
        </w:tc>
        <w:tc>
          <w:tcPr>
            <w:tcW w:w="152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详见</w:t>
            </w:r>
          </w:p>
          <w:p>
            <w:pPr>
              <w:tabs>
                <w:tab w:val="left" w:pos="242"/>
                <w:tab w:val="center" w:pos="774"/>
              </w:tabs>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招标文件</w:t>
            </w:r>
          </w:p>
        </w:tc>
        <w:tc>
          <w:tcPr>
            <w:tcW w:w="1466"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详见</w:t>
            </w:r>
          </w:p>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eastAsia="宋体" w:cs="Calibri"/>
                <w:sz w:val="24"/>
                <w:szCs w:val="24"/>
                <w:lang w:val="en-US" w:eastAsia="zh-CN"/>
              </w:rPr>
            </w:pPr>
            <w:r>
              <w:rPr>
                <w:rFonts w:hint="eastAsia" w:ascii="宋体" w:hAnsi="宋体" w:cs="宋体"/>
                <w:color w:val="auto"/>
                <w:kern w:val="0"/>
                <w:sz w:val="24"/>
                <w:szCs w:val="24"/>
                <w:highlight w:val="none"/>
              </w:rPr>
              <w:t>242</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3427</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投标人应符合《中华人民共和国政府采购法》第二十二条规定的条件。</w:t>
      </w:r>
    </w:p>
    <w:p>
      <w:pPr>
        <w:spacing w:line="360" w:lineRule="auto"/>
        <w:ind w:firstLine="480" w:firstLineChars="200"/>
        <w:rPr>
          <w:rFonts w:ascii="宋体" w:hAnsi="宋体"/>
          <w:sz w:val="24"/>
          <w:szCs w:val="24"/>
        </w:rPr>
      </w:pPr>
      <w:r>
        <w:rPr>
          <w:rFonts w:hint="eastAsia" w:ascii="宋体" w:hAnsi="宋体"/>
          <w:color w:val="000000"/>
          <w:sz w:val="24"/>
          <w:szCs w:val="24"/>
          <w:lang w:val="en-US" w:eastAsia="zh-CN"/>
        </w:rPr>
        <w:t>2、</w:t>
      </w:r>
      <w:r>
        <w:rPr>
          <w:rFonts w:hint="eastAsia" w:ascii="宋体" w:hAnsi="宋体"/>
          <w:sz w:val="24"/>
          <w:szCs w:val="24"/>
        </w:rPr>
        <w:t>投标人必须具有</w:t>
      </w:r>
      <w:r>
        <w:rPr>
          <w:rFonts w:hint="eastAsia" w:ascii="宋体" w:hAnsi="宋体"/>
          <w:sz w:val="24"/>
          <w:szCs w:val="24"/>
          <w:lang w:eastAsia="zh-CN"/>
        </w:rPr>
        <w:t>“</w:t>
      </w:r>
      <w:r>
        <w:rPr>
          <w:rFonts w:hint="eastAsia" w:ascii="宋体" w:hAnsi="宋体"/>
          <w:sz w:val="24"/>
          <w:szCs w:val="24"/>
        </w:rPr>
        <w:t>电子与智能化工程专业承包贰级</w:t>
      </w:r>
      <w:r>
        <w:rPr>
          <w:rFonts w:hint="eastAsia" w:ascii="宋体" w:hAnsi="宋体"/>
          <w:sz w:val="24"/>
          <w:szCs w:val="24"/>
          <w:lang w:eastAsia="zh-CN"/>
        </w:rPr>
        <w:t>及</w:t>
      </w:r>
      <w:r>
        <w:rPr>
          <w:rFonts w:hint="eastAsia" w:ascii="宋体" w:hAnsi="宋体"/>
          <w:sz w:val="24"/>
          <w:szCs w:val="24"/>
        </w:rPr>
        <w:t>以上（</w:t>
      </w:r>
      <w:r>
        <w:rPr>
          <w:rFonts w:hint="eastAsia" w:ascii="宋体" w:hAnsi="宋体"/>
          <w:sz w:val="24"/>
          <w:szCs w:val="24"/>
          <w:lang w:eastAsia="zh-CN"/>
        </w:rPr>
        <w:t>含</w:t>
      </w:r>
      <w:r>
        <w:rPr>
          <w:rFonts w:hint="eastAsia" w:ascii="宋体" w:hAnsi="宋体"/>
          <w:sz w:val="24"/>
          <w:szCs w:val="24"/>
        </w:rPr>
        <w:t>贰级）证书</w:t>
      </w:r>
      <w:r>
        <w:rPr>
          <w:rFonts w:hint="eastAsia" w:ascii="宋体" w:hAnsi="宋体"/>
          <w:sz w:val="24"/>
          <w:szCs w:val="24"/>
          <w:lang w:eastAsia="zh-CN"/>
        </w:rPr>
        <w:t>”</w:t>
      </w:r>
      <w:r>
        <w:rPr>
          <w:rFonts w:hint="eastAsia" w:ascii="宋体" w:hAnsi="宋体"/>
          <w:sz w:val="24"/>
          <w:szCs w:val="24"/>
        </w:rPr>
        <w:t>。（采购人负责供应商资质资格要求解释，潜在投标人如有咨询有义务告知资质资格不满足废标处理，以免在接下来的采购活动中产生不必要的人力、物力等资源的浪费。）</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w:t>
      </w:r>
      <w:r>
        <w:rPr>
          <w:rFonts w:hint="eastAsia" w:ascii="宋体" w:hAnsi="宋体"/>
          <w:sz w:val="24"/>
          <w:szCs w:val="24"/>
          <w:lang w:val="en-US" w:eastAsia="zh-CN"/>
        </w:rPr>
        <w:t>20</w:t>
      </w:r>
      <w:r>
        <w:rPr>
          <w:rFonts w:hint="eastAsia" w:ascii="宋体" w:hAnsi="宋体"/>
          <w:sz w:val="24"/>
          <w:szCs w:val="24"/>
        </w:rPr>
        <w:t xml:space="preserve">年 </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5.准格尔旗公共资源交易</w:t>
      </w:r>
      <w:r>
        <w:rPr>
          <w:rFonts w:hint="eastAsia" w:ascii="宋体" w:hAnsi="宋体"/>
          <w:sz w:val="24"/>
          <w:szCs w:val="24"/>
          <w:lang w:val="en-US" w:eastAsia="zh-CN"/>
        </w:rPr>
        <w:t>网</w:t>
      </w:r>
      <w:r>
        <w:rPr>
          <w:rFonts w:hint="eastAsia" w:ascii="宋体" w:hAnsi="宋体"/>
          <w:sz w:val="24"/>
          <w:szCs w:val="24"/>
        </w:rPr>
        <w:t>（http://www.ordosggzyjy.org.cn/TPFront_zgeq）登陆网站页面，点击“政府采购”中的“信息公告”栏，查询采购信息，点击信息公告页面左下角“附件”即可浏览、下载招标文件。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    址：准格尔旗大路新区图书馆南侧</w:t>
      </w:r>
    </w:p>
    <w:p>
      <w:pPr>
        <w:spacing w:line="360" w:lineRule="auto"/>
        <w:ind w:firstLine="480" w:firstLineChars="200"/>
        <w:rPr>
          <w:rFonts w:ascii="宋体" w:hAnsi="宋体"/>
          <w:sz w:val="24"/>
          <w:szCs w:val="24"/>
        </w:rPr>
      </w:pPr>
      <w:r>
        <w:rPr>
          <w:rFonts w:hint="eastAsia" w:ascii="宋体" w:hAnsi="宋体"/>
          <w:sz w:val="24"/>
          <w:szCs w:val="24"/>
        </w:rPr>
        <w:t>邮政编码：010321</w:t>
      </w:r>
    </w:p>
    <w:p>
      <w:pPr>
        <w:spacing w:line="360" w:lineRule="auto"/>
        <w:ind w:firstLine="480" w:firstLineChars="200"/>
        <w:rPr>
          <w:rFonts w:ascii="宋体" w:hAnsi="宋体"/>
          <w:color w:val="000000"/>
          <w:sz w:val="24"/>
          <w:szCs w:val="24"/>
        </w:rPr>
      </w:pPr>
      <w:r>
        <w:rPr>
          <w:rFonts w:hint="eastAsia" w:ascii="宋体" w:hAnsi="宋体"/>
          <w:sz w:val="24"/>
          <w:szCs w:val="24"/>
        </w:rPr>
        <w:t>联系电话：0477-3864232</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准格尔旗教育体育局</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p>
    <w:p>
      <w:pPr>
        <w:spacing w:line="360" w:lineRule="auto"/>
        <w:ind w:firstLine="480" w:firstLineChars="200"/>
        <w:rPr>
          <w:rFonts w:ascii="宋体" w:hAnsi="宋体"/>
          <w:sz w:val="24"/>
          <w:szCs w:val="24"/>
        </w:rPr>
      </w:pPr>
      <w:r>
        <w:rPr>
          <w:rFonts w:hint="eastAsia" w:ascii="宋体" w:hAnsi="宋体"/>
          <w:sz w:val="24"/>
          <w:szCs w:val="24"/>
        </w:rPr>
        <w:t>邮政编码：010329</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 系 人：</w:t>
      </w:r>
      <w:r>
        <w:rPr>
          <w:rFonts w:hint="eastAsia" w:ascii="宋体" w:hAnsi="宋体"/>
          <w:sz w:val="24"/>
          <w:szCs w:val="24"/>
          <w:lang w:val="en-US" w:eastAsia="zh-CN"/>
        </w:rPr>
        <w:t>祁永</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0477-3973288</w:t>
      </w:r>
    </w:p>
    <w:p>
      <w:pPr>
        <w:spacing w:line="360" w:lineRule="auto"/>
        <w:ind w:firstLine="480" w:firstLineChars="20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鄂尔多斯市准格尔旗公共资源交易中心</w:t>
      </w:r>
    </w:p>
    <w:p>
      <w:pPr>
        <w:ind w:firstLine="5280" w:firstLineChars="2200"/>
        <w:rPr>
          <w:rFonts w:ascii="宋体" w:hAnsi="宋体"/>
          <w:sz w:val="24"/>
          <w:szCs w:val="24"/>
          <w:highlight w:val="none"/>
        </w:rPr>
      </w:pPr>
      <w:r>
        <w:rPr>
          <w:rFonts w:hint="eastAsia" w:ascii="宋体" w:hAnsi="宋体"/>
          <w:sz w:val="24"/>
          <w:szCs w:val="24"/>
          <w:highlight w:val="none"/>
        </w:rPr>
        <w:t>20</w:t>
      </w:r>
      <w:r>
        <w:rPr>
          <w:rFonts w:hint="eastAsia" w:ascii="宋体" w:hAnsi="宋体"/>
          <w:sz w:val="24"/>
          <w:szCs w:val="24"/>
          <w:highlight w:val="none"/>
          <w:lang w:val="en-US" w:eastAsia="zh-CN"/>
        </w:rPr>
        <w:t>20</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2</w:t>
      </w:r>
      <w:r>
        <w:rPr>
          <w:rFonts w:hint="eastAsia" w:ascii="宋体" w:hAnsi="宋体"/>
          <w:sz w:val="24"/>
          <w:szCs w:val="24"/>
          <w:highlight w:val="none"/>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内容及要求</w:t>
            </w:r>
          </w:p>
        </w:tc>
      </w:tr>
      <w:tr>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firstLine="840" w:firstLineChars="350"/>
              <w:rPr>
                <w:rFonts w:hint="default" w:ascii="宋体" w:hAnsi="宋体" w:cs="Calibri"/>
                <w:color w:val="000000"/>
                <w:sz w:val="24"/>
                <w:szCs w:val="24"/>
              </w:rPr>
            </w:pPr>
            <w:r>
              <w:rPr>
                <w:rFonts w:hint="eastAsia" w:ascii="宋体" w:hAnsi="宋体" w:cs="Calibri"/>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eastAsia="宋体" w:cs="Calibri"/>
                <w:color w:val="000000"/>
                <w:sz w:val="24"/>
                <w:szCs w:val="24"/>
                <w:lang w:eastAsia="zh-CN"/>
              </w:rPr>
            </w:pPr>
            <w:r>
              <w:rPr>
                <w:rFonts w:hint="eastAsia" w:ascii="宋体" w:hAnsi="宋体" w:cs="Calibri"/>
                <w:color w:val="000000"/>
                <w:sz w:val="24"/>
                <w:szCs w:val="24"/>
                <w:lang w:eastAsia="zh-CN"/>
              </w:rPr>
              <w:t>准格尔旗教育体育局</w:t>
            </w:r>
          </w:p>
          <w:p>
            <w:pPr>
              <w:spacing w:before="0" w:beforeAutospacing="0" w:after="0" w:afterAutospacing="0" w:line="360" w:lineRule="auto"/>
              <w:ind w:left="0" w:right="-140" w:rightChars="-50"/>
              <w:rPr>
                <w:rFonts w:hint="default" w:ascii="宋体" w:hAnsi="宋体" w:cs="Calibri"/>
                <w:color w:val="000000"/>
                <w:sz w:val="24"/>
                <w:szCs w:val="24"/>
                <w:lang w:val="en-US"/>
              </w:rPr>
            </w:pPr>
            <w:r>
              <w:rPr>
                <w:rFonts w:hint="eastAsia" w:ascii="宋体" w:hAnsi="宋体" w:cs="Calibri"/>
                <w:color w:val="000000"/>
                <w:sz w:val="24"/>
                <w:szCs w:val="24"/>
              </w:rPr>
              <w:t>联系人：</w:t>
            </w:r>
            <w:r>
              <w:rPr>
                <w:rFonts w:hint="eastAsia" w:ascii="宋体" w:hAnsi="宋体" w:cs="Calibri"/>
                <w:sz w:val="24"/>
                <w:szCs w:val="24"/>
                <w:lang w:val="en-US" w:eastAsia="zh-CN"/>
              </w:rPr>
              <w:t>祁永</w:t>
            </w:r>
            <w:r>
              <w:rPr>
                <w:rFonts w:hint="eastAsia" w:ascii="宋体" w:hAnsi="宋体" w:cs="Calibri"/>
                <w:color w:val="000000"/>
                <w:sz w:val="24"/>
                <w:szCs w:val="24"/>
              </w:rPr>
              <w:t xml:space="preserve">              联系电话：</w:t>
            </w:r>
            <w:r>
              <w:rPr>
                <w:rFonts w:hint="eastAsia" w:ascii="宋体" w:hAnsi="宋体" w:cs="Calibri"/>
                <w:sz w:val="24"/>
                <w:szCs w:val="24"/>
                <w:lang w:val="en-US" w:eastAsia="zh-CN"/>
              </w:rPr>
              <w:t>0477-3973288</w:t>
            </w:r>
          </w:p>
          <w:p>
            <w:pPr>
              <w:spacing w:before="0" w:beforeAutospacing="0" w:after="0" w:afterAutospacing="0" w:line="360" w:lineRule="auto"/>
              <w:ind w:left="0" w:right="-140" w:rightChars="-50"/>
              <w:rPr>
                <w:rFonts w:hint="default" w:ascii="宋体" w:hAnsi="宋体" w:cs="Calibri"/>
                <w:color w:val="000000"/>
                <w:sz w:val="24"/>
                <w:szCs w:val="24"/>
              </w:rPr>
            </w:pPr>
            <w:r>
              <w:rPr>
                <w:rFonts w:hint="eastAsia" w:ascii="宋体" w:hAnsi="宋体" w:cs="Calibri"/>
                <w:color w:val="000000"/>
                <w:sz w:val="24"/>
                <w:szCs w:val="24"/>
              </w:rPr>
              <w:t>地址：准格尔旗薛家湾镇</w:t>
            </w:r>
          </w:p>
        </w:tc>
      </w:tr>
      <w:tr>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宋体" w:cs="Calibri"/>
                <w:color w:val="000000"/>
                <w:sz w:val="24"/>
                <w:szCs w:val="24"/>
              </w:rPr>
            </w:pPr>
            <w:r>
              <w:rPr>
                <w:rFonts w:hint="eastAsia" w:ascii="宋体" w:hAnsi="宋体" w:cs="Calibri"/>
                <w:color w:val="000000"/>
                <w:sz w:val="24"/>
                <w:szCs w:val="24"/>
              </w:rPr>
              <w:t xml:space="preserve">鄂尔多斯市准格尔旗公共资源交易中心 </w:t>
            </w:r>
          </w:p>
          <w:p>
            <w:pPr>
              <w:spacing w:before="0" w:beforeAutospacing="0" w:after="0" w:afterAutospacing="0" w:line="360" w:lineRule="auto"/>
              <w:ind w:left="0" w:right="-140" w:rightChars="-50"/>
              <w:rPr>
                <w:rFonts w:hint="default" w:ascii="宋体" w:hAnsi="宋体" w:cs="Calibri"/>
                <w:color w:val="000000"/>
                <w:sz w:val="24"/>
                <w:szCs w:val="24"/>
              </w:rPr>
            </w:pPr>
            <w:r>
              <w:rPr>
                <w:rFonts w:hint="eastAsia" w:ascii="宋体" w:hAnsi="宋体" w:cs="Calibri"/>
                <w:color w:val="000000"/>
                <w:sz w:val="24"/>
                <w:szCs w:val="24"/>
              </w:rPr>
              <w:t>联系电话：0477-3864232</w:t>
            </w:r>
          </w:p>
          <w:p>
            <w:pPr>
              <w:spacing w:before="0" w:beforeAutospacing="0" w:after="0" w:afterAutospacing="0" w:line="360" w:lineRule="auto"/>
              <w:ind w:left="0" w:right="-140" w:rightChars="-50"/>
              <w:rPr>
                <w:rFonts w:hint="default" w:ascii="宋体" w:hAnsi="宋体" w:cs="Calibri"/>
                <w:color w:val="000000"/>
                <w:sz w:val="24"/>
                <w:szCs w:val="24"/>
              </w:rPr>
            </w:pPr>
            <w:r>
              <w:rPr>
                <w:rFonts w:hint="eastAsia" w:ascii="宋体" w:hAnsi="宋体" w:cs="Calibri"/>
                <w:color w:val="000000"/>
                <w:sz w:val="24"/>
                <w:szCs w:val="24"/>
              </w:rPr>
              <w:t>地址：准格尔旗大路新区图书馆南侧</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beforeAutospacing="0" w:after="0" w:afterAutospacing="0" w:line="360" w:lineRule="auto"/>
              <w:ind w:left="0" w:right="0"/>
              <w:textAlignment w:val="baseline"/>
              <w:rPr>
                <w:rFonts w:hint="default" w:ascii="宋体" w:hAnsi="宋体" w:cs="Calibri"/>
                <w:color w:val="000000"/>
                <w:sz w:val="24"/>
                <w:szCs w:val="24"/>
              </w:rPr>
            </w:pPr>
            <w:r>
              <w:rPr>
                <w:rFonts w:hint="eastAsia" w:ascii="宋体" w:hAnsi="宋体" w:cs="Calibri"/>
                <w:color w:val="000000"/>
                <w:sz w:val="24"/>
                <w:szCs w:val="24"/>
              </w:rPr>
              <w:t>详见招标文件第四章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宋体"/>
                <w:color w:val="auto"/>
                <w:kern w:val="0"/>
                <w:sz w:val="24"/>
                <w:szCs w:val="24"/>
                <w:highlight w:val="none"/>
                <w:u w:val="single" w:color="auto"/>
              </w:rPr>
              <w:t>2423427</w:t>
            </w:r>
            <w:r>
              <w:rPr>
                <w:rFonts w:hint="eastAsia" w:ascii="宋体" w:hAnsi="宋体" w:cs="宋体"/>
                <w:color w:val="auto"/>
                <w:kern w:val="0"/>
                <w:sz w:val="24"/>
                <w:szCs w:val="24"/>
                <w:highlight w:val="none"/>
                <w:u w:val="single" w:color="auto"/>
                <w:lang w:val="en-US" w:eastAsia="zh-CN"/>
              </w:rPr>
              <w:t>.00</w:t>
            </w:r>
            <w:r>
              <w:rPr>
                <w:rFonts w:hint="eastAsia" w:ascii="宋体" w:hAnsi="宋体" w:cs="Calibri"/>
                <w:color w:val="000000"/>
                <w:sz w:val="24"/>
                <w:szCs w:val="24"/>
              </w:rPr>
              <w:t xml:space="preserve"> 元</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√一整包、□共包</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lang w:eastAsia="zh-CN"/>
              </w:rPr>
              <w:t>☑</w:t>
            </w:r>
            <w:r>
              <w:rPr>
                <w:rFonts w:hint="eastAsia" w:ascii="宋体" w:hAnsi="宋体" w:cs="Calibri"/>
                <w:color w:val="000000"/>
                <w:sz w:val="24"/>
                <w:szCs w:val="24"/>
              </w:rPr>
              <w:t>国库集中支付、</w:t>
            </w:r>
            <w:r>
              <w:rPr>
                <w:rFonts w:hint="eastAsia" w:ascii="宋体" w:hAnsi="宋体" w:cs="Calibri"/>
                <w:color w:val="000000"/>
                <w:sz w:val="24"/>
                <w:szCs w:val="24"/>
                <w:lang w:eastAsia="zh-CN"/>
              </w:rPr>
              <w:t>□</w:t>
            </w:r>
            <w:r>
              <w:rPr>
                <w:rFonts w:hint="eastAsia" w:ascii="宋体" w:hAnsi="宋体" w:cs="Calibri"/>
                <w:color w:val="000000"/>
                <w:sz w:val="24"/>
                <w:szCs w:val="24"/>
              </w:rPr>
              <w:t>单位自行支付、□其他</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公开招标</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firstLine="120" w:firstLineChars="50"/>
              <w:rPr>
                <w:rFonts w:hint="default" w:ascii="宋体" w:hAnsi="宋体" w:cs="Calibri"/>
                <w:color w:val="000000"/>
                <w:sz w:val="24"/>
                <w:szCs w:val="24"/>
              </w:rPr>
            </w:pPr>
            <w:r>
              <w:rPr>
                <w:rFonts w:hint="eastAsia" w:ascii="宋体" w:hAnsi="宋体" w:cs="Calibri"/>
                <w:color w:val="000000"/>
                <w:sz w:val="24"/>
                <w:szCs w:val="24"/>
                <w:lang w:eastAsia="zh-CN"/>
              </w:rPr>
              <w:t>最低评标价法</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rPr>
                <w:rFonts w:hint="default" w:ascii="宋体" w:hAnsi="宋体" w:cs="Calibri"/>
                <w:color w:val="000000"/>
                <w:sz w:val="24"/>
                <w:szCs w:val="24"/>
              </w:rPr>
            </w:pPr>
            <w:r>
              <w:rPr>
                <w:rFonts w:hint="eastAsia" w:ascii="宋体" w:hAnsi="宋体" w:cs="Calibri"/>
                <w:color w:val="000000"/>
                <w:sz w:val="24"/>
                <w:szCs w:val="24"/>
              </w:rPr>
              <w:t>评标委员会依法组建，由采购人代表和评审专家组成共</w:t>
            </w:r>
            <w:r>
              <w:rPr>
                <w:rFonts w:hint="eastAsia" w:ascii="宋体" w:hAnsi="宋体" w:cs="Calibri"/>
                <w:color w:val="000000"/>
                <w:sz w:val="24"/>
                <w:szCs w:val="24"/>
                <w:u w:val="single"/>
              </w:rPr>
              <w:t xml:space="preserve"> 五 </w:t>
            </w:r>
            <w:r>
              <w:rPr>
                <w:rFonts w:hint="eastAsia" w:ascii="宋体" w:hAnsi="宋体" w:cs="Calibri"/>
                <w:color w:val="000000"/>
                <w:sz w:val="24"/>
                <w:szCs w:val="24"/>
              </w:rPr>
              <w:t>人及以上单数</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firstLine="120" w:firstLineChars="50"/>
              <w:rPr>
                <w:rFonts w:hint="default" w:ascii="宋体" w:hAnsi="宋体" w:cs="Calibri"/>
                <w:color w:val="000000"/>
                <w:sz w:val="24"/>
                <w:szCs w:val="24"/>
              </w:rPr>
            </w:pPr>
            <w:r>
              <w:rPr>
                <w:rFonts w:hint="eastAsia" w:ascii="宋体" w:hAnsi="宋体" w:cs="Calibri"/>
                <w:color w:val="000000"/>
                <w:sz w:val="24"/>
                <w:szCs w:val="24"/>
              </w:rPr>
              <w:t>采购人授权评标委员会按照评审原则直接确定中标人。</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firstLine="175" w:firstLineChars="73"/>
              <w:rPr>
                <w:rFonts w:hint="default" w:ascii="宋体" w:hAnsi="宋体" w:cs="Calibri"/>
                <w:color w:val="000000"/>
                <w:sz w:val="24"/>
                <w:szCs w:val="24"/>
              </w:rPr>
            </w:pPr>
            <w:r>
              <w:rPr>
                <w:rFonts w:hint="eastAsia" w:ascii="宋体" w:hAnsi="宋体" w:cs="Calibri"/>
                <w:color w:val="000000"/>
                <w:sz w:val="24"/>
                <w:szCs w:val="24"/>
              </w:rPr>
              <w:t>详见招标公告</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firstLine="175" w:firstLineChars="73"/>
              <w:rPr>
                <w:rFonts w:hint="default" w:ascii="宋体" w:hAnsi="宋体" w:cs="Calibri"/>
                <w:color w:val="000000"/>
                <w:sz w:val="24"/>
                <w:szCs w:val="24"/>
              </w:rPr>
            </w:pPr>
            <w:r>
              <w:rPr>
                <w:rFonts w:hint="eastAsia" w:ascii="宋体" w:hAnsi="宋体" w:cs="Calibri"/>
                <w:color w:val="000000"/>
                <w:sz w:val="24"/>
                <w:szCs w:val="24"/>
              </w:rPr>
              <w:t>从提交投标文件的截止之日起90日历天</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firstLine="175" w:firstLineChars="73"/>
              <w:rPr>
                <w:rFonts w:hint="default" w:ascii="宋体" w:hAnsi="宋体" w:cs="Calibri"/>
                <w:color w:val="000000"/>
                <w:sz w:val="24"/>
                <w:szCs w:val="24"/>
                <w:highlight w:val="none"/>
              </w:rPr>
            </w:pPr>
            <w:r>
              <w:rPr>
                <w:rFonts w:hint="eastAsia" w:ascii="宋体" w:hAnsi="宋体" w:cs="Calibri"/>
                <w:color w:val="000000"/>
                <w:sz w:val="24"/>
                <w:szCs w:val="24"/>
                <w:highlight w:val="none"/>
              </w:rPr>
              <w:t>20</w:t>
            </w:r>
            <w:r>
              <w:rPr>
                <w:rFonts w:hint="eastAsia" w:ascii="宋体" w:hAnsi="宋体" w:cs="Calibri"/>
                <w:color w:val="000000"/>
                <w:sz w:val="24"/>
                <w:szCs w:val="24"/>
                <w:highlight w:val="none"/>
                <w:lang w:val="en-US" w:eastAsia="zh-CN"/>
              </w:rPr>
              <w:t>20</w:t>
            </w:r>
            <w:r>
              <w:rPr>
                <w:rFonts w:hint="eastAsia" w:ascii="宋体" w:hAnsi="宋体" w:cs="Calibri"/>
                <w:color w:val="000000"/>
                <w:sz w:val="24"/>
                <w:szCs w:val="24"/>
                <w:highlight w:val="none"/>
              </w:rPr>
              <w:t>年</w:t>
            </w:r>
            <w:r>
              <w:rPr>
                <w:rFonts w:hint="eastAsia" w:ascii="宋体" w:hAnsi="宋体" w:cs="Calibri"/>
                <w:color w:val="000000"/>
                <w:sz w:val="24"/>
                <w:szCs w:val="24"/>
                <w:highlight w:val="none"/>
                <w:lang w:val="en-US" w:eastAsia="zh-CN"/>
              </w:rPr>
              <w:t>4</w:t>
            </w:r>
            <w:r>
              <w:rPr>
                <w:rFonts w:hint="eastAsia" w:ascii="宋体" w:hAnsi="宋体" w:cs="Calibri"/>
                <w:color w:val="000000"/>
                <w:sz w:val="24"/>
                <w:szCs w:val="24"/>
                <w:highlight w:val="none"/>
              </w:rPr>
              <w:t>月</w:t>
            </w:r>
            <w:r>
              <w:rPr>
                <w:rFonts w:hint="eastAsia" w:ascii="宋体" w:hAnsi="宋体" w:cs="Calibri"/>
                <w:color w:val="000000"/>
                <w:sz w:val="24"/>
                <w:szCs w:val="24"/>
                <w:highlight w:val="none"/>
                <w:lang w:val="en-US" w:eastAsia="zh-CN"/>
              </w:rPr>
              <w:t>24</w:t>
            </w:r>
            <w:r>
              <w:rPr>
                <w:rFonts w:hint="eastAsia" w:ascii="宋体" w:hAnsi="宋体" w:cs="Calibri"/>
                <w:color w:val="000000"/>
                <w:sz w:val="24"/>
                <w:szCs w:val="24"/>
                <w:highlight w:val="none"/>
              </w:rPr>
              <w:t xml:space="preserve">日09时30分--10时00分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firstLine="175" w:firstLineChars="73"/>
              <w:rPr>
                <w:rFonts w:hint="default" w:ascii="宋体" w:hAnsi="宋体" w:cs="Calibri"/>
                <w:color w:val="000000"/>
                <w:sz w:val="24"/>
                <w:szCs w:val="24"/>
                <w:highlight w:val="none"/>
              </w:rPr>
            </w:pPr>
            <w:r>
              <w:rPr>
                <w:rFonts w:hint="eastAsia" w:ascii="宋体" w:hAnsi="宋体" w:cs="Calibri"/>
                <w:color w:val="000000"/>
                <w:sz w:val="24"/>
                <w:szCs w:val="24"/>
                <w:highlight w:val="none"/>
              </w:rPr>
              <w:t>20</w:t>
            </w:r>
            <w:r>
              <w:rPr>
                <w:rFonts w:hint="eastAsia" w:ascii="宋体" w:hAnsi="宋体" w:cs="Calibri"/>
                <w:color w:val="000000"/>
                <w:sz w:val="24"/>
                <w:szCs w:val="24"/>
                <w:highlight w:val="none"/>
                <w:lang w:val="en-US" w:eastAsia="zh-CN"/>
              </w:rPr>
              <w:t>20</w:t>
            </w:r>
            <w:r>
              <w:rPr>
                <w:rFonts w:hint="eastAsia" w:ascii="宋体" w:hAnsi="宋体" w:cs="Calibri"/>
                <w:color w:val="000000"/>
                <w:sz w:val="24"/>
                <w:szCs w:val="24"/>
                <w:highlight w:val="none"/>
              </w:rPr>
              <w:t>年</w:t>
            </w:r>
            <w:r>
              <w:rPr>
                <w:rFonts w:hint="eastAsia" w:ascii="宋体" w:hAnsi="宋体" w:cs="Calibri"/>
                <w:color w:val="000000"/>
                <w:sz w:val="24"/>
                <w:szCs w:val="24"/>
                <w:highlight w:val="none"/>
                <w:lang w:val="en-US" w:eastAsia="zh-CN"/>
              </w:rPr>
              <w:t>4</w:t>
            </w:r>
            <w:r>
              <w:rPr>
                <w:rFonts w:hint="eastAsia" w:ascii="宋体" w:hAnsi="宋体" w:cs="Calibri"/>
                <w:color w:val="000000"/>
                <w:sz w:val="24"/>
                <w:szCs w:val="24"/>
                <w:highlight w:val="none"/>
              </w:rPr>
              <w:t>月</w:t>
            </w:r>
            <w:r>
              <w:rPr>
                <w:rFonts w:hint="eastAsia" w:ascii="宋体" w:hAnsi="宋体" w:cs="Calibri"/>
                <w:color w:val="000000"/>
                <w:sz w:val="24"/>
                <w:szCs w:val="24"/>
                <w:highlight w:val="none"/>
                <w:lang w:val="en-US" w:eastAsia="zh-CN"/>
              </w:rPr>
              <w:t>24</w:t>
            </w:r>
            <w:r>
              <w:rPr>
                <w:rFonts w:hint="eastAsia" w:ascii="宋体" w:hAnsi="宋体" w:cs="Calibri"/>
                <w:color w:val="000000"/>
                <w:sz w:val="24"/>
                <w:szCs w:val="24"/>
                <w:highlight w:val="none"/>
              </w:rPr>
              <w:t>日10时00分整</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rPr>
                <w:rFonts w:hint="default" w:ascii="宋体" w:hAnsi="宋体" w:cs="Calibri"/>
                <w:color w:val="000000"/>
                <w:sz w:val="24"/>
                <w:szCs w:val="24"/>
              </w:rPr>
            </w:pPr>
            <w:r>
              <w:rPr>
                <w:rFonts w:hint="eastAsia" w:ascii="宋体" w:hAnsi="宋体" w:cs="Calibri"/>
                <w:color w:val="000000"/>
                <w:sz w:val="24"/>
                <w:szCs w:val="24"/>
              </w:rPr>
              <w:t>鄂尔多斯市准格尔旗公共资源交易中心二楼开标室（准格尔旗大路新区）</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57"/>
              <w:jc w:val="center"/>
              <w:rPr>
                <w:rFonts w:hint="default" w:ascii="宋体" w:hAnsi="宋体" w:cs="Calibri"/>
                <w:color w:val="000000"/>
                <w:sz w:val="24"/>
                <w:szCs w:val="24"/>
              </w:rPr>
            </w:pPr>
            <w:r>
              <w:rPr>
                <w:rFonts w:hint="eastAsia" w:ascii="宋体" w:hAnsi="宋体" w:cs="Calibri"/>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140" w:leftChars="-50" w:right="-140" w:rightChars="-50"/>
              <w:rPr>
                <w:rFonts w:hint="default" w:ascii="宋体" w:hAnsi="宋体" w:cs="Calibri"/>
                <w:color w:val="000000"/>
                <w:sz w:val="24"/>
                <w:szCs w:val="24"/>
              </w:rPr>
            </w:pPr>
            <w:r>
              <w:rPr>
                <w:rFonts w:hint="eastAsia" w:ascii="宋体" w:hAnsi="宋体" w:cs="Calibri"/>
                <w:color w:val="000000"/>
                <w:sz w:val="24"/>
                <w:szCs w:val="24"/>
              </w:rPr>
              <w:t>正本1份、副本4份，电子光盘1份（标明投标人名称）</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Calibri" w:cs="Calibri"/>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Calibri" w:cs="Calibri"/>
                <w:sz w:val="24"/>
                <w:szCs w:val="24"/>
              </w:rPr>
            </w:pPr>
            <w:r>
              <w:rPr>
                <w:rFonts w:hint="eastAsia" w:ascii="宋体" w:hAnsi="宋体" w:cs="宋体"/>
                <w:sz w:val="24"/>
                <w:szCs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宋体" w:cs="宋体"/>
                <w:sz w:val="24"/>
                <w:szCs w:val="24"/>
                <w:u w:val="single"/>
              </w:rPr>
            </w:pPr>
            <w:r>
              <w:rPr>
                <w:rFonts w:hint="eastAsia" w:ascii="宋体" w:hAnsi="宋体" w:cs="宋体"/>
                <w:sz w:val="24"/>
                <w:szCs w:val="20"/>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宋体" w:cs="Calibri"/>
                <w:color w:val="000000"/>
                <w:sz w:val="24"/>
                <w:szCs w:val="24"/>
              </w:rPr>
            </w:pPr>
            <w:r>
              <w:rPr>
                <w:rFonts w:hint="eastAsia" w:ascii="宋体" w:hAnsi="宋体" w:cs="Calibri"/>
                <w:color w:val="000000"/>
                <w:sz w:val="24"/>
                <w:szCs w:val="24"/>
              </w:rPr>
              <w:t>不允许</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宋体" w:cs="Calibri"/>
                <w:color w:val="000000"/>
                <w:sz w:val="24"/>
                <w:szCs w:val="24"/>
              </w:rPr>
            </w:pPr>
            <w:r>
              <w:rPr>
                <w:rFonts w:hint="eastAsia" w:ascii="宋体" w:hAnsi="宋体" w:cs="Calibri"/>
                <w:color w:val="000000"/>
                <w:sz w:val="24"/>
                <w:szCs w:val="24"/>
              </w:rPr>
              <w:t>□接受、√不接受</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宋体" w:cs="Calibri"/>
                <w:sz w:val="24"/>
                <w:szCs w:val="24"/>
              </w:rPr>
            </w:pPr>
            <w:r>
              <w:rPr>
                <w:rFonts w:hint="eastAsia" w:ascii="宋体" w:hAnsi="宋体" w:cs="Calibri"/>
                <w:sz w:val="24"/>
                <w:szCs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140" w:rightChars="-50"/>
              <w:rPr>
                <w:rFonts w:hint="default" w:ascii="宋体" w:hAnsi="宋体" w:cs="Calibri"/>
                <w:sz w:val="24"/>
                <w:szCs w:val="24"/>
              </w:rPr>
            </w:pPr>
            <w:r>
              <w:rPr>
                <w:rFonts w:hint="eastAsia" w:ascii="宋体" w:hAnsi="宋体" w:cs="Calibri"/>
                <w:sz w:val="24"/>
                <w:szCs w:val="24"/>
              </w:rPr>
              <w:t>不收取</w:t>
            </w:r>
          </w:p>
        </w:tc>
      </w:tr>
      <w:tr>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本招标项目采用“虚拟子账户”形式及法律法规规定的其它缴纳方式收退投标保证金。请各投标人特别关注并严格遵照招标文件中有关投标保证金缴纳的规定。</w:t>
            </w:r>
          </w:p>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保证金人民币：</w:t>
            </w:r>
            <w:r>
              <w:rPr>
                <w:rFonts w:hint="eastAsia" w:ascii="宋体" w:hAnsi="宋体" w:cs="Calibri"/>
                <w:b/>
                <w:bCs/>
                <w:color w:val="000000"/>
                <w:sz w:val="24"/>
                <w:szCs w:val="24"/>
                <w:u w:val="single" w:color="auto"/>
                <w:lang w:eastAsia="zh-CN"/>
              </w:rPr>
              <w:t>贰</w:t>
            </w:r>
            <w:r>
              <w:rPr>
                <w:rFonts w:hint="eastAsia" w:ascii="宋体" w:hAnsi="宋体" w:cs="Calibri"/>
                <w:b/>
                <w:bCs/>
                <w:color w:val="000000"/>
                <w:sz w:val="24"/>
                <w:szCs w:val="24"/>
                <w:u w:val="single"/>
              </w:rPr>
              <w:t>万元整</w:t>
            </w:r>
            <w:r>
              <w:rPr>
                <w:rFonts w:hint="eastAsia" w:ascii="宋体" w:hAnsi="宋体" w:cs="Calibri"/>
                <w:color w:val="000000"/>
                <w:sz w:val="24"/>
                <w:szCs w:val="24"/>
              </w:rPr>
              <w:t>。</w:t>
            </w:r>
          </w:p>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开户银行：</w:t>
            </w:r>
            <w:r>
              <w:rPr>
                <w:rFonts w:hint="eastAsia" w:ascii="宋体" w:hAnsi="宋体" w:cs="Calibri"/>
                <w:b/>
                <w:color w:val="000000"/>
                <w:sz w:val="24"/>
                <w:szCs w:val="24"/>
                <w:u w:val="single"/>
              </w:rPr>
              <w:t>准格尔煤田信用合作联社中山分社</w:t>
            </w:r>
            <w:r>
              <w:rPr>
                <w:rFonts w:hint="eastAsia" w:ascii="宋体" w:hAnsi="宋体" w:cs="Calibri"/>
                <w:color w:val="000000"/>
                <w:sz w:val="24"/>
                <w:szCs w:val="24"/>
              </w:rPr>
              <w:t>。</w:t>
            </w:r>
          </w:p>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行    号：</w:t>
            </w:r>
            <w:r>
              <w:rPr>
                <w:rFonts w:hint="eastAsia" w:ascii="宋体" w:hAnsi="宋体" w:cs="Calibri"/>
                <w:b/>
                <w:color w:val="000000"/>
                <w:sz w:val="24"/>
                <w:szCs w:val="24"/>
                <w:u w:val="single"/>
              </w:rPr>
              <w:t>402205300010</w:t>
            </w:r>
            <w:r>
              <w:rPr>
                <w:rFonts w:hint="eastAsia" w:ascii="宋体" w:hAnsi="宋体" w:cs="Calibri"/>
                <w:color w:val="000000"/>
                <w:sz w:val="24"/>
                <w:szCs w:val="24"/>
              </w:rPr>
              <w:t>。</w:t>
            </w:r>
          </w:p>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开户单位：</w:t>
            </w:r>
            <w:r>
              <w:rPr>
                <w:rFonts w:hint="eastAsia" w:ascii="宋体" w:hAnsi="宋体" w:cs="Calibri"/>
                <w:b/>
                <w:color w:val="000000"/>
                <w:sz w:val="24"/>
                <w:szCs w:val="24"/>
                <w:u w:val="single"/>
              </w:rPr>
              <w:t>鄂尔多斯市准格尔旗公共资源交易中心</w:t>
            </w:r>
            <w:r>
              <w:rPr>
                <w:rFonts w:hint="eastAsia" w:ascii="宋体" w:hAnsi="宋体" w:cs="Calibri"/>
                <w:color w:val="000000"/>
                <w:sz w:val="24"/>
                <w:szCs w:val="24"/>
              </w:rPr>
              <w:t>。</w:t>
            </w:r>
          </w:p>
          <w:p>
            <w:pPr>
              <w:spacing w:before="0" w:beforeAutospacing="0" w:after="0" w:afterAutospacing="0" w:line="360" w:lineRule="auto"/>
              <w:ind w:left="0" w:right="0"/>
              <w:rPr>
                <w:rFonts w:hint="default" w:ascii="宋体" w:hAnsi="宋体" w:cs="Calibri"/>
                <w:color w:val="FF0000"/>
                <w:sz w:val="24"/>
                <w:szCs w:val="24"/>
              </w:rPr>
            </w:pPr>
            <w:r>
              <w:rPr>
                <w:rFonts w:hint="eastAsia" w:ascii="宋体" w:hAnsi="宋体" w:cs="Calibri"/>
                <w:color w:val="000000"/>
                <w:sz w:val="24"/>
                <w:szCs w:val="24"/>
              </w:rPr>
              <w:t>账    号：</w:t>
            </w:r>
            <w:r>
              <w:rPr>
                <w:rFonts w:hint="eastAsia" w:ascii="宋体" w:hAnsi="宋体" w:cs="Calibri"/>
                <w:b/>
                <w:color w:val="000000"/>
                <w:sz w:val="24"/>
                <w:szCs w:val="24"/>
                <w:u w:val="single"/>
              </w:rPr>
              <w:t>详见“政府采购投标信息回执函”下方所附“保证金缴纳信息”中载明的账号</w:t>
            </w:r>
            <w:r>
              <w:rPr>
                <w:rFonts w:hint="eastAsia" w:ascii="宋体" w:hAnsi="宋体" w:cs="Calibri"/>
                <w:color w:val="000000"/>
                <w:sz w:val="24"/>
                <w:szCs w:val="24"/>
              </w:rPr>
              <w:t>。</w:t>
            </w:r>
          </w:p>
          <w:p>
            <w:pPr>
              <w:spacing w:before="0" w:beforeAutospacing="0" w:after="0" w:afterAutospacing="0" w:line="360" w:lineRule="auto"/>
              <w:ind w:left="0" w:right="0"/>
              <w:jc w:val="left"/>
              <w:rPr>
                <w:rFonts w:hint="default" w:ascii="宋体" w:hAnsi="宋体" w:cs="Calibri"/>
                <w:color w:val="000000"/>
                <w:sz w:val="24"/>
                <w:szCs w:val="24"/>
              </w:rPr>
            </w:pPr>
            <w:r>
              <w:rPr>
                <w:rFonts w:hint="eastAsia" w:ascii="宋体" w:hAnsi="宋体" w:cs="Calibri"/>
                <w:color w:val="000000"/>
                <w:sz w:val="24"/>
                <w:szCs w:val="24"/>
              </w:rPr>
              <w:t>投标保证金缴纳、退还联系电话（交易中心）：0477-3864230</w:t>
            </w:r>
          </w:p>
          <w:p>
            <w:pPr>
              <w:spacing w:before="0" w:beforeAutospacing="0" w:after="0" w:afterAutospacing="0" w:line="360" w:lineRule="auto"/>
              <w:ind w:left="0" w:right="0"/>
              <w:rPr>
                <w:rFonts w:hint="default" w:ascii="宋体" w:hAnsi="宋体" w:cs="Calibri"/>
                <w:color w:val="000000"/>
                <w:sz w:val="24"/>
                <w:szCs w:val="24"/>
              </w:rPr>
            </w:pPr>
            <w:r>
              <w:rPr>
                <w:rFonts w:hint="eastAsia" w:ascii="宋体" w:hAnsi="宋体" w:cs="Calibri"/>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本招标项目采用“虚拟子账号”形式收退投标保证金，每一个投标人在所投的每一项目或标包会自动生成一个账号，称为“虚拟子账号”。投标人在进行投标信息确认后，应查看“保证金缴纳信息”下方所载明的账</w:t>
      </w:r>
      <w:r>
        <w:rPr>
          <w:rFonts w:hint="eastAsia" w:ascii="宋体" w:hAnsi="宋体"/>
          <w:sz w:val="24"/>
          <w:szCs w:val="24"/>
        </w:rPr>
        <w:t>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2.1报名时间（招标文件提供期限）：20</w:t>
      </w:r>
      <w:r>
        <w:rPr>
          <w:rFonts w:hint="eastAsia" w:ascii="宋体" w:hAnsi="宋体" w:cs="宋体"/>
          <w:kern w:val="0"/>
          <w:sz w:val="24"/>
          <w:szCs w:val="24"/>
          <w:highlight w:val="none"/>
          <w:lang w:val="en-US" w:eastAsia="zh-CN"/>
        </w:rPr>
        <w:t>20</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日至20</w:t>
      </w:r>
      <w:r>
        <w:rPr>
          <w:rFonts w:hint="eastAsia" w:ascii="宋体" w:hAnsi="宋体" w:cs="宋体"/>
          <w:kern w:val="0"/>
          <w:sz w:val="24"/>
          <w:szCs w:val="24"/>
          <w:highlight w:val="none"/>
          <w:lang w:val="en-US" w:eastAsia="zh-CN"/>
        </w:rPr>
        <w:t>20</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日 17时整</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2.2保证金缴纳截止时间（同提交投标文件截止时间）：20</w:t>
      </w:r>
      <w:r>
        <w:rPr>
          <w:rFonts w:hint="eastAsia" w:ascii="宋体" w:hAnsi="宋体" w:cs="宋体"/>
          <w:kern w:val="0"/>
          <w:sz w:val="24"/>
          <w:szCs w:val="24"/>
          <w:highlight w:val="none"/>
          <w:lang w:val="en-US" w:eastAsia="zh-CN"/>
        </w:rPr>
        <w:t>20</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24</w:t>
      </w:r>
      <w:r>
        <w:rPr>
          <w:rFonts w:hint="eastAsia" w:ascii="宋体" w:hAnsi="宋体" w:cs="宋体"/>
          <w:kern w:val="0"/>
          <w:sz w:val="24"/>
          <w:szCs w:val="24"/>
          <w:highlight w:val="none"/>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37"/>
          <w:rFonts w:hint="eastAsia" w:ascii="宋体" w:hAnsi="宋体" w:cs="宋体"/>
          <w:b/>
          <w:bCs/>
          <w:kern w:val="0"/>
          <w:sz w:val="24"/>
          <w:szCs w:val="24"/>
        </w:rPr>
        <w:t>54493864</w:t>
      </w:r>
      <w:r>
        <w:rPr>
          <w:rStyle w:val="37"/>
          <w:rFonts w:ascii="宋体" w:hAnsi="宋体" w:cs="宋体"/>
          <w:b/>
          <w:bCs/>
          <w:kern w:val="0"/>
          <w:sz w:val="24"/>
          <w:szCs w:val="24"/>
        </w:rPr>
        <w:t>@</w:t>
      </w:r>
      <w:r>
        <w:rPr>
          <w:rStyle w:val="37"/>
          <w:rFonts w:hint="eastAsia" w:ascii="宋体" w:hAnsi="宋体" w:cs="宋体"/>
          <w:b/>
          <w:bCs/>
          <w:kern w:val="0"/>
          <w:sz w:val="24"/>
          <w:szCs w:val="24"/>
        </w:rPr>
        <w:t>qq</w:t>
      </w:r>
      <w:r>
        <w:rPr>
          <w:rStyle w:val="37"/>
          <w:rFonts w:ascii="宋体" w:hAnsi="宋体" w:cs="宋体"/>
          <w:b/>
          <w:bCs/>
          <w:kern w:val="0"/>
          <w:sz w:val="24"/>
          <w:szCs w:val="24"/>
        </w:rPr>
        <w:t>.com</w:t>
      </w:r>
      <w:r>
        <w:rPr>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24"/>
        <w:adjustRightInd w:val="0"/>
        <w:snapToGrid w:val="0"/>
        <w:spacing w:line="360" w:lineRule="auto"/>
        <w:rPr>
          <w:rFonts w:hAnsi="宋体"/>
          <w:b/>
          <w:sz w:val="24"/>
          <w:szCs w:val="24"/>
        </w:rPr>
      </w:pPr>
      <w:r>
        <w:rPr>
          <w:rFonts w:hint="eastAsia" w:hAnsi="宋体"/>
          <w:b/>
          <w:sz w:val="24"/>
          <w:szCs w:val="24"/>
        </w:rPr>
        <w:t>2.适用范围</w:t>
      </w:r>
    </w:p>
    <w:p>
      <w:pPr>
        <w:pStyle w:val="24"/>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24"/>
        <w:adjustRightInd w:val="0"/>
        <w:snapToGrid w:val="0"/>
        <w:spacing w:line="360" w:lineRule="auto"/>
        <w:rPr>
          <w:rFonts w:hAnsi="宋体"/>
          <w:b/>
          <w:sz w:val="24"/>
          <w:szCs w:val="24"/>
        </w:rPr>
      </w:pPr>
      <w:r>
        <w:rPr>
          <w:rFonts w:hint="eastAsia" w:hAnsi="宋体"/>
          <w:b/>
          <w:sz w:val="24"/>
          <w:szCs w:val="24"/>
        </w:rPr>
        <w:t>3.投标费用</w:t>
      </w:r>
    </w:p>
    <w:p>
      <w:pPr>
        <w:pStyle w:val="24"/>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准格尔旗教育体育局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5</w:t>
      </w:r>
      <w:r>
        <w:rPr>
          <w:rFonts w:hint="eastAsia" w:ascii="宋体" w:hAnsi="宋体"/>
          <w:sz w:val="24"/>
          <w:szCs w:val="24"/>
        </w:rPr>
        <w:t>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，电子文档可密封至投标文件中也可单独密封。密封封面上需注明“项目名称”、“项目编号”、“分包号”、“投标人全称”和《招标文件》或《电子版》字样，并在密封包装上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val="en-US" w:eastAsia="zh-CN"/>
        </w:rPr>
        <w:t>和准格尔旗公共资源交易网</w:t>
      </w:r>
      <w:r>
        <w:rPr>
          <w:rFonts w:hint="eastAsia" w:ascii="宋体" w:hAnsi="宋体"/>
          <w:sz w:val="24"/>
          <w:szCs w:val="24"/>
        </w:rPr>
        <w:t>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"mailto:youj_0722@163.com" </w:instrText>
      </w:r>
      <w:r>
        <w:rPr>
          <w:rFonts w:hint="eastAsia" w:ascii="宋体" w:hAnsi="宋体" w:cs="Times New Roman"/>
          <w:sz w:val="24"/>
          <w:szCs w:val="24"/>
        </w:rPr>
        <w:fldChar w:fldCharType="separate"/>
      </w:r>
      <w:r>
        <w:rPr>
          <w:rFonts w:hint="eastAsia" w:ascii="宋体" w:hAnsi="宋体" w:cs="Times New Roman"/>
          <w:sz w:val="24"/>
          <w:szCs w:val="24"/>
        </w:rPr>
        <w:t>54493864@qq.com</w:t>
      </w:r>
      <w:r>
        <w:rPr>
          <w:rFonts w:hint="eastAsia" w:ascii="宋体" w:hAnsi="宋体" w:cs="Times New Roman"/>
          <w:sz w:val="24"/>
          <w:szCs w:val="24"/>
        </w:rPr>
        <w:fldChar w:fldCharType="end"/>
      </w:r>
      <w:r>
        <w:rPr>
          <w:rFonts w:hint="eastAsia" w:ascii="宋体" w:hAnsi="宋体" w:cs="Times New Roman"/>
          <w:sz w:val="24"/>
          <w:szCs w:val="24"/>
        </w:rPr>
        <w:t>，</w:t>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w:t>
      </w:r>
      <w:r>
        <w:rPr>
          <w:rFonts w:hint="eastAsia" w:ascii="宋体" w:hAnsi="宋体" w:cs="宋体"/>
          <w:kern w:val="0"/>
          <w:sz w:val="24"/>
          <w:szCs w:val="24"/>
          <w:lang w:val="en-US" w:eastAsia="zh-CN"/>
        </w:rPr>
        <w:t>7</w:t>
      </w:r>
      <w:r>
        <w:rPr>
          <w:rFonts w:hint="eastAsia" w:ascii="宋体" w:hAnsi="宋体" w:cs="宋体"/>
          <w:kern w:val="0"/>
          <w:sz w:val="24"/>
          <w:szCs w:val="24"/>
        </w:rPr>
        <w:t>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w:t>
      </w:r>
      <w:r>
        <w:rPr>
          <w:rFonts w:hint="eastAsia" w:ascii="宋体" w:hAnsi="宋体" w:cs="宋体"/>
          <w:kern w:val="0"/>
          <w:sz w:val="24"/>
          <w:szCs w:val="24"/>
          <w:lang w:val="en-US" w:eastAsia="zh-CN"/>
        </w:rPr>
        <w:t>7</w:t>
      </w:r>
      <w:r>
        <w:rPr>
          <w:rFonts w:hint="eastAsia" w:ascii="宋体" w:hAnsi="宋体" w:cs="宋体"/>
          <w:kern w:val="0"/>
          <w:sz w:val="24"/>
          <w:szCs w:val="24"/>
        </w:rPr>
        <w:t>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32"/>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32"/>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33"/>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33"/>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2" w:firstLineChars="200"/>
        <w:rPr>
          <w:rFonts w:ascii="宋体" w:hAnsi="宋体"/>
          <w:b/>
          <w:bCs/>
          <w:sz w:val="24"/>
          <w:szCs w:val="24"/>
        </w:rPr>
      </w:pPr>
      <w:r>
        <w:rPr>
          <w:rFonts w:hint="eastAsia" w:ascii="宋体" w:hAnsi="宋体"/>
          <w:b/>
          <w:bCs/>
          <w:sz w:val="24"/>
          <w:szCs w:val="24"/>
        </w:rPr>
        <w:t>自合同签订之日起2个工作日内，中标人应将政府采购合同送达至鄂尔多斯市准格尔旗公共资源交易中心305室（联系电话：0477-3864232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w:t>
      </w:r>
      <w:r>
        <w:rPr>
          <w:rFonts w:hint="eastAsia" w:ascii="宋体" w:hAnsi="宋体"/>
          <w:b/>
          <w:bCs/>
          <w:sz w:val="24"/>
          <w:szCs w:val="24"/>
        </w:rPr>
        <w:t>验收合格后2个工作日内，中标人应将政府采购项目验收单送达至鄂尔多斯市准格尔旗公共资源交易中心305室（联系电话：0477-3864232）存档。逾期未验收或未按时交回验收单，将按照相关法律法规做出相应处罚。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宋体" w:hAnsi="宋体" w:eastAsia="宋体"/>
          <w:b/>
          <w:sz w:val="24"/>
          <w:szCs w:val="24"/>
        </w:rPr>
      </w:pPr>
      <w:r>
        <w:rPr>
          <w:rFonts w:hint="eastAsia" w:ascii="宋体" w:hAnsi="宋体" w:eastAsia="宋体"/>
          <w:b/>
          <w:sz w:val="24"/>
          <w:szCs w:val="24"/>
        </w:rPr>
        <w:t>甲方：***（填写采购单位）</w:t>
      </w:r>
    </w:p>
    <w:p>
      <w:pPr>
        <w:rPr>
          <w:rFonts w:ascii="宋体" w:hAnsi="宋体" w:eastAsia="宋体"/>
          <w:b/>
          <w:sz w:val="24"/>
          <w:szCs w:val="24"/>
        </w:rPr>
      </w:pPr>
      <w:r>
        <w:rPr>
          <w:rFonts w:hint="eastAsia" w:ascii="宋体" w:hAnsi="宋体" w:eastAsia="宋体"/>
          <w:b/>
          <w:sz w:val="24"/>
          <w:szCs w:val="24"/>
        </w:rPr>
        <w:t>地址（详细地址）：</w:t>
      </w:r>
    </w:p>
    <w:p>
      <w:pPr>
        <w:rPr>
          <w:rFonts w:ascii="宋体" w:hAnsi="宋体" w:eastAsia="宋体"/>
          <w:b/>
          <w:sz w:val="24"/>
          <w:szCs w:val="24"/>
        </w:rPr>
      </w:pPr>
      <w:r>
        <w:rPr>
          <w:rFonts w:hint="eastAsia" w:ascii="宋体" w:hAnsi="宋体" w:eastAsia="宋体"/>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rPr>
          <w:trHeight w:val="420" w:hRule="atLeast"/>
        </w:trPr>
        <w:tc>
          <w:tcPr>
            <w:tcW w:w="1645" w:type="dxa"/>
            <w:vAlign w:val="center"/>
          </w:tcPr>
          <w:p>
            <w:pPr>
              <w:spacing w:before="0" w:beforeAutospacing="0" w:after="0" w:afterAutospacing="0"/>
              <w:ind w:left="0" w:right="0"/>
              <w:jc w:val="center"/>
              <w:rPr>
                <w:rFonts w:hint="default" w:ascii="宋体" w:hAnsi="宋体" w:cs="Calibri"/>
                <w:b/>
                <w:sz w:val="24"/>
                <w:szCs w:val="24"/>
              </w:rPr>
            </w:pPr>
            <w:r>
              <w:rPr>
                <w:rFonts w:hint="eastAsia" w:ascii="宋体" w:hAnsi="宋体" w:cs="Calibri"/>
                <w:b/>
                <w:sz w:val="24"/>
                <w:szCs w:val="24"/>
              </w:rPr>
              <w:t>名 称</w:t>
            </w:r>
          </w:p>
        </w:tc>
        <w:tc>
          <w:tcPr>
            <w:tcW w:w="4082" w:type="dxa"/>
            <w:vAlign w:val="center"/>
          </w:tcPr>
          <w:p>
            <w:pPr>
              <w:spacing w:before="0" w:beforeAutospacing="0" w:after="0" w:afterAutospacing="0"/>
              <w:ind w:left="0" w:right="0"/>
              <w:jc w:val="center"/>
              <w:rPr>
                <w:rFonts w:hint="default" w:ascii="宋体" w:hAnsi="宋体" w:cs="Calibri"/>
                <w:b/>
                <w:sz w:val="24"/>
                <w:szCs w:val="24"/>
              </w:rPr>
            </w:pPr>
            <w:r>
              <w:rPr>
                <w:rFonts w:hint="eastAsia" w:ascii="宋体" w:hAnsi="宋体" w:cs="Calibri"/>
                <w:b/>
                <w:sz w:val="24"/>
                <w:szCs w:val="24"/>
              </w:rPr>
              <w:t>品牌、规格、标准</w:t>
            </w:r>
          </w:p>
        </w:tc>
        <w:tc>
          <w:tcPr>
            <w:tcW w:w="616" w:type="dxa"/>
            <w:vAlign w:val="center"/>
          </w:tcPr>
          <w:p>
            <w:pPr>
              <w:spacing w:before="0" w:beforeAutospacing="0" w:after="0" w:afterAutospacing="0"/>
              <w:ind w:left="0" w:right="0"/>
              <w:jc w:val="center"/>
              <w:rPr>
                <w:rFonts w:hint="default" w:ascii="宋体" w:hAnsi="宋体" w:cs="Calibri"/>
                <w:b/>
                <w:sz w:val="24"/>
                <w:szCs w:val="24"/>
              </w:rPr>
            </w:pPr>
            <w:r>
              <w:rPr>
                <w:rFonts w:hint="eastAsia" w:ascii="宋体" w:hAnsi="宋体" w:cs="Calibri"/>
                <w:b/>
                <w:sz w:val="24"/>
                <w:szCs w:val="24"/>
              </w:rPr>
              <w:t>产地</w:t>
            </w:r>
          </w:p>
        </w:tc>
        <w:tc>
          <w:tcPr>
            <w:tcW w:w="932" w:type="dxa"/>
            <w:vAlign w:val="center"/>
          </w:tcPr>
          <w:p>
            <w:pPr>
              <w:spacing w:before="0" w:beforeAutospacing="0" w:after="0" w:afterAutospacing="0"/>
              <w:ind w:left="0" w:right="0"/>
              <w:jc w:val="center"/>
              <w:rPr>
                <w:rFonts w:hint="default" w:ascii="宋体" w:hAnsi="宋体" w:cs="Calibri"/>
                <w:b/>
                <w:sz w:val="24"/>
                <w:szCs w:val="24"/>
              </w:rPr>
            </w:pPr>
            <w:r>
              <w:rPr>
                <w:rFonts w:hint="eastAsia" w:ascii="宋体" w:hAnsi="宋体" w:cs="Calibri"/>
                <w:b/>
                <w:sz w:val="24"/>
                <w:szCs w:val="24"/>
              </w:rPr>
              <w:t>数量</w:t>
            </w:r>
          </w:p>
        </w:tc>
        <w:tc>
          <w:tcPr>
            <w:tcW w:w="940" w:type="dxa"/>
            <w:vAlign w:val="center"/>
          </w:tcPr>
          <w:p>
            <w:pPr>
              <w:spacing w:before="0" w:beforeAutospacing="0" w:after="0" w:afterAutospacing="0"/>
              <w:ind w:left="0" w:right="0"/>
              <w:jc w:val="center"/>
              <w:rPr>
                <w:rFonts w:hint="default" w:ascii="宋体" w:hAnsi="宋体" w:cs="Calibri"/>
                <w:b/>
                <w:sz w:val="24"/>
                <w:szCs w:val="24"/>
              </w:rPr>
            </w:pPr>
            <w:r>
              <w:rPr>
                <w:rFonts w:hint="eastAsia" w:ascii="宋体" w:hAnsi="宋体" w:cs="Calibri"/>
                <w:b/>
                <w:sz w:val="24"/>
                <w:szCs w:val="24"/>
              </w:rPr>
              <w:t>单价（元）</w:t>
            </w:r>
          </w:p>
        </w:tc>
        <w:tc>
          <w:tcPr>
            <w:tcW w:w="1413" w:type="dxa"/>
            <w:vAlign w:val="center"/>
          </w:tcPr>
          <w:p>
            <w:pPr>
              <w:spacing w:before="0" w:beforeAutospacing="0" w:after="0" w:afterAutospacing="0"/>
              <w:ind w:left="0" w:right="0"/>
              <w:jc w:val="center"/>
              <w:rPr>
                <w:rFonts w:hint="default" w:ascii="宋体" w:hAnsi="宋体" w:cs="Calibri"/>
                <w:b/>
                <w:sz w:val="24"/>
                <w:szCs w:val="24"/>
              </w:rPr>
            </w:pPr>
            <w:r>
              <w:rPr>
                <w:rFonts w:hint="eastAsia" w:ascii="宋体" w:hAnsi="宋体" w:cs="Calibri"/>
                <w:b/>
                <w:sz w:val="24"/>
                <w:szCs w:val="24"/>
              </w:rPr>
              <w:t>金额（元）</w:t>
            </w:r>
          </w:p>
        </w:tc>
      </w:tr>
      <w:tr>
        <w:trPr>
          <w:trHeight w:val="510" w:hRule="atLeast"/>
        </w:trPr>
        <w:tc>
          <w:tcPr>
            <w:tcW w:w="1645"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r>
              <w:rPr>
                <w:rFonts w:hint="eastAsia" w:ascii="宋体" w:hAnsi="宋体" w:cs="Calibri"/>
                <w:color w:val="000000"/>
                <w:sz w:val="24"/>
                <w:szCs w:val="24"/>
              </w:rPr>
              <w:t>**</w:t>
            </w:r>
          </w:p>
        </w:tc>
        <w:tc>
          <w:tcPr>
            <w:tcW w:w="4082" w:type="dxa"/>
            <w:vAlign w:val="center"/>
          </w:tcPr>
          <w:p>
            <w:pPr>
              <w:spacing w:before="0" w:beforeAutospacing="0" w:after="0" w:afterAutospacing="0"/>
              <w:ind w:left="0" w:right="0"/>
              <w:jc w:val="center"/>
              <w:rPr>
                <w:rFonts w:hint="default" w:ascii="宋体" w:hAnsi="宋体" w:cs="Calibri"/>
                <w:color w:val="000000"/>
                <w:sz w:val="24"/>
                <w:szCs w:val="24"/>
              </w:rPr>
            </w:pPr>
            <w:r>
              <w:rPr>
                <w:rFonts w:hint="eastAsia" w:ascii="宋体" w:hAnsi="宋体" w:cs="Calibri"/>
                <w:color w:val="000000"/>
                <w:sz w:val="24"/>
                <w:szCs w:val="24"/>
              </w:rPr>
              <w:t>**</w:t>
            </w:r>
          </w:p>
        </w:tc>
        <w:tc>
          <w:tcPr>
            <w:tcW w:w="616" w:type="dxa"/>
            <w:vAlign w:val="center"/>
          </w:tcPr>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w:t>
            </w:r>
          </w:p>
        </w:tc>
        <w:tc>
          <w:tcPr>
            <w:tcW w:w="932"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r>
              <w:rPr>
                <w:rFonts w:hint="eastAsia" w:ascii="宋体" w:hAnsi="宋体" w:cs="Calibri"/>
                <w:color w:val="000000"/>
                <w:sz w:val="24"/>
                <w:szCs w:val="24"/>
              </w:rPr>
              <w:t>**</w:t>
            </w:r>
          </w:p>
        </w:tc>
        <w:tc>
          <w:tcPr>
            <w:tcW w:w="940"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r>
              <w:rPr>
                <w:rFonts w:hint="eastAsia" w:ascii="宋体" w:hAnsi="宋体" w:cs="Calibri"/>
                <w:color w:val="000000"/>
                <w:sz w:val="24"/>
                <w:szCs w:val="24"/>
              </w:rPr>
              <w:t>**</w:t>
            </w:r>
          </w:p>
        </w:tc>
        <w:tc>
          <w:tcPr>
            <w:tcW w:w="1413"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r>
              <w:rPr>
                <w:rFonts w:hint="eastAsia" w:ascii="宋体" w:hAnsi="宋体" w:cs="Calibri"/>
                <w:color w:val="000000"/>
                <w:sz w:val="24"/>
                <w:szCs w:val="24"/>
              </w:rPr>
              <w:t>**</w:t>
            </w:r>
          </w:p>
        </w:tc>
      </w:tr>
      <w:tr>
        <w:trPr>
          <w:trHeight w:val="510" w:hRule="atLeast"/>
        </w:trPr>
        <w:tc>
          <w:tcPr>
            <w:tcW w:w="1645" w:type="dxa"/>
            <w:vAlign w:val="center"/>
          </w:tcPr>
          <w:p>
            <w:pPr>
              <w:adjustRightInd w:val="0"/>
              <w:snapToGrid w:val="0"/>
              <w:spacing w:before="0" w:beforeAutospacing="0" w:after="0" w:afterAutospacing="0" w:line="460" w:lineRule="exact"/>
              <w:ind w:left="-118" w:leftChars="-42" w:right="0"/>
              <w:jc w:val="center"/>
              <w:rPr>
                <w:rFonts w:hint="default" w:ascii="宋体" w:hAnsi="宋体" w:cs="Calibri"/>
                <w:color w:val="000000"/>
                <w:sz w:val="24"/>
                <w:szCs w:val="24"/>
              </w:rPr>
            </w:pPr>
          </w:p>
        </w:tc>
        <w:tc>
          <w:tcPr>
            <w:tcW w:w="4082" w:type="dxa"/>
            <w:vAlign w:val="center"/>
          </w:tcPr>
          <w:p>
            <w:pPr>
              <w:spacing w:before="0" w:beforeAutospacing="0" w:after="0" w:afterAutospacing="0"/>
              <w:ind w:left="0" w:right="0"/>
              <w:jc w:val="center"/>
              <w:rPr>
                <w:rFonts w:hint="default" w:ascii="宋体" w:hAnsi="宋体" w:cs="Calibri"/>
                <w:color w:val="000000"/>
                <w:sz w:val="24"/>
                <w:szCs w:val="24"/>
              </w:rPr>
            </w:pPr>
          </w:p>
        </w:tc>
        <w:tc>
          <w:tcPr>
            <w:tcW w:w="616" w:type="dxa"/>
            <w:vAlign w:val="center"/>
          </w:tcPr>
          <w:p>
            <w:pPr>
              <w:spacing w:before="0" w:beforeAutospacing="0" w:after="0" w:afterAutospacing="0"/>
              <w:ind w:left="0" w:right="0"/>
              <w:jc w:val="center"/>
              <w:rPr>
                <w:rFonts w:hint="default" w:ascii="宋体" w:hAnsi="宋体" w:cs="Calibri"/>
                <w:sz w:val="24"/>
                <w:szCs w:val="24"/>
              </w:rPr>
            </w:pPr>
          </w:p>
        </w:tc>
        <w:tc>
          <w:tcPr>
            <w:tcW w:w="932"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940"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1413"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r>
      <w:tr>
        <w:trPr>
          <w:trHeight w:val="510" w:hRule="atLeast"/>
        </w:trPr>
        <w:tc>
          <w:tcPr>
            <w:tcW w:w="1645" w:type="dxa"/>
            <w:vAlign w:val="center"/>
          </w:tcPr>
          <w:p>
            <w:pPr>
              <w:adjustRightInd w:val="0"/>
              <w:snapToGrid w:val="0"/>
              <w:spacing w:before="0" w:beforeAutospacing="0" w:after="0" w:afterAutospacing="0" w:line="460" w:lineRule="exact"/>
              <w:ind w:left="-118" w:leftChars="-42" w:right="0"/>
              <w:jc w:val="center"/>
              <w:rPr>
                <w:rFonts w:hint="default" w:ascii="宋体" w:hAnsi="宋体" w:cs="Calibri"/>
                <w:color w:val="000000"/>
                <w:sz w:val="24"/>
                <w:szCs w:val="24"/>
              </w:rPr>
            </w:pPr>
          </w:p>
        </w:tc>
        <w:tc>
          <w:tcPr>
            <w:tcW w:w="4082" w:type="dxa"/>
            <w:vAlign w:val="center"/>
          </w:tcPr>
          <w:p>
            <w:pPr>
              <w:spacing w:before="0" w:beforeAutospacing="0" w:after="0" w:afterAutospacing="0"/>
              <w:ind w:left="0" w:right="0"/>
              <w:jc w:val="center"/>
              <w:rPr>
                <w:rFonts w:hint="default" w:ascii="宋体" w:hAnsi="宋体" w:cs="Calibri"/>
                <w:color w:val="000000"/>
                <w:sz w:val="24"/>
                <w:szCs w:val="24"/>
              </w:rPr>
            </w:pPr>
          </w:p>
        </w:tc>
        <w:tc>
          <w:tcPr>
            <w:tcW w:w="616" w:type="dxa"/>
            <w:vAlign w:val="center"/>
          </w:tcPr>
          <w:p>
            <w:pPr>
              <w:spacing w:before="0" w:beforeAutospacing="0" w:after="0" w:afterAutospacing="0"/>
              <w:ind w:left="0" w:right="0"/>
              <w:jc w:val="center"/>
              <w:rPr>
                <w:rFonts w:hint="default" w:ascii="宋体" w:hAnsi="宋体" w:cs="Calibri"/>
                <w:sz w:val="24"/>
                <w:szCs w:val="24"/>
              </w:rPr>
            </w:pPr>
          </w:p>
        </w:tc>
        <w:tc>
          <w:tcPr>
            <w:tcW w:w="932"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940"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1413"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r>
      <w:tr>
        <w:trPr>
          <w:trHeight w:val="510" w:hRule="atLeast"/>
        </w:trPr>
        <w:tc>
          <w:tcPr>
            <w:tcW w:w="1645" w:type="dxa"/>
            <w:vAlign w:val="center"/>
          </w:tcPr>
          <w:p>
            <w:pPr>
              <w:adjustRightInd w:val="0"/>
              <w:snapToGrid w:val="0"/>
              <w:spacing w:before="0" w:beforeAutospacing="0" w:after="0" w:afterAutospacing="0" w:line="460" w:lineRule="exact"/>
              <w:ind w:left="-118" w:leftChars="-42" w:right="0"/>
              <w:jc w:val="center"/>
              <w:rPr>
                <w:rFonts w:hint="default" w:ascii="宋体" w:hAnsi="宋体" w:cs="Calibri"/>
                <w:color w:val="000000"/>
                <w:sz w:val="24"/>
                <w:szCs w:val="24"/>
              </w:rPr>
            </w:pPr>
          </w:p>
        </w:tc>
        <w:tc>
          <w:tcPr>
            <w:tcW w:w="4082" w:type="dxa"/>
            <w:vAlign w:val="center"/>
          </w:tcPr>
          <w:p>
            <w:pPr>
              <w:spacing w:before="0" w:beforeAutospacing="0" w:after="0" w:afterAutospacing="0"/>
              <w:ind w:left="0" w:right="0"/>
              <w:jc w:val="center"/>
              <w:rPr>
                <w:rFonts w:hint="default" w:ascii="宋体" w:hAnsi="宋体" w:cs="Calibri"/>
                <w:color w:val="000000"/>
                <w:sz w:val="24"/>
                <w:szCs w:val="24"/>
              </w:rPr>
            </w:pPr>
          </w:p>
        </w:tc>
        <w:tc>
          <w:tcPr>
            <w:tcW w:w="616" w:type="dxa"/>
            <w:vAlign w:val="center"/>
          </w:tcPr>
          <w:p>
            <w:pPr>
              <w:spacing w:before="0" w:beforeAutospacing="0" w:after="0" w:afterAutospacing="0"/>
              <w:ind w:left="0" w:right="0"/>
              <w:jc w:val="center"/>
              <w:rPr>
                <w:rFonts w:hint="default" w:ascii="宋体" w:hAnsi="宋体" w:cs="Calibri"/>
                <w:sz w:val="24"/>
                <w:szCs w:val="24"/>
              </w:rPr>
            </w:pPr>
          </w:p>
        </w:tc>
        <w:tc>
          <w:tcPr>
            <w:tcW w:w="932"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940"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1413"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r>
      <w:tr>
        <w:trPr>
          <w:trHeight w:val="510" w:hRule="atLeast"/>
        </w:trPr>
        <w:tc>
          <w:tcPr>
            <w:tcW w:w="1645" w:type="dxa"/>
            <w:vAlign w:val="center"/>
          </w:tcPr>
          <w:p>
            <w:pPr>
              <w:adjustRightInd w:val="0"/>
              <w:snapToGrid w:val="0"/>
              <w:spacing w:before="0" w:beforeAutospacing="0" w:after="0" w:afterAutospacing="0" w:line="460" w:lineRule="exact"/>
              <w:ind w:left="-118" w:leftChars="-42" w:right="0"/>
              <w:jc w:val="center"/>
              <w:rPr>
                <w:rFonts w:hint="default" w:ascii="宋体" w:hAnsi="宋体" w:cs="Calibri"/>
                <w:color w:val="000000"/>
                <w:sz w:val="24"/>
                <w:szCs w:val="24"/>
              </w:rPr>
            </w:pPr>
          </w:p>
        </w:tc>
        <w:tc>
          <w:tcPr>
            <w:tcW w:w="4082" w:type="dxa"/>
            <w:vAlign w:val="center"/>
          </w:tcPr>
          <w:p>
            <w:pPr>
              <w:spacing w:before="0" w:beforeAutospacing="0" w:after="0" w:afterAutospacing="0"/>
              <w:ind w:left="0" w:right="0"/>
              <w:jc w:val="center"/>
              <w:rPr>
                <w:rFonts w:hint="default" w:ascii="宋体" w:hAnsi="宋体" w:cs="Calibri"/>
                <w:color w:val="000000"/>
                <w:sz w:val="24"/>
                <w:szCs w:val="24"/>
              </w:rPr>
            </w:pPr>
          </w:p>
        </w:tc>
        <w:tc>
          <w:tcPr>
            <w:tcW w:w="616" w:type="dxa"/>
            <w:vAlign w:val="center"/>
          </w:tcPr>
          <w:p>
            <w:pPr>
              <w:spacing w:before="0" w:beforeAutospacing="0" w:after="0" w:afterAutospacing="0"/>
              <w:ind w:left="0" w:right="0"/>
              <w:jc w:val="center"/>
              <w:rPr>
                <w:rFonts w:hint="default" w:ascii="宋体" w:hAnsi="宋体" w:cs="Calibri"/>
                <w:sz w:val="24"/>
                <w:szCs w:val="24"/>
              </w:rPr>
            </w:pPr>
          </w:p>
        </w:tc>
        <w:tc>
          <w:tcPr>
            <w:tcW w:w="932"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940"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1413"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r>
      <w:tr>
        <w:trPr>
          <w:trHeight w:val="510" w:hRule="atLeast"/>
        </w:trPr>
        <w:tc>
          <w:tcPr>
            <w:tcW w:w="1645" w:type="dxa"/>
            <w:vAlign w:val="center"/>
          </w:tcPr>
          <w:p>
            <w:pPr>
              <w:adjustRightInd w:val="0"/>
              <w:snapToGrid w:val="0"/>
              <w:spacing w:before="0" w:beforeAutospacing="0" w:after="0" w:afterAutospacing="0" w:line="460" w:lineRule="exact"/>
              <w:ind w:left="0" w:right="0"/>
              <w:rPr>
                <w:rFonts w:hint="default" w:ascii="宋体" w:hAnsi="宋体" w:cs="Calibri"/>
                <w:color w:val="000000"/>
                <w:sz w:val="24"/>
                <w:szCs w:val="24"/>
              </w:rPr>
            </w:pPr>
          </w:p>
        </w:tc>
        <w:tc>
          <w:tcPr>
            <w:tcW w:w="4082" w:type="dxa"/>
            <w:vAlign w:val="center"/>
          </w:tcPr>
          <w:p>
            <w:pPr>
              <w:spacing w:before="0" w:beforeAutospacing="0" w:after="0" w:afterAutospacing="0"/>
              <w:ind w:left="0" w:right="0"/>
              <w:jc w:val="center"/>
              <w:rPr>
                <w:rFonts w:hint="default" w:ascii="宋体" w:hAnsi="宋体" w:cs="Calibri"/>
                <w:color w:val="000000"/>
                <w:sz w:val="24"/>
                <w:szCs w:val="24"/>
              </w:rPr>
            </w:pPr>
          </w:p>
        </w:tc>
        <w:tc>
          <w:tcPr>
            <w:tcW w:w="616" w:type="dxa"/>
            <w:vAlign w:val="center"/>
          </w:tcPr>
          <w:p>
            <w:pPr>
              <w:spacing w:before="0" w:beforeAutospacing="0" w:after="0" w:afterAutospacing="0"/>
              <w:ind w:left="0" w:right="0"/>
              <w:jc w:val="center"/>
              <w:rPr>
                <w:rFonts w:hint="default" w:ascii="宋体" w:hAnsi="宋体" w:cs="Calibri"/>
                <w:sz w:val="24"/>
                <w:szCs w:val="24"/>
              </w:rPr>
            </w:pPr>
          </w:p>
        </w:tc>
        <w:tc>
          <w:tcPr>
            <w:tcW w:w="932"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940"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c>
          <w:tcPr>
            <w:tcW w:w="1413" w:type="dxa"/>
            <w:vAlign w:val="center"/>
          </w:tcPr>
          <w:p>
            <w:pPr>
              <w:adjustRightInd w:val="0"/>
              <w:snapToGrid w:val="0"/>
              <w:spacing w:before="0" w:beforeAutospacing="0" w:after="0" w:afterAutospacing="0" w:line="460" w:lineRule="exact"/>
              <w:ind w:left="0" w:right="0"/>
              <w:jc w:val="center"/>
              <w:rPr>
                <w:rFonts w:hint="default" w:ascii="宋体" w:hAnsi="宋体" w:cs="Calibri"/>
                <w:color w:val="000000"/>
                <w:sz w:val="24"/>
                <w:szCs w:val="24"/>
              </w:rPr>
            </w:pPr>
          </w:p>
        </w:tc>
      </w:tr>
      <w:tr>
        <w:trPr>
          <w:trHeight w:val="480" w:hRule="atLeast"/>
        </w:trPr>
        <w:tc>
          <w:tcPr>
            <w:tcW w:w="8215" w:type="dxa"/>
            <w:gridSpan w:val="5"/>
            <w:vAlign w:val="center"/>
          </w:tcPr>
          <w:p>
            <w:pPr>
              <w:spacing w:before="0" w:beforeAutospacing="0" w:after="0" w:afterAutospacing="0"/>
              <w:ind w:left="0" w:right="0"/>
              <w:rPr>
                <w:rFonts w:hint="default" w:ascii="宋体" w:hAnsi="宋体" w:cs="Calibri"/>
                <w:color w:val="FF0000"/>
                <w:sz w:val="24"/>
                <w:szCs w:val="24"/>
              </w:rPr>
            </w:pPr>
            <w:r>
              <w:rPr>
                <w:rFonts w:hint="eastAsia" w:ascii="宋体" w:hAnsi="宋体" w:cs="Calibri"/>
                <w:color w:val="FF0000"/>
                <w:sz w:val="24"/>
                <w:szCs w:val="24"/>
              </w:rPr>
              <w:t>人民币大写：**</w:t>
            </w:r>
            <w:r>
              <w:rPr>
                <w:rFonts w:hint="default" w:ascii="宋体" w:hAnsi="宋体" w:cs="Calibri"/>
                <w:color w:val="000000"/>
                <w:sz w:val="24"/>
                <w:szCs w:val="24"/>
              </w:rPr>
              <w:t>元</w:t>
            </w:r>
            <w:r>
              <w:rPr>
                <w:rFonts w:hint="eastAsia" w:ascii="宋体" w:hAnsi="宋体" w:cs="Calibri"/>
                <w:color w:val="000000"/>
                <w:sz w:val="24"/>
                <w:szCs w:val="24"/>
              </w:rPr>
              <w:t>整</w:t>
            </w:r>
          </w:p>
        </w:tc>
        <w:tc>
          <w:tcPr>
            <w:tcW w:w="1413" w:type="dxa"/>
            <w:vAlign w:val="center"/>
          </w:tcPr>
          <w:p>
            <w:pPr>
              <w:spacing w:before="0" w:beforeAutospacing="0" w:after="0" w:afterAutospacing="0"/>
              <w:ind w:left="0" w:right="0"/>
              <w:jc w:val="center"/>
              <w:rPr>
                <w:rFonts w:hint="default" w:ascii="宋体" w:hAnsi="宋体" w:cs="Calibri"/>
                <w:color w:val="FF0000"/>
                <w:sz w:val="24"/>
                <w:szCs w:val="24"/>
              </w:rPr>
            </w:pPr>
            <w:r>
              <w:rPr>
                <w:rFonts w:hint="eastAsia" w:ascii="宋体" w:hAnsi="宋体" w:cs="Calibri"/>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jc w:val="center"/>
        <w:outlineLvl w:val="0"/>
        <w:rPr>
          <w:rFonts w:hint="eastAsia" w:ascii="宋体" w:hAnsi="宋体"/>
          <w:b w:val="0"/>
          <w:bCs w:val="0"/>
          <w:color w:val="000000"/>
          <w:kern w:val="44"/>
          <w:sz w:val="24"/>
          <w:szCs w:val="24"/>
          <w:lang w:val="en-US" w:eastAsia="zh-CN"/>
        </w:rPr>
      </w:pPr>
      <w:bookmarkStart w:id="5" w:name="_Toc494546014"/>
      <w:bookmarkStart w:id="6" w:name="_Toc497408661"/>
      <w:r>
        <w:rPr>
          <w:rFonts w:hint="eastAsia" w:ascii="宋体" w:hAnsi="宋体"/>
          <w:b w:val="0"/>
          <w:bCs w:val="0"/>
          <w:color w:val="000000"/>
          <w:kern w:val="44"/>
          <w:sz w:val="24"/>
          <w:szCs w:val="24"/>
          <w:lang w:val="en-US" w:eastAsia="zh-CN"/>
        </w:rPr>
        <w:t>第四章 招标内容与技术要求</w:t>
      </w:r>
    </w:p>
    <w:p>
      <w:pPr>
        <w:jc w:val="both"/>
        <w:outlineLvl w:val="0"/>
        <w:rPr>
          <w:rFonts w:hint="eastAsia" w:ascii="宋体" w:hAnsi="宋体"/>
          <w:b w:val="0"/>
          <w:bCs w:val="0"/>
          <w:color w:val="000000"/>
          <w:kern w:val="44"/>
          <w:sz w:val="24"/>
          <w:szCs w:val="24"/>
          <w:lang w:val="en-US" w:eastAsia="zh-CN"/>
        </w:rPr>
      </w:pP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一、主要商务要求</w:t>
      </w:r>
    </w:p>
    <w:tbl>
      <w:tblPr>
        <w:tblW w:w="9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7009"/>
      </w:tblGrid>
      <w:tr>
        <w:trPr>
          <w:trHeight w:val="401"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7" w:name="_Toc491862079"/>
            <w:r>
              <w:rPr>
                <w:rFonts w:hint="eastAsia" w:ascii="宋体" w:hAnsi="宋体" w:cs="Calibri"/>
                <w:b w:val="0"/>
                <w:bCs w:val="0"/>
                <w:color w:val="000000"/>
                <w:kern w:val="44"/>
                <w:sz w:val="24"/>
                <w:szCs w:val="24"/>
                <w:lang w:val="en-US" w:eastAsia="zh-CN"/>
              </w:rPr>
              <w:t>主要商务条款</w:t>
            </w:r>
            <w:bookmarkEnd w:id="7"/>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8" w:name="_Toc491862080"/>
            <w:r>
              <w:rPr>
                <w:rFonts w:hint="eastAsia" w:ascii="宋体" w:hAnsi="宋体" w:cs="Calibri"/>
                <w:b w:val="0"/>
                <w:bCs w:val="0"/>
                <w:color w:val="000000"/>
                <w:kern w:val="44"/>
                <w:sz w:val="24"/>
                <w:szCs w:val="24"/>
                <w:lang w:val="en-US" w:eastAsia="zh-CN"/>
              </w:rPr>
              <w:t>具体要求</w:t>
            </w:r>
            <w:bookmarkEnd w:id="8"/>
          </w:p>
        </w:tc>
      </w:tr>
      <w:tr>
        <w:trPr>
          <w:trHeight w:val="631"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9" w:name="_Toc491862082"/>
            <w:r>
              <w:rPr>
                <w:rFonts w:hint="eastAsia" w:ascii="宋体" w:hAnsi="宋体" w:cs="Calibri"/>
                <w:b w:val="0"/>
                <w:bCs w:val="0"/>
                <w:color w:val="000000"/>
                <w:kern w:val="44"/>
                <w:sz w:val="24"/>
                <w:szCs w:val="24"/>
                <w:lang w:val="en-US" w:eastAsia="zh-CN"/>
              </w:rPr>
              <w:t xml:space="preserve">  采购预算/最高限价</w:t>
            </w:r>
            <w:bookmarkEnd w:id="9"/>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10" w:name="_Toc491862083"/>
            <w:r>
              <w:rPr>
                <w:rFonts w:hint="eastAsia" w:ascii="宋体" w:hAnsi="宋体" w:cs="Calibri"/>
                <w:b w:val="0"/>
                <w:bCs w:val="0"/>
                <w:color w:val="000000"/>
                <w:kern w:val="44"/>
                <w:sz w:val="24"/>
                <w:szCs w:val="24"/>
                <w:lang w:val="en-US" w:eastAsia="zh-CN"/>
              </w:rPr>
              <w:t>2423427元</w:t>
            </w:r>
            <w:bookmarkEnd w:id="10"/>
          </w:p>
        </w:tc>
      </w:tr>
      <w:tr>
        <w:trPr>
          <w:trHeight w:val="476"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交付使用时间</w:t>
            </w:r>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签订合同后 30 日内。</w:t>
            </w:r>
          </w:p>
        </w:tc>
      </w:tr>
      <w:tr>
        <w:trPr>
          <w:trHeight w:val="507"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11" w:name="_Toc491862089"/>
            <w:r>
              <w:rPr>
                <w:rFonts w:hint="eastAsia" w:ascii="宋体" w:hAnsi="宋体" w:cs="Calibri"/>
                <w:b w:val="0"/>
                <w:bCs w:val="0"/>
                <w:color w:val="000000"/>
                <w:kern w:val="44"/>
                <w:sz w:val="24"/>
                <w:szCs w:val="24"/>
                <w:lang w:val="en-US" w:eastAsia="zh-CN"/>
              </w:rPr>
              <w:t>交付使用地点</w:t>
            </w:r>
            <w:bookmarkEnd w:id="11"/>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12" w:name="_Toc491862090"/>
            <w:r>
              <w:rPr>
                <w:rFonts w:hint="eastAsia" w:ascii="宋体" w:hAnsi="宋体" w:cs="Calibri"/>
                <w:b w:val="0"/>
                <w:bCs w:val="0"/>
                <w:color w:val="000000"/>
                <w:kern w:val="44"/>
                <w:sz w:val="24"/>
                <w:szCs w:val="24"/>
                <w:lang w:val="en-US" w:eastAsia="zh-CN"/>
              </w:rPr>
              <w:t>采购人指定地点。</w:t>
            </w:r>
            <w:bookmarkEnd w:id="12"/>
          </w:p>
        </w:tc>
      </w:tr>
      <w:tr>
        <w:trPr>
          <w:trHeight w:val="429"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投标有效期</w:t>
            </w:r>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从提交投标文件的截止之日起90日历天。</w:t>
            </w:r>
          </w:p>
        </w:tc>
      </w:tr>
      <w:tr>
        <w:trPr>
          <w:trHeight w:val="420"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13" w:name="_Toc491862092"/>
            <w:r>
              <w:rPr>
                <w:rFonts w:hint="eastAsia" w:ascii="宋体" w:hAnsi="宋体" w:cs="Calibri"/>
                <w:b w:val="0"/>
                <w:bCs w:val="0"/>
                <w:color w:val="000000"/>
                <w:kern w:val="44"/>
                <w:sz w:val="24"/>
                <w:szCs w:val="24"/>
                <w:lang w:val="en-US" w:eastAsia="zh-CN"/>
              </w:rPr>
              <w:t>质保期</w:t>
            </w:r>
            <w:bookmarkEnd w:id="13"/>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auto"/>
                <w:kern w:val="44"/>
                <w:sz w:val="24"/>
                <w:szCs w:val="24"/>
                <w:highlight w:val="none"/>
                <w:lang w:val="en-US" w:eastAsia="zh-CN"/>
              </w:rPr>
            </w:pPr>
            <w:bookmarkStart w:id="14" w:name="_Toc491862093"/>
            <w:r>
              <w:rPr>
                <w:rFonts w:hint="eastAsia" w:ascii="宋体" w:hAnsi="宋体" w:cs="Calibri"/>
                <w:b w:val="0"/>
                <w:bCs w:val="0"/>
                <w:color w:val="auto"/>
                <w:kern w:val="44"/>
                <w:sz w:val="24"/>
                <w:szCs w:val="24"/>
                <w:highlight w:val="none"/>
                <w:lang w:val="en-US" w:eastAsia="zh-CN"/>
              </w:rPr>
              <w:t>三年</w:t>
            </w:r>
            <w:bookmarkEnd w:id="14"/>
            <w:r>
              <w:rPr>
                <w:rFonts w:hint="eastAsia" w:ascii="宋体" w:hAnsi="宋体" w:cs="Calibri"/>
                <w:b w:val="0"/>
                <w:bCs w:val="0"/>
                <w:color w:val="auto"/>
                <w:kern w:val="44"/>
                <w:sz w:val="24"/>
                <w:szCs w:val="24"/>
                <w:highlight w:val="none"/>
                <w:lang w:val="en-US" w:eastAsia="zh-CN"/>
              </w:rPr>
              <w:t>。</w:t>
            </w:r>
          </w:p>
        </w:tc>
      </w:tr>
      <w:tr>
        <w:trPr>
          <w:trHeight w:val="772" w:hRule="atLeast"/>
        </w:trPr>
        <w:tc>
          <w:tcPr>
            <w:tcW w:w="2690" w:type="dxa"/>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15" w:name="_Toc491862095"/>
            <w:r>
              <w:rPr>
                <w:rFonts w:hint="eastAsia" w:ascii="宋体" w:hAnsi="宋体" w:cs="Calibri"/>
                <w:b w:val="0"/>
                <w:bCs w:val="0"/>
                <w:color w:val="000000"/>
                <w:kern w:val="44"/>
                <w:sz w:val="24"/>
                <w:szCs w:val="24"/>
                <w:lang w:val="en-US" w:eastAsia="zh-CN"/>
              </w:rPr>
              <w:t>付款方式</w:t>
            </w:r>
            <w:bookmarkEnd w:id="15"/>
          </w:p>
        </w:tc>
        <w:tc>
          <w:tcPr>
            <w:tcW w:w="7009" w:type="dxa"/>
            <w:vAlign w:val="center"/>
          </w:tcPr>
          <w:p>
            <w:pPr>
              <w:spacing w:before="0" w:beforeAutospacing="0" w:after="0" w:afterAutospacing="0"/>
              <w:ind w:left="0" w:right="0"/>
              <w:jc w:val="both"/>
              <w:outlineLvl w:val="0"/>
              <w:rPr>
                <w:rFonts w:hint="eastAsia" w:ascii="宋体" w:hAnsi="宋体" w:cs="Calibri"/>
                <w:b w:val="0"/>
                <w:bCs w:val="0"/>
                <w:color w:val="auto"/>
                <w:kern w:val="44"/>
                <w:sz w:val="24"/>
                <w:szCs w:val="24"/>
                <w:highlight w:val="none"/>
                <w:lang w:val="en-US" w:eastAsia="zh-CN"/>
              </w:rPr>
            </w:pPr>
            <w:r>
              <w:rPr>
                <w:rFonts w:hint="eastAsia" w:ascii="宋体" w:hAnsi="宋体" w:cs="Calibri"/>
                <w:b w:val="0"/>
                <w:bCs w:val="0"/>
                <w:color w:val="auto"/>
                <w:kern w:val="44"/>
                <w:sz w:val="24"/>
                <w:szCs w:val="24"/>
                <w:highlight w:val="none"/>
                <w:lang w:val="en-US" w:eastAsia="zh-CN"/>
              </w:rPr>
              <w:t>货到安装调试完毕验收合格后付50%，6-12个月期间付40%，质保期满付清，质保三年。</w:t>
            </w:r>
          </w:p>
        </w:tc>
      </w:tr>
    </w:tbl>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二、技术标准与要求：</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（一）项目基本情况：</w:t>
      </w:r>
    </w:p>
    <w:p>
      <w:pPr>
        <w:jc w:val="both"/>
        <w:outlineLvl w:val="0"/>
        <w:rPr>
          <w:rFonts w:hint="eastAsia" w:ascii="宋体" w:hAnsi="宋体"/>
          <w:b w:val="0"/>
          <w:bCs w:val="0"/>
          <w:color w:val="000000"/>
          <w:kern w:val="44"/>
          <w:sz w:val="24"/>
          <w:szCs w:val="24"/>
          <w:lang w:val="en-US" w:eastAsia="zh-CN"/>
        </w:rPr>
      </w:pPr>
      <w:bookmarkStart w:id="16" w:name="_Toc24719895"/>
      <w:r>
        <w:rPr>
          <w:rFonts w:hint="eastAsia" w:ascii="宋体" w:hAnsi="宋体"/>
          <w:b w:val="0"/>
          <w:bCs w:val="0"/>
          <w:color w:val="000000"/>
          <w:kern w:val="44"/>
          <w:sz w:val="24"/>
          <w:szCs w:val="24"/>
          <w:lang w:val="en-US" w:eastAsia="zh-CN"/>
        </w:rPr>
        <w:t>1.采购内容</w:t>
      </w:r>
      <w:bookmarkEnd w:id="16"/>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校园区域及楼内视频监控、网络设备、宿管系统。</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视频和网络改造、安装、调试、综合布线等项目的系统集成。</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原有高清监控设备和新安装的高清监控设备重新部署安装整合。</w:t>
      </w:r>
    </w:p>
    <w:p>
      <w:pPr>
        <w:jc w:val="both"/>
        <w:outlineLvl w:val="0"/>
        <w:rPr>
          <w:rFonts w:hint="eastAsia" w:ascii="宋体" w:hAnsi="宋体"/>
          <w:b w:val="0"/>
          <w:bCs w:val="0"/>
          <w:color w:val="000000"/>
          <w:kern w:val="44"/>
          <w:sz w:val="24"/>
          <w:szCs w:val="24"/>
          <w:lang w:val="en-US" w:eastAsia="zh-CN"/>
        </w:rPr>
      </w:pPr>
      <w:bookmarkStart w:id="17" w:name="_Toc24719896"/>
      <w:r>
        <w:rPr>
          <w:rFonts w:hint="eastAsia" w:ascii="宋体" w:hAnsi="宋体"/>
          <w:b w:val="0"/>
          <w:bCs w:val="0"/>
          <w:color w:val="000000"/>
          <w:kern w:val="44"/>
          <w:sz w:val="24"/>
          <w:szCs w:val="24"/>
          <w:lang w:val="en-US" w:eastAsia="zh-CN"/>
        </w:rPr>
        <w:t>2.功能要求</w:t>
      </w:r>
      <w:bookmarkEnd w:id="17"/>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(1)本项目是智慧校园的重要组成部分。图像、报警信息实现与准旗教体局视讯平台无缝对接、与准旗公安局平台共享、可接入到鄂尔多斯市视讯平台。</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(2)因校区原有部分高清监控设备仍需使用，新的监控系统施工需要统一整合。</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(3)新建网络线路、传输路由上要考虑后期网络的升级改造的需求，网络交换的设备选择上，鉴于网络监控系统需要稳定、可靠的平台环境，采用与校园城域网完全兼容的网络交换产品。</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(4)一体化报警柱需要实现与摄像机联动报警。报警信息统一上传准旗教体局。</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(5)人脸识别摄像机及后台设备支持视频智能分析功能，软件具有周界警戒线，进入区域等行为分析功能，当其被触发时以报警事件的方式通知工作人员，以及可以通过电子地图（GIS）对突发事件进行提示等。</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(6)视频监控设备应满足符合通用协议，满足至少两种以上的开发语言，必须支持接口协议ONVIF, GB28181，支持设备更换、升级的通用方法，至少满足三种以上的设备兼容性。</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(7)播放组件管理：集成成熟的播放组件，满足不同监控设备的实况及回放要求。</w:t>
      </w:r>
    </w:p>
    <w:p>
      <w:pPr>
        <w:jc w:val="both"/>
        <w:outlineLvl w:val="0"/>
        <w:rPr>
          <w:rFonts w:hint="eastAsia" w:ascii="宋体" w:hAnsi="宋体"/>
          <w:b w:val="0"/>
          <w:bCs w:val="0"/>
          <w:color w:val="000000"/>
          <w:kern w:val="44"/>
          <w:sz w:val="24"/>
          <w:szCs w:val="24"/>
          <w:lang w:val="en-US" w:eastAsia="zh-CN"/>
        </w:rPr>
      </w:pPr>
      <w:bookmarkStart w:id="18" w:name="_Toc24719897"/>
      <w:r>
        <w:rPr>
          <w:rFonts w:hint="eastAsia" w:ascii="宋体" w:hAnsi="宋体"/>
          <w:b w:val="0"/>
          <w:bCs w:val="0"/>
          <w:color w:val="000000"/>
          <w:kern w:val="44"/>
          <w:sz w:val="24"/>
          <w:szCs w:val="24"/>
          <w:lang w:val="en-US" w:eastAsia="zh-CN"/>
        </w:rPr>
        <w:t>（二）货物需求一览表</w:t>
      </w:r>
      <w:bookmarkEnd w:id="18"/>
    </w:p>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1、准格尔旗第八中学</w:t>
      </w:r>
    </w:p>
    <w:tbl>
      <w:tblPr>
        <w:tblW w:w="10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
        <w:gridCol w:w="787"/>
        <w:gridCol w:w="3392"/>
        <w:gridCol w:w="2490"/>
        <w:gridCol w:w="765"/>
        <w:gridCol w:w="840"/>
        <w:gridCol w:w="969"/>
      </w:tblGrid>
      <w:tr>
        <w:trPr>
          <w:trHeight w:val="755"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设备性质</w:t>
            </w: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3392"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货物名称</w:t>
            </w:r>
          </w:p>
        </w:tc>
        <w:tc>
          <w:tcPr>
            <w:tcW w:w="249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c>
          <w:tcPr>
            <w:tcW w:w="76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单位</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备注</w:t>
            </w: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高清半球型网络摄像机(带音频）</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75</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高清半球型网络摄像机(人员密度检测)</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POE接入交换机</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全彩高清筒型网络摄像机</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62</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全彩警戒摄像机</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技术参数详见附表5</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安装平台及支架</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技术参数详见附表6</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92</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全彩网络智能球机</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技术参数详见附表7</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球机支架</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技术参数详见附表8</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4口百兆工业级收发器</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技术参数详见附表9</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20</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1口百兆工业级收发器</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技术参数详见附表10</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可视化紧急报警盒</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技术参数详见附表11</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紧急报警求助柱</w:t>
            </w:r>
          </w:p>
        </w:tc>
        <w:tc>
          <w:tcPr>
            <w:tcW w:w="249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技术参数详见附表12</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339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55寸防爆电视</w:t>
            </w:r>
          </w:p>
        </w:tc>
        <w:tc>
          <w:tcPr>
            <w:tcW w:w="2490" w:type="dxa"/>
            <w:tcBorders>
              <w:top w:val="nil"/>
              <w:left w:val="single" w:color="auto" w:sz="4" w:space="0"/>
              <w:bottom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技术参数详见附表13</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3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控制电脑</w:t>
            </w:r>
          </w:p>
        </w:tc>
        <w:tc>
          <w:tcPr>
            <w:tcW w:w="2490"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技术参数详见附表14</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身份信息识别产品</w:t>
            </w:r>
          </w:p>
        </w:tc>
        <w:tc>
          <w:tcPr>
            <w:tcW w:w="2490"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技术参数详见附表15</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90"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技术参数详见附表16</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17</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90"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技术参数详见附表17</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18</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90"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技术参数详见附表18</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19</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USB摄像机</w:t>
            </w:r>
          </w:p>
        </w:tc>
        <w:tc>
          <w:tcPr>
            <w:tcW w:w="2490"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技术参数详见附表19</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20</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通道专用遥控器</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技术参数详见附表20</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21</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400万智能人脸抓拍机</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技术参数详见附表21</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22</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智能周界防范、人脸识别一体机</w:t>
            </w:r>
          </w:p>
        </w:tc>
        <w:tc>
          <w:tcPr>
            <w:tcW w:w="2490"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技术参数详见附表22</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90"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23</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网络硬盘录像机</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技术参数详见附表23</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543"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监控级硬盘</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技术参数详见附表24</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99</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块</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25</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全电口千兆交换机</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技术参数详见附表25</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全光口千兆交换机</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技术参数详见附表26</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27</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光模块（接收端）</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技术参数详见附表27</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29</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28</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65寸防爆电视</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技术参数详见附表28</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29</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解码器</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技术参数详见附表29</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技术参数详见附表30</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技术参数详见附表31</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32</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光缆及敷设</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技术参数详见附表32</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约6000米</w:t>
            </w: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33</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光缆终端盒</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技术参数详见附表33</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34</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机架式光缆终端盒</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技术参数详见附表34</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35</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跳线</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技术参数详见附表35</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36</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电源线</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技术参数详见附表36</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约3000米</w:t>
            </w: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37</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超五类网线</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技术参数详见附表37</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约28箱</w:t>
            </w: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38</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室外壁挂电源箱</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技术参数详见附表38</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39</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PVC线槽及敷设</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技术参数详见附表39</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穿线管及敷设</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技术参数详见附表40</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41</w:t>
            </w:r>
          </w:p>
        </w:tc>
        <w:tc>
          <w:tcPr>
            <w:tcW w:w="339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系统集成</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技术参数详见附表41</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58" w:hRule="atLeast"/>
        </w:trPr>
        <w:tc>
          <w:tcPr>
            <w:tcW w:w="10073" w:type="dxa"/>
            <w:gridSpan w:val="7"/>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注：1. “参数性质”标“△”表示此设备为核心产品。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3.以上技术要求如涉及品牌及型号仅供参考，并无限制性，投标人可以选择不低于参考品牌的其它品牌产品。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4.标“*”表示此参数为重要技术参数，重要技术参数有负偏离的，属未实质性响应，废标处理；</w:t>
            </w:r>
          </w:p>
        </w:tc>
      </w:tr>
    </w:tbl>
    <w:p>
      <w:pPr>
        <w:jc w:val="both"/>
        <w:outlineLvl w:val="0"/>
        <w:rPr>
          <w:rFonts w:hint="eastAsia" w:ascii="宋体" w:hAnsi="宋体"/>
          <w:b/>
          <w:bCs/>
          <w:color w:val="000000"/>
          <w:kern w:val="44"/>
          <w:sz w:val="24"/>
          <w:szCs w:val="24"/>
          <w:lang w:val="en-US" w:eastAsia="zh-CN"/>
        </w:rPr>
      </w:pPr>
      <w:bookmarkStart w:id="19" w:name="_Toc24719898"/>
      <w:r>
        <w:rPr>
          <w:rFonts w:hint="eastAsia" w:ascii="宋体" w:hAnsi="宋体"/>
          <w:b/>
          <w:bCs/>
          <w:color w:val="000000"/>
          <w:kern w:val="44"/>
          <w:sz w:val="24"/>
          <w:szCs w:val="24"/>
          <w:lang w:val="en-US" w:eastAsia="zh-CN"/>
        </w:rPr>
        <w:t>2、准格尔旗第四中学</w:t>
      </w:r>
    </w:p>
    <w:tbl>
      <w:tblPr>
        <w:tblW w:w="10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741"/>
        <w:gridCol w:w="3422"/>
        <w:gridCol w:w="2475"/>
        <w:gridCol w:w="750"/>
        <w:gridCol w:w="840"/>
        <w:gridCol w:w="969"/>
      </w:tblGrid>
      <w:tr>
        <w:trPr>
          <w:trHeight w:val="755"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设备性质</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3422"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货物名称</w:t>
            </w:r>
          </w:p>
        </w:tc>
        <w:tc>
          <w:tcPr>
            <w:tcW w:w="247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c>
          <w:tcPr>
            <w:tcW w:w="75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单位</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备注</w:t>
            </w: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高清半球型网络摄像机(带音频）</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85</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高清半球型网络摄像机(人员密度检测)</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POE接入交换机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全彩高清筒型网络摄像机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全彩警戒摄像机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技术参数详见附表5</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安装平台及支架</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技术参数详见附表6</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70</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全彩网络智能球机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技术参数详见附表7</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球机支架</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技术参数详见附表8</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4口百兆工业级收发器</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技术参数详见附表9</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18</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1口百兆工业级收发器</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技术参数详见附表10</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可视化紧急报警盒</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技术参数详见附表11</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紧急报警求助柱</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技术参数详见附表12</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342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55寸防爆电视</w:t>
            </w:r>
          </w:p>
        </w:tc>
        <w:tc>
          <w:tcPr>
            <w:tcW w:w="2475" w:type="dxa"/>
            <w:tcBorders>
              <w:top w:val="nil"/>
              <w:left w:val="single" w:color="auto" w:sz="4" w:space="0"/>
              <w:bottom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技术参数详见附表13</w:t>
            </w:r>
          </w:p>
        </w:tc>
        <w:tc>
          <w:tcPr>
            <w:tcW w:w="75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控制电脑</w:t>
            </w:r>
          </w:p>
        </w:tc>
        <w:tc>
          <w:tcPr>
            <w:tcW w:w="2475"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技术参数详见附表14</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身份信息识别产品</w:t>
            </w:r>
          </w:p>
        </w:tc>
        <w:tc>
          <w:tcPr>
            <w:tcW w:w="2475"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技术参数详见附表15</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7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技术参数详见附表16</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17</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7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技术参数详见附表17</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18</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7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技术参数详见附表18</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19</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USB摄像机</w:t>
            </w:r>
          </w:p>
        </w:tc>
        <w:tc>
          <w:tcPr>
            <w:tcW w:w="247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技术参数详见附表19</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20</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通道专用遥控器</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技术参数详见附表20</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21</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400万智能人脸抓拍机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技术参数详见附表21</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22</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智能周界防范、人脸识别一体机</w:t>
            </w:r>
          </w:p>
        </w:tc>
        <w:tc>
          <w:tcPr>
            <w:tcW w:w="247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技术参数详见附表22</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23</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网络硬盘录像机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技术参数详见附表23</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543"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监控级硬盘</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技术参数详见附表24</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块</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25</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全电口千兆交换机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技术参数详见附表25</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全光口千兆交换机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技术参数详见附表26</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27</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光模块（接收端）</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技术参数详见附表27</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28</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65寸防爆电视</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技术参数详见附表28</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29</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解码器</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技术参数详见附表29</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技术参数详见附表30</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技术参数详见附表31</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32</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光缆及敷设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技术参数详见附表32</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约5000米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33</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光缆终端盒</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技术参数详见附表33</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34</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机架式光缆终端盒</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技术参数详见附表34</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35</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跳线</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技术参数详见附表35</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36</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电源线</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技术参数详见附表36</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约3000米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37</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超五类网线</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技术参数详见附表37</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约32箱</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38</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室外壁挂电源箱</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技术参数详见附表38</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39</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PVC线槽及敷设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技术参数详见附表39</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穿线管及敷设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技术参数详见附表40</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41</w:t>
            </w:r>
          </w:p>
        </w:tc>
        <w:tc>
          <w:tcPr>
            <w:tcW w:w="342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系统集成</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技术参数详见附表41</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58" w:hRule="atLeast"/>
        </w:trPr>
        <w:tc>
          <w:tcPr>
            <w:tcW w:w="10073" w:type="dxa"/>
            <w:gridSpan w:val="7"/>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注：1. “参数性质”标“△”表示此设备为核心产品。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3.以上技术要求如涉及品牌及型号仅供参考，并无限制性，投标人可以选择不低于参考品牌的其它品牌产品。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4.标“*”表示此参数为重要技术参数，重要技术参数有负偏离的，属未实质性响应，废标处理；</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3、准格尔旗龙口小学</w:t>
      </w:r>
    </w:p>
    <w:tbl>
      <w:tblPr>
        <w:tblW w:w="10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741"/>
        <w:gridCol w:w="3437"/>
        <w:gridCol w:w="2475"/>
        <w:gridCol w:w="765"/>
        <w:gridCol w:w="810"/>
        <w:gridCol w:w="969"/>
      </w:tblGrid>
      <w:tr>
        <w:trPr>
          <w:trHeight w:val="755"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设备性质</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343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货物名称</w:t>
            </w:r>
          </w:p>
        </w:tc>
        <w:tc>
          <w:tcPr>
            <w:tcW w:w="247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c>
          <w:tcPr>
            <w:tcW w:w="76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单位</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备注</w:t>
            </w: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高清半球型网络摄像机(带音频）</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高清半球型网络摄像机(人员密度检测)</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22</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POE接入交换机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全彩筒型网络摄像机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全彩警戒摄像机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技术参数详见附表5</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安装平台及支架</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技术参数详见附表6</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全彩网络智能球机</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技术参数详见附表7</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球机支架</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技术参数详见附表8</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4口百兆工业级收发器</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技术参数详见附表9</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1口百兆工业级收发器</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技术参数详见附表10</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可视化紧急报警盒</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技术参数详见附表11</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紧急报警求助柱</w:t>
            </w:r>
          </w:p>
        </w:tc>
        <w:tc>
          <w:tcPr>
            <w:tcW w:w="247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技术参数详见附表12</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343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55寸防爆电视</w:t>
            </w:r>
          </w:p>
        </w:tc>
        <w:tc>
          <w:tcPr>
            <w:tcW w:w="2475" w:type="dxa"/>
            <w:tcBorders>
              <w:top w:val="nil"/>
              <w:left w:val="single" w:color="auto" w:sz="4" w:space="0"/>
              <w:bottom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技术参数详见附表13</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3437"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控制电脑</w:t>
            </w:r>
          </w:p>
        </w:tc>
        <w:tc>
          <w:tcPr>
            <w:tcW w:w="2475" w:type="dxa"/>
            <w:tcBorders>
              <w:top w:val="nil"/>
              <w:left w:val="single" w:color="auto" w:sz="4" w:space="0"/>
              <w:bottom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技术参数详见附表14</w:t>
            </w:r>
          </w:p>
        </w:tc>
        <w:tc>
          <w:tcPr>
            <w:tcW w:w="76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身份信息识别产品</w:t>
            </w:r>
          </w:p>
        </w:tc>
        <w:tc>
          <w:tcPr>
            <w:tcW w:w="2475"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技术参数详见附表15</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75"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技术参数详见附表16</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17</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7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技术参数详见附表17</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18</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7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技术参数详见附表18</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19</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USB摄像机</w:t>
            </w:r>
          </w:p>
        </w:tc>
        <w:tc>
          <w:tcPr>
            <w:tcW w:w="247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技术参数详见附表19</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20</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通道专用遥控器</w:t>
            </w:r>
          </w:p>
        </w:tc>
        <w:tc>
          <w:tcPr>
            <w:tcW w:w="247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技术参数详见附表20</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21</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400万智能人脸抓拍机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技术参数详见附表21</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22</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智能周界防范、人脸识别一体机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技术参数详见附表22</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23</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网络硬盘录像机</w:t>
            </w:r>
          </w:p>
        </w:tc>
        <w:tc>
          <w:tcPr>
            <w:tcW w:w="247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技术参数详见附表23</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监控级硬盘</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技术参数详见附表24</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块</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543"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25</w:t>
            </w:r>
          </w:p>
        </w:tc>
        <w:tc>
          <w:tcPr>
            <w:tcW w:w="3437"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全电口千兆交换机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技术参数详见附表25</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3437"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全光口千兆交换机</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技术参数详见附表26</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27</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光模块（接收端）</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技术参数详见附表27</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28</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65寸防爆电视</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技术参数详见附表28</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29</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解码器</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技术参数详见附表29</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技术参数详见附表30</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技术参数详见附表31</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32</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光缆及敷设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技术参数详见附表32</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约4000米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33</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光缆终端盒</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技术参数详见附表33</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34</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机架式光缆终端盒</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技术参数详见附表34</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35</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跳线</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技术参数详见附表35</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36</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电源线</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技术参数详见附表36</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约2000米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37</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超五类网线</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技术参数详见附表37</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约35箱</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38</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室外壁挂电源箱</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技术参数详见附表38</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39</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PVC线槽及敷设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技术参数详见附表39</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穿线管及敷设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技术参数详见附表40</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41</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系统集成</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技术参数详见附表41</w:t>
            </w: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42</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6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58" w:hRule="atLeast"/>
        </w:trPr>
        <w:tc>
          <w:tcPr>
            <w:tcW w:w="10073" w:type="dxa"/>
            <w:gridSpan w:val="7"/>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注：1. “参数性质”标“△”表示此设备为核心产品。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3.以上技术要求如涉及品牌及型号仅供参考，并无限制性，投标人可以选择不低于参考品牌的其它品牌产品。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4.标“*”表示此参数为重要技术参数，重要技术参数有负偏离的，属未实质性响应，废标处理；</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4、准格尔旗五家尧子小学</w:t>
      </w:r>
    </w:p>
    <w:tbl>
      <w:tblPr>
        <w:tblW w:w="10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741"/>
        <w:gridCol w:w="3452"/>
        <w:gridCol w:w="2445"/>
        <w:gridCol w:w="795"/>
        <w:gridCol w:w="810"/>
        <w:gridCol w:w="954"/>
      </w:tblGrid>
      <w:tr>
        <w:trPr>
          <w:trHeight w:val="755"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设备性质</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3452"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货物名称</w:t>
            </w:r>
          </w:p>
        </w:tc>
        <w:tc>
          <w:tcPr>
            <w:tcW w:w="244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c>
          <w:tcPr>
            <w:tcW w:w="79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单位</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备注</w:t>
            </w: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高清半球型网络摄像机(带音频）</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高清半球型网络摄像机(人员密度检测)</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POE接入交换机</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全彩筒型网络摄像机</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全彩警戒摄像机</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技术参数详见附表5</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45</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安装平台及支架</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技术参数详见附表6</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全彩网络智能球机</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技术参数详见附表7</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球机支架</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技术参数详见附表8</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4口百兆工业级收发器</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技术参数详见附表9</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1口百兆工业级收发器</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技术参数详见附表10</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可视化紧急报警盒</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技术参数详见附表11</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紧急报警求助柱</w:t>
            </w:r>
          </w:p>
        </w:tc>
        <w:tc>
          <w:tcPr>
            <w:tcW w:w="244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技术参数详见附表12</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3452"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55寸防爆电视</w:t>
            </w:r>
          </w:p>
        </w:tc>
        <w:tc>
          <w:tcPr>
            <w:tcW w:w="2445" w:type="dxa"/>
            <w:tcBorders>
              <w:top w:val="nil"/>
              <w:left w:val="single" w:color="auto" w:sz="4" w:space="0"/>
              <w:bottom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技术参数详见附表13</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345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控制电脑</w:t>
            </w:r>
          </w:p>
        </w:tc>
        <w:tc>
          <w:tcPr>
            <w:tcW w:w="2445" w:type="dxa"/>
            <w:tcBorders>
              <w:top w:val="nil"/>
              <w:left w:val="single" w:color="auto" w:sz="4" w:space="0"/>
              <w:bottom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技术参数详见附表14</w:t>
            </w:r>
          </w:p>
        </w:tc>
        <w:tc>
          <w:tcPr>
            <w:tcW w:w="795"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身份信息识别产品</w:t>
            </w:r>
          </w:p>
        </w:tc>
        <w:tc>
          <w:tcPr>
            <w:tcW w:w="2445"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技术参数详见附表15</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45"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技术参数详见附表16</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17</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4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技术参数详见附表17</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18</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速通门</w:t>
            </w:r>
          </w:p>
        </w:tc>
        <w:tc>
          <w:tcPr>
            <w:tcW w:w="2445"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技术参数详见附表18</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19</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USB摄像机</w:t>
            </w:r>
          </w:p>
        </w:tc>
        <w:tc>
          <w:tcPr>
            <w:tcW w:w="244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技术参数详见附表19</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20</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通道专用遥控器</w:t>
            </w:r>
          </w:p>
        </w:tc>
        <w:tc>
          <w:tcPr>
            <w:tcW w:w="244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技术参数详见附表20</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21</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400万智能人脸抓拍机</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技术参数详见附表21</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22</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智能周界防范、人脸识别一体机</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技术参数详见附表22</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23</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网络硬盘录像机</w:t>
            </w:r>
          </w:p>
        </w:tc>
        <w:tc>
          <w:tcPr>
            <w:tcW w:w="2445"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技术参数详见附表23</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监控级硬盘</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技术参数详见附表24</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块</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543"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25</w:t>
            </w:r>
          </w:p>
        </w:tc>
        <w:tc>
          <w:tcPr>
            <w:tcW w:w="3452"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全电口千兆交换机</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技术参数详见附表25</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3452"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光口千兆交换机</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技术参数详见附表26</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27</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光模块（接收端）</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技术参数详见附表27</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28</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65寸防爆电视</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技术参数详见附表28</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29</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解码器</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技术参数详见附表29</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技术参数详见附表30</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31</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技术参数详见附表31</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32</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光缆及敷设</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技术参数详见附表32</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约3000米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33</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光缆终端盒</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技术参数详见附表33</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34</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机架式光缆终端盒</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技术参数详见附表34</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35</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跳线</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技术参数详见附表35</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36</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电源线</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技术参数详见附表36</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约2200米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37</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超五类网线</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技术参数详见附表37</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约38箱</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38</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室外壁挂电源箱</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技术参数详见附表38</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35</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39</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PVC线槽及敷设</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技术参数详见附表39</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穿线管及敷设</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技术参数详见附表40</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41</w:t>
            </w:r>
          </w:p>
        </w:tc>
        <w:tc>
          <w:tcPr>
            <w:tcW w:w="345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系统集成</w:t>
            </w:r>
          </w:p>
        </w:tc>
        <w:tc>
          <w:tcPr>
            <w:tcW w:w="24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技术参数详见附表41</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58" w:hRule="atLeast"/>
        </w:trPr>
        <w:tc>
          <w:tcPr>
            <w:tcW w:w="10073" w:type="dxa"/>
            <w:gridSpan w:val="7"/>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注：1. “参数性质”标“△”表示此设备为核心产品。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3.以上技术要求如涉及品牌及型号仅供参考，并无限制性，投标人可以选择不低于参考品牌的其它品牌产品。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4.标“*”表示此参数为重要技术参数，重要技术参数有负偏离的，属未实质性响应，废标处理；</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5、准格尔旗玻璃圪旦小学</w:t>
      </w:r>
    </w:p>
    <w:tbl>
      <w:tblPr>
        <w:tblW w:w="10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741"/>
        <w:gridCol w:w="3467"/>
        <w:gridCol w:w="2430"/>
        <w:gridCol w:w="810"/>
        <w:gridCol w:w="780"/>
        <w:gridCol w:w="969"/>
      </w:tblGrid>
      <w:tr>
        <w:trPr>
          <w:trHeight w:val="755"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设备性质</w:t>
            </w: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346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货物名称</w:t>
            </w:r>
          </w:p>
        </w:tc>
        <w:tc>
          <w:tcPr>
            <w:tcW w:w="243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c>
          <w:tcPr>
            <w:tcW w:w="81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单位</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备注</w:t>
            </w: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高清半球型网络摄像机(带音频）</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POE接入交换机</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全彩筒型网络摄像机</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全彩警戒摄像机</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技术参数详见附表5</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安装平台及支架</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技术参数详见附表6</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34</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全彩网络智能球机</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技术参数详见附表7</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球机支架</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技术参数详见附表8</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4口百兆收发器</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技术参数详见附表9</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可视化紧急报警盒</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技术参数详见附表11</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3467" w:type="dxa"/>
            <w:tcBorders>
              <w:top w:val="nil"/>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55寸防爆电视</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技术参数详见附表13</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3467"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控制电脑</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技术参数详见附表14</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3467"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400万智能人脸抓拍机</w:t>
            </w:r>
          </w:p>
        </w:tc>
        <w:tc>
          <w:tcPr>
            <w:tcW w:w="243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技术参数详见附表21</w:t>
            </w:r>
          </w:p>
        </w:tc>
        <w:tc>
          <w:tcPr>
            <w:tcW w:w="810" w:type="dxa"/>
            <w:tcBorders>
              <w:top w:val="nil"/>
              <w:left w:val="single" w:color="auto" w:sz="4" w:space="0"/>
              <w:bottom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8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25" w:hRule="atLeast"/>
        </w:trPr>
        <w:tc>
          <w:tcPr>
            <w:tcW w:w="87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智能周界防范、人脸识别一体机</w:t>
            </w:r>
          </w:p>
        </w:tc>
        <w:tc>
          <w:tcPr>
            <w:tcW w:w="2430"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网络硬盘录像机</w:t>
            </w:r>
          </w:p>
        </w:tc>
        <w:tc>
          <w:tcPr>
            <w:tcW w:w="2430"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技术参数详见附表23</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监控级硬盘</w:t>
            </w:r>
          </w:p>
        </w:tc>
        <w:tc>
          <w:tcPr>
            <w:tcW w:w="2430"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块</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17</w:t>
            </w:r>
          </w:p>
        </w:tc>
        <w:tc>
          <w:tcPr>
            <w:tcW w:w="3467"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全光口千兆交换机</w:t>
            </w:r>
          </w:p>
        </w:tc>
        <w:tc>
          <w:tcPr>
            <w:tcW w:w="2430"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技术参数详见附表25</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18</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光模块（接收端）</w:t>
            </w:r>
          </w:p>
        </w:tc>
        <w:tc>
          <w:tcPr>
            <w:tcW w:w="2430" w:type="dxa"/>
            <w:tcBorders>
              <w:left w:val="single" w:color="auto" w:sz="4" w:space="0"/>
              <w:bottom w:val="single" w:color="auto" w:sz="4" w:space="0"/>
              <w:right w:val="single" w:color="auto" w:sz="4" w:space="0"/>
            </w:tcBorders>
            <w:vAlign w:val="top"/>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技术参数详见附表27</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19</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监视器</w:t>
            </w:r>
          </w:p>
        </w:tc>
        <w:tc>
          <w:tcPr>
            <w:tcW w:w="2430"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技术参数详见附表28</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90"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20</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技术参数详见附表30</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21</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机柜</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台</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22</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光缆及敷设</w:t>
            </w:r>
          </w:p>
        </w:tc>
        <w:tc>
          <w:tcPr>
            <w:tcW w:w="2430" w:type="dxa"/>
            <w:tcBorders>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技术参数详见附32</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约800米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23</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光缆终端盒</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技术参数详见附表33</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543"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机架式光缆终端盒</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技术参数详见附34</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25</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跳线</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技术参数详见附表35</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26</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电源线</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技术参数详见附36</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约600米</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27</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超五类网线</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技术参数详见附表37</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约4箱</w:t>
            </w: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28</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室外壁挂电源箱</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技术参数详见附38</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个</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29</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PVC线槽及敷设</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技术参数详见附表39</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30</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穿线管及敷设</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技术参数详见附40</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417" w:hRule="atLeast"/>
        </w:trPr>
        <w:tc>
          <w:tcPr>
            <w:tcW w:w="87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4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32</w:t>
            </w:r>
          </w:p>
        </w:tc>
        <w:tc>
          <w:tcPr>
            <w:tcW w:w="346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系统集成</w:t>
            </w:r>
          </w:p>
        </w:tc>
        <w:tc>
          <w:tcPr>
            <w:tcW w:w="24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技术参数详见附表41</w:t>
            </w:r>
          </w:p>
        </w:tc>
        <w:tc>
          <w:tcPr>
            <w:tcW w:w="8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项</w:t>
            </w:r>
          </w:p>
        </w:tc>
        <w:tc>
          <w:tcPr>
            <w:tcW w:w="96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r>
      <w:tr>
        <w:trPr>
          <w:trHeight w:val="358" w:hRule="atLeast"/>
        </w:trPr>
        <w:tc>
          <w:tcPr>
            <w:tcW w:w="10073" w:type="dxa"/>
            <w:gridSpan w:val="7"/>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注：1. “参数性质”标“△”表示此设备为核心产品。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3.以上技术要求如涉及品牌及型号仅供参考，并无限制性，投标人可以选择不低于参考品牌的其它品牌产品。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4.标“*”表示此参数为重要技术参数，重要技术参数有负偏离的，属未实质性响应，废标处理。</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w:t>
      </w:r>
      <w:bookmarkEnd w:id="19"/>
      <w:r>
        <w:rPr>
          <w:rFonts w:hint="eastAsia" w:ascii="宋体" w:hAnsi="宋体"/>
          <w:b/>
          <w:bCs/>
          <w:color w:val="000000"/>
          <w:kern w:val="44"/>
          <w:sz w:val="24"/>
          <w:szCs w:val="24"/>
          <w:lang w:val="en-US" w:eastAsia="zh-CN"/>
        </w:rPr>
        <w:t>高清半球型网络摄像机(带音频）</w:t>
      </w:r>
    </w:p>
    <w:tbl>
      <w:tblPr>
        <w:tblW w:w="10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800"/>
        <w:gridCol w:w="8348"/>
      </w:tblGrid>
      <w:tr>
        <w:trPr>
          <w:trHeight w:val="508" w:hRule="atLeast"/>
        </w:trPr>
        <w:tc>
          <w:tcPr>
            <w:tcW w:w="91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bookmarkStart w:id="20" w:name="_Toc24719899"/>
            <w:r>
              <w:rPr>
                <w:rFonts w:hint="eastAsia" w:ascii="宋体" w:hAnsi="宋体" w:cs="Calibri"/>
                <w:b w:val="0"/>
                <w:bCs w:val="0"/>
                <w:color w:val="000000"/>
                <w:kern w:val="44"/>
                <w:sz w:val="24"/>
                <w:szCs w:val="24"/>
                <w:lang w:val="en-US" w:eastAsia="zh-CN"/>
              </w:rPr>
              <w:t>参数性质</w:t>
            </w:r>
          </w:p>
        </w:tc>
        <w:tc>
          <w:tcPr>
            <w:tcW w:w="80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4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257" w:hRule="atLeast"/>
        </w:trPr>
        <w:tc>
          <w:tcPr>
            <w:tcW w:w="91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具有200万像素CMOS传感器。</w:t>
            </w:r>
          </w:p>
        </w:tc>
      </w:tr>
      <w:tr>
        <w:trPr>
          <w:trHeight w:val="508" w:hRule="atLeast"/>
        </w:trPr>
        <w:tc>
          <w:tcPr>
            <w:tcW w:w="91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最低照度彩色：0.005lx，黑白:0.0005lx，灰度等级不小于11级。（公安部型式检验报告证明）</w:t>
            </w:r>
          </w:p>
        </w:tc>
      </w:tr>
      <w:tr>
        <w:trPr>
          <w:trHeight w:val="312" w:hRule="atLeast"/>
        </w:trPr>
        <w:tc>
          <w:tcPr>
            <w:tcW w:w="91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红外补光距离不小于50米。</w:t>
            </w:r>
          </w:p>
        </w:tc>
      </w:tr>
      <w:tr>
        <w:trPr>
          <w:trHeight w:val="464" w:hRule="atLeast"/>
        </w:trPr>
        <w:tc>
          <w:tcPr>
            <w:tcW w:w="91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800"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支持区域遮盖功能，并能支持8块区域。</w:t>
            </w:r>
          </w:p>
        </w:tc>
      </w:tr>
      <w:tr>
        <w:trPr>
          <w:trHeight w:val="759" w:hRule="atLeast"/>
        </w:trPr>
        <w:tc>
          <w:tcPr>
            <w:tcW w:w="91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同一静止场景相同图像质量下，设备在H.265编码方式时，开启智能编码功能和不开启智能编码相比，码率节约节约70%以上。（公安部型式检验报告证明）</w:t>
            </w:r>
          </w:p>
        </w:tc>
      </w:tr>
      <w:tr>
        <w:trPr>
          <w:trHeight w:val="508" w:hRule="atLeast"/>
        </w:trPr>
        <w:tc>
          <w:tcPr>
            <w:tcW w:w="91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需具有电子快门、ROI感兴趣区域、SVC可伸缩编码、自动增益、背光补偿、数字降噪、强光抑制、防红外过曝等功能。</w:t>
            </w:r>
          </w:p>
        </w:tc>
      </w:tr>
      <w:tr>
        <w:trPr>
          <w:trHeight w:val="257" w:hRule="atLeast"/>
        </w:trPr>
        <w:tc>
          <w:tcPr>
            <w:tcW w:w="91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摄像机能够在-35~50摄氏度，湿度小于93%环境下稳定工作。（公安部型式检验报告证明）</w:t>
            </w:r>
          </w:p>
        </w:tc>
      </w:tr>
      <w:tr>
        <w:trPr>
          <w:trHeight w:val="508" w:hRule="atLeast"/>
        </w:trPr>
        <w:tc>
          <w:tcPr>
            <w:tcW w:w="91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需具有1个RJ-4510M/100M自适应网络接口。（公安部型式检验报告证明）</w:t>
            </w:r>
          </w:p>
        </w:tc>
      </w:tr>
      <w:tr>
        <w:trPr>
          <w:trHeight w:val="257" w:hRule="atLeast"/>
        </w:trPr>
        <w:tc>
          <w:tcPr>
            <w:tcW w:w="91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内置麦克风</w:t>
            </w:r>
          </w:p>
        </w:tc>
      </w:tr>
      <w:tr>
        <w:trPr>
          <w:trHeight w:val="508" w:hRule="atLeast"/>
        </w:trPr>
        <w:tc>
          <w:tcPr>
            <w:tcW w:w="91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4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需支持DC12V/POE供电，且在不小于DC12V±30%范围内变化时可以正常工作。</w:t>
            </w:r>
          </w:p>
        </w:tc>
      </w:tr>
      <w:tr>
        <w:trPr>
          <w:trHeight w:val="273" w:hRule="atLeast"/>
        </w:trPr>
        <w:tc>
          <w:tcPr>
            <w:tcW w:w="10067"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r>
        <w:rPr>
          <w:rFonts w:hint="eastAsia" w:ascii="宋体" w:hAnsi="宋体"/>
          <w:b/>
          <w:bCs/>
          <w:color w:val="000000"/>
          <w:kern w:val="44"/>
          <w:sz w:val="24"/>
          <w:szCs w:val="24"/>
          <w:lang w:val="en-US" w:eastAsia="zh-CN"/>
        </w:rPr>
        <w:t>附表2：</w:t>
      </w:r>
      <w:bookmarkEnd w:id="20"/>
      <w:r>
        <w:rPr>
          <w:rFonts w:hint="eastAsia" w:ascii="宋体" w:hAnsi="宋体"/>
          <w:b/>
          <w:bCs/>
          <w:color w:val="000000"/>
          <w:kern w:val="44"/>
          <w:sz w:val="24"/>
          <w:szCs w:val="24"/>
          <w:lang w:val="en-US" w:eastAsia="zh-CN"/>
        </w:rPr>
        <w:t>高清半球型网络摄像机(人员密度检测)</w:t>
      </w:r>
    </w:p>
    <w:tbl>
      <w:tblPr>
        <w:tblW w:w="100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
        <w:gridCol w:w="789"/>
        <w:gridCol w:w="8362"/>
      </w:tblGrid>
      <w:tr>
        <w:trPr>
          <w:trHeight w:val="819" w:hRule="atLeast"/>
        </w:trPr>
        <w:tc>
          <w:tcPr>
            <w:tcW w:w="9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89"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62"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62"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具有400万像素 CMOS传感器。</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内置芯片。（公安部检验报告证明）</w:t>
            </w:r>
          </w:p>
        </w:tc>
      </w:tr>
      <w:tr>
        <w:trPr>
          <w:trHeight w:val="819"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需支持“上下楼梯，请注意安全”、“注意保持秩序，相互礼让，安全通行”两种语音提示声音可选。（检验报告证明）</w:t>
            </w:r>
          </w:p>
        </w:tc>
      </w:tr>
      <w:tr>
        <w:trPr>
          <w:trHeight w:val="476"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内置红外与白光补光灯。</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需支持DC12V/POE供电。</w:t>
            </w:r>
          </w:p>
        </w:tc>
      </w:tr>
      <w:tr>
        <w:trPr>
          <w:trHeight w:val="122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62"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需支持当区域内人数达到设定的阈值时，可通过客户端软件或IE浏览器给出人员拥挤报警提示，并触发上传中心、语音提示。（检验报告证明）</w:t>
            </w:r>
          </w:p>
        </w:tc>
      </w:tr>
      <w:tr>
        <w:trPr>
          <w:trHeight w:val="819"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需支持双码流技术，主码流最高2688x1520@25fps，子码流704x576@25fps。</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白光补光距离不小于15米。</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需具备区域入侵检测、越界检测、进入区域、离开区域等功能。</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89"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最低照度彩色：0.001 lx ，灰度等级不小于11级。</w:t>
            </w:r>
          </w:p>
        </w:tc>
      </w:tr>
      <w:tr>
        <w:trPr>
          <w:trHeight w:val="819"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支持白光报警功能，当报警产生时，可触发联动白光闪烁。（公安部检验报告证明）</w:t>
            </w:r>
          </w:p>
        </w:tc>
      </w:tr>
      <w:tr>
        <w:trPr>
          <w:trHeight w:val="414" w:hRule="atLeast"/>
        </w:trPr>
        <w:tc>
          <w:tcPr>
            <w:tcW w:w="91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362"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需支持人数报警阈值可配置为0~100人。（检验报告证明）</w:t>
            </w:r>
          </w:p>
        </w:tc>
      </w:tr>
      <w:tr>
        <w:trPr>
          <w:trHeight w:val="440" w:hRule="atLeast"/>
        </w:trPr>
        <w:tc>
          <w:tcPr>
            <w:tcW w:w="10061"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21" w:name="_Toc24719900"/>
      <w:r>
        <w:rPr>
          <w:rFonts w:hint="eastAsia" w:ascii="宋体" w:hAnsi="宋体"/>
          <w:b/>
          <w:bCs/>
          <w:color w:val="000000"/>
          <w:kern w:val="44"/>
          <w:sz w:val="24"/>
          <w:szCs w:val="24"/>
          <w:lang w:val="en-US" w:eastAsia="zh-CN"/>
        </w:rPr>
        <w:t>附表3：POE接入交换机</w:t>
      </w:r>
    </w:p>
    <w:tbl>
      <w:tblPr>
        <w:tblW w:w="995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819"/>
        <w:gridCol w:w="8157"/>
      </w:tblGrid>
      <w:tr>
        <w:trPr>
          <w:trHeight w:val="689" w:hRule="atLeast"/>
        </w:trPr>
        <w:tc>
          <w:tcPr>
            <w:tcW w:w="9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19"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15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16个10/100 Base-T RJ45端口（支持PoE+供电）</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2个10/100/1000 Base-T RJ45端口</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2个复用千兆SFP端口</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整机PoE供电功率达235W，单端口PoE供电功率达30W</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PoE供电端口支持优先级机制</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支持标准交换、视频监控、VLAN隔离三种工作模式</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工作温度：0℃～40℃</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存储温度：-40℃～70℃</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工作湿度：10%～90% RH不凝结</w:t>
            </w:r>
          </w:p>
        </w:tc>
      </w:tr>
      <w:tr>
        <w:trPr>
          <w:trHeight w:val="90" w:hRule="atLeast"/>
        </w:trPr>
        <w:tc>
          <w:tcPr>
            <w:tcW w:w="983"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1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存储湿度：5%～90% RH不凝结</w:t>
            </w:r>
          </w:p>
        </w:tc>
      </w:tr>
      <w:tr>
        <w:trPr>
          <w:trHeight w:val="132" w:hRule="atLeast"/>
        </w:trPr>
        <w:tc>
          <w:tcPr>
            <w:tcW w:w="9959"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附表4：</w:t>
      </w:r>
      <w:bookmarkEnd w:id="21"/>
      <w:r>
        <w:rPr>
          <w:rFonts w:hint="eastAsia" w:ascii="宋体" w:hAnsi="宋体"/>
          <w:b/>
          <w:bCs/>
          <w:color w:val="000000"/>
          <w:kern w:val="44"/>
          <w:sz w:val="24"/>
          <w:szCs w:val="24"/>
          <w:lang w:val="en-US" w:eastAsia="zh-CN"/>
        </w:rPr>
        <w:t>全彩筒型网络摄像机</w:t>
      </w:r>
    </w:p>
    <w:tbl>
      <w:tblPr>
        <w:tblW w:w="997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794"/>
        <w:gridCol w:w="8376"/>
      </w:tblGrid>
      <w:tr>
        <w:trPr>
          <w:trHeight w:val="769" w:hRule="atLeast"/>
        </w:trPr>
        <w:tc>
          <w:tcPr>
            <w:tcW w:w="8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7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38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具有200万像素CMOS传感器。</w:t>
            </w:r>
          </w:p>
        </w:tc>
      </w:tr>
      <w:tr>
        <w:trPr>
          <w:trHeight w:val="38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内置2颗白光补光灯。（公安部检验报告证明）</w:t>
            </w:r>
          </w:p>
        </w:tc>
      </w:tr>
      <w:tr>
        <w:trPr>
          <w:trHeight w:val="76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需具有15路取流路数能力，以满足更多用户同时在线访问摄像机视频。</w:t>
            </w:r>
          </w:p>
        </w:tc>
      </w:tr>
      <w:tr>
        <w:trPr>
          <w:trHeight w:val="38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最低照度彩色：0.001lx。（公安部型式检验报告证明）</w:t>
            </w:r>
          </w:p>
        </w:tc>
      </w:tr>
      <w:tr>
        <w:trPr>
          <w:trHeight w:val="76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白天或夜晚均可输出彩色视频图像。（公安部型式检验报告证明）</w:t>
            </w:r>
          </w:p>
        </w:tc>
      </w:tr>
      <w:tr>
        <w:trPr>
          <w:trHeight w:val="520"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信噪比不小于50dB。</w:t>
            </w:r>
          </w:p>
        </w:tc>
      </w:tr>
      <w:tr>
        <w:trPr>
          <w:trHeight w:val="496"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需具大于100dB宽动态。</w:t>
            </w:r>
          </w:p>
        </w:tc>
      </w:tr>
      <w:tr>
        <w:trPr>
          <w:trHeight w:val="76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摄像机能够在-30~50摄氏度，湿度小于93%环境下稳定工作。（公安部型式检验报告证明）</w:t>
            </w:r>
          </w:p>
        </w:tc>
      </w:tr>
      <w:tr>
        <w:trPr>
          <w:trHeight w:val="38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不低于IP67防尘防水等级。</w:t>
            </w:r>
          </w:p>
        </w:tc>
      </w:tr>
      <w:tr>
        <w:trPr>
          <w:trHeight w:val="76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设备工作状态时，支持空气放电8kV，接触放电6kV，通讯端口支持6kV峰值电压。</w:t>
            </w:r>
          </w:p>
        </w:tc>
      </w:tr>
      <w:tr>
        <w:trPr>
          <w:trHeight w:val="1149" w:hRule="atLeast"/>
        </w:trPr>
        <w:tc>
          <w:tcPr>
            <w:tcW w:w="80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3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同一静止场景相同图像质量下，设备在H.265编码方式时，开启智能编码功能和不开启智能编码相比，码率节约节约70%以上。（公安部型式检验报告证明）</w:t>
            </w:r>
          </w:p>
        </w:tc>
      </w:tr>
      <w:tr>
        <w:trPr>
          <w:trHeight w:val="397" w:hRule="atLeast"/>
        </w:trPr>
        <w:tc>
          <w:tcPr>
            <w:tcW w:w="9975" w:type="dxa"/>
            <w:gridSpan w:val="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22" w:name="_Toc24719901"/>
      <w:r>
        <w:rPr>
          <w:rFonts w:hint="eastAsia" w:ascii="宋体" w:hAnsi="宋体"/>
          <w:b/>
          <w:bCs/>
          <w:color w:val="000000"/>
          <w:kern w:val="44"/>
          <w:sz w:val="24"/>
          <w:szCs w:val="24"/>
          <w:lang w:val="en-US" w:eastAsia="zh-CN"/>
        </w:rPr>
        <w:t>附表5 :全彩警戒摄像机</w:t>
      </w:r>
    </w:p>
    <w:tbl>
      <w:tblPr>
        <w:tblW w:w="10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
        <w:gridCol w:w="791"/>
        <w:gridCol w:w="8364"/>
      </w:tblGrid>
      <w:tr>
        <w:trPr>
          <w:trHeight w:val="818"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6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826"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具有200万像素 CMOS传感器。</w:t>
            </w:r>
          </w:p>
        </w:tc>
      </w:tr>
      <w:tr>
        <w:trPr>
          <w:trHeight w:val="414"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内置红外与白光补光灯。（公安部检验报告证明）</w:t>
            </w:r>
          </w:p>
        </w:tc>
      </w:tr>
      <w:tr>
        <w:trPr>
          <w:trHeight w:val="554"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内置芯片。（公安部检验报告证明）</w:t>
            </w:r>
          </w:p>
        </w:tc>
      </w:tr>
      <w:tr>
        <w:trPr>
          <w:trHeight w:val="818"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同一静止场景相同图像质量下，设备在H.265编码方式时，开启智能编码功能和不开启智能编码相比，码率节约1/2。</w:t>
            </w:r>
          </w:p>
        </w:tc>
      </w:tr>
      <w:tr>
        <w:trPr>
          <w:trHeight w:val="818"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设备工作状态时，支持空气放电8kV，接触放电6kV，通讯端口支持6kV峰值电压。</w:t>
            </w:r>
          </w:p>
        </w:tc>
      </w:tr>
      <w:tr>
        <w:trPr>
          <w:trHeight w:val="818"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支持白光报警功能，当报警产生时，可触发联动声音警报和白光闪烁。（公安部检验报告证明）</w:t>
            </w:r>
          </w:p>
        </w:tc>
      </w:tr>
      <w:tr>
        <w:trPr>
          <w:trHeight w:val="818"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需支持DC12V供电，且在不小于DC12V±30%范围内变化时可以正常工作。</w:t>
            </w:r>
          </w:p>
        </w:tc>
      </w:tr>
      <w:tr>
        <w:trPr>
          <w:trHeight w:val="414"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不低于IP67防尘防水等级。（公安部检验报告证明）</w:t>
            </w:r>
          </w:p>
        </w:tc>
      </w:tr>
      <w:tr>
        <w:trPr>
          <w:trHeight w:val="414"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最低照度彩色：0.0004 lx。（公安部检验报告证明）</w:t>
            </w:r>
          </w:p>
        </w:tc>
      </w:tr>
      <w:tr>
        <w:trPr>
          <w:trHeight w:val="414"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白天或夜晚均可输出彩色视频图像。（公安部检验报告证明）</w:t>
            </w:r>
          </w:p>
        </w:tc>
      </w:tr>
      <w:tr>
        <w:trPr>
          <w:trHeight w:val="800"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36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红外补光距离不小于110米。</w:t>
            </w:r>
          </w:p>
        </w:tc>
      </w:tr>
      <w:tr>
        <w:trPr>
          <w:trHeight w:val="440" w:hRule="atLeast"/>
        </w:trPr>
        <w:tc>
          <w:tcPr>
            <w:tcW w:w="10067"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附表6 :</w:t>
      </w:r>
      <w:bookmarkEnd w:id="22"/>
      <w:r>
        <w:rPr>
          <w:rFonts w:hint="eastAsia" w:ascii="宋体" w:hAnsi="宋体"/>
          <w:b/>
          <w:bCs/>
          <w:color w:val="000000"/>
          <w:kern w:val="44"/>
          <w:sz w:val="24"/>
          <w:szCs w:val="24"/>
          <w:lang w:val="en-US" w:eastAsia="zh-CN"/>
        </w:rPr>
        <w:t>安装平台及支架</w:t>
      </w:r>
    </w:p>
    <w:tbl>
      <w:tblPr>
        <w:tblW w:w="10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
        <w:gridCol w:w="793"/>
        <w:gridCol w:w="8357"/>
      </w:tblGrid>
      <w:tr>
        <w:trPr>
          <w:trHeight w:val="816"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5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824" w:hRule="atLeast"/>
        </w:trPr>
        <w:tc>
          <w:tcPr>
            <w:tcW w:w="91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适合护罩横杆抱柱安装。（带万向调节）卡箍范围：Φ67-127mm</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钢板 外形尺寸（mm）</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117×226×194</w:t>
            </w:r>
          </w:p>
        </w:tc>
      </w:tr>
    </w:tbl>
    <w:p>
      <w:pPr>
        <w:jc w:val="both"/>
        <w:outlineLvl w:val="0"/>
        <w:rPr>
          <w:rFonts w:hint="eastAsia" w:ascii="宋体" w:hAnsi="宋体"/>
          <w:b/>
          <w:bCs/>
          <w:color w:val="000000"/>
          <w:kern w:val="44"/>
          <w:sz w:val="24"/>
          <w:szCs w:val="24"/>
          <w:lang w:val="en-US" w:eastAsia="zh-CN"/>
        </w:rPr>
      </w:pPr>
      <w:bookmarkStart w:id="23" w:name="_Toc24719905"/>
      <w:bookmarkStart w:id="24" w:name="_Toc24719903"/>
      <w:r>
        <w:rPr>
          <w:rFonts w:hint="eastAsia" w:ascii="宋体" w:hAnsi="宋体"/>
          <w:b/>
          <w:bCs/>
          <w:color w:val="000000"/>
          <w:kern w:val="44"/>
          <w:sz w:val="24"/>
          <w:szCs w:val="24"/>
          <w:lang w:val="en-US" w:eastAsia="zh-CN"/>
        </w:rPr>
        <w:t>附表7：</w:t>
      </w:r>
      <w:bookmarkEnd w:id="23"/>
      <w:r>
        <w:rPr>
          <w:rFonts w:hint="eastAsia" w:ascii="宋体" w:hAnsi="宋体"/>
          <w:b/>
          <w:bCs/>
          <w:color w:val="000000"/>
          <w:kern w:val="44"/>
          <w:sz w:val="24"/>
          <w:szCs w:val="24"/>
          <w:lang w:val="en-US" w:eastAsia="zh-CN"/>
        </w:rPr>
        <w:t>全彩网络智能球机</w:t>
      </w:r>
    </w:p>
    <w:tbl>
      <w:tblPr>
        <w:tblW w:w="100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5"/>
        <w:gridCol w:w="805"/>
        <w:gridCol w:w="8317"/>
      </w:tblGrid>
      <w:tr>
        <w:trPr>
          <w:trHeight w:val="834" w:hRule="atLeast"/>
        </w:trPr>
        <w:tc>
          <w:tcPr>
            <w:tcW w:w="92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1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834"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视频输出支持1920×1080@25fps（以公安部检验报告为准）</w:t>
            </w:r>
          </w:p>
        </w:tc>
      </w:tr>
      <w:tr>
        <w:trPr>
          <w:trHeight w:val="834"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5"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球机应具备本机存储功能，支持SD卡热插拔，最大支持128GB</w:t>
            </w:r>
          </w:p>
        </w:tc>
      </w:tr>
      <w:tr>
        <w:trPr>
          <w:trHeight w:val="834"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支持最低照度可达彩色≤0.005lx，黑白≤0.0008lx）</w:t>
            </w:r>
          </w:p>
        </w:tc>
      </w:tr>
      <w:tr>
        <w:trPr>
          <w:trHeight w:val="1247"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支持人脸抓拍功能，可对运动人脸进行检测、跟踪、抓拍，同时支持8个场景下的轮巡人脸抓拍，每个场景的时间可设</w:t>
            </w:r>
          </w:p>
        </w:tc>
      </w:tr>
      <w:tr>
        <w:trPr>
          <w:trHeight w:val="834"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设备支持可见光及红外光补光，开启可见光补光，可识别距设备49m处的人体轮廓</w:t>
            </w:r>
          </w:p>
        </w:tc>
      </w:tr>
      <w:tr>
        <w:trPr>
          <w:trHeight w:val="834"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镜头采用≤F1.6大光圈</w:t>
            </w:r>
          </w:p>
        </w:tc>
      </w:tr>
      <w:tr>
        <w:trPr>
          <w:trHeight w:val="422"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1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支持水平手控速度不小于550°/S，垂直速度不小于120°/S，云台定位精度为±0.1°</w:t>
            </w:r>
          </w:p>
        </w:tc>
      </w:tr>
      <w:tr>
        <w:trPr>
          <w:trHeight w:val="834"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水平旋转范围为360°连续旋转，垂直旋转范围为-20°~90°</w:t>
            </w:r>
          </w:p>
        </w:tc>
      </w:tr>
      <w:tr>
        <w:trPr>
          <w:trHeight w:val="422"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支持290个预置位，可按照所设置的预置位完成不小于8条巡航路径，支持不小于4条模式路径设置，支持预置位视频冻结功能；可实现RS485接口优先或RJ45网络接口优先控制功能</w:t>
            </w:r>
          </w:p>
        </w:tc>
      </w:tr>
      <w:tr>
        <w:trPr>
          <w:trHeight w:val="1247"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信噪比≥60dB，网络延时不大于101ms</w:t>
            </w:r>
          </w:p>
        </w:tc>
      </w:tr>
      <w:tr>
        <w:trPr>
          <w:trHeight w:val="422" w:hRule="atLeast"/>
        </w:trPr>
        <w:tc>
          <w:tcPr>
            <w:tcW w:w="92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具备较好的电源适应性，电压在AC24V±30%范围内变化时，设备可正常工作</w:t>
            </w:r>
          </w:p>
        </w:tc>
      </w:tr>
      <w:tr>
        <w:trPr>
          <w:trHeight w:val="834"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5"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具备较好的防护性能环境适应性，支持IP67，工作温度范围可达-45℃-70℃</w:t>
            </w:r>
          </w:p>
        </w:tc>
      </w:tr>
      <w:tr>
        <w:trPr>
          <w:trHeight w:val="834"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焦距:4.8 - 110 mm, 23倍光学</w:t>
            </w:r>
          </w:p>
        </w:tc>
      </w:tr>
      <w:tr>
        <w:trPr>
          <w:trHeight w:val="422"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样机与客户端之间用150m五类非屏蔽网线直接连接，网络传输能力满足发送1500个数据包，重复测试3次，每次丢包数不大于1个</w:t>
            </w:r>
          </w:p>
        </w:tc>
      </w:tr>
      <w:tr>
        <w:trPr>
          <w:trHeight w:val="1247"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动态范围不小于106dB，照度适应范围不小于138dB，宽动态能力综合得分不小于135</w:t>
            </w:r>
          </w:p>
        </w:tc>
      </w:tr>
      <w:tr>
        <w:trPr>
          <w:trHeight w:val="834"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5"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16</w:t>
            </w:r>
          </w:p>
        </w:tc>
        <w:tc>
          <w:tcPr>
            <w:tcW w:w="831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具备较强的网络适应能力，在丢包率为20%的网络环境下，仍可正常显示监视画面。</w:t>
            </w:r>
          </w:p>
        </w:tc>
      </w:tr>
      <w:tr>
        <w:trPr>
          <w:trHeight w:val="448" w:hRule="atLeast"/>
        </w:trPr>
        <w:tc>
          <w:tcPr>
            <w:tcW w:w="10047"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25" w:name="_Toc24719909"/>
      <w:r>
        <w:rPr>
          <w:rFonts w:hint="eastAsia" w:ascii="宋体" w:hAnsi="宋体"/>
          <w:b/>
          <w:bCs/>
          <w:color w:val="000000"/>
          <w:kern w:val="44"/>
          <w:sz w:val="24"/>
          <w:szCs w:val="24"/>
          <w:lang w:val="en-US" w:eastAsia="zh-CN"/>
        </w:rPr>
        <w:t>附表8：球机支架</w:t>
      </w:r>
    </w:p>
    <w:tbl>
      <w:tblPr>
        <w:tblW w:w="10050"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
        <w:gridCol w:w="823"/>
        <w:gridCol w:w="8299"/>
      </w:tblGrid>
      <w:tr>
        <w:trPr>
          <w:trHeight w:val="362" w:hRule="atLeast"/>
        </w:trPr>
        <w:tc>
          <w:tcPr>
            <w:tcW w:w="9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2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299"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93"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2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299"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电源盒长壁装支架;适合室内外壁装;铝合金;外形尺寸（mm）</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209.2×310×399.1;重量</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3770g</w:t>
            </w:r>
          </w:p>
        </w:tc>
      </w:tr>
      <w:tr>
        <w:trPr>
          <w:trHeight w:val="190" w:hRule="atLeast"/>
        </w:trPr>
        <w:tc>
          <w:tcPr>
            <w:tcW w:w="10050"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附表9：4口百兆工业级收发器</w:t>
      </w:r>
    </w:p>
    <w:tbl>
      <w:tblPr>
        <w:tblW w:w="10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
        <w:gridCol w:w="795"/>
        <w:gridCol w:w="8353"/>
      </w:tblGrid>
      <w:tr>
        <w:trPr>
          <w:trHeight w:val="427"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5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99"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4个10/100 Mbps 自适应RJ45端口，支持1个100M标准1X9光纤模块插槽。</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光口兼容IEEE802.3协议。支持协议：IEEE 802.3i 10BASET、IEEE 802.3u 100BASETX、IEEE 802.3x Flow Control、IEEE 802.1af DTE Power via MDI、IEEE 802.3af</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广播风暴抑制功能，支持NTP网络对时协议。</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MAC地址表8k、带宽：1.6Gbps (无阻塞）。</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即插既用的MR-Ring冗余环网协议(自愈时间&lt;20ms)。</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具有光路、网口、电源、告警等多种LED指示。</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具有完善的网管系统，支持带内全局网管。</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支持AC/DC220V、DC48V、DC24V供电并采用工业级标准设计，导轨式安装。</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电源冗余（适于DC12V/24V）提供一路继电器告警输出，功耗：最大8W。</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平均无故障时间MTBF≥10万小时。</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提供丰富的网管功能，包括：基于端口的VLAN、基于802.1Q的VLAN、QOS、IGMP Snooping、RSTP、广播风暴抑制、端口聚合、端口镜像、端口状态管理、SNMP、NTP对时等。</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工作温度：-40～75℃ 储存温度：-40～85℃相对湿度：5%～95%（无凝露）存放湿度：10%～95%，无冷凝。</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35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主要技术参数提供提供检测报告</w:t>
            </w:r>
          </w:p>
        </w:tc>
      </w:tr>
      <w:tr>
        <w:trPr>
          <w:trHeight w:val="90" w:hRule="atLeast"/>
        </w:trPr>
        <w:tc>
          <w:tcPr>
            <w:tcW w:w="10062" w:type="dxa"/>
            <w:gridSpan w:val="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附表10：1口百兆工业级收发器</w:t>
      </w:r>
    </w:p>
    <w:tbl>
      <w:tblPr>
        <w:tblW w:w="100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
        <w:gridCol w:w="795"/>
        <w:gridCol w:w="8338"/>
      </w:tblGrid>
      <w:tr>
        <w:trPr>
          <w:trHeight w:val="427"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33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99"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1个10/100 Mbps 自适应RJ45端口，支持1个100M标准1X9光纤模块插槽。</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光口兼容IEEE802.3协议。支持协议：IEEE 802.3i 10BASET、IEEE 802.3u 100BASETX、IEEE 802.3x Flow Control、IEEE 802.1af DTE Power via MDI、IEEE 802.3af</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广播风暴抑制功能，支持NTP网络对时协议。</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MAC地址表8k、带宽：1.6Gbps (无阻塞）。</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即插既用的MR-Ring冗余环网协议(自愈时间&lt;20ms)。</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具有光路、网口、电源、告警等多种LED指示。</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具有完善的网管系统，支持带内全局网管。</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支持AC/DC220V、DC48V、DC24V供电并采用工业级标准设计，导轨式安装。</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电源冗余（适于DC12V/24V）提供一路继电器告警输出，功耗：最大8W。</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平均无故障时间MTBF≥10万小时。</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提供丰富的网管功能，包括：基于端口的VLAN、基于802.1Q的VLAN、QOS、IGMP Snooping、RSTP、广播风暴抑制、端口聚合、端口镜像、端口状态管理、SNMP、NTP对时等。</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工作温度：-40～75℃ 储存温度：-40～85℃相对湿度：5%～95%（无凝露）存放湿度：10%～95%，无冷凝。</w:t>
            </w:r>
          </w:p>
        </w:tc>
      </w:tr>
      <w:tr>
        <w:trPr>
          <w:trHeight w:val="90" w:hRule="atLeast"/>
        </w:trPr>
        <w:tc>
          <w:tcPr>
            <w:tcW w:w="91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33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主要技术参数提供提供检测报告</w:t>
            </w:r>
          </w:p>
        </w:tc>
      </w:tr>
      <w:tr>
        <w:trPr>
          <w:trHeight w:val="90" w:hRule="atLeast"/>
        </w:trPr>
        <w:tc>
          <w:tcPr>
            <w:tcW w:w="10047" w:type="dxa"/>
            <w:gridSpan w:val="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附表11：</w:t>
      </w:r>
      <w:bookmarkEnd w:id="25"/>
      <w:r>
        <w:rPr>
          <w:rFonts w:hint="eastAsia" w:ascii="宋体" w:hAnsi="宋体"/>
          <w:b/>
          <w:bCs/>
          <w:color w:val="000000"/>
          <w:kern w:val="44"/>
          <w:sz w:val="24"/>
          <w:szCs w:val="24"/>
          <w:lang w:val="en-US" w:eastAsia="zh-CN"/>
        </w:rPr>
        <w:t>可视化紧急报警盒</w:t>
      </w:r>
    </w:p>
    <w:tbl>
      <w:tblPr>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9"/>
        <w:gridCol w:w="808"/>
        <w:gridCol w:w="7961"/>
      </w:tblGrid>
      <w:tr>
        <w:trPr>
          <w:trHeight w:val="600" w:hRule="atLeast"/>
        </w:trPr>
        <w:tc>
          <w:tcPr>
            <w:tcW w:w="92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6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785"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采用嵌入式Linux操作系统,高性能嵌入式SOC处理器，系统运行稳定可靠；</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支持系统校时功能；支持看门狗功能；支持网络远程在线升级功能；</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工作环境:温度-40℃～70℃,湿度小于93%环境下稳定工作</w:t>
            </w:r>
          </w:p>
        </w:tc>
      </w:tr>
      <w:tr>
        <w:trPr>
          <w:trHeight w:val="1193" w:hRule="atLeast"/>
        </w:trPr>
        <w:tc>
          <w:tcPr>
            <w:tcW w:w="92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前置环形红色背光灯机械按键，环形红色背光灯能定时闪烁，报警按钮处具有“紧急报警”明显标示说明，呼叫接通后的通话过程中按键的红色环形背光灯闪烁频率应加快，指示为当前处于通话状态；</w:t>
            </w:r>
          </w:p>
        </w:tc>
      </w:tr>
      <w:tr>
        <w:trPr>
          <w:trHeight w:val="600"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支持呼叫转移功能：设备呼叫中心管理机的时候，应可通过呼叫转移功能将呼叫信息转移到其他中心管理机上；</w:t>
            </w:r>
          </w:p>
        </w:tc>
      </w:tr>
      <w:tr>
        <w:trPr>
          <w:trHeight w:val="303"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设备前置200万CMOS高清摄像头</w:t>
            </w:r>
          </w:p>
        </w:tc>
      </w:tr>
      <w:tr>
        <w:trPr>
          <w:trHeight w:val="896"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设备支持2路音频输入和2路音频输出；音频输入和音频输出关系可自由配置，内部含高灵敏度麦克风，拾音距离应达到10米，语音清晰，内置3W扬声器；</w:t>
            </w:r>
          </w:p>
        </w:tc>
      </w:tr>
      <w:tr>
        <w:trPr>
          <w:trHeight w:val="600"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8"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设备支持将防拆报警、防区报警等报警信息通过网线传送到管理中心，并形成日志文件；</w:t>
            </w:r>
          </w:p>
        </w:tc>
      </w:tr>
      <w:tr>
        <w:trPr>
          <w:trHeight w:val="1489" w:hRule="atLeast"/>
        </w:trPr>
        <w:tc>
          <w:tcPr>
            <w:tcW w:w="929"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支持可视对讲功能：按下紧急求助按键后呼叫中心管理机，呼叫过程中能听到相应提示音；通话过程中中心能看到设备处实时视频，支持实时全双工双向语音对讲和视频通话功能；</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支持同时进行多方实时对讲通话，多台前端设备与多台中心管理机实时多方通话；</w:t>
            </w:r>
          </w:p>
        </w:tc>
      </w:tr>
      <w:tr>
        <w:trPr>
          <w:trHeight w:val="600"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8"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支持外界噪音侦测报警；外界噪音≥60DB（可设置），内置振动探测器接口</w:t>
            </w:r>
          </w:p>
        </w:tc>
      </w:tr>
      <w:tr>
        <w:trPr>
          <w:trHeight w:val="600"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彩色图像：图像分辨力≥280TVL，亮度鉴别等级≥8级；</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支持中心管理机控制前端设备警灯打开和关闭功能；</w:t>
            </w:r>
          </w:p>
        </w:tc>
      </w:tr>
      <w:tr>
        <w:trPr>
          <w:trHeight w:val="600"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8"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支持将音视频同步存储到设备SD卡中，当在双向对讲通话时录像存储为双向通过混音的音视频复合流；</w:t>
            </w:r>
          </w:p>
        </w:tc>
      </w:tr>
      <w:tr>
        <w:trPr>
          <w:trHeight w:val="368"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支持语音播报、分组广播功能；</w:t>
            </w:r>
          </w:p>
        </w:tc>
      </w:tr>
      <w:tr>
        <w:trPr>
          <w:trHeight w:val="896"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8"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支持红外补光，在光照强度0.1Lx时，红外补光距离应不小于10米；支持日夜模式自动切换：通过ICR红外滤片实现自动切换，实现真正的日夜模式监控；</w:t>
            </w:r>
          </w:p>
        </w:tc>
      </w:tr>
      <w:tr>
        <w:trPr>
          <w:trHeight w:val="586" w:hRule="atLeast"/>
        </w:trPr>
        <w:tc>
          <w:tcPr>
            <w:tcW w:w="92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8"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96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一键报警需接入教体局和公安局。</w:t>
            </w:r>
          </w:p>
        </w:tc>
      </w:tr>
      <w:tr>
        <w:trPr>
          <w:trHeight w:val="322" w:hRule="atLeast"/>
        </w:trPr>
        <w:tc>
          <w:tcPr>
            <w:tcW w:w="9698"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26" w:name="_Toc24719910"/>
      <w:r>
        <w:rPr>
          <w:rFonts w:hint="eastAsia" w:ascii="宋体" w:hAnsi="宋体"/>
          <w:b/>
          <w:bCs/>
          <w:color w:val="000000"/>
          <w:kern w:val="44"/>
          <w:sz w:val="24"/>
          <w:szCs w:val="24"/>
          <w:lang w:val="en-US" w:eastAsia="zh-CN"/>
        </w:rPr>
        <w:t>附表12：紧急报警求助柱</w:t>
      </w:r>
      <w:bookmarkEnd w:id="26"/>
    </w:p>
    <w:tbl>
      <w:tblPr>
        <w:tblW w:w="96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797"/>
        <w:gridCol w:w="7980"/>
      </w:tblGrid>
      <w:tr>
        <w:trPr>
          <w:trHeight w:val="649" w:hRule="atLeast"/>
        </w:trPr>
        <w:tc>
          <w:tcPr>
            <w:tcW w:w="91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8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649"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采用嵌入式Linux操作系统,高性能嵌入式SOC处理器，系统运行稳定可靠；</w:t>
            </w:r>
          </w:p>
        </w:tc>
      </w:tr>
      <w:tr>
        <w:trPr>
          <w:trHeight w:val="970"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设备支持2路音频输入和2路音频输出；音频输入和音频输出关系可自由配置，内部含高灵敏度麦克风，拾音距离应达到10米，语音清晰，内置30W扬声器；</w:t>
            </w:r>
          </w:p>
        </w:tc>
      </w:tr>
      <w:tr>
        <w:trPr>
          <w:trHeight w:val="970"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支持可视对讲功能：按下紧急求助按键后呼叫中心管理机，呼叫过程中能听到相应提示音；通话过程中中心能看到设备处实时视频，支持实时全双工双向语音对讲和视频通话功能；</w:t>
            </w:r>
          </w:p>
        </w:tc>
      </w:tr>
      <w:tr>
        <w:trPr>
          <w:trHeight w:val="649"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支持将音视频同步存储到设备SD卡中，当在双向对讲通话时录像存储为双向通过混音的音视频复合流；</w:t>
            </w:r>
          </w:p>
        </w:tc>
      </w:tr>
      <w:tr>
        <w:trPr>
          <w:trHeight w:val="649"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设备支持将防拆报警、防区报警等报警信息通过网线传送到管理中心，并形成日志文件；</w:t>
            </w:r>
          </w:p>
        </w:tc>
      </w:tr>
      <w:tr>
        <w:trPr>
          <w:trHeight w:val="64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支持呼叫转移功能：设备呼叫中心管理机时，可通过呼叫转移功能将呼叫信息转移到其他中心管理机上；</w:t>
            </w:r>
          </w:p>
        </w:tc>
      </w:tr>
      <w:tr>
        <w:trPr>
          <w:trHeight w:val="649"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支持外界噪音侦测报警；外界噪音≥60DB（可设置），内置振动探测器接口</w:t>
            </w:r>
          </w:p>
        </w:tc>
      </w:tr>
      <w:tr>
        <w:trPr>
          <w:trHeight w:val="398"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支持语音播报、分组广播功能；</w:t>
            </w:r>
          </w:p>
        </w:tc>
      </w:tr>
      <w:tr>
        <w:trPr>
          <w:trHeight w:val="43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支持采集MAC地址、虚拟信息功能；</w:t>
            </w:r>
          </w:p>
        </w:tc>
      </w:tr>
      <w:tr>
        <w:trPr>
          <w:trHeight w:val="1291"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设备前置200万CMOS高清摄像头</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支持红外补光，在光照强度0.1Lx时，红外补光距离应不小于10米；支持日夜模式自动切换：通过ICR红外滤片实现自动切换，实现真正的日夜模式监控；</w:t>
            </w:r>
          </w:p>
        </w:tc>
      </w:tr>
      <w:tr>
        <w:trPr>
          <w:trHeight w:val="41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支持巡更刷卡功能；</w:t>
            </w:r>
          </w:p>
        </w:tc>
      </w:tr>
      <w:tr>
        <w:trPr>
          <w:trHeight w:val="328"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支持GPS实时定位功能；</w:t>
            </w:r>
          </w:p>
        </w:tc>
      </w:tr>
      <w:tr>
        <w:trPr>
          <w:trHeight w:val="1291"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前置环形红色背光灯机械按键，环形红色背光灯能定时闪烁，报警按钮处具有“紧急报警”明显标示说明，呼叫接通后的通话过程中按键的红色环形背光灯闪烁频率应加快，指示为当前处于通话状态；</w:t>
            </w:r>
          </w:p>
        </w:tc>
      </w:tr>
      <w:tr>
        <w:trPr>
          <w:trHeight w:val="398"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设备支持双网口链路、PSTN电话链路传输；</w:t>
            </w:r>
          </w:p>
        </w:tc>
      </w:tr>
      <w:tr>
        <w:trPr>
          <w:trHeight w:val="398"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15</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一键报警需接入教体局和公安局。</w:t>
            </w:r>
          </w:p>
        </w:tc>
      </w:tr>
      <w:tr>
        <w:trPr>
          <w:trHeight w:val="349" w:hRule="atLeast"/>
        </w:trPr>
        <w:tc>
          <w:tcPr>
            <w:tcW w:w="9693"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bookmarkEnd w:id="24"/>
    </w:tbl>
    <w:p>
      <w:pPr>
        <w:jc w:val="both"/>
        <w:outlineLvl w:val="0"/>
        <w:rPr>
          <w:rFonts w:hint="eastAsia" w:ascii="宋体" w:hAnsi="宋体"/>
          <w:b/>
          <w:bCs/>
          <w:color w:val="000000"/>
          <w:kern w:val="44"/>
          <w:sz w:val="24"/>
          <w:szCs w:val="24"/>
          <w:lang w:val="en-US" w:eastAsia="zh-CN"/>
        </w:rPr>
      </w:pPr>
      <w:bookmarkStart w:id="27" w:name="_Toc24719919"/>
      <w:bookmarkStart w:id="28" w:name="_Toc24719907"/>
      <w:r>
        <w:rPr>
          <w:rFonts w:hint="eastAsia" w:ascii="宋体" w:hAnsi="宋体"/>
          <w:b/>
          <w:bCs/>
          <w:color w:val="000000"/>
          <w:kern w:val="44"/>
          <w:sz w:val="24"/>
          <w:szCs w:val="24"/>
          <w:lang w:val="en-US" w:eastAsia="zh-CN"/>
        </w:rPr>
        <w:t>附表</w:t>
      </w:r>
      <w:bookmarkEnd w:id="27"/>
      <w:r>
        <w:rPr>
          <w:rFonts w:hint="eastAsia" w:ascii="宋体" w:hAnsi="宋体"/>
          <w:b/>
          <w:bCs/>
          <w:color w:val="000000"/>
          <w:kern w:val="44"/>
          <w:sz w:val="24"/>
          <w:szCs w:val="24"/>
          <w:lang w:val="en-US" w:eastAsia="zh-CN"/>
        </w:rPr>
        <w:t xml:space="preserve">13 ：55防爆电视  </w:t>
      </w:r>
    </w:p>
    <w:tbl>
      <w:tblPr>
        <w:tblW w:w="9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798"/>
        <w:gridCol w:w="8034"/>
      </w:tblGrid>
      <w:tr>
        <w:trPr>
          <w:trHeight w:val="551" w:hRule="atLeast"/>
        </w:trPr>
        <w:tc>
          <w:tcPr>
            <w:tcW w:w="92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3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39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屏幕尺寸</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55英寸 防爆</w:t>
            </w:r>
          </w:p>
        </w:tc>
      </w:tr>
      <w:tr>
        <w:trPr>
          <w:trHeight w:val="43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屏幕宽高比</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16；9</w:t>
            </w:r>
          </w:p>
        </w:tc>
      </w:tr>
      <w:tr>
        <w:trPr>
          <w:trHeight w:val="48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固有分辨率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4096 X 2160</w:t>
            </w:r>
          </w:p>
        </w:tc>
      </w:tr>
      <w:tr>
        <w:trPr>
          <w:trHeight w:val="109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显示面积 (Active) H x V</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1209.6（H）X 680.4（V）mm</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Pixel Pitch (mm)</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0.630(H) X 0.210(V)</w:t>
            </w:r>
          </w:p>
        </w:tc>
      </w:tr>
      <w:tr>
        <w:trPr>
          <w:trHeight w:val="45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显示色彩</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8bit，16.7Million colors</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对比度</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4000;1</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可视角</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178°</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响应时间</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6ms</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灯管寿命</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50000H</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色温</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冷色，暖色,标准</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视频输入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AV*2，视频输出</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AV OUT *1（Option），分量信号</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NC</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HDMI端口(选择)</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HDMI*2；USB接口(2.0)</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*2；</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信号输入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VGA DSB-15P；PnP 兼容性</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YES；建议使用分辨率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4096 X 2160 60HZ；音频输入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3.5mm耳机接口</w:t>
            </w:r>
          </w:p>
        </w:tc>
      </w:tr>
      <w:tr>
        <w:trPr>
          <w:trHeight w:val="109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034"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信号输入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VGA DSB-15P；PnP 兼容性</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YES；建议使用分辨率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1920*1080 60HZ；音频输入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3.5mm耳机接口</w:t>
            </w:r>
          </w:p>
        </w:tc>
      </w:tr>
      <w:tr>
        <w:trPr>
          <w:trHeight w:val="284" w:hRule="atLeast"/>
        </w:trPr>
        <w:tc>
          <w:tcPr>
            <w:tcW w:w="9753" w:type="dxa"/>
            <w:gridSpan w:val="3"/>
            <w:tcBorders>
              <w:top w:val="single" w:color="auto" w:sz="4" w:space="0"/>
              <w:left w:val="single" w:color="auto" w:sz="4" w:space="0"/>
              <w:bottom w:val="single" w:color="auto" w:sz="4" w:space="0"/>
              <w:right w:val="single" w:color="000000"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29" w:name="_Toc24719911"/>
      <w:r>
        <w:rPr>
          <w:rFonts w:hint="eastAsia" w:ascii="宋体" w:hAnsi="宋体"/>
          <w:b/>
          <w:bCs/>
          <w:color w:val="000000"/>
          <w:kern w:val="44"/>
          <w:sz w:val="24"/>
          <w:szCs w:val="24"/>
          <w:lang w:val="en-US" w:eastAsia="zh-CN"/>
        </w:rPr>
        <w:t>附表14 ：控制电脑</w:t>
      </w:r>
    </w:p>
    <w:tbl>
      <w:tblPr>
        <w:tblW w:w="9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810"/>
        <w:gridCol w:w="7996"/>
      </w:tblGrid>
      <w:tr>
        <w:trPr>
          <w:trHeight w:val="90" w:hRule="atLeast"/>
        </w:trPr>
        <w:tc>
          <w:tcPr>
            <w:tcW w:w="93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1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9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主板</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 xml:space="preserve">Intel 300系列及以上芯片组 </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CPU </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全新一代Intel Core i5-9500 3.0G 6C</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highlight w:val="none"/>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highlight w:val="none"/>
                <w:lang w:val="en-US" w:eastAsia="zh-CN"/>
              </w:rPr>
              <w:t>内存</w:t>
            </w:r>
            <w:r>
              <w:rPr>
                <w:rFonts w:hint="eastAsia" w:ascii="宋体" w:hAnsi="宋体" w:cs="Calibri"/>
                <w:b w:val="0"/>
                <w:bCs w:val="0"/>
                <w:color w:val="000000"/>
                <w:kern w:val="44"/>
                <w:sz w:val="24"/>
                <w:szCs w:val="24"/>
                <w:highlight w:val="none"/>
                <w:lang w:val="en-US" w:eastAsia="zh-CN"/>
              </w:rPr>
              <w:tab/>
            </w:r>
            <w:r>
              <w:rPr>
                <w:rFonts w:hint="eastAsia" w:ascii="宋体" w:hAnsi="宋体" w:cs="Calibri"/>
                <w:b w:val="0"/>
                <w:bCs w:val="0"/>
                <w:color w:val="000000"/>
                <w:kern w:val="44"/>
                <w:sz w:val="24"/>
                <w:szCs w:val="24"/>
                <w:highlight w:val="none"/>
                <w:lang w:val="en-US" w:eastAsia="zh-CN"/>
              </w:rPr>
              <w:t>≥8G DDR4 2666MHz内存；</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硬盘</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≥1TB SATA3 7200rpm 硬盘，128G M.2 NVMe SSD</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显卡</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≥Radeon 520  2GB 独立显卡</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声卡</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集成声卡，支持5.1声道（提供前2后3共5个音频接口，可通过外接设备实现）网卡</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集成10/100/1000M以太网卡；</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光驱</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超薄DVD刻录光驱</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显示器</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≥21.5寸显示器，屏幕比例16：9，亮度不低于250，对比度不低于1000:1，响应时间4ms，提供低蓝光认证</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扩展槽</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1个PCI-E*16、2个PCI-E*1 槽位</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接口</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≥10个USB 接口(前置6个USB 3.1 G1，后置4个USB 2.0)</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键盘、鼠标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原厂防水键盘、抗菌鼠标；</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电源</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 xml:space="preserve">≤110/220V 210W 节能电源 </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操作系统</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 xml:space="preserve">预装Windows 10正版操作系统 </w:t>
            </w:r>
          </w:p>
        </w:tc>
      </w:tr>
      <w:tr>
        <w:trPr>
          <w:trHeight w:val="90" w:hRule="atLeast"/>
        </w:trPr>
        <w:tc>
          <w:tcPr>
            <w:tcW w:w="93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799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服务</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5年保修5年上门。验收时通过厂家400电话验证是否出厂原装。</w:t>
            </w:r>
          </w:p>
        </w:tc>
      </w:tr>
      <w:tr>
        <w:trPr>
          <w:trHeight w:val="90" w:hRule="atLeast"/>
        </w:trPr>
        <w:tc>
          <w:tcPr>
            <w:tcW w:w="9738" w:type="dxa"/>
            <w:gridSpan w:val="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p>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附表15：</w:t>
      </w:r>
      <w:bookmarkEnd w:id="29"/>
      <w:r>
        <w:rPr>
          <w:rFonts w:hint="eastAsia" w:ascii="宋体" w:hAnsi="宋体"/>
          <w:b/>
          <w:bCs/>
          <w:color w:val="000000"/>
          <w:kern w:val="44"/>
          <w:sz w:val="24"/>
          <w:szCs w:val="24"/>
          <w:lang w:val="en-US" w:eastAsia="zh-CN"/>
        </w:rPr>
        <w:t>身份信息识别产品</w:t>
      </w:r>
    </w:p>
    <w:tbl>
      <w:tblPr>
        <w:tblW w:w="9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802"/>
        <w:gridCol w:w="8000"/>
      </w:tblGrid>
      <w:tr>
        <w:trPr>
          <w:trHeight w:val="790" w:hRule="atLeast"/>
        </w:trPr>
        <w:tc>
          <w:tcPr>
            <w:tcW w:w="92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2"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0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298"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设备采用10.1英寸LCD触摸显示屏，屏幕分辨率不小于1280*800，屏幕防冲击防护等级IK04</w:t>
            </w:r>
          </w:p>
        </w:tc>
      </w:tr>
      <w:tr>
        <w:trPr>
          <w:trHeight w:val="1571"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设备具有丰富的硬件接口，应不少于以下硬件接口及能力：USB口≥2个2.0；HDMI输出≥1个；音频输出</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≥1个；I/O输出≥1个；RS232(TTL）接口≥1个；韦根接口≥1个；以太网络接口≥1支持10M/100M自适应以太网；无线WIFI 802.11b/g/n。</w:t>
            </w:r>
          </w:p>
        </w:tc>
      </w:tr>
      <w:tr>
        <w:trPr>
          <w:trHeight w:val="1248"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支持云端识别和本地识别两种模式；设备的人脸识别距离：0.2~2.5m；人脸识别高度：1.2~2m；人脸识别误识率≤0.01%，准确率≥99.8%，人脸识别速度≤0.3s。</w:t>
            </w:r>
          </w:p>
        </w:tc>
      </w:tr>
      <w:tr>
        <w:trPr>
          <w:trHeight w:val="1181"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支持断网条件下，抓拍记录及照片本地缓存；设备本地人脸库存储容量20000张，本地卡存储容量200000张，本地出入记录存储容量100000条，本地存储人脸抓拍照片150000张。</w:t>
            </w:r>
          </w:p>
        </w:tc>
      </w:tr>
      <w:tr>
        <w:trPr>
          <w:trHeight w:val="1181"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设备支持人脸识别功能，现场抓拍人脸照片与本地人脸库照片进行比对，进行人员身份核验；支持人脸在画面内持续动态跟踪；支持本地离线人脸比对功能；支持用户人脸数据下载及人脸识别双线程同步工作； </w:t>
            </w:r>
          </w:p>
        </w:tc>
      </w:tr>
      <w:tr>
        <w:trPr>
          <w:trHeight w:val="1181"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黑白名单设置；可识别未注册人员，并上报未注册人员照片信息到管理设备；人脸识别终端界面支持直观显示人脸识别结果，出现陌生人，照片等情况均会产生异常提示；在线状态下实时上传比对记录，可将人脸图像推送至手机微信端。</w:t>
            </w:r>
          </w:p>
        </w:tc>
      </w:tr>
      <w:tr>
        <w:trPr>
          <w:trHeight w:val="79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设备支持防假体攻击功能，对视频、电子照片、打印照片中的人脸应不能进行人脸识别。</w:t>
            </w:r>
          </w:p>
        </w:tc>
      </w:tr>
      <w:tr>
        <w:trPr>
          <w:trHeight w:val="496"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人脸识别、人证比对（需外接身份证阅读器）、刷卡（需外接读卡器）、二维码等认证方式，且支持以上任意一种、任意两种或三种组合认证开门；根据使用场景，认证开门方式还应包括：多重人脸认证开门。可设置设备人脸识别分时段控制；支持人员分组、分时段控制。支持直接关注微信服务号人脸注册和后台照片注册，一个角色需支持2张正面拍照图像。</w:t>
            </w:r>
          </w:p>
        </w:tc>
      </w:tr>
      <w:tr>
        <w:trPr>
          <w:trHeight w:val="1772"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支持访客预约，通过学校老师审核后可通过人脸识别或者二维码扫描直接进出宿舍；后台可查询统计访客记录及人脸图片；访客记录实时数据同步保安在岗人员移动端进行记录存档；</w:t>
            </w:r>
          </w:p>
        </w:tc>
      </w:tr>
      <w:tr>
        <w:trPr>
          <w:trHeight w:val="1567"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日志管理：能将识别日志存储于人脸识别单元中，并能形成识别记录以供查看，日志中包含：时间和现场截图。可远程重启设备；可显示设备的在线状态；可自定义闸机人脸识别终端的屏幕的位置属性；</w:t>
            </w:r>
          </w:p>
        </w:tc>
      </w:tr>
      <w:tr>
        <w:trPr>
          <w:trHeight w:val="1567"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人脸签到考勤支持实时大屏动态展示，实时显示正常进出、请假、晚归人员统计数，人员签到动态包含姓名、监控点名称、签到时间点，可分类显示比对成功人员、比对失败人员、陌生人、黑名单人员并显示不同的图标提示，支持自定义编辑提示语</w:t>
            </w:r>
          </w:p>
        </w:tc>
      </w:tr>
      <w:tr>
        <w:trPr>
          <w:trHeight w:val="1421"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设备支持节能功能，支持在没有用户使用时自动切换到待机状态，当物体靠近时自动唤醒待机设备，且唤醒距离可调节；</w:t>
            </w:r>
          </w:p>
        </w:tc>
      </w:tr>
      <w:tr>
        <w:trPr>
          <w:trHeight w:val="1571"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设备支持根据比对结果输出开关量信号；支持通过RS485协议或wiegand接口扩展读卡器；支持通过RS485协议扩展身份证阅读器；支持通过RS485协议或wiegand接口外接门禁主机等设备。</w:t>
            </w:r>
          </w:p>
        </w:tc>
      </w:tr>
      <w:tr>
        <w:trPr>
          <w:trHeight w:val="626"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800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支持学生考勤实时推送家长微信端，包括人脸照片、考勤时间；家长微信端支持提交请假功能。</w:t>
            </w:r>
          </w:p>
        </w:tc>
      </w:tr>
      <w:tr>
        <w:trPr>
          <w:trHeight w:val="424" w:hRule="atLeast"/>
        </w:trPr>
        <w:tc>
          <w:tcPr>
            <w:tcW w:w="9723"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30" w:name="_Toc24719912"/>
      <w:r>
        <w:rPr>
          <w:rFonts w:hint="eastAsia" w:ascii="宋体" w:hAnsi="宋体"/>
          <w:b/>
          <w:bCs/>
          <w:color w:val="000000"/>
          <w:kern w:val="44"/>
          <w:sz w:val="24"/>
          <w:szCs w:val="24"/>
          <w:lang w:val="en-US" w:eastAsia="zh-CN"/>
        </w:rPr>
        <w:t>附表16：</w:t>
      </w:r>
      <w:bookmarkEnd w:id="30"/>
      <w:r>
        <w:rPr>
          <w:rFonts w:hint="eastAsia" w:ascii="宋体" w:hAnsi="宋体"/>
          <w:b/>
          <w:bCs/>
          <w:color w:val="000000"/>
          <w:kern w:val="44"/>
          <w:sz w:val="24"/>
          <w:szCs w:val="24"/>
          <w:lang w:val="en-US" w:eastAsia="zh-CN"/>
        </w:rPr>
        <w:t>速通门左边道</w:t>
      </w:r>
    </w:p>
    <w:tbl>
      <w:tblPr>
        <w:tblW w:w="9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938"/>
        <w:gridCol w:w="7737"/>
      </w:tblGrid>
      <w:tr>
        <w:trPr>
          <w:trHeight w:val="669" w:hRule="atLeast"/>
        </w:trPr>
        <w:tc>
          <w:tcPr>
            <w:tcW w:w="9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93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73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闸机通道功能应满足单通道反潜回、多通道跨主机反潜回的功能，当检测到任意一种反潜回报警时，除了联动语音播报、指示灯等警示外，有效防止非授权人员非法入侵。</w:t>
            </w:r>
          </w:p>
        </w:tc>
      </w:tr>
      <w:tr>
        <w:trPr>
          <w:trHeight w:val="1504"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73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闸机通道物理接口应满足同时可接入RS485 ，开门按钮接口不少于2个，报警输入接口不少于4个，报警输出接口不少于4个，电锁输出接口不少于2个，CAN接口不少于2个</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闸机通道采用厚度不低于1.2mm的不锈钢板材；通道应至少采用红外对红外对射，能在晴天、雨天等环境下稳定运行，不产生误报</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闸机通道应支持外接蓄电池，在紧急情况断电后可自动开门，同时支持蓄电池自动充电</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每天不少于8个时间段的常开/常闭管控，设置某时段的通道为常开或常闭，方便管理，同时应支持按时间分时段管控门禁权限，支持不少于128个周计划、不少于1024个节假日、不少于64个假日组、不少于255个计划模板</w:t>
            </w:r>
          </w:p>
        </w:tc>
      </w:tr>
      <w:tr>
        <w:trPr>
          <w:trHeight w:val="90"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73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闸机通道门翼开/关速度至少支持10档可调，开门速度＜0.5 s</w:t>
            </w:r>
          </w:p>
        </w:tc>
      </w:tr>
      <w:tr>
        <w:trPr>
          <w:trHeight w:val="338"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闸机通道应支持翻越报警的功能，当检测到有人翻越时，可联动语音播报、指示灯等警示.</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闸机通道应支持滞留报警、反向闯入报警、通行超时报警、误闯报警等功能，除了联动语音播报、指示灯等警示.</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闸机通道应支持防尾随功能，在通道中同时通行人数超过允许通行的人数时，除了联动语音播报、指示灯等警示外.</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闸机通道应具有消防联动接口，当消防信号触发时，门翼处于常开状态，当消防联动信号恢复时，门翼将自动复位</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闸机通道工作瞬间最大噪声声压不大于62dB(A)，持续噪声声压不大于56dB(A)</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闸机通道应为摆闸箱体，门翼可以选择采用亚克力或不锈钢材质，箱体尺寸：长≥1200mm，宽≤200mm，高≥990mm</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闸机通道应支持集成读卡器、身份证阅读器、二维码、人脸识别组件、指纹、指静脉、显示屏等设备集成，实现多种认证方式组合使用</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闸机通道外壳对外界机械碰撞的防护等级最薄弱处不低于IK05要求，其他表面不低于IK07要求</w:t>
            </w:r>
          </w:p>
        </w:tc>
      </w:tr>
      <w:tr>
        <w:trPr>
          <w:trHeight w:val="345" w:hRule="atLeast"/>
        </w:trPr>
        <w:tc>
          <w:tcPr>
            <w:tcW w:w="9615"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附表17：速通门右边道</w:t>
      </w:r>
    </w:p>
    <w:tbl>
      <w:tblPr>
        <w:tblW w:w="9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938"/>
        <w:gridCol w:w="7737"/>
      </w:tblGrid>
      <w:tr>
        <w:trPr>
          <w:trHeight w:val="669" w:hRule="atLeast"/>
        </w:trPr>
        <w:tc>
          <w:tcPr>
            <w:tcW w:w="9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93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73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闸机通道功能应满足单通道反潜回、多通道跨主机反潜回的功能，当检测到任意一种反潜回报警时，除了联动语音播报、指示灯等警示外，有效防止非授权人员非法入侵。</w:t>
            </w:r>
          </w:p>
        </w:tc>
      </w:tr>
      <w:tr>
        <w:trPr>
          <w:trHeight w:val="1504"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73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闸机通道物理接口应满足同时可接入RS485 ，开门按钮接口不少于2个，报警输入接口不少于4个，报警输出接口不少于4个，电锁输出接口不少于2个，CAN接口不少于2个</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闸机通道采用厚度不低于1.5mm的不锈钢板材；通道应至少采用红外对红外对射，能在晴天、雨天等环境下稳定运行，不产生误报</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闸机通道应支持外接蓄电池，在紧急情况断电后可自动开门，同时支持蓄电池自动充电</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每天不少于8个时间段的常开/常闭管控，设置某时段的通道为常开或常闭，方便管理，同时应支持按时间分时段管控门禁权限，支持不少于128个周计划、不少于1024个节假日、不少于64个假日组、不少于255个计划模板</w:t>
            </w:r>
          </w:p>
        </w:tc>
      </w:tr>
      <w:tr>
        <w:trPr>
          <w:trHeight w:val="821"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闸机通道门翼开/关速度至少支持10档可调，开门速度＜0.5 s</w:t>
            </w:r>
          </w:p>
        </w:tc>
      </w:tr>
      <w:tr>
        <w:trPr>
          <w:trHeight w:val="338"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闸机通道应支持翻越报警的功能，当检测到有人翻越时，可联动语音播报、指示灯等警示.</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闸机通道应支持滞留报警、反向闯入报警、通行超时报警、误闯报警等功能，除了联动语音播报、指示灯等警示.</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闸机通道应支持防尾随功能，在通道中同时通行人数超过允许通行的人数时，除了联动语音播报、指示灯等警示外.</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闸机通道应具有消防联动接口，当消防信号触发时，门翼处于常开状态，当消防联动信号恢复时，门翼将自动复位</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闸机通道工作瞬间最大噪声声压不大于62dB(A)，持续噪声声压不大于56dB(A)</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闸机通道应为摆闸箱体，门翼可以选择采用亚克力或不锈钢材质，箱体尺寸：长≥1200mm，宽≤200mm，高≥990mm</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闸机通道应支持集成读卡器、身份证阅读器、二维码、人脸识别组件、指纹、指静脉、显示屏等设备集成，实现多种认证方式组合使用</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闸机通道外壳对外界机械碰撞的防护等级最薄弱处不低于IK05要求，其他表面不低于IK07要求</w:t>
            </w:r>
          </w:p>
        </w:tc>
      </w:tr>
      <w:tr>
        <w:trPr>
          <w:trHeight w:val="345" w:hRule="atLeast"/>
        </w:trPr>
        <w:tc>
          <w:tcPr>
            <w:tcW w:w="9615"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附表18：速通门中间道</w:t>
      </w:r>
    </w:p>
    <w:tbl>
      <w:tblPr>
        <w:tblW w:w="9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938"/>
        <w:gridCol w:w="7737"/>
      </w:tblGrid>
      <w:tr>
        <w:trPr>
          <w:trHeight w:val="669" w:hRule="atLeast"/>
        </w:trPr>
        <w:tc>
          <w:tcPr>
            <w:tcW w:w="9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93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73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闸机通道功能应满足单通道反潜回、多通道跨主机反潜回的功能，当检测到任意一种反潜回报警时，除了联动语音播报、指示灯等警示外，有效防止非授权人员非法入侵。</w:t>
            </w:r>
          </w:p>
        </w:tc>
      </w:tr>
      <w:tr>
        <w:trPr>
          <w:trHeight w:val="1504"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73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闸机通道物理接口应满足同时可接入RS485 ，开门按钮接口不少于2个，报警输入接口不少于4个，报警输出接口不少于4个，电锁输出接口不少于2个，CAN接口不少于2个</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闸机通道采用厚度不低于1.5mm的不锈钢板材；通道应至少采用红外对红外对射，能在晴天、雨天等环境下稳定运行，不产生误报</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闸机通道应支持外接蓄电池，在紧急情况断电后可自动开门，同时支持蓄电池自动充电</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每天不少于8个时间段的常开/常闭管控，设置某时段的通道为常开或常闭，方便管理，同时应支持按时间分时段管控门禁权限，支持不少于128个周计划、不少于1024个节假日、不少于64个假日组、不少于255个计划模板</w:t>
            </w:r>
          </w:p>
        </w:tc>
      </w:tr>
      <w:tr>
        <w:trPr>
          <w:trHeight w:val="780"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73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闸机通道门翼开/关速度至少支持10档可调，开门速度＜0.5 s</w:t>
            </w:r>
          </w:p>
        </w:tc>
      </w:tr>
      <w:tr>
        <w:trPr>
          <w:trHeight w:val="338"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闸机通道应支持翻越报警的功能，当检测到有人翻越时，可联动语音播报、指示灯等警示.</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闸机通道应支持滞留报警、反向闯入报警、通行超时报警、误闯报警等功能，除了联动语音播报、指示灯等警示.</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闸机通道应支持防尾随功能，在通道中同时通行人数超过允许通行的人数时，除了联动语音播报、指示灯等警示外.</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闸机通道应具有消防联动接口，当消防信号触发时，门翼处于常开状态，当消防联动信号恢复时，门翼将自动复位</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闸机通道工作瞬间最大噪声声压不大于62dB(A)，持续噪声声压不大于56dB(A)</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闸机通道应为摆闸箱体，门翼可以选择采用亚克力或不锈钢材质，箱体尺寸：长≥1200mm，宽≤200mm，高≥990mm</w:t>
            </w:r>
          </w:p>
        </w:tc>
      </w:tr>
      <w:tr>
        <w:trPr>
          <w:trHeight w:val="66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闸机通道应支持集成读卡器、身份证阅读器、二维码、人脸识别组件、指纹、指静脉、显示屏等设备集成，实现多种认证方式组合使用</w:t>
            </w:r>
          </w:p>
        </w:tc>
      </w:tr>
      <w:tr>
        <w:trPr>
          <w:trHeight w:val="999" w:hRule="atLeast"/>
        </w:trPr>
        <w:tc>
          <w:tcPr>
            <w:tcW w:w="940"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93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7737"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闸机通道外壳对外界机械碰撞的防护等级最薄弱处不低于IK05要求，其他表面不低于IK07要求</w:t>
            </w:r>
          </w:p>
        </w:tc>
      </w:tr>
      <w:tr>
        <w:trPr>
          <w:trHeight w:val="345" w:hRule="atLeast"/>
        </w:trPr>
        <w:tc>
          <w:tcPr>
            <w:tcW w:w="9615"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附表19：USB摄像机</w:t>
      </w:r>
    </w:p>
    <w:tbl>
      <w:tblPr>
        <w:tblW w:w="9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785"/>
        <w:gridCol w:w="7936"/>
      </w:tblGrid>
      <w:tr>
        <w:trPr>
          <w:trHeight w:val="730" w:hRule="atLeast"/>
        </w:trPr>
        <w:tc>
          <w:tcPr>
            <w:tcW w:w="90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8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3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369" w:hRule="atLeast"/>
        </w:trPr>
        <w:tc>
          <w:tcPr>
            <w:tcW w:w="90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8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3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采用200万高性能逐行扫描CMOS</w:t>
            </w:r>
          </w:p>
        </w:tc>
      </w:tr>
      <w:tr>
        <w:trPr>
          <w:trHeight w:val="471" w:hRule="atLeast"/>
        </w:trPr>
        <w:tc>
          <w:tcPr>
            <w:tcW w:w="90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8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93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图像清晰、细腻,分辨率达1080p</w:t>
            </w:r>
          </w:p>
        </w:tc>
      </w:tr>
      <w:tr>
        <w:trPr>
          <w:trHeight w:val="369" w:hRule="atLeast"/>
        </w:trPr>
        <w:tc>
          <w:tcPr>
            <w:tcW w:w="90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8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93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低照度,0.1Lux @(F1.2,AGC ON) </w:t>
            </w:r>
          </w:p>
        </w:tc>
      </w:tr>
      <w:tr>
        <w:trPr>
          <w:trHeight w:val="369" w:hRule="atLeast"/>
        </w:trPr>
        <w:tc>
          <w:tcPr>
            <w:tcW w:w="90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8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93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支持自动电子快门功能,适应不同监控环境</w:t>
            </w:r>
          </w:p>
        </w:tc>
      </w:tr>
      <w:tr>
        <w:trPr>
          <w:trHeight w:val="730" w:hRule="atLeast"/>
        </w:trPr>
        <w:tc>
          <w:tcPr>
            <w:tcW w:w="90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8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93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支持自动电子增益功能,亮度自适应</w:t>
            </w:r>
            <w:r>
              <w:rPr>
                <w:rFonts w:hint="eastAsia" w:ascii="宋体" w:hAnsi="宋体" w:cs="Calibri"/>
                <w:b w:val="0"/>
                <w:bCs w:val="0"/>
                <w:color w:val="000000"/>
                <w:kern w:val="44"/>
                <w:sz w:val="24"/>
                <w:szCs w:val="24"/>
                <w:lang w:val="en-US" w:eastAsia="zh-CN"/>
              </w:rPr>
              <w:cr/>
            </w:r>
            <w:r>
              <w:rPr>
                <w:rFonts w:hint="eastAsia" w:ascii="宋体" w:hAnsi="宋体" w:cs="Calibri"/>
                <w:b w:val="0"/>
                <w:bCs w:val="0"/>
                <w:color w:val="000000"/>
                <w:kern w:val="44"/>
                <w:sz w:val="24"/>
                <w:szCs w:val="24"/>
                <w:lang w:val="en-US" w:eastAsia="zh-CN"/>
              </w:rPr>
              <w:t>支持标准USB 2.0接口，免驱设计，即插即用</w:t>
            </w:r>
          </w:p>
        </w:tc>
      </w:tr>
      <w:tr>
        <w:trPr>
          <w:trHeight w:val="369" w:hRule="atLeast"/>
        </w:trPr>
        <w:tc>
          <w:tcPr>
            <w:tcW w:w="90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85"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93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可支持windows和安卓系统 </w:t>
            </w:r>
          </w:p>
        </w:tc>
      </w:tr>
      <w:tr>
        <w:trPr>
          <w:trHeight w:val="392" w:hRule="atLeast"/>
        </w:trPr>
        <w:tc>
          <w:tcPr>
            <w:tcW w:w="9627"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31" w:name="_Toc24719915"/>
      <w:r>
        <w:rPr>
          <w:rFonts w:hint="eastAsia" w:ascii="宋体" w:hAnsi="宋体"/>
          <w:b/>
          <w:bCs/>
          <w:color w:val="000000"/>
          <w:kern w:val="44"/>
          <w:sz w:val="24"/>
          <w:szCs w:val="24"/>
          <w:lang w:val="en-US" w:eastAsia="zh-CN"/>
        </w:rPr>
        <w:t>附表20：</w:t>
      </w:r>
      <w:bookmarkEnd w:id="31"/>
      <w:r>
        <w:rPr>
          <w:rFonts w:hint="eastAsia" w:ascii="宋体" w:hAnsi="宋体"/>
          <w:b/>
          <w:bCs/>
          <w:color w:val="000000"/>
          <w:kern w:val="44"/>
          <w:sz w:val="24"/>
          <w:szCs w:val="24"/>
          <w:lang w:val="en-US" w:eastAsia="zh-CN"/>
        </w:rPr>
        <w:t>通道专用遥控器</w:t>
      </w:r>
    </w:p>
    <w:tbl>
      <w:tblPr>
        <w:tblW w:w="951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802"/>
        <w:gridCol w:w="7915"/>
      </w:tblGrid>
      <w:tr>
        <w:trPr>
          <w:trHeight w:val="270" w:hRule="atLeast"/>
        </w:trPr>
        <w:tc>
          <w:tcPr>
            <w:tcW w:w="802" w:type="dxa"/>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2" w:type="dxa"/>
            <w:tcBorders>
              <w:top w:val="single" w:color="auto" w:sz="4" w:space="0"/>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15" w:type="dxa"/>
            <w:tcBorders>
              <w:top w:val="single" w:color="auto" w:sz="4" w:space="0"/>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64" w:hRule="atLeast"/>
        </w:trPr>
        <w:tc>
          <w:tcPr>
            <w:tcW w:w="80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2"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支持开门后自动关门，时间可设、常开、取消常开；</w:t>
            </w:r>
            <w:r>
              <w:rPr>
                <w:rFonts w:hint="eastAsia" w:ascii="宋体" w:hAnsi="宋体" w:cs="Calibri"/>
                <w:b w:val="0"/>
                <w:bCs w:val="0"/>
                <w:color w:val="000000"/>
                <w:kern w:val="44"/>
                <w:sz w:val="24"/>
                <w:szCs w:val="24"/>
                <w:lang w:val="en-US" w:eastAsia="zh-CN"/>
              </w:rPr>
              <w:br/>
            </w:r>
            <w:r>
              <w:rPr>
                <w:rFonts w:hint="eastAsia" w:ascii="宋体" w:hAnsi="宋体" w:cs="Calibri"/>
                <w:b w:val="0"/>
                <w:bCs w:val="0"/>
                <w:color w:val="000000"/>
                <w:kern w:val="44"/>
                <w:sz w:val="24"/>
                <w:szCs w:val="24"/>
                <w:lang w:val="en-US" w:eastAsia="zh-CN"/>
              </w:rPr>
              <w:t>发射频率：433MHz；</w:t>
            </w:r>
          </w:p>
        </w:tc>
      </w:tr>
      <w:tr>
        <w:trPr>
          <w:trHeight w:val="142" w:hRule="atLeast"/>
        </w:trPr>
        <w:tc>
          <w:tcPr>
            <w:tcW w:w="9519"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32" w:name="_Toc24719916"/>
      <w:r>
        <w:rPr>
          <w:rFonts w:hint="eastAsia" w:ascii="宋体" w:hAnsi="宋体"/>
          <w:b/>
          <w:bCs/>
          <w:color w:val="000000"/>
          <w:kern w:val="44"/>
          <w:sz w:val="24"/>
          <w:szCs w:val="24"/>
          <w:lang w:val="en-US" w:eastAsia="zh-CN"/>
        </w:rPr>
        <w:t>附表21：</w:t>
      </w:r>
      <w:bookmarkEnd w:id="32"/>
      <w:r>
        <w:rPr>
          <w:rFonts w:hint="eastAsia" w:ascii="宋体" w:hAnsi="宋体"/>
          <w:b/>
          <w:bCs/>
          <w:color w:val="000000"/>
          <w:kern w:val="44"/>
          <w:sz w:val="24"/>
          <w:szCs w:val="24"/>
          <w:lang w:val="en-US" w:eastAsia="zh-CN"/>
        </w:rPr>
        <w:t>400万智能人脸抓拍机</w:t>
      </w:r>
    </w:p>
    <w:tbl>
      <w:tblPr>
        <w:tblW w:w="9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797"/>
        <w:gridCol w:w="8115"/>
      </w:tblGrid>
      <w:tr>
        <w:trPr>
          <w:trHeight w:val="349" w:hRule="atLeast"/>
        </w:trPr>
        <w:tc>
          <w:tcPr>
            <w:tcW w:w="91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11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53" w:hRule="atLeast"/>
        </w:trPr>
        <w:tc>
          <w:tcPr>
            <w:tcW w:w="91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具有400万像素 CMOS传感器。</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具有不小于1/1.8"靶面尺寸。（公安部检验报告证明）</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支持检出两眼瞳距40像素点以上的人脸图片。</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支持单场景同时检出不少于30张人脸图片，并支持面部跟踪。</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像元尺寸不小于2.9um×2.9um。（公安部检验报告证明）</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人脸检出率不小于99%。</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内置芯片。（公安部检验报告证明）</w:t>
            </w:r>
          </w:p>
        </w:tc>
      </w:tr>
      <w:tr>
        <w:trPr>
          <w:trHeight w:val="34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最低照度彩色不大于0.0002 lx，黑白不大于0.0001 lx。（公安部检验报告证明）</w:t>
            </w:r>
          </w:p>
        </w:tc>
      </w:tr>
      <w:tr>
        <w:trPr>
          <w:trHeight w:val="521"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支持透雾自动切换功能，当检测到雾的浓度达到设定的阈值时，可自动在算法透雾和光学透雾之间进行切换。（公安部检验报告证明）</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宽动态能力不小于120dB。</w:t>
            </w:r>
          </w:p>
        </w:tc>
      </w:tr>
      <w:tr>
        <w:trPr>
          <w:trHeight w:val="34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支持人脸区域自动曝光功能，可根据外部不同场景和光照变化自动调节人脸区域曝光参数。</w:t>
            </w:r>
          </w:p>
        </w:tc>
      </w:tr>
      <w:tr>
        <w:trPr>
          <w:trHeight w:val="34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同一场景相同图像质量下，将设备视频编解码格式设置为H.265，开启智能功能与未开启智能功能相比，码率可节约1/2。</w:t>
            </w:r>
          </w:p>
        </w:tc>
      </w:tr>
      <w:tr>
        <w:trPr>
          <w:trHeight w:val="34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支持对存储卡进行读写锁定，锁定后的存储卡在移动终端需要密码才能访问。（公安部检验报告证明）</w:t>
            </w:r>
          </w:p>
        </w:tc>
      </w:tr>
      <w:tr>
        <w:trPr>
          <w:trHeight w:val="214"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7"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14</w:t>
            </w:r>
          </w:p>
        </w:tc>
        <w:tc>
          <w:tcPr>
            <w:tcW w:w="811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在同一客户端上，可最多同时开启22个视频窗口进行画面预览。</w:t>
            </w:r>
          </w:p>
        </w:tc>
      </w:tr>
      <w:tr>
        <w:trPr>
          <w:trHeight w:val="180" w:hRule="atLeast"/>
        </w:trPr>
        <w:tc>
          <w:tcPr>
            <w:tcW w:w="9828" w:type="dxa"/>
            <w:gridSpan w:val="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bookmarkStart w:id="33" w:name="_Toc24719917"/>
      <w:r>
        <w:rPr>
          <w:rFonts w:hint="eastAsia" w:ascii="宋体" w:hAnsi="宋体"/>
          <w:b/>
          <w:bCs/>
          <w:color w:val="000000"/>
          <w:kern w:val="44"/>
          <w:sz w:val="24"/>
          <w:szCs w:val="24"/>
          <w:lang w:val="en-US" w:eastAsia="zh-CN"/>
        </w:rPr>
        <w:t>附表22：智能周界防范、人脸识别一体机</w:t>
      </w:r>
      <w:bookmarkEnd w:id="33"/>
    </w:p>
    <w:tbl>
      <w:tblPr>
        <w:tblW w:w="98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5"/>
        <w:gridCol w:w="1007"/>
        <w:gridCol w:w="7894"/>
      </w:tblGrid>
      <w:tr>
        <w:trPr>
          <w:trHeight w:val="754"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127"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支持抓拍库人员频次统计实时报警功能，对指定时间段内反复出现达到一定次数的抓拍人员进行报警（以公安部检测报告为准）</w:t>
            </w:r>
          </w:p>
        </w:tc>
      </w:tr>
      <w:tr>
        <w:trPr>
          <w:trHeight w:val="2245"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人脸签到考勤支持实时动态展示，可以自定义展示界面的主题，预览视频和签到动态同屏显示，预览视频支持1分屏、2分屏、4分屏，签到动态支持1视图、4视图、9视图，签到动态包含姓名、注册库名称、监控点名称、签到时间点，可分类显示比对成功人员、比对失败人员、陌生人、高频人员并显示不同的图标提示，支持自定义编辑提示语</w:t>
            </w:r>
          </w:p>
        </w:tc>
      </w:tr>
      <w:tr>
        <w:trPr>
          <w:trHeight w:val="1499"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按照姓名、人脸属性（性别、年龄段、戴眼镜、表情、戴口罩等）检索人脸抓拍图片；人脸检索结果支持导出电子表格，包括抓拍图、背景图和人员信息。支持对搜索结果二次检索。（以公安部检测报告为准）</w:t>
            </w:r>
          </w:p>
        </w:tc>
      </w:tr>
      <w:tr>
        <w:trPr>
          <w:trHeight w:val="488"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8路人脸以图搜图功能，可从外部、人脸库、人脸检索结果、人员频次分析结果导入最多10张人脸样本照片，并设置相似度（0-100），检索出符合相似度的人脸图片，可查看人脸背景图片、回放关联录像并导出人脸图片；支持按通道、时间检索人脸抓拍图片，支持将检索结果中的人脸图片添加到人脸库；支持检索人脸比对报警、陌生人报警图片，可查看到人脸抓拍图片、人脸库图片，以及姓名、性别、联系方式、证件类型、证件号、生日、省份、城市、年龄段、戴眼镜、表情、戴口罩、自定义标签等人员信息（以公安部检测报告为准）</w:t>
            </w:r>
          </w:p>
        </w:tc>
      </w:tr>
      <w:tr>
        <w:trPr>
          <w:trHeight w:val="1499"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人脸签到、考勤，可导出指定时间段签到、考勤报表，报表包含所有注册人员出勤、签到状态（正常、迟到、早退、旷工、已签到、未签到等），包含签到、考勤时间点。支持自动统计总人数、已签到人数、未签到人数。可查询所有注册人员出勤、签到记录，记录支持列表、月历两种方式呈现（以公安部检测报告为准）</w:t>
            </w:r>
          </w:p>
        </w:tc>
      </w:tr>
      <w:tr>
        <w:trPr>
          <w:trHeight w:val="2245"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人脸库管理：支持新建、删除、修改、查询、复制人脸库，可通过U盘、web端、客户端软件或批量导入工具进行单张、批量导入导出人脸图片；支持32个人脸库，库容10万张人脸图片；人脸图片支持姓名、性别、联系方式、证件类型、证件号、生日、省、市、建模状态等属性；人脸库查询结果支持列表、图表2种展示方式；支持人脸库整库加密导入导出</w:t>
            </w:r>
          </w:p>
        </w:tc>
      </w:tr>
      <w:tr>
        <w:trPr>
          <w:trHeight w:val="38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可接入AI硬盘（以公安部检测报告为准）</w:t>
            </w:r>
          </w:p>
        </w:tc>
      </w:tr>
      <w:tr>
        <w:trPr>
          <w:trHeight w:val="754"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支持通过远程预览加密，只有输入秘钥才能解开视频；并支持码流AES加密（以公安部检测报告为准）</w:t>
            </w:r>
          </w:p>
        </w:tc>
      </w:tr>
      <w:tr>
        <w:trPr>
          <w:trHeight w:val="1127"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支持对重要的数据能够进行备份，备份格式MP4和AVI可选，支持实时监测并显示系统正在进行的录像备份任务，可查看剩余录像大小、剩余时间、备份进度百分比和进度条</w:t>
            </w:r>
          </w:p>
        </w:tc>
      </w:tr>
      <w:tr>
        <w:trPr>
          <w:trHeight w:val="38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支持4路视频流人脸识别和8路图片流人脸识别</w:t>
            </w:r>
          </w:p>
        </w:tc>
      </w:tr>
      <w:tr>
        <w:trPr>
          <w:trHeight w:val="1127"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支持周界报警去误报功能，对IPC上报的越界侦测报警和区域入侵报警进行去误报，可去除由树叶、车辆、小动物等引起的误报，最大支持8路（以公安部检测报告为准）</w:t>
            </w:r>
          </w:p>
        </w:tc>
      </w:tr>
      <w:tr>
        <w:trPr>
          <w:trHeight w:val="754"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支持8个SATA接口，1个eSATA接口，支持2个USB2.0，1个USB3.0接口；支持16路报警输入，8路报警输出接口</w:t>
            </w:r>
          </w:p>
        </w:tc>
      </w:tr>
      <w:tr>
        <w:trPr>
          <w:trHeight w:val="38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100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8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支持8路实时人脸布控</w:t>
            </w:r>
          </w:p>
        </w:tc>
      </w:tr>
      <w:tr>
        <w:trPr>
          <w:trHeight w:val="389" w:hRule="atLeast"/>
        </w:trPr>
        <w:tc>
          <w:tcPr>
            <w:tcW w:w="9806" w:type="dxa"/>
            <w:gridSpan w:val="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附表23：</w:t>
      </w:r>
      <w:bookmarkEnd w:id="28"/>
      <w:r>
        <w:rPr>
          <w:rFonts w:hint="eastAsia" w:ascii="宋体" w:hAnsi="宋体"/>
          <w:b/>
          <w:bCs/>
          <w:color w:val="000000"/>
          <w:kern w:val="44"/>
          <w:sz w:val="24"/>
          <w:szCs w:val="24"/>
          <w:lang w:val="en-US" w:eastAsia="zh-CN"/>
        </w:rPr>
        <w:t>网络硬盘录像机</w:t>
      </w:r>
    </w:p>
    <w:tbl>
      <w:tblPr>
        <w:tblW w:w="97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
        <w:gridCol w:w="814"/>
        <w:gridCol w:w="8046"/>
      </w:tblGrid>
      <w:tr>
        <w:trPr>
          <w:trHeight w:val="885" w:hRule="atLeast"/>
        </w:trPr>
        <w:tc>
          <w:tcPr>
            <w:tcW w:w="93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1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4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323" w:hRule="atLeast"/>
        </w:trPr>
        <w:tc>
          <w:tcPr>
            <w:tcW w:w="93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配合前端接入的智能摄像机，可在客户端视频画面上显示叠加的智能分析规则框，智能分析规则框大小和数量可随目标大小和数量自动调整，并随目标消失而消失（以公安部检测报告为准）</w:t>
            </w:r>
          </w:p>
        </w:tc>
      </w:tr>
      <w:tr>
        <w:trPr>
          <w:trHeight w:val="893" w:hRule="atLeast"/>
        </w:trPr>
        <w:tc>
          <w:tcPr>
            <w:tcW w:w="93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以公安部检测报告为准）</w:t>
            </w:r>
          </w:p>
        </w:tc>
      </w:tr>
      <w:tr>
        <w:trPr>
          <w:trHeight w:val="276" w:hRule="atLeast"/>
        </w:trPr>
        <w:tc>
          <w:tcPr>
            <w:tcW w:w="93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p>
        </w:tc>
      </w:tr>
      <w:tr>
        <w:trPr>
          <w:trHeight w:val="448" w:hRule="atLeast"/>
        </w:trPr>
        <w:tc>
          <w:tcPr>
            <w:tcW w:w="938"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NVR总资源为满负载条件下的最大接入带宽640Mbps、最大存储带宽640Mbps、最大转发带宽640Mbps、最大回放带宽640Mbps。最大接入路数64路（以公安部检测报告为准）</w:t>
            </w:r>
          </w:p>
        </w:tc>
      </w:tr>
      <w:tr>
        <w:trPr>
          <w:trHeight w:val="978" w:hRule="atLeast"/>
        </w:trPr>
        <w:tc>
          <w:tcPr>
            <w:tcW w:w="93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4" w:type="dxa"/>
            <w:tcBorders>
              <w:top w:val="nil"/>
              <w:left w:val="nil"/>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支持按年龄、性别、眼镜、上衣颜色、骑车、背包属性分组显示人员录像文件</w:t>
            </w:r>
          </w:p>
        </w:tc>
      </w:tr>
      <w:tr>
        <w:trPr>
          <w:trHeight w:val="885" w:hRule="atLeast"/>
        </w:trPr>
        <w:tc>
          <w:tcPr>
            <w:tcW w:w="938"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1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具有2个HDMI接口、2个VGA接口、2个RJ45网络接口、2个USB2.0接口、1个USB3.0接口、16路报警输入接口、6路报警输出接口，可内置16块SATA接口硬盘</w:t>
            </w:r>
          </w:p>
        </w:tc>
      </w:tr>
      <w:tr>
        <w:trPr>
          <w:trHeight w:val="1323" w:hRule="atLeast"/>
        </w:trPr>
        <w:tc>
          <w:tcPr>
            <w:tcW w:w="93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tc>
      </w:tr>
      <w:tr>
        <w:trPr>
          <w:trHeight w:val="1323" w:hRule="atLeast"/>
        </w:trPr>
        <w:tc>
          <w:tcPr>
            <w:tcW w:w="93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highlight w:val="none"/>
                <w:lang w:val="en-US" w:eastAsia="zh-CN"/>
              </w:rPr>
            </w:pPr>
          </w:p>
        </w:tc>
        <w:tc>
          <w:tcPr>
            <w:tcW w:w="814" w:type="dxa"/>
            <w:tcBorders>
              <w:top w:val="nil"/>
              <w:left w:val="nil"/>
              <w:bottom w:val="single" w:color="auto" w:sz="4" w:space="0"/>
              <w:right w:val="single" w:color="auto" w:sz="4" w:space="0"/>
            </w:tcBorders>
            <w:vAlign w:val="center"/>
          </w:tcPr>
          <w:p>
            <w:pPr>
              <w:pStyle w:val="45"/>
              <w:widowControl/>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9</w:t>
            </w:r>
          </w:p>
        </w:tc>
        <w:tc>
          <w:tcPr>
            <w:tcW w:w="8046" w:type="dxa"/>
            <w:tcBorders>
              <w:top w:val="nil"/>
              <w:left w:val="nil"/>
              <w:bottom w:val="single" w:color="auto" w:sz="4" w:space="0"/>
              <w:right w:val="single" w:color="auto" w:sz="4" w:space="0"/>
            </w:tcBorders>
            <w:vAlign w:val="center"/>
          </w:tcPr>
          <w:p>
            <w:pPr>
              <w:pStyle w:val="45"/>
              <w:widowControl/>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投标单位硬盘数量如大于招标文件要求，且现有硬盘录像机槽位不够，需无偿增加</w:t>
            </w:r>
            <w:r>
              <w:rPr>
                <w:rFonts w:hint="eastAsia" w:ascii="宋体" w:hAnsi="宋体" w:cs="宋体"/>
                <w:color w:val="auto"/>
                <w:kern w:val="0"/>
                <w:sz w:val="24"/>
                <w:szCs w:val="24"/>
                <w:highlight w:val="none"/>
                <w:lang w:eastAsia="zh-CN"/>
              </w:rPr>
              <w:t>关联的</w:t>
            </w:r>
            <w:r>
              <w:rPr>
                <w:rFonts w:hint="eastAsia" w:ascii="宋体" w:hAnsi="宋体" w:cs="宋体"/>
                <w:color w:val="auto"/>
                <w:kern w:val="0"/>
                <w:sz w:val="24"/>
                <w:szCs w:val="24"/>
                <w:highlight w:val="none"/>
              </w:rPr>
              <w:t>硬盘录像机，型号按照投标单位投标产品提供</w:t>
            </w:r>
          </w:p>
        </w:tc>
      </w:tr>
      <w:tr>
        <w:trPr>
          <w:trHeight w:val="476" w:hRule="atLeast"/>
        </w:trPr>
        <w:tc>
          <w:tcPr>
            <w:tcW w:w="9798"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highlight w:val="none"/>
                <w:lang w:val="en-US" w:eastAsia="zh-CN"/>
              </w:rPr>
            </w:pPr>
            <w:r>
              <w:rPr>
                <w:rFonts w:hint="eastAsia" w:ascii="宋体" w:hAnsi="宋体" w:cs="Calibri"/>
                <w:b w:val="0"/>
                <w:bCs w:val="0"/>
                <w:color w:val="000000"/>
                <w:kern w:val="44"/>
                <w:sz w:val="24"/>
                <w:szCs w:val="24"/>
                <w:highlight w:val="none"/>
                <w:lang w:val="en-US" w:eastAsia="zh-CN"/>
              </w:rPr>
              <w:t>注：“参数性质”标“*”表示此参数为主要技术参数。</w:t>
            </w:r>
          </w:p>
        </w:tc>
      </w:tr>
    </w:tbl>
    <w:p>
      <w:pPr>
        <w:jc w:val="both"/>
        <w:outlineLvl w:val="0"/>
        <w:rPr>
          <w:rFonts w:hint="eastAsia" w:ascii="宋体" w:hAnsi="宋体"/>
          <w:b/>
          <w:bCs/>
          <w:color w:val="000000"/>
          <w:kern w:val="44"/>
          <w:sz w:val="24"/>
          <w:szCs w:val="24"/>
          <w:highlight w:val="none"/>
          <w:lang w:val="en-US" w:eastAsia="zh-CN"/>
        </w:rPr>
      </w:pPr>
      <w:bookmarkStart w:id="34" w:name="_Toc24719918"/>
      <w:bookmarkStart w:id="35" w:name="_Toc24719908"/>
      <w:r>
        <w:rPr>
          <w:rFonts w:hint="eastAsia" w:ascii="宋体" w:hAnsi="宋体"/>
          <w:b/>
          <w:bCs/>
          <w:color w:val="000000"/>
          <w:kern w:val="44"/>
          <w:sz w:val="24"/>
          <w:szCs w:val="24"/>
          <w:highlight w:val="none"/>
          <w:lang w:val="en-US" w:eastAsia="zh-CN"/>
        </w:rPr>
        <w:t>附表24：监控级硬盘</w:t>
      </w:r>
    </w:p>
    <w:tbl>
      <w:tblPr>
        <w:tblW w:w="9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795"/>
        <w:gridCol w:w="8087"/>
      </w:tblGrid>
      <w:tr>
        <w:trPr>
          <w:trHeight w:val="261"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highlight w:val="none"/>
                <w:lang w:val="en-US" w:eastAsia="zh-CN"/>
              </w:rPr>
            </w:pPr>
            <w:r>
              <w:rPr>
                <w:rFonts w:hint="eastAsia" w:ascii="宋体" w:hAnsi="宋体" w:cs="Calibri"/>
                <w:b w:val="0"/>
                <w:bCs w:val="0"/>
                <w:color w:val="000000"/>
                <w:kern w:val="44"/>
                <w:sz w:val="24"/>
                <w:szCs w:val="24"/>
                <w:highlight w:val="none"/>
                <w:lang w:val="en-US" w:eastAsia="zh-CN"/>
              </w:rPr>
              <w:t>参数性质</w:t>
            </w:r>
          </w:p>
        </w:tc>
        <w:tc>
          <w:tcPr>
            <w:tcW w:w="79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highlight w:val="none"/>
                <w:lang w:val="en-US" w:eastAsia="zh-CN"/>
              </w:rPr>
            </w:pPr>
            <w:r>
              <w:rPr>
                <w:rFonts w:hint="eastAsia" w:ascii="宋体" w:hAnsi="宋体" w:cs="Calibri"/>
                <w:b w:val="0"/>
                <w:bCs w:val="0"/>
                <w:color w:val="000000"/>
                <w:kern w:val="44"/>
                <w:sz w:val="24"/>
                <w:szCs w:val="24"/>
                <w:highlight w:val="none"/>
                <w:lang w:val="en-US" w:eastAsia="zh-CN"/>
              </w:rPr>
              <w:t>编号</w:t>
            </w:r>
          </w:p>
        </w:tc>
        <w:tc>
          <w:tcPr>
            <w:tcW w:w="808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highlight w:val="none"/>
                <w:lang w:val="en-US" w:eastAsia="zh-CN"/>
              </w:rPr>
            </w:pPr>
            <w:r>
              <w:rPr>
                <w:rFonts w:hint="eastAsia" w:ascii="宋体" w:hAnsi="宋体" w:cs="Calibri"/>
                <w:b w:val="0"/>
                <w:bCs w:val="0"/>
                <w:color w:val="000000"/>
                <w:kern w:val="44"/>
                <w:sz w:val="24"/>
                <w:szCs w:val="24"/>
                <w:highlight w:val="none"/>
                <w:lang w:val="en-US" w:eastAsia="zh-CN"/>
              </w:rPr>
              <w:t>技术参数和性能指标</w:t>
            </w:r>
          </w:p>
        </w:tc>
      </w:tr>
      <w:tr>
        <w:trPr>
          <w:trHeight w:val="261" w:hRule="atLeast"/>
        </w:trPr>
        <w:tc>
          <w:tcPr>
            <w:tcW w:w="915"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highlight w:val="none"/>
                <w:lang w:val="en-US" w:eastAsia="zh-CN"/>
              </w:rPr>
            </w:pPr>
          </w:p>
        </w:tc>
        <w:tc>
          <w:tcPr>
            <w:tcW w:w="795" w:type="dxa"/>
            <w:tcBorders>
              <w:top w:val="nil"/>
              <w:left w:val="nil"/>
              <w:bottom w:val="single" w:color="auto" w:sz="4" w:space="0"/>
              <w:right w:val="single" w:color="auto" w:sz="4" w:space="0"/>
            </w:tcBorders>
            <w:vAlign w:val="center"/>
          </w:tcPr>
          <w:p>
            <w:pPr>
              <w:pStyle w:val="45"/>
              <w:widowControl/>
              <w:spacing w:before="0" w:beforeAutospacing="0" w:after="0" w:afterAutospacing="0" w:line="360" w:lineRule="auto"/>
              <w:ind w:left="0" w:right="0"/>
              <w:jc w:val="center"/>
              <w:rPr>
                <w:rFonts w:hint="eastAsia" w:ascii="宋体" w:hAnsi="宋体" w:cs="Calibri"/>
                <w:b w:val="0"/>
                <w:bCs w:val="0"/>
                <w:color w:val="auto"/>
                <w:kern w:val="44"/>
                <w:sz w:val="24"/>
                <w:szCs w:val="24"/>
                <w:highlight w:val="none"/>
                <w:lang w:val="en-US" w:eastAsia="zh-CN"/>
              </w:rPr>
            </w:pPr>
            <w:r>
              <w:rPr>
                <w:rFonts w:hint="eastAsia" w:ascii="宋体" w:hAnsi="宋体" w:cs="宋体"/>
                <w:color w:val="auto"/>
                <w:sz w:val="24"/>
                <w:szCs w:val="24"/>
                <w:highlight w:val="none"/>
                <w:lang w:val="en-US" w:eastAsia="zh-CN"/>
              </w:rPr>
              <w:t>1</w:t>
            </w:r>
          </w:p>
        </w:tc>
        <w:tc>
          <w:tcPr>
            <w:tcW w:w="8087" w:type="dxa"/>
            <w:tcBorders>
              <w:top w:val="nil"/>
              <w:left w:val="nil"/>
              <w:bottom w:val="single" w:color="auto" w:sz="4" w:space="0"/>
              <w:right w:val="single" w:color="auto" w:sz="4" w:space="0"/>
            </w:tcBorders>
            <w:vAlign w:val="center"/>
          </w:tcPr>
          <w:p>
            <w:pPr>
              <w:pStyle w:val="45"/>
              <w:widowControl/>
              <w:spacing w:before="0" w:beforeAutospacing="0" w:after="0" w:afterAutospacing="0" w:line="360" w:lineRule="auto"/>
              <w:ind w:left="0" w:right="0"/>
              <w:jc w:val="left"/>
              <w:rPr>
                <w:rFonts w:hint="eastAsia" w:ascii="宋体" w:hAnsi="宋体" w:cs="Calibri"/>
                <w:b w:val="0"/>
                <w:bCs w:val="0"/>
                <w:color w:val="auto"/>
                <w:kern w:val="44"/>
                <w:sz w:val="24"/>
                <w:szCs w:val="24"/>
                <w:highlight w:val="none"/>
                <w:lang w:val="en-US" w:eastAsia="zh-CN"/>
              </w:rPr>
            </w:pPr>
            <w:r>
              <w:rPr>
                <w:rFonts w:hint="eastAsia" w:ascii="宋体" w:hAnsi="宋体" w:cs="宋体"/>
                <w:color w:val="auto"/>
                <w:sz w:val="24"/>
                <w:szCs w:val="24"/>
                <w:highlight w:val="none"/>
              </w:rPr>
              <w:t>6T企业级硬盘，支持温度传感器；256MB缓存；平均故障间隔时间MTBF：2,000,000小时；转速：7200rpm；接口访问速度：6.0、 3.0、 1.5 Gb/秒；最高可持续传输率：226MB/秒；平均闲置功率7.25瓦；平均运行功率8.31瓦；电源+12V和+5V；运行时温度 5~60°C</w:t>
            </w:r>
            <w:r>
              <w:rPr>
                <w:rFonts w:hint="eastAsia" w:ascii="宋体" w:hAnsi="宋体" w:cs="宋体"/>
                <w:color w:val="auto"/>
                <w:sz w:val="24"/>
                <w:szCs w:val="24"/>
                <w:highlight w:val="none"/>
                <w:lang w:eastAsia="zh-CN"/>
              </w:rPr>
              <w:t>（投标单位必须保证硬盘数量既不低于招标文件要求，又必须满足全天</w:t>
            </w:r>
            <w:r>
              <w:rPr>
                <w:rFonts w:hint="eastAsia" w:ascii="宋体" w:hAnsi="宋体" w:cs="宋体"/>
                <w:color w:val="auto"/>
                <w:sz w:val="24"/>
                <w:szCs w:val="24"/>
                <w:highlight w:val="none"/>
                <w:lang w:val="en-US" w:eastAsia="zh-CN"/>
              </w:rPr>
              <w:t>24小时录像存储90天，数量不足需投标单位无偿提供</w:t>
            </w:r>
            <w:r>
              <w:rPr>
                <w:rFonts w:hint="eastAsia" w:ascii="宋体" w:hAnsi="宋体" w:cs="宋体"/>
                <w:color w:val="auto"/>
                <w:sz w:val="24"/>
                <w:szCs w:val="24"/>
                <w:highlight w:val="none"/>
                <w:lang w:eastAsia="zh-CN"/>
              </w:rPr>
              <w:t>）</w:t>
            </w:r>
          </w:p>
        </w:tc>
      </w:tr>
      <w:tr>
        <w:trPr>
          <w:trHeight w:val="266" w:hRule="atLeast"/>
        </w:trPr>
        <w:tc>
          <w:tcPr>
            <w:tcW w:w="9797" w:type="dxa"/>
            <w:gridSpan w:val="3"/>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w:t>
      </w:r>
      <w:bookmarkEnd w:id="34"/>
      <w:r>
        <w:rPr>
          <w:rFonts w:hint="eastAsia" w:ascii="宋体" w:hAnsi="宋体"/>
          <w:b/>
          <w:bCs/>
          <w:color w:val="000000"/>
          <w:kern w:val="44"/>
          <w:sz w:val="24"/>
          <w:szCs w:val="24"/>
          <w:lang w:val="en-US" w:eastAsia="zh-CN"/>
        </w:rPr>
        <w:t>25：汇聚交换机全电口千兆交换机</w:t>
      </w:r>
    </w:p>
    <w:tbl>
      <w:tblPr>
        <w:tblW w:w="97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
        <w:gridCol w:w="804"/>
        <w:gridCol w:w="8066"/>
      </w:tblGrid>
      <w:tr>
        <w:trPr>
          <w:trHeight w:val="858" w:hRule="atLeast"/>
        </w:trPr>
        <w:tc>
          <w:tcPr>
            <w:tcW w:w="9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6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34"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交换容量≥330Gbps</w:t>
            </w:r>
          </w:p>
        </w:tc>
      </w:tr>
      <w:tr>
        <w:trPr>
          <w:trHeight w:val="434"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包转发率≥50Mpps</w:t>
            </w:r>
          </w:p>
        </w:tc>
      </w:tr>
      <w:tr>
        <w:trPr>
          <w:trHeight w:val="434"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支持24个10/100/1000Base-T以太网端口，4个千兆SFP</w:t>
            </w:r>
          </w:p>
        </w:tc>
      </w:tr>
      <w:tr>
        <w:trPr>
          <w:trHeight w:val="434"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支持4K个VLAN，支持Voice VLAN，基于端口的VLAN，基于MAC的VLAN，基于协议的VLAN</w:t>
            </w:r>
          </w:p>
        </w:tc>
      </w:tr>
      <w:tr>
        <w:trPr>
          <w:trHeight w:val="434"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支持MAC地址≥8k </w:t>
            </w:r>
          </w:p>
        </w:tc>
      </w:tr>
      <w:tr>
        <w:trPr>
          <w:trHeight w:val="434"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支持静态路由，支持RIP、RIPng协议</w:t>
            </w:r>
          </w:p>
        </w:tc>
      </w:tr>
      <w:tr>
        <w:trPr>
          <w:trHeight w:val="607"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支持以太电口堆叠，用网线连接实现堆叠功能</w:t>
            </w:r>
          </w:p>
        </w:tc>
      </w:tr>
      <w:tr>
        <w:trPr>
          <w:trHeight w:val="520"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支持SNMP v1/v2/v3、Telnet远程维护、网管系统管理</w:t>
            </w:r>
          </w:p>
        </w:tc>
      </w:tr>
      <w:tr>
        <w:trPr>
          <w:trHeight w:val="858"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支持对端口接收报文速率和发送报文速率进行限制，支持SP、WRR、SP+WRR等队列调度算法</w:t>
            </w:r>
          </w:p>
        </w:tc>
      </w:tr>
      <w:tr>
        <w:trPr>
          <w:trHeight w:val="558" w:hRule="atLeast"/>
        </w:trPr>
        <w:tc>
          <w:tcPr>
            <w:tcW w:w="928"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06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提供工信部入网证书</w:t>
            </w:r>
          </w:p>
        </w:tc>
      </w:tr>
      <w:tr>
        <w:trPr>
          <w:trHeight w:val="858" w:hRule="atLeast"/>
        </w:trPr>
        <w:tc>
          <w:tcPr>
            <w:tcW w:w="9798" w:type="dxa"/>
            <w:gridSpan w:val="3"/>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附表26：汇聚交换机全光口千兆交换机</w:t>
      </w:r>
    </w:p>
    <w:tbl>
      <w:tblPr>
        <w:tblW w:w="98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
        <w:gridCol w:w="800"/>
        <w:gridCol w:w="8083"/>
      </w:tblGrid>
      <w:tr>
        <w:trPr>
          <w:trHeight w:val="858" w:hRule="atLeast"/>
        </w:trPr>
        <w:tc>
          <w:tcPr>
            <w:tcW w:w="92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8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34"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交换容量≥330Gbps</w:t>
            </w:r>
          </w:p>
        </w:tc>
      </w:tr>
      <w:tr>
        <w:trPr>
          <w:trHeight w:val="434"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包转发率≥100Mpps</w:t>
            </w:r>
          </w:p>
        </w:tc>
      </w:tr>
      <w:tr>
        <w:trPr>
          <w:trHeight w:val="434"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24个千兆SFP，8个复用的10/100/1000 Base-T以太网端口Combo，4个万兆SFP+</w:t>
            </w:r>
          </w:p>
        </w:tc>
      </w:tr>
      <w:tr>
        <w:trPr>
          <w:trHeight w:val="434"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支持4K个VLAN，支持Voice VLAN，基于端口的VLAN，基于MAC的VLAN，基于协议的VLAN</w:t>
            </w:r>
          </w:p>
        </w:tc>
      </w:tr>
      <w:tr>
        <w:trPr>
          <w:trHeight w:val="434"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支持MAC地址≥8k </w:t>
            </w:r>
          </w:p>
        </w:tc>
      </w:tr>
      <w:tr>
        <w:trPr>
          <w:trHeight w:val="434"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支持静态路由，支持RIP、RIPng协议</w:t>
            </w:r>
          </w:p>
        </w:tc>
      </w:tr>
      <w:tr>
        <w:trPr>
          <w:trHeight w:val="607"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支持以太电口堆叠，用网线连接实现堆叠功能</w:t>
            </w:r>
          </w:p>
        </w:tc>
      </w:tr>
      <w:tr>
        <w:trPr>
          <w:trHeight w:val="520"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支持SNMP v1/v2/v3、Telnet远程维护、网管系统管理</w:t>
            </w:r>
          </w:p>
        </w:tc>
      </w:tr>
      <w:tr>
        <w:trPr>
          <w:trHeight w:val="858"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支持对端口接收报文速率和发送报文速率进行限制，支持SP、WRR、SP+WRR等队列调度算法</w:t>
            </w:r>
          </w:p>
        </w:tc>
      </w:tr>
      <w:tr>
        <w:trPr>
          <w:trHeight w:val="839" w:hRule="atLeast"/>
        </w:trPr>
        <w:tc>
          <w:tcPr>
            <w:tcW w:w="924"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800"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808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提供工信部入网证书</w:t>
            </w:r>
          </w:p>
        </w:tc>
      </w:tr>
      <w:tr>
        <w:trPr>
          <w:trHeight w:val="654" w:hRule="atLeast"/>
        </w:trPr>
        <w:tc>
          <w:tcPr>
            <w:tcW w:w="9807" w:type="dxa"/>
            <w:gridSpan w:val="3"/>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附表27：光模块（接收端）</w:t>
      </w:r>
    </w:p>
    <w:tbl>
      <w:tblPr>
        <w:tblW w:w="9612"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6"/>
        <w:gridCol w:w="783"/>
        <w:gridCol w:w="7783"/>
      </w:tblGrid>
      <w:tr>
        <w:trPr>
          <w:trHeight w:val="853" w:hRule="atLeast"/>
        </w:trPr>
        <w:tc>
          <w:tcPr>
            <w:tcW w:w="1046" w:type="dxa"/>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83" w:type="dxa"/>
            <w:tcBorders>
              <w:top w:val="single" w:color="auto" w:sz="4" w:space="0"/>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783" w:type="dxa"/>
            <w:tcBorders>
              <w:top w:val="single" w:color="auto" w:sz="4" w:space="0"/>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450" w:hRule="atLeast"/>
        </w:trPr>
        <w:tc>
          <w:tcPr>
            <w:tcW w:w="104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783"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1.25Gbps,SFP封装、单模1310nm,10km,LC接口、支持DDM功能。</w:t>
            </w:r>
          </w:p>
        </w:tc>
      </w:tr>
      <w:tr>
        <w:trPr>
          <w:trHeight w:val="540" w:hRule="atLeast"/>
        </w:trPr>
        <w:tc>
          <w:tcPr>
            <w:tcW w:w="104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783"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平均发送光功率；-5.98dbm</w:t>
            </w:r>
          </w:p>
        </w:tc>
      </w:tr>
      <w:tr>
        <w:trPr>
          <w:trHeight w:val="351" w:hRule="atLeast"/>
        </w:trPr>
        <w:tc>
          <w:tcPr>
            <w:tcW w:w="104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783"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接收灵敏度-≤-19dbm传输距离10KM</w:t>
            </w:r>
          </w:p>
        </w:tc>
      </w:tr>
      <w:tr>
        <w:trPr>
          <w:trHeight w:val="540" w:hRule="atLeast"/>
        </w:trPr>
        <w:tc>
          <w:tcPr>
            <w:tcW w:w="104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783"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收光区间：1260-1620nm；浪涌：187Ma</w:t>
            </w:r>
          </w:p>
        </w:tc>
      </w:tr>
      <w:tr>
        <w:trPr>
          <w:trHeight w:val="375" w:hRule="atLeast"/>
        </w:trPr>
        <w:tc>
          <w:tcPr>
            <w:tcW w:w="104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783"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温度：-40度-85度</w:t>
            </w:r>
          </w:p>
        </w:tc>
      </w:tr>
      <w:tr>
        <w:trPr>
          <w:trHeight w:val="840" w:hRule="atLeast"/>
        </w:trPr>
        <w:tc>
          <w:tcPr>
            <w:tcW w:w="104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783" w:type="dxa"/>
            <w:tcBorders>
              <w:top w:val="nil"/>
              <w:left w:val="nil"/>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为保证整体传输系统稳定性，投标产品必须与前端百兆工业级收发器为同一品牌</w:t>
            </w:r>
          </w:p>
        </w:tc>
      </w:tr>
      <w:tr>
        <w:trPr>
          <w:trHeight w:val="440" w:hRule="atLeast"/>
        </w:trPr>
        <w:tc>
          <w:tcPr>
            <w:tcW w:w="9612" w:type="dxa"/>
            <w:gridSpan w:val="3"/>
            <w:tcBorders>
              <w:top w:val="single" w:color="auto" w:sz="4" w:space="0"/>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附表28：65寸防爆电视</w:t>
      </w:r>
    </w:p>
    <w:tbl>
      <w:tblPr>
        <w:tblW w:w="95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798"/>
        <w:gridCol w:w="7876"/>
      </w:tblGrid>
      <w:tr>
        <w:trPr>
          <w:trHeight w:val="551" w:hRule="atLeast"/>
        </w:trPr>
        <w:tc>
          <w:tcPr>
            <w:tcW w:w="92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87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39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屏幕尺寸</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65英寸 防爆</w:t>
            </w:r>
          </w:p>
        </w:tc>
      </w:tr>
      <w:tr>
        <w:trPr>
          <w:trHeight w:val="43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屏幕宽高比</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16；9</w:t>
            </w:r>
          </w:p>
        </w:tc>
      </w:tr>
      <w:tr>
        <w:trPr>
          <w:trHeight w:val="48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固有分辨率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4096 X 2160</w:t>
            </w:r>
          </w:p>
        </w:tc>
      </w:tr>
      <w:tr>
        <w:trPr>
          <w:trHeight w:val="109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显示面积 (Active) H x V</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1209.6（H）X 680.4（V）mm</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Pixel Pitch (mm)</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0.630(H) X 0.210(V)</w:t>
            </w:r>
          </w:p>
        </w:tc>
      </w:tr>
      <w:tr>
        <w:trPr>
          <w:trHeight w:val="450"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显示色彩</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8bit，16.7Million colors</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对比度</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4000;1</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可视角</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178°</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响应时间</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6ms</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9</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灯管寿命</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50000H</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10</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色温</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冷色，暖色,标准</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11</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视频输入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AV*2，视频输出</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AV OUT *1（Option），分量信号</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NC</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HDMI端口(选择)</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HDMI*2；USB接口(2.0)</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*2；</w:t>
            </w:r>
          </w:p>
        </w:tc>
      </w:tr>
      <w:tr>
        <w:trPr>
          <w:trHeight w:val="58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12</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信号输入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VGA DSB-15P；PnP 兼容性</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YES；建议使用分辨率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4096 X 2160 60HZ；音频输入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3.5mm耳机接口</w:t>
            </w:r>
          </w:p>
        </w:tc>
      </w:tr>
      <w:tr>
        <w:trPr>
          <w:trHeight w:val="1095" w:hRule="atLeast"/>
        </w:trPr>
        <w:tc>
          <w:tcPr>
            <w:tcW w:w="921"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13</w:t>
            </w:r>
          </w:p>
        </w:tc>
        <w:tc>
          <w:tcPr>
            <w:tcW w:w="787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信号输入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VGA DSB-15P；PnP 兼容性</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YES；建议使用分辨率</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1920*1080 60HZ；音频输入</w:t>
            </w:r>
            <w:r>
              <w:rPr>
                <w:rFonts w:hint="eastAsia" w:ascii="宋体" w:hAnsi="宋体" w:cs="Calibri"/>
                <w:b w:val="0"/>
                <w:bCs w:val="0"/>
                <w:color w:val="000000"/>
                <w:kern w:val="44"/>
                <w:sz w:val="24"/>
                <w:szCs w:val="24"/>
                <w:lang w:val="en-US" w:eastAsia="zh-CN"/>
              </w:rPr>
              <w:tab/>
            </w:r>
            <w:r>
              <w:rPr>
                <w:rFonts w:hint="eastAsia" w:ascii="宋体" w:hAnsi="宋体" w:cs="Calibri"/>
                <w:b w:val="0"/>
                <w:bCs w:val="0"/>
                <w:color w:val="000000"/>
                <w:kern w:val="44"/>
                <w:sz w:val="24"/>
                <w:szCs w:val="24"/>
                <w:lang w:val="en-US" w:eastAsia="zh-CN"/>
              </w:rPr>
              <w:t>3.5mm耳机接口</w:t>
            </w:r>
          </w:p>
        </w:tc>
      </w:tr>
      <w:tr>
        <w:trPr>
          <w:trHeight w:val="284" w:hRule="atLeast"/>
        </w:trPr>
        <w:tc>
          <w:tcPr>
            <w:tcW w:w="9595" w:type="dxa"/>
            <w:gridSpan w:val="3"/>
            <w:tcBorders>
              <w:top w:val="single" w:color="auto" w:sz="4" w:space="0"/>
              <w:left w:val="single" w:color="auto" w:sz="4" w:space="0"/>
              <w:bottom w:val="single" w:color="auto" w:sz="4" w:space="0"/>
              <w:right w:val="single" w:color="000000"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b/>
          <w:bCs/>
          <w:lang w:val="en-US" w:eastAsia="zh-CN"/>
        </w:rPr>
      </w:pPr>
      <w:r>
        <w:rPr>
          <w:rFonts w:hint="eastAsia" w:ascii="宋体" w:hAnsi="宋体"/>
          <w:b/>
          <w:bCs/>
          <w:color w:val="000000"/>
          <w:kern w:val="44"/>
          <w:sz w:val="24"/>
          <w:szCs w:val="24"/>
          <w:lang w:val="en-US" w:eastAsia="zh-CN"/>
        </w:rPr>
        <w:t>附表29：解码器</w:t>
      </w:r>
      <w:bookmarkEnd w:id="35"/>
    </w:p>
    <w:tbl>
      <w:tblPr>
        <w:tblW w:w="9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5"/>
        <w:gridCol w:w="803"/>
        <w:gridCol w:w="7931"/>
      </w:tblGrid>
      <w:tr>
        <w:trPr>
          <w:trHeight w:val="603" w:hRule="atLeast"/>
        </w:trPr>
        <w:tc>
          <w:tcPr>
            <w:tcW w:w="92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3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609"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采用嵌入式架构，专用Linux系统，使用DSP解码。为了设备稳定可靠运行，不得采用工控机或者PC机的X86架构。</w:t>
            </w:r>
          </w:p>
        </w:tc>
      </w:tr>
      <w:tr>
        <w:trPr>
          <w:trHeight w:val="1200"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2</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设备接入具有智能行为分析功能的摄像机，可解码显示智能行为分析信息，包括移动侦测、越界入侵、区域入侵、起身离开等，并上传报警信息。提供封面具有CNAS认证标识的公安部报告证明。</w:t>
            </w:r>
          </w:p>
        </w:tc>
      </w:tr>
      <w:tr>
        <w:trPr>
          <w:trHeight w:val="609"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3</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可通过APP客户端对设备输出的视频图像进行控制操作。提供封面具有CNAS认证标识的公安部报告证明。</w:t>
            </w:r>
          </w:p>
        </w:tc>
      </w:tr>
      <w:tr>
        <w:trPr>
          <w:trHeight w:val="1796"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4</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要求设备具备≥17个RJ45网络接口，1路语音输入，1路语音输出，1个RS232接口，1个RS485接口，8路报警输入，8路报警输出，1个VGA视频输入接口，1个DVI-I视频输入接口。输出口支持4个HDMI接口，支持8路模拟音频输出，支持4路模拟CVBS视频输出。提供封面具有CNAS认证标识的公安部报告证明。</w:t>
            </w:r>
          </w:p>
        </w:tc>
      </w:tr>
      <w:tr>
        <w:trPr>
          <w:trHeight w:val="609"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5</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具有1个电源指示灯，2个硬盘指示灯。</w:t>
            </w:r>
          </w:p>
        </w:tc>
      </w:tr>
      <w:tr>
        <w:trPr>
          <w:trHeight w:val="901"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6</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设备通过高温、低温、恒定湿热试验（高温55±2℃，低温-10±3℃，持续时间2H；相对湿度90%~95%、温度40±2℃，持续时间48H）。提供封面具有CNAS认证标识的公安部报告证明。</w:t>
            </w:r>
          </w:p>
        </w:tc>
      </w:tr>
      <w:tr>
        <w:trPr>
          <w:trHeight w:val="609"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7</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具有NTP校时及客户端软件手动校时两种校时方式。</w:t>
            </w:r>
          </w:p>
        </w:tc>
      </w:tr>
      <w:tr>
        <w:trPr>
          <w:trHeight w:val="901" w:hRule="atLeast"/>
        </w:trPr>
        <w:tc>
          <w:tcPr>
            <w:tcW w:w="92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p>
        </w:tc>
        <w:tc>
          <w:tcPr>
            <w:tcW w:w="80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8</w:t>
            </w:r>
          </w:p>
        </w:tc>
        <w:tc>
          <w:tcPr>
            <w:tcW w:w="793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可对以下编码格式的视频图像进行解码后输出：H.264、H.265、Smart264、Smart265、MPEG4视频图像。提供封面具有CNAS认证标识的公安部报告证明。</w:t>
            </w:r>
          </w:p>
        </w:tc>
      </w:tr>
      <w:tr>
        <w:trPr>
          <w:trHeight w:val="324" w:hRule="atLeast"/>
        </w:trPr>
        <w:tc>
          <w:tcPr>
            <w:tcW w:w="9659"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附表30：机柜</w:t>
      </w:r>
    </w:p>
    <w:tbl>
      <w:tblPr>
        <w:tblW w:w="9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1"/>
        <w:gridCol w:w="808"/>
        <w:gridCol w:w="7980"/>
      </w:tblGrid>
      <w:tr>
        <w:trPr>
          <w:trHeight w:val="749" w:hRule="atLeast"/>
        </w:trPr>
        <w:tc>
          <w:tcPr>
            <w:tcW w:w="93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0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7980"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2970" w:hRule="atLeast"/>
        </w:trPr>
        <w:tc>
          <w:tcPr>
            <w:tcW w:w="931"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w:t>
            </w:r>
          </w:p>
        </w:tc>
        <w:tc>
          <w:tcPr>
            <w:tcW w:w="80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7980"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国标，黑色，5块托盘，1个8口PDU，尺寸精密,全数控精密加工。单开平板六角网孔前门,双开平板六角网孔后门。镀铝锌板材质方孔条与安装梁， 无锐边。三段式底板部件,中间盖板可按需打开,三段式快开侧门,每段可单独打开。各主要部件预置有接地钉，接地钉带护罩。前后门配高级典雅锁。方孔条与安装梁材料为耐指纹镀铝锌板;，其余为SPCC优质冷轧板，厚度：方孔条2.0mm， 安装梁1.5mm，其余1.2mm，承重能力≥1000KG。表面脱脂、陶化、静电喷塑处理。尺寸600*800*2000。</w:t>
            </w:r>
          </w:p>
        </w:tc>
      </w:tr>
      <w:tr>
        <w:trPr>
          <w:trHeight w:val="402" w:hRule="atLeast"/>
        </w:trPr>
        <w:tc>
          <w:tcPr>
            <w:tcW w:w="9719"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附表31：机柜</w:t>
      </w:r>
    </w:p>
    <w:tbl>
      <w:tblPr>
        <w:tblW w:w="9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811"/>
        <w:gridCol w:w="8013"/>
      </w:tblGrid>
      <w:tr>
        <w:trPr>
          <w:trHeight w:val="814" w:hRule="atLeast"/>
        </w:trPr>
        <w:tc>
          <w:tcPr>
            <w:tcW w:w="93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81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1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3228" w:hRule="atLeast"/>
        </w:trPr>
        <w:tc>
          <w:tcPr>
            <w:tcW w:w="935"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81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1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国标，黑色，3块托盘，1个8口PDU，尺寸精密,全数控精密加工。单开平板六角网孔前门,双开平板六角网孔后门。镀铝锌板材质方孔条与安装梁， 无锐边。三段式底板部件,中间盖板可按需打开,三段式快开侧门,每段可单独打开。各主要部件预置有接地钉，接地钉带护罩。前后门配高级典雅锁。方孔条与安装梁材料为耐指纹镀铝锌板;，其余为SPCC优质冷轧板，厚度：方孔条2.0mm， 安装梁1.5mm，其余1.2mm，承重能力≥1000KG。表面脱脂、陶化、静电喷塑处理。尺寸600*800*1200。</w:t>
            </w:r>
          </w:p>
        </w:tc>
      </w:tr>
      <w:tr>
        <w:trPr>
          <w:trHeight w:val="437" w:hRule="atLeast"/>
        </w:trPr>
        <w:tc>
          <w:tcPr>
            <w:tcW w:w="9759"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附表32：光缆及敷设</w:t>
      </w:r>
    </w:p>
    <w:tbl>
      <w:tblPr>
        <w:tblW w:w="9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
        <w:gridCol w:w="793"/>
        <w:gridCol w:w="8046"/>
      </w:tblGrid>
      <w:tr>
        <w:trPr>
          <w:trHeight w:val="762"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4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770" w:hRule="atLeast"/>
        </w:trPr>
        <w:tc>
          <w:tcPr>
            <w:tcW w:w="914"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46"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室外GYTA24芯及以上（每个设备箱用一备一）各汇聚点不低于12芯。（含熔接费、辅材、测试等配套材料）,数量满足现场使用需求</w:t>
            </w:r>
          </w:p>
        </w:tc>
      </w:tr>
      <w:tr>
        <w:trPr>
          <w:trHeight w:val="410" w:hRule="atLeast"/>
        </w:trPr>
        <w:tc>
          <w:tcPr>
            <w:tcW w:w="9753"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附表33：光缆终端盒</w:t>
      </w:r>
    </w:p>
    <w:tbl>
      <w:tblPr>
        <w:tblW w:w="9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
        <w:gridCol w:w="791"/>
        <w:gridCol w:w="8035"/>
      </w:tblGrid>
      <w:tr>
        <w:trPr>
          <w:trHeight w:val="73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3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091" w:hRule="atLeast"/>
        </w:trPr>
        <w:tc>
          <w:tcPr>
            <w:tcW w:w="912"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1"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3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黑色，≥4口，优质冷轧钢板，光纤和尾纤弯曲半径不小于30mm，含光纤适配器（氧化锆陶瓷插芯，插入损耗≤0.2dB），数量满足现场使用需求。</w:t>
            </w:r>
          </w:p>
        </w:tc>
      </w:tr>
      <w:tr>
        <w:trPr>
          <w:trHeight w:val="392" w:hRule="atLeast"/>
        </w:trPr>
        <w:tc>
          <w:tcPr>
            <w:tcW w:w="9738"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附表34：机架式光缆终端盒</w:t>
      </w:r>
    </w:p>
    <w:tbl>
      <w:tblPr>
        <w:tblW w:w="9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8"/>
        <w:gridCol w:w="788"/>
        <w:gridCol w:w="8057"/>
      </w:tblGrid>
      <w:tr>
        <w:trPr>
          <w:trHeight w:val="750" w:hRule="atLeast"/>
        </w:trPr>
        <w:tc>
          <w:tcPr>
            <w:tcW w:w="90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8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5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491" w:hRule="atLeast"/>
        </w:trPr>
        <w:tc>
          <w:tcPr>
            <w:tcW w:w="908"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采用优质冷轧钢板，表面涂装静电喷塑，塑料组件，抽拉式设计，每盘端口数量12位，19寸机架式安装，含12芯束状光纤，光纤适配器（氧化锆陶瓷插芯，插入损耗≤0.2dB）。数量满足现场使用需求。</w:t>
            </w:r>
          </w:p>
        </w:tc>
      </w:tr>
      <w:tr>
        <w:trPr>
          <w:trHeight w:val="403" w:hRule="atLeast"/>
        </w:trPr>
        <w:tc>
          <w:tcPr>
            <w:tcW w:w="9753"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附表35：跳线</w:t>
      </w:r>
    </w:p>
    <w:tbl>
      <w:tblPr>
        <w:tblW w:w="9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8"/>
        <w:gridCol w:w="788"/>
        <w:gridCol w:w="8057"/>
      </w:tblGrid>
      <w:tr>
        <w:trPr>
          <w:trHeight w:val="806" w:hRule="atLeast"/>
        </w:trPr>
        <w:tc>
          <w:tcPr>
            <w:tcW w:w="90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8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57"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814" w:hRule="atLeast"/>
        </w:trPr>
        <w:tc>
          <w:tcPr>
            <w:tcW w:w="908"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8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57"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陶瓷插针，环保PVC材料，插入损耗≤0.2dB，回波损耗≥50dB光缆芯数全部熔接。3米-5米，数量满足现场使用需求。</w:t>
            </w:r>
          </w:p>
        </w:tc>
      </w:tr>
      <w:tr>
        <w:trPr>
          <w:trHeight w:val="433" w:hRule="atLeast"/>
        </w:trPr>
        <w:tc>
          <w:tcPr>
            <w:tcW w:w="9753"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附表36：电源线</w:t>
      </w:r>
    </w:p>
    <w:tbl>
      <w:tblPr>
        <w:tblW w:w="9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
        <w:gridCol w:w="783"/>
        <w:gridCol w:w="8092"/>
      </w:tblGrid>
      <w:tr>
        <w:trPr>
          <w:trHeight w:val="829" w:hRule="atLeast"/>
        </w:trPr>
        <w:tc>
          <w:tcPr>
            <w:tcW w:w="90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8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92"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516" w:hRule="atLeast"/>
        </w:trPr>
        <w:tc>
          <w:tcPr>
            <w:tcW w:w="902"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83"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92"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RVV 2*1.5</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产品标准：GB/T 5023.（1~7）-2008 或JB/T 8734.（1~5）-1998标准的要求。</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 xml:space="preserve">产品特点：导体材料符合GB/T3956-2008标准的电缆导体，采用多支退火裸铜绞合成束方式，导体采用48支Φ0.2mm±0.012无氧铜丝结构，内绝缘直径/绝缘厚度值Φ2.9mm±0.05mm，  厚度0.7mm.外护套直径/厚度Φ7.5mm±0.05mm，厚度0.9mm，线缆工作温度：高温70℃，70℃时绝缘电阻最小值 0.009Ω/km.20℃时绝缘电阻最小值 12.8Ω/km，低温-25℃，高温70℃，成品电缆上，成缆节距：150mm（±5mm），绝缘延伸220%，护套延伸率280%，绝缘-材料采用聚氯乙烯（PVC），加填充绳4条，外包透明抗粘PET膜包在内导体上，绝缘层表面色泽均匀、无目力可见机械缺损。软电缆护套采用黑色聚氯乙烯（PVC）材料，护套层与缆芯适当贴紧，无目力可见针孔、裂痕、气泡和其它缺陷 。                                                  </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产品适用于额定电压300/300V及以下安防系统中的视频监控、防盗报警、可视对讲，门禁等系统用电源线、控制线及信号传输线。</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产品资质：3C品质认证；ISO国际标准化组织认证，国家检测报告</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数量满足现场使用需求。</w:t>
            </w:r>
          </w:p>
        </w:tc>
      </w:tr>
      <w:tr>
        <w:trPr>
          <w:trHeight w:val="445" w:hRule="atLeast"/>
        </w:trPr>
        <w:tc>
          <w:tcPr>
            <w:tcW w:w="9777"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附表37：超五类网线</w:t>
      </w:r>
    </w:p>
    <w:tbl>
      <w:tblPr>
        <w:tblW w:w="97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6"/>
        <w:gridCol w:w="778"/>
        <w:gridCol w:w="8088"/>
      </w:tblGrid>
      <w:tr>
        <w:trPr>
          <w:trHeight w:val="790" w:hRule="atLeast"/>
        </w:trPr>
        <w:tc>
          <w:tcPr>
            <w:tcW w:w="89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7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8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2178" w:hRule="atLeast"/>
        </w:trPr>
        <w:tc>
          <w:tcPr>
            <w:tcW w:w="896"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7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8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产品标准：ISO/IEC11801-A1-2008、TIA/EIA-568C</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性能：传输带宽≥100MHz，满足100/1000兆数据传输；铜芯材料采用优质99.99%纯度无氧铜实芯裸铜导体，线芯直径≥0.50mm，，绝缘材料采用优质高密度聚乙烯（HDPE），厚度0.2mm，护套材料采用环保新料PVC料，厚度为0.6mm,铜缆外径为5.2mm。绝缘直径为0.91mm节距数值：橙8.3;棕：10;绿：12.3;蓝：13.8.工作温度范围：-20 至 75度。</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物理阻抗100±10欧；最大相对互耦电容：5.6NF/100m；最大导体直流电阻：9.26欧/100米。</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产品用途：适用于综合布线网络ISDN、ATM155/622Mbps、百兆、千兆以太网等。</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产品资质：美国UL认证；ISO国际标准化组织认证，CPR认证,CE 认证,ROHS认证</w:t>
            </w:r>
          </w:p>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数量满足现场使用需求。</w:t>
            </w:r>
          </w:p>
        </w:tc>
      </w:tr>
      <w:tr>
        <w:trPr>
          <w:trHeight w:val="424" w:hRule="atLeast"/>
        </w:trPr>
        <w:tc>
          <w:tcPr>
            <w:tcW w:w="9762"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附表38：室外壁挂电源箱</w:t>
      </w:r>
    </w:p>
    <w:tbl>
      <w:tblPr>
        <w:tblW w:w="9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794"/>
        <w:gridCol w:w="8058"/>
      </w:tblGrid>
      <w:tr>
        <w:trPr>
          <w:trHeight w:val="742" w:hRule="atLeast"/>
        </w:trPr>
        <w:tc>
          <w:tcPr>
            <w:tcW w:w="91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4"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5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109" w:hRule="atLeast"/>
        </w:trPr>
        <w:tc>
          <w:tcPr>
            <w:tcW w:w="916"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4"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58"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定制，不锈钢，不小于500*400*250mm（最低标准），壁厚≥1.2mm 防尘防水，能容纳光缆终端盒、空开等，数量满足现场使用需求。</w:t>
            </w:r>
          </w:p>
        </w:tc>
      </w:tr>
      <w:tr>
        <w:trPr>
          <w:trHeight w:val="399" w:hRule="atLeast"/>
        </w:trPr>
        <w:tc>
          <w:tcPr>
            <w:tcW w:w="9768"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附表39：PVC线槽及敷设（只限室内使用）</w:t>
      </w:r>
    </w:p>
    <w:tbl>
      <w:tblPr>
        <w:tblW w:w="9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
        <w:gridCol w:w="796"/>
        <w:gridCol w:w="8055"/>
      </w:tblGrid>
      <w:tr>
        <w:trPr>
          <w:trHeight w:val="656" w:hRule="atLeast"/>
        </w:trPr>
        <w:tc>
          <w:tcPr>
            <w:tcW w:w="91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6"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55"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980" w:hRule="atLeast"/>
        </w:trPr>
        <w:tc>
          <w:tcPr>
            <w:tcW w:w="917"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6"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55"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国标/白色，聚氯乙烯PVC电工线槽，39*19A加厚型，包含接头，转弯等，管径、长度满足现场使用需求。（仅限室内使用）数量满足现场使用需求。</w:t>
            </w:r>
          </w:p>
        </w:tc>
      </w:tr>
      <w:tr>
        <w:trPr>
          <w:trHeight w:val="352" w:hRule="atLeast"/>
        </w:trPr>
        <w:tc>
          <w:tcPr>
            <w:tcW w:w="9768"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附表40：穿线管及敷设（室外使用）</w:t>
      </w:r>
    </w:p>
    <w:tbl>
      <w:tblPr>
        <w:tblW w:w="9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799"/>
        <w:gridCol w:w="8033"/>
      </w:tblGrid>
      <w:tr>
        <w:trPr>
          <w:trHeight w:val="853" w:hRule="atLeast"/>
        </w:trPr>
        <w:tc>
          <w:tcPr>
            <w:tcW w:w="92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9"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33"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1275" w:hRule="atLeast"/>
        </w:trPr>
        <w:tc>
          <w:tcPr>
            <w:tcW w:w="921" w:type="dxa"/>
            <w:tcBorders>
              <w:top w:val="nil"/>
              <w:left w:val="single" w:color="auto" w:sz="4" w:space="0"/>
              <w:bottom w:val="single" w:color="auto" w:sz="4" w:space="0"/>
              <w:right w:val="single" w:color="auto" w:sz="4" w:space="0"/>
            </w:tcBorders>
            <w:vAlign w:val="bottom"/>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p>
        </w:tc>
        <w:tc>
          <w:tcPr>
            <w:tcW w:w="799"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33"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国标/KBG/JDG穿线管 镀锌管，20、25管壁厚≥1.0mm，32管壁厚≥1.2mm，包含接头，转弯等，管径、长度满足现场使用需求。（室外使用）数量满足现场使用需求。</w:t>
            </w:r>
          </w:p>
        </w:tc>
      </w:tr>
      <w:tr>
        <w:trPr>
          <w:trHeight w:val="459" w:hRule="atLeast"/>
        </w:trPr>
        <w:tc>
          <w:tcPr>
            <w:tcW w:w="9753"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附表41：系统集成</w:t>
      </w:r>
    </w:p>
    <w:tbl>
      <w:tblPr>
        <w:tblW w:w="9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798"/>
        <w:gridCol w:w="8051"/>
      </w:tblGrid>
      <w:tr>
        <w:trPr>
          <w:trHeight w:val="524" w:hRule="atLeast"/>
        </w:trPr>
        <w:tc>
          <w:tcPr>
            <w:tcW w:w="919"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参数性质</w:t>
            </w:r>
          </w:p>
        </w:tc>
        <w:tc>
          <w:tcPr>
            <w:tcW w:w="798"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编号</w:t>
            </w:r>
          </w:p>
        </w:tc>
        <w:tc>
          <w:tcPr>
            <w:tcW w:w="8051" w:type="dxa"/>
            <w:tcBorders>
              <w:top w:val="single" w:color="auto" w:sz="4" w:space="0"/>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技术参数和性能指标</w:t>
            </w:r>
          </w:p>
        </w:tc>
      </w:tr>
      <w:tr>
        <w:trPr>
          <w:trHeight w:val="529" w:hRule="atLeast"/>
        </w:trPr>
        <w:tc>
          <w:tcPr>
            <w:tcW w:w="919" w:type="dxa"/>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w:t>
            </w:r>
          </w:p>
        </w:tc>
        <w:tc>
          <w:tcPr>
            <w:tcW w:w="798" w:type="dxa"/>
            <w:tcBorders>
              <w:top w:val="nil"/>
              <w:left w:val="nil"/>
              <w:bottom w:val="single" w:color="auto" w:sz="4" w:space="0"/>
              <w:right w:val="single" w:color="auto" w:sz="4" w:space="0"/>
            </w:tcBorders>
            <w:vAlign w:val="center"/>
          </w:tcPr>
          <w:p>
            <w:pPr>
              <w:spacing w:before="0" w:beforeAutospacing="0" w:after="0" w:afterAutospacing="0"/>
              <w:ind w:left="0" w:right="0"/>
              <w:jc w:val="center"/>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1</w:t>
            </w:r>
          </w:p>
        </w:tc>
        <w:tc>
          <w:tcPr>
            <w:tcW w:w="8051" w:type="dxa"/>
            <w:tcBorders>
              <w:top w:val="nil"/>
              <w:left w:val="nil"/>
              <w:bottom w:val="single" w:color="auto" w:sz="4" w:space="0"/>
              <w:right w:val="single" w:color="auto" w:sz="4"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本项目为交钥匙工程，中标单位需完成招标文件内所有设备的安装、调试等全部内容。所有室外挖沟回填深度不低于50CM；工字砖、水泥路面破坏按原貌恢复。摄像头全部接入旗教体局安防监控综合平台，含接入所需传输设备及接入授权，摄像头命名规则按照市教体局局要求统一设置；实时图像推送市教体局等费用。各汇聚点全部使用光缆传输；利用原有摄像头全部加装POE分离器；供电室内全部使用POE供电方式。包含原有监控设备整合拆除工作（拆除后的旧设备全部移交学校）；在实际安装过程中，如发现不能够形成独立有效的系统，缺少的设备、材料部分中标方应无偿补足、使系统能够正常运行。</w:t>
            </w:r>
          </w:p>
        </w:tc>
      </w:tr>
      <w:tr>
        <w:trPr>
          <w:trHeight w:val="282" w:hRule="atLeast"/>
        </w:trPr>
        <w:tc>
          <w:tcPr>
            <w:tcW w:w="9768" w:type="dxa"/>
            <w:gridSpan w:val="3"/>
            <w:tcBorders>
              <w:top w:val="single" w:color="auto" w:sz="8" w:space="0"/>
              <w:left w:val="single" w:color="auto" w:sz="8" w:space="0"/>
              <w:bottom w:val="single" w:color="auto" w:sz="8" w:space="0"/>
              <w:right w:val="single" w:color="000000" w:sz="8" w:space="0"/>
            </w:tcBorders>
            <w:vAlign w:val="center"/>
          </w:tcPr>
          <w:p>
            <w:pPr>
              <w:spacing w:before="0" w:beforeAutospacing="0" w:after="0" w:afterAutospacing="0"/>
              <w:ind w:left="0" w:right="0"/>
              <w:jc w:val="both"/>
              <w:outlineLvl w:val="0"/>
              <w:rPr>
                <w:rFonts w:hint="eastAsia" w:ascii="宋体" w:hAnsi="宋体" w:cs="Calibri"/>
                <w:b w:val="0"/>
                <w:bCs w:val="0"/>
                <w:color w:val="000000"/>
                <w:kern w:val="44"/>
                <w:sz w:val="24"/>
                <w:szCs w:val="24"/>
                <w:lang w:val="en-US" w:eastAsia="zh-CN"/>
              </w:rPr>
            </w:pPr>
            <w:r>
              <w:rPr>
                <w:rFonts w:hint="eastAsia" w:ascii="宋体" w:hAnsi="宋体" w:cs="Calibri"/>
                <w:b w:val="0"/>
                <w:bCs w:val="0"/>
                <w:color w:val="000000"/>
                <w:kern w:val="44"/>
                <w:sz w:val="24"/>
                <w:szCs w:val="24"/>
                <w:lang w:val="en-US" w:eastAsia="zh-CN"/>
              </w:rPr>
              <w:t>注：“参数性质”标“*”表示此参数为主要技术参数。</w:t>
            </w:r>
          </w:p>
        </w:tc>
      </w:tr>
    </w:tbl>
    <w:p>
      <w:pPr>
        <w:jc w:val="both"/>
        <w:outlineLvl w:val="0"/>
        <w:rPr>
          <w:rFonts w:hint="eastAsia" w:ascii="宋体" w:hAnsi="宋体"/>
          <w:b w:val="0"/>
          <w:bCs w:val="0"/>
          <w:color w:val="000000"/>
          <w:kern w:val="44"/>
          <w:sz w:val="24"/>
          <w:szCs w:val="24"/>
          <w:lang w:val="en-US" w:eastAsia="zh-CN"/>
        </w:rPr>
      </w:pP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三、其他要求</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1.系统施工要求</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（1）所有监控线缆必须遵照国家标准做好标识标记；</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（2）所有室外监控杆必须安装号牌，号牌应不宜被腐蚀及掉色，任何时间都可清晰显示杆件编号；</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（3）所有监控箱、机柜内必须明确标注内部走线方式、上联接口等信息；</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（4）项目完工后施工方提供完整的摄像机点位图、监控线路图、取电图等相关图纸、资料等；</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（5）室外线缆预埋开挖深度0.5米，宽度大于0.5米，部分区域涉及过路顶管工程，过路长度由投标公司自行勘测；所有开挖工程回填后必须在开挖上方做好标识标牌；</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2.所有软硬件系统与设备需接入教育体育局监控平台、公安网，经采购方协调，供货商需配合完成系统间对接，提供开放系统与接口，相关费用自行承担，并确保兼容性及设备性能。</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3.所配软件必须为正版，且质保期内须定期免费升级维护，否则由此引起的一切后果，均由供货商承担。</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4.投标人要承诺已经充分理解了招标建设方案和建设目标，投标方案能够满足项目建设目标。综合单价构成包括设备费、包装费、合格发票税费、装卸费、运输费、保险费、安装调试检测费、其它风险费用在内的全部费用。</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5.售后服务要求</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（1）本项目专业化强、系统集成度高，因此要求售后服务3年。</w:t>
      </w:r>
    </w:p>
    <w:p>
      <w:pPr>
        <w:jc w:val="both"/>
        <w:outlineLvl w:val="0"/>
        <w:rPr>
          <w:rFonts w:hint="eastAsia" w:ascii="宋体" w:hAnsi="宋体"/>
          <w:b w:val="0"/>
          <w:bCs w:val="0"/>
          <w:color w:val="000000"/>
          <w:kern w:val="44"/>
          <w:sz w:val="24"/>
          <w:szCs w:val="24"/>
          <w:lang w:val="en-US" w:eastAsia="zh-CN"/>
        </w:rPr>
      </w:pPr>
      <w:r>
        <w:rPr>
          <w:rFonts w:hint="eastAsia" w:ascii="宋体" w:hAnsi="宋体"/>
          <w:b w:val="0"/>
          <w:bCs w:val="0"/>
          <w:color w:val="000000"/>
          <w:kern w:val="44"/>
          <w:sz w:val="24"/>
          <w:szCs w:val="24"/>
          <w:lang w:val="en-US" w:eastAsia="zh-CN"/>
        </w:rPr>
        <w:t>（2）有本地化售后服务，4小时内响应解决问题，24小时在线服务技术支持，提供人员名单及固定电话。</w:t>
      </w:r>
    </w:p>
    <w:p>
      <w:pPr>
        <w:jc w:val="both"/>
        <w:outlineLvl w:val="0"/>
        <w:rPr>
          <w:rFonts w:hint="eastAsia" w:ascii="宋体" w:hAnsi="宋体"/>
          <w:b/>
          <w:bCs/>
          <w:color w:val="000000"/>
          <w:kern w:val="44"/>
          <w:sz w:val="24"/>
          <w:szCs w:val="24"/>
          <w:lang w:val="en-US" w:eastAsia="zh-CN"/>
        </w:rPr>
      </w:pPr>
      <w:r>
        <w:rPr>
          <w:rFonts w:hint="eastAsia" w:ascii="宋体" w:hAnsi="宋体"/>
          <w:b w:val="0"/>
          <w:bCs w:val="0"/>
          <w:color w:val="000000"/>
          <w:kern w:val="44"/>
          <w:sz w:val="24"/>
          <w:szCs w:val="24"/>
          <w:lang w:val="en-US" w:eastAsia="zh-CN"/>
        </w:rPr>
        <w:t>（3）售后服务内容主要有：①提供成交货物齐全的资料；②负责全面安装、调试；③提供及时、迅速、优质的售后服务，能快捷地提供货物的备品备件，并保证采购人能够及时买到货物所需的备品备件和易损件；④货物出现故障后，响应及排除故障时间；⑤详细培训计划：时间与地点、人数、内容、次数，提供对管理员进行免费培训，直至全部能熟练掌握使用。</w:t>
      </w:r>
      <w:bookmarkStart w:id="57" w:name="_GoBack"/>
      <w:bookmarkEnd w:id="57"/>
    </w:p>
    <w:p>
      <w:pPr>
        <w:jc w:val="both"/>
        <w:outlineLvl w:val="0"/>
        <w:rPr>
          <w:rFonts w:hint="eastAsia" w:ascii="宋体" w:hAnsi="宋体"/>
          <w:b/>
          <w:bCs/>
          <w:color w:val="000000"/>
          <w:kern w:val="44"/>
          <w:sz w:val="24"/>
          <w:szCs w:val="24"/>
          <w:lang w:val="en-US" w:eastAsia="zh-CN"/>
        </w:rPr>
      </w:pPr>
      <w:r>
        <w:rPr>
          <w:rFonts w:hint="eastAsia" w:ascii="宋体" w:hAnsi="宋体"/>
          <w:b/>
          <w:bCs/>
          <w:color w:val="000000"/>
          <w:kern w:val="44"/>
          <w:sz w:val="24"/>
          <w:szCs w:val="24"/>
          <w:lang w:val="en-US" w:eastAsia="zh-CN"/>
        </w:rPr>
        <w:t xml:space="preserve">                                      </w:t>
      </w:r>
    </w:p>
    <w:p>
      <w:pPr>
        <w:spacing w:line="240" w:lineRule="atLeast"/>
        <w:ind w:firstLine="560" w:firstLineChars="200"/>
        <w:rPr>
          <w:rFonts w:ascii="宋体" w:hAnsi="宋体"/>
          <w:szCs w:val="21"/>
        </w:rPr>
      </w:pPr>
    </w:p>
    <w:p>
      <w:pPr>
        <w:spacing w:line="240" w:lineRule="atLeast"/>
        <w:ind w:firstLine="482" w:firstLineChars="200"/>
        <w:rPr>
          <w:rFonts w:ascii="宋体" w:hAnsi="宋体" w:eastAsia="宋体"/>
          <w:b/>
          <w:sz w:val="24"/>
          <w:szCs w:val="24"/>
        </w:rPr>
      </w:pPr>
    </w:p>
    <w:p>
      <w:pPr>
        <w:jc w:val="both"/>
        <w:outlineLvl w:val="0"/>
        <w:rPr>
          <w:rFonts w:hint="eastAsia" w:ascii="宋体" w:hAnsi="宋体"/>
          <w:b/>
          <w:bCs/>
          <w:color w:val="000000"/>
          <w:kern w:val="44"/>
          <w:sz w:val="24"/>
          <w:szCs w:val="24"/>
        </w:rPr>
      </w:pPr>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5"/>
      <w:bookmarkEnd w:id="6"/>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36" w:name="_Toc497408676"/>
      <w:r>
        <w:rPr>
          <w:rFonts w:hint="eastAsia" w:ascii="宋体" w:hAnsi="宋体"/>
          <w:b/>
          <w:bCs/>
          <w:color w:val="000000"/>
          <w:kern w:val="44"/>
          <w:sz w:val="24"/>
          <w:szCs w:val="24"/>
        </w:rPr>
        <w:t>第六章 评标办法（最低评标价法）</w:t>
      </w:r>
      <w:bookmarkEnd w:id="36"/>
    </w:p>
    <w:p>
      <w:pPr>
        <w:spacing w:line="360" w:lineRule="auto"/>
        <w:jc w:val="center"/>
        <w:rPr>
          <w:rFonts w:ascii="宋体" w:hAnsi="宋体"/>
          <w:b/>
          <w:bCs/>
          <w:color w:val="000000"/>
          <w:kern w:val="44"/>
          <w:sz w:val="24"/>
          <w:szCs w:val="24"/>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olor w:val="000000"/>
          <w:sz w:val="24"/>
          <w:szCs w:val="24"/>
        </w:rPr>
      </w:pPr>
      <w:r>
        <w:rPr>
          <w:rFonts w:hint="eastAsia" w:ascii="宋体" w:hAnsi="宋体" w:cs="宋体"/>
          <w:sz w:val="24"/>
          <w:szCs w:val="24"/>
        </w:rPr>
        <w:t>（一）最低评标价法评标</w:t>
      </w:r>
      <w:r>
        <w:rPr>
          <w:rFonts w:ascii="宋体" w:hAnsi="宋体" w:cs="宋体"/>
          <w:sz w:val="24"/>
          <w:szCs w:val="24"/>
        </w:rPr>
        <w:t>,</w:t>
      </w:r>
      <w:r>
        <w:rPr>
          <w:rFonts w:hint="eastAsia" w:ascii="宋体" w:hAnsi="宋体" w:cs="宋体"/>
          <w:sz w:val="24"/>
          <w:szCs w:val="24"/>
        </w:rPr>
        <w:t>即</w:t>
      </w:r>
      <w:r>
        <w:rPr>
          <w:rFonts w:hint="eastAsia" w:ascii="宋体" w:hAnsi="宋体" w:cs="宋体"/>
          <w:color w:val="000000"/>
          <w:sz w:val="24"/>
          <w:szCs w:val="24"/>
        </w:rPr>
        <w:t>在</w:t>
      </w:r>
      <w:r>
        <w:rPr>
          <w:rFonts w:hint="eastAsia" w:ascii="宋体" w:hAnsi="宋体" w:cs="宋体"/>
          <w:color w:val="000000"/>
          <w:kern w:val="0"/>
          <w:sz w:val="24"/>
          <w:szCs w:val="24"/>
        </w:rPr>
        <w:t>投标文件满足招标文件全部实质性要求且投标报价最低的投标人为中标人的评标方法。</w:t>
      </w:r>
      <w:r>
        <w:rPr>
          <w:rFonts w:ascii="宋体" w:hAnsi="宋体" w:cs="宋体"/>
          <w:color w:val="000000"/>
          <w:sz w:val="24"/>
          <w:szCs w:val="24"/>
        </w:rPr>
        <w:t xml:space="preserve"> </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详见下附初审表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numPr>
          <w:ilvl w:val="0"/>
          <w:numId w:val="2"/>
        </w:numPr>
        <w:spacing w:line="360" w:lineRule="auto"/>
        <w:ind w:firstLine="482" w:firstLineChars="201"/>
        <w:rPr>
          <w:rFonts w:ascii="宋体" w:hAnsi="宋体"/>
          <w:kern w:val="0"/>
          <w:sz w:val="24"/>
          <w:szCs w:val="24"/>
        </w:rPr>
      </w:pPr>
      <w:r>
        <w:rPr>
          <w:rFonts w:hint="eastAsia" w:ascii="宋体" w:hAnsi="宋体"/>
          <w:kern w:val="0"/>
          <w:sz w:val="24"/>
          <w:szCs w:val="24"/>
        </w:rPr>
        <w:t>技术参数比较。评审内容主要为投标货物的品牌、型号及主要技术参数满足程度和一般技术参数偏离程度等。</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根据投标企业提供的技术资料，由评标委员会逐项分别进行比较和评审。评审原则如下：</w:t>
      </w:r>
      <w:r>
        <w:rPr>
          <w:rFonts w:hint="eastAsia" w:ascii="宋体" w:hAnsi="宋体"/>
          <w:b/>
          <w:bCs/>
          <w:sz w:val="24"/>
          <w:szCs w:val="24"/>
        </w:rPr>
        <w:t>标“*”参数</w:t>
      </w:r>
      <w:r>
        <w:rPr>
          <w:rFonts w:hint="eastAsia" w:ascii="宋体" w:hAnsi="宋体"/>
          <w:b/>
          <w:bCs/>
          <w:kern w:val="0"/>
          <w:sz w:val="24"/>
          <w:szCs w:val="24"/>
        </w:rPr>
        <w:t>凡有</w:t>
      </w:r>
      <w:r>
        <w:rPr>
          <w:rFonts w:hint="eastAsia" w:ascii="宋体" w:hAnsi="宋体"/>
          <w:b/>
          <w:bCs/>
          <w:sz w:val="24"/>
          <w:szCs w:val="24"/>
        </w:rPr>
        <w:t>一项不满足的，属未实质性响应招标文件，按无效投标处理；一般技术参数偏离不能作为对投标人的否决依据，但不能有缺漏项，否则按无效投标处理。</w:t>
      </w:r>
    </w:p>
    <w:p>
      <w:pPr>
        <w:widowControl/>
        <w:numPr>
          <w:ilvl w:val="0"/>
          <w:numId w:val="2"/>
        </w:numPr>
        <w:spacing w:line="360" w:lineRule="auto"/>
        <w:ind w:firstLine="482" w:firstLineChars="201"/>
        <w:jc w:val="left"/>
        <w:rPr>
          <w:rFonts w:ascii="宋体" w:hAnsi="宋体"/>
          <w:sz w:val="24"/>
          <w:szCs w:val="24"/>
        </w:rPr>
      </w:pPr>
      <w:r>
        <w:rPr>
          <w:rFonts w:hint="eastAsia" w:ascii="宋体" w:hAnsi="宋体" w:cs="宋体"/>
          <w:color w:val="000000"/>
          <w:kern w:val="0"/>
          <w:sz w:val="24"/>
          <w:szCs w:val="24"/>
        </w:rPr>
        <w:t>价格比较。由评标委员会对</w:t>
      </w:r>
      <w:r>
        <w:rPr>
          <w:rFonts w:hint="eastAsia" w:ascii="宋体" w:hAnsi="宋体" w:cs="宋体"/>
          <w:kern w:val="0"/>
          <w:sz w:val="24"/>
          <w:szCs w:val="24"/>
        </w:rPr>
        <w:t>实质性响应的投标人的报价进行比较、排序。</w:t>
      </w:r>
      <w:r>
        <w:rPr>
          <w:rFonts w:hint="eastAsia" w:ascii="宋体" w:hAnsi="宋体" w:cs="宋体"/>
          <w:sz w:val="24"/>
          <w:szCs w:val="24"/>
        </w:rPr>
        <w:t>投标报价</w:t>
      </w:r>
      <w:r>
        <w:rPr>
          <w:rFonts w:hint="eastAsia" w:ascii="宋体" w:hAnsi="宋体"/>
          <w:sz w:val="24"/>
          <w:szCs w:val="24"/>
        </w:rPr>
        <w:t>相同的，按技术指标、售后服务条款、业绩的优劣顺序排列。</w:t>
      </w:r>
    </w:p>
    <w:p>
      <w:pPr>
        <w:spacing w:line="360" w:lineRule="auto"/>
        <w:ind w:firstLine="480" w:firstLineChars="200"/>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4. 投标文件满足招标文件全部实质性要求，且进行政府采购政策落实的价格扣除后，对投标报价进行由低到高排序，确定价格最低的投标人为中标人。</w:t>
      </w:r>
    </w:p>
    <w:p>
      <w:pPr>
        <w:spacing w:line="360" w:lineRule="auto"/>
        <w:ind w:firstLine="570"/>
        <w:rPr>
          <w:rFonts w:ascii="宋体" w:hAnsi="宋体" w:cs="宋体"/>
          <w:b/>
          <w:sz w:val="24"/>
          <w:szCs w:val="24"/>
        </w:rPr>
      </w:pPr>
      <w:r>
        <w:rPr>
          <w:rFonts w:hint="eastAsia" w:ascii="宋体" w:hAnsi="宋体" w:cs="宋体"/>
          <w:b/>
          <w:sz w:val="24"/>
          <w:szCs w:val="24"/>
        </w:rPr>
        <w:t>注：</w:t>
      </w:r>
    </w:p>
    <w:p>
      <w:pPr>
        <w:spacing w:line="360" w:lineRule="auto"/>
        <w:ind w:firstLine="570"/>
        <w:rPr>
          <w:rFonts w:ascii="宋体" w:hAnsi="宋体" w:cs="宋体"/>
          <w:sz w:val="24"/>
          <w:szCs w:val="24"/>
        </w:rPr>
      </w:pPr>
      <w:r>
        <w:rPr>
          <w:rFonts w:hint="eastAsia" w:ascii="宋体" w:hAnsi="宋体" w:cs="宋体"/>
          <w:sz w:val="24"/>
          <w:szCs w:val="24"/>
        </w:rPr>
        <w:t>1.提供核心产品为相同品牌的不同投标人参加同一合同项下投标的，以其中通过资格审查、符合性审查且报价最低的参加评标，其余按无效投标处理；投标报价相同的，按技术指标、售后服务条款、业绩的优劣顺序排列确定进入评审的投标人，其余按无效投标处理。</w:t>
      </w:r>
    </w:p>
    <w:p>
      <w:pPr>
        <w:spacing w:line="360" w:lineRule="auto"/>
        <w:ind w:firstLine="57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widowControl/>
        <w:spacing w:line="360" w:lineRule="auto"/>
        <w:ind w:firstLine="600" w:firstLineChars="250"/>
        <w:jc w:val="left"/>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rPr>
          <w:jc w:val="center"/>
        </w:trPr>
        <w:tc>
          <w:tcPr>
            <w:tcW w:w="602" w:type="dxa"/>
            <w:vAlign w:val="center"/>
          </w:tcPr>
          <w:p>
            <w:pPr>
              <w:snapToGrid w:val="0"/>
              <w:spacing w:before="0" w:beforeAutospacing="0" w:after="0" w:afterAutospacing="0"/>
              <w:ind w:left="0" w:right="0"/>
              <w:jc w:val="center"/>
              <w:rPr>
                <w:rFonts w:hint="default" w:ascii="宋体" w:hAnsi="宋体" w:cs="Calibri"/>
                <w:sz w:val="18"/>
                <w:szCs w:val="18"/>
              </w:rPr>
            </w:pPr>
            <w:r>
              <w:rPr>
                <w:rFonts w:hint="eastAsia" w:ascii="宋体" w:hAnsi="宋体" w:cs="Calibri"/>
                <w:sz w:val="18"/>
                <w:szCs w:val="18"/>
              </w:rPr>
              <w:t>序号</w:t>
            </w:r>
          </w:p>
        </w:tc>
        <w:tc>
          <w:tcPr>
            <w:tcW w:w="3828"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情形</w:t>
            </w:r>
          </w:p>
        </w:tc>
        <w:tc>
          <w:tcPr>
            <w:tcW w:w="2409"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价格扣除比例</w:t>
            </w:r>
          </w:p>
        </w:tc>
        <w:tc>
          <w:tcPr>
            <w:tcW w:w="2643"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计算公式</w:t>
            </w:r>
          </w:p>
        </w:tc>
      </w:tr>
      <w:tr>
        <w:trPr>
          <w:trHeight w:val="579" w:hRule="atLeast"/>
          <w:jc w:val="center"/>
        </w:trPr>
        <w:tc>
          <w:tcPr>
            <w:tcW w:w="602"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1</w:t>
            </w:r>
          </w:p>
        </w:tc>
        <w:tc>
          <w:tcPr>
            <w:tcW w:w="3828"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非联合体投标人</w:t>
            </w:r>
          </w:p>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（小型、微型企业）</w:t>
            </w:r>
          </w:p>
        </w:tc>
        <w:tc>
          <w:tcPr>
            <w:tcW w:w="2409"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6%</w:t>
            </w:r>
          </w:p>
        </w:tc>
        <w:tc>
          <w:tcPr>
            <w:tcW w:w="2643" w:type="dxa"/>
            <w:vMerge w:val="restart"/>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评标价＝投标总报价×（1-6%）</w:t>
            </w:r>
          </w:p>
        </w:tc>
      </w:tr>
      <w:tr>
        <w:trPr>
          <w:trHeight w:val="575" w:hRule="atLeast"/>
          <w:jc w:val="center"/>
        </w:trPr>
        <w:tc>
          <w:tcPr>
            <w:tcW w:w="602"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2</w:t>
            </w:r>
          </w:p>
        </w:tc>
        <w:tc>
          <w:tcPr>
            <w:tcW w:w="3828"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联合体各方均为小型、微型企业</w:t>
            </w:r>
          </w:p>
        </w:tc>
        <w:tc>
          <w:tcPr>
            <w:tcW w:w="2409"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6%（不再享受本表序号3的价格扣除）</w:t>
            </w:r>
          </w:p>
        </w:tc>
        <w:tc>
          <w:tcPr>
            <w:tcW w:w="2643" w:type="dxa"/>
            <w:vMerge w:val="continue"/>
            <w:vAlign w:val="top"/>
          </w:tcPr>
          <w:p>
            <w:pPr>
              <w:snapToGrid w:val="0"/>
              <w:spacing w:before="0" w:beforeAutospacing="0" w:after="0" w:afterAutospacing="0"/>
              <w:ind w:left="0" w:right="0"/>
              <w:jc w:val="center"/>
              <w:rPr>
                <w:rFonts w:hint="default" w:ascii="宋体" w:hAnsi="宋体" w:cs="Calibri"/>
                <w:sz w:val="24"/>
                <w:szCs w:val="24"/>
              </w:rPr>
            </w:pPr>
          </w:p>
        </w:tc>
      </w:tr>
      <w:tr>
        <w:trPr>
          <w:trHeight w:val="707" w:hRule="atLeast"/>
          <w:jc w:val="center"/>
        </w:trPr>
        <w:tc>
          <w:tcPr>
            <w:tcW w:w="602"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3</w:t>
            </w:r>
          </w:p>
        </w:tc>
        <w:tc>
          <w:tcPr>
            <w:tcW w:w="3828"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联合体一方为小型、微型企业且小型、微型企业协议合同金额占联合体协议合同总金额30%以上的</w:t>
            </w:r>
          </w:p>
        </w:tc>
        <w:tc>
          <w:tcPr>
            <w:tcW w:w="2409"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对联合体总金额扣除2%</w:t>
            </w:r>
          </w:p>
        </w:tc>
        <w:tc>
          <w:tcPr>
            <w:tcW w:w="2643" w:type="dxa"/>
            <w:vAlign w:val="center"/>
          </w:tcPr>
          <w:p>
            <w:pPr>
              <w:snapToGrid w:val="0"/>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评标价＝投标总报价×(1-2%)</w:t>
            </w:r>
          </w:p>
        </w:tc>
      </w:tr>
      <w:tr>
        <w:trPr>
          <w:trHeight w:val="707" w:hRule="atLeast"/>
          <w:jc w:val="center"/>
        </w:trPr>
        <w:tc>
          <w:tcPr>
            <w:tcW w:w="9482" w:type="dxa"/>
            <w:gridSpan w:val="4"/>
            <w:vAlign w:val="center"/>
          </w:tcPr>
          <w:p>
            <w:pPr>
              <w:snapToGrid w:val="0"/>
              <w:spacing w:before="0" w:beforeAutospacing="0" w:after="0" w:afterAutospacing="0"/>
              <w:ind w:left="0" w:right="0"/>
              <w:rPr>
                <w:rFonts w:hint="default" w:ascii="宋体" w:hAnsi="宋体" w:cs="Calibri"/>
                <w:b/>
                <w:sz w:val="21"/>
                <w:szCs w:val="21"/>
              </w:rPr>
            </w:pPr>
            <w:r>
              <w:rPr>
                <w:rFonts w:hint="eastAsia" w:ascii="宋体" w:hAnsi="宋体" w:cs="Calibri"/>
                <w:sz w:val="21"/>
                <w:szCs w:val="21"/>
              </w:rPr>
              <w:t>注：</w:t>
            </w:r>
            <w:r>
              <w:rPr>
                <w:rFonts w:hint="eastAsia" w:ascii="宋体" w:hAnsi="宋体" w:cs="Calibri"/>
                <w:b/>
                <w:sz w:val="21"/>
                <w:szCs w:val="21"/>
              </w:rPr>
              <w:t>（1）上述评标价仅用于计算价格评分，中标金额以实际投标价为准。</w:t>
            </w:r>
          </w:p>
          <w:p>
            <w:pPr>
              <w:widowControl/>
              <w:spacing w:before="0" w:beforeAutospacing="0" w:after="0" w:afterAutospacing="0"/>
              <w:ind w:left="0" w:right="0" w:firstLine="316" w:firstLineChars="150"/>
              <w:jc w:val="left"/>
              <w:rPr>
                <w:rFonts w:hint="default" w:ascii="宋体" w:hAnsi="宋体" w:cs="Calibri"/>
                <w:b/>
                <w:sz w:val="21"/>
                <w:szCs w:val="21"/>
              </w:rPr>
            </w:pPr>
            <w:r>
              <w:rPr>
                <w:rFonts w:hint="eastAsia" w:ascii="宋体" w:hAnsi="宋体" w:cs="Calibri"/>
                <w:b/>
                <w:sz w:val="21"/>
                <w:szCs w:val="21"/>
              </w:rPr>
              <w:t>（2）小型、微型企业是指投标人及其所投核心产品的制造商均为小型、微型企业。（如实填写后附《政府采购政策情况表》）</w:t>
            </w:r>
          </w:p>
          <w:p>
            <w:pPr>
              <w:widowControl/>
              <w:spacing w:before="0" w:beforeAutospacing="0" w:after="0" w:afterAutospacing="0"/>
              <w:ind w:left="0" w:right="0" w:firstLine="316" w:firstLineChars="150"/>
              <w:jc w:val="left"/>
              <w:rPr>
                <w:rFonts w:hint="default" w:ascii="宋体" w:hAnsi="宋体" w:cs="Calibri"/>
                <w:sz w:val="24"/>
                <w:szCs w:val="24"/>
              </w:rPr>
            </w:pPr>
            <w:r>
              <w:rPr>
                <w:rFonts w:hint="eastAsia" w:ascii="宋体" w:hAnsi="宋体" w:cs="Calibri"/>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37" w:name="OLE_LINK1"/>
      <w:bookmarkStart w:id="38" w:name="OLE_LINK9"/>
      <w:r>
        <w:rPr>
          <w:rFonts w:hint="eastAsia" w:ascii="宋体" w:hAnsi="宋体"/>
          <w:sz w:val="24"/>
          <w:szCs w:val="24"/>
        </w:rPr>
        <w:t>本项所称货物不包括使用大型企业注册商标的货物。</w:t>
      </w:r>
      <w:bookmarkEnd w:id="37"/>
      <w:bookmarkEnd w:id="38"/>
      <w:r>
        <w:rPr>
          <w:rFonts w:hint="eastAsia" w:ascii="宋体" w:hAnsi="宋体"/>
          <w:sz w:val="24"/>
          <w:szCs w:val="24"/>
        </w:rPr>
        <w:t>小型、微型企业提供中型企业制造的货物的，视同为中型企业。</w:t>
      </w:r>
    </w:p>
    <w:p>
      <w:pPr>
        <w:widowControl/>
        <w:wordWrap/>
        <w:adjustRightInd/>
        <w:snapToGrid/>
        <w:spacing w:line="360" w:lineRule="auto"/>
        <w:ind w:left="0" w:leftChars="0" w:firstLine="559" w:firstLineChars="233"/>
        <w:jc w:val="left"/>
        <w:textAlignment w:val="auto"/>
        <w:outlineLvl w:val="9"/>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39" w:name="OLE_LINK13"/>
      <w:bookmarkStart w:id="40" w:name="OLE_LINK14"/>
      <w:r>
        <w:rPr>
          <w:rFonts w:hint="eastAsia" w:ascii="宋体" w:hAnsi="宋体"/>
          <w:sz w:val="24"/>
          <w:szCs w:val="24"/>
        </w:rPr>
        <w:t>《残疾人福利性单位声明函》</w:t>
      </w:r>
      <w:bookmarkEnd w:id="39"/>
      <w:bookmarkEnd w:id="40"/>
      <w:r>
        <w:rPr>
          <w:rFonts w:hint="eastAsia" w:ascii="宋体" w:hAnsi="宋体"/>
          <w:sz w:val="24"/>
          <w:szCs w:val="24"/>
        </w:rPr>
        <w:t>为判定标准，否则不认定价格扣除。</w:t>
      </w:r>
    </w:p>
    <w:p>
      <w:pPr>
        <w:widowControl/>
        <w:wordWrap/>
        <w:adjustRightInd/>
        <w:snapToGrid/>
        <w:spacing w:line="360" w:lineRule="auto"/>
        <w:ind w:firstLine="600" w:firstLineChars="250"/>
        <w:jc w:val="left"/>
        <w:textAlignment w:val="auto"/>
        <w:outlineLvl w:val="9"/>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wordWrap/>
        <w:adjustRightInd/>
        <w:snapToGrid/>
        <w:spacing w:line="360" w:lineRule="auto"/>
        <w:ind w:left="0" w:leftChars="0" w:firstLine="559" w:firstLineChars="233"/>
        <w:jc w:val="left"/>
        <w:textAlignment w:val="auto"/>
        <w:outlineLvl w:val="9"/>
        <w:rPr>
          <w:rFonts w:hint="eastAsia" w:ascii="宋体" w:hAnsi="宋体"/>
          <w:sz w:val="24"/>
          <w:szCs w:val="24"/>
        </w:rPr>
      </w:pPr>
      <w:r>
        <w:rPr>
          <w:rFonts w:hint="eastAsia" w:ascii="宋体" w:hAnsi="宋体"/>
          <w:sz w:val="24"/>
          <w:szCs w:val="24"/>
          <w:lang w:val="en-US" w:eastAsia="zh-CN"/>
        </w:rPr>
        <w:t>（4）投标人通过“国家企业信用信息公示系（http://www.gsxt.gov.cn/index.html），点击“小微企业名录”（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sz w:val="24"/>
          <w:szCs w:val="24"/>
          <w:lang w:val="en-US" w:eastAsia="zh-CN"/>
        </w:rPr>
        <w:br/>
      </w:r>
      <w:r>
        <w:rPr>
          <w:rFonts w:hint="eastAsia" w:ascii="宋体" w:hAnsi="宋体"/>
          <w:sz w:val="24"/>
          <w:szCs w:val="24"/>
          <w:lang w:val="en-US" w:eastAsia="zh-CN"/>
        </w:rPr>
        <w:t xml:space="preserve">    （5）提供声明函不实或在政府采购活动中有违法违规行为的，取消其中标资格，并严格按照相关法律法规处理。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初审表：</w:t>
      </w:r>
    </w:p>
    <w:tbl>
      <w:tblPr>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rPr>
          <w:cantSplit/>
          <w:trHeight w:val="555" w:hRule="atLeast"/>
          <w:jc w:val="center"/>
        </w:trPr>
        <w:tc>
          <w:tcPr>
            <w:tcW w:w="427" w:type="dxa"/>
            <w:vMerge w:val="restart"/>
            <w:tcBorders>
              <w:left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1"/>
                <w:szCs w:val="21"/>
              </w:rPr>
            </w:pPr>
            <w:r>
              <w:rPr>
                <w:rFonts w:hint="eastAsia" w:ascii="宋体" w:hAnsi="宋体" w:cs="Calibri"/>
                <w:sz w:val="21"/>
                <w:szCs w:val="21"/>
              </w:rPr>
              <w:t>资格性审查</w:t>
            </w:r>
          </w:p>
          <w:p>
            <w:pPr>
              <w:spacing w:before="0" w:beforeAutospacing="0" w:after="0" w:afterAutospacing="0"/>
              <w:ind w:left="0" w:right="0"/>
              <w:jc w:val="left"/>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审查有效的营业执照或事业单位法人证书或执业许可证或自然人的身份证明。</w:t>
            </w:r>
          </w:p>
        </w:tc>
      </w:tr>
      <w:tr>
        <w:trPr>
          <w:cantSplit/>
          <w:trHeight w:val="1032" w:hRule="atLeast"/>
          <w:jc w:val="center"/>
        </w:trPr>
        <w:tc>
          <w:tcPr>
            <w:tcW w:w="427" w:type="dxa"/>
            <w:vMerge w:val="continue"/>
            <w:tcBorders>
              <w:left w:val="single" w:color="auto" w:sz="4" w:space="0"/>
              <w:right w:val="single" w:color="auto" w:sz="4" w:space="0"/>
            </w:tcBorders>
            <w:vAlign w:val="center"/>
          </w:tcPr>
          <w:p>
            <w:pPr>
              <w:widowControl/>
              <w:spacing w:before="0" w:beforeAutospacing="0" w:after="0" w:afterAutospacing="0"/>
              <w:ind w:left="0" w:right="0"/>
              <w:jc w:val="left"/>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1.投标人是法人的审查会计师事务所出具的上一年度财务审计报告或基本开户银行近一年内出具的资信证明。</w:t>
            </w:r>
          </w:p>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2.投标人是部分其他组织或自然人的，审查银行近一年内出具的资信证明。</w:t>
            </w:r>
          </w:p>
        </w:tc>
      </w:tr>
      <w:tr>
        <w:trPr>
          <w:cantSplit/>
          <w:trHeight w:val="1133" w:hRule="atLeast"/>
          <w:jc w:val="center"/>
        </w:trPr>
        <w:tc>
          <w:tcPr>
            <w:tcW w:w="427" w:type="dxa"/>
            <w:vMerge w:val="continue"/>
            <w:tcBorders>
              <w:left w:val="single" w:color="auto" w:sz="4" w:space="0"/>
              <w:right w:val="single" w:color="auto" w:sz="4" w:space="0"/>
            </w:tcBorders>
            <w:vAlign w:val="center"/>
          </w:tcPr>
          <w:p>
            <w:pPr>
              <w:widowControl/>
              <w:spacing w:before="0" w:beforeAutospacing="0" w:after="0" w:afterAutospacing="0"/>
              <w:ind w:left="0" w:right="0"/>
              <w:jc w:val="left"/>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spacing w:before="0" w:beforeAutospacing="0" w:after="0" w:afterAutospacing="0"/>
              <w:ind w:left="0" w:right="0"/>
              <w:jc w:val="left"/>
              <w:rPr>
                <w:rFonts w:hint="default" w:ascii="宋体" w:hAnsi="宋体" w:cs="Calibri"/>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rPr>
          <w:cantSplit/>
          <w:trHeight w:val="437" w:hRule="atLeast"/>
          <w:jc w:val="center"/>
        </w:trPr>
        <w:tc>
          <w:tcPr>
            <w:tcW w:w="427" w:type="dxa"/>
            <w:vMerge w:val="continue"/>
            <w:tcBorders>
              <w:left w:val="single" w:color="auto" w:sz="4" w:space="0"/>
              <w:right w:val="single" w:color="auto" w:sz="4" w:space="0"/>
            </w:tcBorders>
            <w:vAlign w:val="center"/>
          </w:tcPr>
          <w:p>
            <w:pPr>
              <w:widowControl/>
              <w:spacing w:before="0" w:beforeAutospacing="0" w:after="0" w:afterAutospacing="0"/>
              <w:ind w:left="0" w:right="0"/>
              <w:jc w:val="left"/>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经营范围符合采购需求</w:t>
            </w:r>
          </w:p>
        </w:tc>
      </w:tr>
      <w:tr>
        <w:trPr>
          <w:cantSplit/>
          <w:trHeight w:val="942" w:hRule="atLeast"/>
          <w:jc w:val="center"/>
        </w:trPr>
        <w:tc>
          <w:tcPr>
            <w:tcW w:w="427" w:type="dxa"/>
            <w:vMerge w:val="continue"/>
            <w:tcBorders>
              <w:left w:val="single" w:color="auto" w:sz="4" w:space="0"/>
              <w:right w:val="single" w:color="auto" w:sz="4" w:space="0"/>
            </w:tcBorders>
            <w:vAlign w:val="center"/>
          </w:tcPr>
          <w:p>
            <w:pPr>
              <w:widowControl/>
              <w:spacing w:before="0" w:beforeAutospacing="0" w:after="0" w:afterAutospacing="0"/>
              <w:ind w:left="0" w:right="0"/>
              <w:jc w:val="left"/>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1.审查“参加本采购活动前3年内”投标人书面声明函；</w:t>
            </w:r>
          </w:p>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rPr>
          <w:cantSplit/>
          <w:trHeight w:val="176" w:hRule="atLeast"/>
          <w:jc w:val="center"/>
        </w:trPr>
        <w:tc>
          <w:tcPr>
            <w:tcW w:w="427" w:type="dxa"/>
            <w:vMerge w:val="continue"/>
            <w:tcBorders>
              <w:left w:val="single" w:color="auto" w:sz="4" w:space="0"/>
              <w:right w:val="single" w:color="auto" w:sz="4" w:space="0"/>
            </w:tcBorders>
            <w:vAlign w:val="center"/>
          </w:tcPr>
          <w:p>
            <w:pPr>
              <w:widowControl/>
              <w:spacing w:before="0" w:beforeAutospacing="0" w:after="0" w:afterAutospacing="0"/>
              <w:ind w:left="0" w:right="0"/>
              <w:jc w:val="left"/>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其他资质要求</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投标人必须具有</w:t>
            </w:r>
            <w:r>
              <w:rPr>
                <w:rFonts w:hint="eastAsia" w:ascii="宋体" w:hAnsi="宋体" w:cs="Calibri"/>
                <w:sz w:val="24"/>
                <w:szCs w:val="24"/>
                <w:lang w:eastAsia="zh-CN"/>
              </w:rPr>
              <w:t>“</w:t>
            </w:r>
            <w:r>
              <w:rPr>
                <w:rFonts w:hint="eastAsia" w:ascii="宋体" w:hAnsi="宋体" w:cs="Calibri"/>
                <w:sz w:val="24"/>
                <w:szCs w:val="24"/>
              </w:rPr>
              <w:t>电子与智能化工程专业承包贰级</w:t>
            </w:r>
            <w:r>
              <w:rPr>
                <w:rFonts w:hint="eastAsia" w:ascii="宋体" w:hAnsi="宋体" w:cs="Calibri"/>
                <w:sz w:val="24"/>
                <w:szCs w:val="24"/>
                <w:lang w:eastAsia="zh-CN"/>
              </w:rPr>
              <w:t>及</w:t>
            </w:r>
            <w:r>
              <w:rPr>
                <w:rFonts w:hint="eastAsia" w:ascii="宋体" w:hAnsi="宋体" w:cs="Calibri"/>
                <w:sz w:val="24"/>
                <w:szCs w:val="24"/>
              </w:rPr>
              <w:t>以上（</w:t>
            </w:r>
            <w:r>
              <w:rPr>
                <w:rFonts w:hint="eastAsia" w:ascii="宋体" w:hAnsi="宋体" w:cs="Calibri"/>
                <w:sz w:val="24"/>
                <w:szCs w:val="24"/>
                <w:lang w:eastAsia="zh-CN"/>
              </w:rPr>
              <w:t>含</w:t>
            </w:r>
            <w:r>
              <w:rPr>
                <w:rFonts w:hint="eastAsia" w:ascii="宋体" w:hAnsi="宋体" w:cs="Calibri"/>
                <w:sz w:val="24"/>
                <w:szCs w:val="24"/>
              </w:rPr>
              <w:t>贰级）证书</w:t>
            </w:r>
            <w:r>
              <w:rPr>
                <w:rFonts w:hint="eastAsia" w:ascii="宋体" w:hAnsi="宋体" w:cs="Calibri"/>
                <w:sz w:val="24"/>
                <w:szCs w:val="24"/>
                <w:lang w:eastAsia="zh-CN"/>
              </w:rPr>
              <w:t>”</w:t>
            </w:r>
            <w:r>
              <w:rPr>
                <w:rFonts w:hint="eastAsia" w:ascii="宋体" w:hAnsi="宋体" w:cs="Calibri"/>
                <w:sz w:val="24"/>
                <w:szCs w:val="24"/>
              </w:rPr>
              <w:t>。</w:t>
            </w:r>
          </w:p>
          <w:p>
            <w:pPr>
              <w:spacing w:before="0" w:beforeAutospacing="0" w:after="0" w:afterAutospacing="0"/>
              <w:ind w:left="0" w:right="0"/>
              <w:jc w:val="left"/>
              <w:rPr>
                <w:rFonts w:hint="default" w:ascii="宋体" w:hAnsi="宋体" w:cs="Calibri"/>
                <w:sz w:val="24"/>
                <w:szCs w:val="24"/>
              </w:rPr>
            </w:pPr>
          </w:p>
        </w:tc>
      </w:tr>
      <w:tr>
        <w:trPr>
          <w:cantSplit/>
          <w:trHeight w:val="565" w:hRule="atLeast"/>
          <w:jc w:val="center"/>
        </w:trPr>
        <w:tc>
          <w:tcPr>
            <w:tcW w:w="427" w:type="dxa"/>
            <w:vMerge w:val="restart"/>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r>
              <w:rPr>
                <w:rFonts w:hint="eastAsia" w:ascii="宋体" w:hAnsi="宋体" w:cs="Calibri"/>
                <w:sz w:val="21"/>
                <w:szCs w:val="21"/>
              </w:rPr>
              <w:t>符合性审查</w:t>
            </w:r>
          </w:p>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按要求进行网上报名、进行保证金缴纳。（审查汇款凭证）</w:t>
            </w:r>
          </w:p>
        </w:tc>
      </w:tr>
      <w:tr>
        <w:trPr>
          <w:cantSplit/>
          <w:trHeight w:val="565"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符合招标文件要求。（格式、填写要求、签署、盖章、委托人身份等）</w:t>
            </w:r>
          </w:p>
        </w:tc>
      </w:tr>
      <w:tr>
        <w:trPr>
          <w:cantSplit/>
          <w:trHeight w:val="283"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符合招标文件要求。（格式、填写要求、签署、盖章等）</w:t>
            </w:r>
          </w:p>
        </w:tc>
      </w:tr>
      <w:tr>
        <w:trPr>
          <w:cantSplit/>
          <w:trHeight w:val="565"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投标文件的编制、密封、装订、签署、盖章、涂改、删除、插字、公章使用等符合招标文件要求；投标文件的格式、文字、目录、页码等符合招标文件要求或对投标无实质性影响。</w:t>
            </w:r>
          </w:p>
        </w:tc>
      </w:tr>
      <w:tr>
        <w:trPr>
          <w:cantSplit/>
          <w:trHeight w:val="365"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满足招标文件要求。</w:t>
            </w:r>
          </w:p>
        </w:tc>
      </w:tr>
      <w:tr>
        <w:trPr>
          <w:cantSplit/>
          <w:trHeight w:val="429"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满足招标文件关于交付使用时间、质保期、付款方式要求。</w:t>
            </w:r>
          </w:p>
        </w:tc>
      </w:tr>
      <w:tr>
        <w:trPr>
          <w:cantSplit/>
          <w:trHeight w:val="303"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投标文件中不含采购人不能接受的附加条件。</w:t>
            </w:r>
          </w:p>
        </w:tc>
      </w:tr>
      <w:tr>
        <w:trPr>
          <w:cantSplit/>
          <w:trHeight w:val="567"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本项目不接受联合体投标。（如要求联合体投标，符合本招标文件对联合体投标的相关要求）</w:t>
            </w:r>
          </w:p>
        </w:tc>
      </w:tr>
      <w:tr>
        <w:trPr>
          <w:cantSplit/>
          <w:trHeight w:val="339"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vMerge w:val="restart"/>
            <w:tcBorders>
              <w:top w:val="single" w:color="auto" w:sz="4" w:space="0"/>
              <w:left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明确所投全部货物的产品品牌、型号；</w:t>
            </w:r>
          </w:p>
        </w:tc>
      </w:tr>
      <w:tr>
        <w:trPr>
          <w:cantSplit/>
          <w:trHeight w:val="415"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vMerge w:val="continue"/>
            <w:tcBorders>
              <w:left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p>
        </w:tc>
        <w:tc>
          <w:tcPr>
            <w:tcW w:w="6775" w:type="dxa"/>
            <w:tcBorders>
              <w:top w:val="single" w:color="auto" w:sz="4" w:space="0"/>
              <w:left w:val="single" w:color="auto" w:sz="4" w:space="0"/>
              <w:right w:val="single" w:color="auto" w:sz="4" w:space="0"/>
            </w:tcBorders>
            <w:vAlign w:val="center"/>
          </w:tcPr>
          <w:p>
            <w:pPr>
              <w:snapToGrid w:val="0"/>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主要技术参数指标（加“*”项）完全满足或优于招标文件要求。</w:t>
            </w:r>
          </w:p>
        </w:tc>
      </w:tr>
      <w:tr>
        <w:trPr>
          <w:cantSplit/>
          <w:trHeight w:val="217"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vMerge w:val="continue"/>
            <w:tcBorders>
              <w:left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p>
        </w:tc>
        <w:tc>
          <w:tcPr>
            <w:tcW w:w="6775" w:type="dxa"/>
            <w:tcBorders>
              <w:top w:val="single" w:color="auto" w:sz="4" w:space="0"/>
              <w:left w:val="single" w:color="auto" w:sz="4" w:space="0"/>
              <w:right w:val="single" w:color="auto" w:sz="4" w:space="0"/>
            </w:tcBorders>
            <w:vAlign w:val="center"/>
          </w:tcPr>
          <w:p>
            <w:pPr>
              <w:snapToGrid w:val="0"/>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所有投标产品的技术参数和性能指标逐一列出并提供相应的证明材料且标明页码。对招标原文件原文复制或只注明“符合”、“满足”等无具体证明材料，将视为不符合招标文件要标。</w:t>
            </w:r>
          </w:p>
        </w:tc>
      </w:tr>
      <w:tr>
        <w:trPr>
          <w:cantSplit/>
          <w:trHeight w:val="471"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只能有一个有效报价且不超过采购预算。</w:t>
            </w:r>
          </w:p>
        </w:tc>
      </w:tr>
      <w:tr>
        <w:trPr>
          <w:cantSplit/>
          <w:trHeight w:val="781" w:hRule="atLeast"/>
          <w:jc w:val="center"/>
        </w:trPr>
        <w:tc>
          <w:tcPr>
            <w:tcW w:w="427" w:type="dxa"/>
            <w:vMerge w:val="continue"/>
            <w:tcBorders>
              <w:left w:val="single" w:color="auto" w:sz="4" w:space="0"/>
              <w:right w:val="single" w:color="auto" w:sz="4" w:space="0"/>
            </w:tcBorders>
            <w:vAlign w:val="center"/>
          </w:tcPr>
          <w:p>
            <w:pPr>
              <w:spacing w:before="0" w:beforeAutospacing="0" w:after="0" w:afterAutospacing="0"/>
              <w:ind w:left="0" w:right="0"/>
              <w:rPr>
                <w:rFonts w:hint="default" w:ascii="宋体" w:hAnsi="宋体" w:cs="Calibri"/>
                <w:sz w:val="21"/>
                <w:szCs w:val="21"/>
              </w:rPr>
            </w:pPr>
          </w:p>
        </w:tc>
        <w:tc>
          <w:tcPr>
            <w:tcW w:w="3110" w:type="dxa"/>
            <w:tcBorders>
              <w:top w:val="single" w:color="auto" w:sz="4" w:space="0"/>
              <w:left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其他要求</w:t>
            </w:r>
          </w:p>
        </w:tc>
        <w:tc>
          <w:tcPr>
            <w:tcW w:w="6775" w:type="dxa"/>
            <w:tcBorders>
              <w:top w:val="single" w:color="auto" w:sz="4" w:space="0"/>
              <w:left w:val="single" w:color="auto" w:sz="4" w:space="0"/>
              <w:right w:val="single" w:color="auto" w:sz="4" w:space="0"/>
            </w:tcBorders>
            <w:vAlign w:val="center"/>
          </w:tcPr>
          <w:p>
            <w:pPr>
              <w:spacing w:before="0" w:beforeAutospacing="0" w:after="0" w:afterAutospacing="0"/>
              <w:ind w:left="0" w:right="0"/>
              <w:jc w:val="left"/>
              <w:rPr>
                <w:rFonts w:hint="default" w:ascii="宋体" w:hAnsi="宋体" w:cs="Calibri"/>
                <w:sz w:val="24"/>
                <w:szCs w:val="24"/>
              </w:rPr>
            </w:pPr>
            <w:r>
              <w:rPr>
                <w:rFonts w:hint="eastAsia" w:ascii="宋体" w:hAnsi="宋体" w:cs="Calibri"/>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olor w:val="000000"/>
          <w:sz w:val="24"/>
          <w:szCs w:val="24"/>
        </w:rPr>
      </w:pPr>
      <w:r>
        <w:rPr>
          <w:rFonts w:ascii="宋体" w:hAnsi="宋体"/>
          <w:color w:val="000000"/>
          <w:sz w:val="24"/>
          <w:szCs w:val="24"/>
        </w:rPr>
        <w:br w:type="page"/>
      </w:r>
    </w:p>
    <w:p>
      <w:pPr>
        <w:pStyle w:val="4"/>
        <w:spacing w:line="360" w:lineRule="auto"/>
        <w:rPr>
          <w:rFonts w:ascii="宋体" w:hAnsi="宋体"/>
          <w:color w:val="000000"/>
          <w:sz w:val="24"/>
          <w:szCs w:val="24"/>
        </w:rPr>
      </w:pPr>
      <w:bookmarkStart w:id="41" w:name="_Toc497408663"/>
      <w:r>
        <w:rPr>
          <w:rFonts w:hint="eastAsia" w:ascii="宋体" w:hAnsi="宋体"/>
          <w:color w:val="000000"/>
          <w:sz w:val="24"/>
          <w:szCs w:val="24"/>
        </w:rPr>
        <w:t>第七章 投标文件格式与要求</w:t>
      </w:r>
      <w:bookmarkEnd w:id="41"/>
    </w:p>
    <w:p>
      <w:pPr>
        <w:rPr>
          <w:sz w:val="24"/>
          <w:szCs w:val="24"/>
        </w:rPr>
      </w:pPr>
    </w:p>
    <w:p>
      <w:pPr>
        <w:ind w:firstLine="720" w:firstLineChars="300"/>
        <w:rPr>
          <w:sz w:val="24"/>
          <w:szCs w:val="24"/>
        </w:rPr>
      </w:pPr>
      <w:r>
        <w:rPr>
          <w:rFonts w:hint="eastAsia"/>
          <w:sz w:val="24"/>
          <w:szCs w:val="24"/>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42"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42"/>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24"/>
        <w:spacing w:line="360" w:lineRule="auto"/>
        <w:ind w:left="57" w:right="57" w:firstLine="57"/>
        <w:rPr>
          <w:rFonts w:hAnsi="宋体"/>
          <w:bCs/>
          <w:color w:val="000000"/>
          <w:sz w:val="24"/>
          <w:szCs w:val="24"/>
        </w:rPr>
      </w:pPr>
    </w:p>
    <w:p>
      <w:pPr>
        <w:pStyle w:val="24"/>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rPr>
          <w:trHeight w:val="589" w:hRule="atLeast"/>
        </w:trPr>
        <w:tc>
          <w:tcPr>
            <w:tcW w:w="3757" w:type="dxa"/>
            <w:vAlign w:val="center"/>
          </w:tcPr>
          <w:p>
            <w:pPr>
              <w:spacing w:before="0" w:beforeAutospacing="0" w:after="0" w:afterAutospacing="0" w:line="360" w:lineRule="auto"/>
              <w:ind w:left="0" w:right="0" w:firstLine="240" w:firstLineChars="100"/>
              <w:jc w:val="center"/>
              <w:rPr>
                <w:rFonts w:hint="default" w:ascii="宋体" w:hAnsi="宋体" w:cs="Calibri"/>
                <w:color w:val="000000"/>
                <w:sz w:val="24"/>
                <w:szCs w:val="24"/>
              </w:rPr>
            </w:pPr>
            <w:r>
              <w:rPr>
                <w:rFonts w:hint="eastAsia" w:ascii="宋体" w:hAnsi="宋体" w:cs="Calibri"/>
                <w:color w:val="000000"/>
                <w:sz w:val="24"/>
                <w:szCs w:val="24"/>
              </w:rPr>
              <w:t>投标总报价（元）</w:t>
            </w:r>
          </w:p>
        </w:tc>
        <w:tc>
          <w:tcPr>
            <w:tcW w:w="1997"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交付使用时间</w:t>
            </w:r>
          </w:p>
        </w:tc>
        <w:tc>
          <w:tcPr>
            <w:tcW w:w="1997"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售后服务网点</w:t>
            </w:r>
          </w:p>
        </w:tc>
        <w:tc>
          <w:tcPr>
            <w:tcW w:w="1877"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质保期（年）</w:t>
            </w:r>
          </w:p>
        </w:tc>
      </w:tr>
      <w:tr>
        <w:trPr>
          <w:trHeight w:val="940" w:hRule="atLeast"/>
        </w:trPr>
        <w:tc>
          <w:tcPr>
            <w:tcW w:w="3757" w:type="dxa"/>
            <w:vAlign w:val="center"/>
          </w:tcPr>
          <w:p>
            <w:pPr>
              <w:spacing w:before="0" w:beforeAutospacing="0" w:after="0" w:afterAutospacing="0" w:line="360" w:lineRule="auto"/>
              <w:ind w:left="0" w:right="0"/>
              <w:jc w:val="left"/>
              <w:rPr>
                <w:rFonts w:hint="default" w:ascii="宋体" w:hAnsi="宋体" w:cs="Calibri"/>
                <w:color w:val="000000"/>
                <w:sz w:val="24"/>
                <w:szCs w:val="24"/>
              </w:rPr>
            </w:pPr>
            <w:r>
              <w:rPr>
                <w:rFonts w:hint="eastAsia" w:ascii="宋体" w:hAnsi="宋体" w:cs="Calibri"/>
                <w:color w:val="000000"/>
                <w:sz w:val="24"/>
                <w:szCs w:val="24"/>
              </w:rPr>
              <w:t>大写：</w:t>
            </w:r>
          </w:p>
        </w:tc>
        <w:tc>
          <w:tcPr>
            <w:tcW w:w="1997" w:type="dxa"/>
            <w:vMerge w:val="restart"/>
            <w:vAlign w:val="center"/>
          </w:tcPr>
          <w:p>
            <w:pPr>
              <w:spacing w:before="0" w:beforeAutospacing="0" w:after="0" w:afterAutospacing="0" w:line="360" w:lineRule="auto"/>
              <w:ind w:left="57" w:right="57" w:firstLine="57"/>
              <w:jc w:val="center"/>
              <w:outlineLvl w:val="0"/>
              <w:rPr>
                <w:rFonts w:hint="default" w:ascii="宋体" w:hAnsi="宋体" w:cs="Calibri"/>
                <w:color w:val="000000"/>
                <w:sz w:val="24"/>
                <w:szCs w:val="24"/>
              </w:rPr>
            </w:pPr>
          </w:p>
        </w:tc>
        <w:tc>
          <w:tcPr>
            <w:tcW w:w="1997" w:type="dxa"/>
            <w:vMerge w:val="restart"/>
            <w:vAlign w:val="center"/>
          </w:tcPr>
          <w:p>
            <w:pPr>
              <w:spacing w:before="0" w:beforeAutospacing="0" w:after="0" w:afterAutospacing="0" w:line="360" w:lineRule="auto"/>
              <w:ind w:left="57" w:right="57" w:firstLine="57"/>
              <w:jc w:val="center"/>
              <w:outlineLvl w:val="0"/>
              <w:rPr>
                <w:rFonts w:hint="default" w:ascii="宋体" w:hAnsi="宋体" w:cs="Calibri"/>
                <w:color w:val="000000"/>
                <w:sz w:val="24"/>
                <w:szCs w:val="24"/>
              </w:rPr>
            </w:pPr>
          </w:p>
        </w:tc>
        <w:tc>
          <w:tcPr>
            <w:tcW w:w="1877" w:type="dxa"/>
            <w:vMerge w:val="restart"/>
            <w:vAlign w:val="top"/>
          </w:tcPr>
          <w:p>
            <w:pPr>
              <w:spacing w:before="0" w:beforeAutospacing="0" w:after="0" w:afterAutospacing="0" w:line="360" w:lineRule="auto"/>
              <w:ind w:left="57" w:right="57" w:firstLine="57"/>
              <w:jc w:val="center"/>
              <w:outlineLvl w:val="0"/>
              <w:rPr>
                <w:rFonts w:hint="default" w:ascii="宋体" w:hAnsi="宋体" w:cs="Calibri"/>
                <w:color w:val="000000"/>
                <w:sz w:val="24"/>
                <w:szCs w:val="24"/>
              </w:rPr>
            </w:pPr>
          </w:p>
        </w:tc>
      </w:tr>
      <w:tr>
        <w:trPr>
          <w:trHeight w:val="940" w:hRule="atLeast"/>
        </w:trPr>
        <w:tc>
          <w:tcPr>
            <w:tcW w:w="3757" w:type="dxa"/>
            <w:vAlign w:val="center"/>
          </w:tcPr>
          <w:p>
            <w:pPr>
              <w:spacing w:before="0" w:beforeAutospacing="0" w:after="0" w:afterAutospacing="0" w:line="360" w:lineRule="auto"/>
              <w:ind w:left="0" w:right="0"/>
              <w:jc w:val="left"/>
              <w:rPr>
                <w:rFonts w:hint="default" w:ascii="宋体" w:hAnsi="宋体" w:cs="Calibri"/>
                <w:color w:val="000000"/>
                <w:sz w:val="24"/>
                <w:szCs w:val="24"/>
              </w:rPr>
            </w:pPr>
            <w:r>
              <w:rPr>
                <w:rFonts w:hint="eastAsia" w:ascii="宋体" w:hAnsi="宋体" w:cs="Calibri"/>
                <w:color w:val="000000"/>
                <w:sz w:val="24"/>
                <w:szCs w:val="24"/>
              </w:rPr>
              <w:t>小写：</w:t>
            </w:r>
          </w:p>
        </w:tc>
        <w:tc>
          <w:tcPr>
            <w:tcW w:w="1997" w:type="dxa"/>
            <w:vMerge w:val="continue"/>
            <w:vAlign w:val="center"/>
          </w:tcPr>
          <w:p>
            <w:pPr>
              <w:spacing w:before="0" w:beforeAutospacing="0" w:after="0" w:afterAutospacing="0" w:line="360" w:lineRule="auto"/>
              <w:ind w:left="57" w:right="57" w:firstLine="57"/>
              <w:jc w:val="center"/>
              <w:outlineLvl w:val="0"/>
              <w:rPr>
                <w:rFonts w:hint="default" w:ascii="宋体" w:hAnsi="宋体" w:cs="Calibri"/>
                <w:color w:val="000000"/>
                <w:sz w:val="24"/>
                <w:szCs w:val="24"/>
              </w:rPr>
            </w:pPr>
          </w:p>
        </w:tc>
        <w:tc>
          <w:tcPr>
            <w:tcW w:w="1997" w:type="dxa"/>
            <w:vMerge w:val="continue"/>
            <w:vAlign w:val="center"/>
          </w:tcPr>
          <w:p>
            <w:pPr>
              <w:spacing w:before="0" w:beforeAutospacing="0" w:after="0" w:afterAutospacing="0" w:line="360" w:lineRule="auto"/>
              <w:ind w:left="57" w:right="57" w:firstLine="57"/>
              <w:jc w:val="center"/>
              <w:outlineLvl w:val="0"/>
              <w:rPr>
                <w:rFonts w:hint="default" w:ascii="宋体" w:hAnsi="宋体" w:cs="Calibri"/>
                <w:color w:val="000000"/>
                <w:sz w:val="24"/>
                <w:szCs w:val="24"/>
              </w:rPr>
            </w:pPr>
          </w:p>
        </w:tc>
        <w:tc>
          <w:tcPr>
            <w:tcW w:w="1877" w:type="dxa"/>
            <w:vMerge w:val="continue"/>
            <w:vAlign w:val="top"/>
          </w:tcPr>
          <w:p>
            <w:pPr>
              <w:spacing w:before="0" w:beforeAutospacing="0" w:after="0" w:afterAutospacing="0" w:line="360" w:lineRule="auto"/>
              <w:ind w:left="57" w:right="57" w:firstLine="57"/>
              <w:jc w:val="center"/>
              <w:outlineLvl w:val="0"/>
              <w:rPr>
                <w:rFonts w:hint="default" w:ascii="宋体" w:hAnsi="宋体" w:cs="Calibri"/>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43" w:name="_Toc496001220"/>
      <w:bookmarkStart w:id="44"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spacing w:before="0" w:beforeAutospacing="0" w:after="0" w:afterAutospacing="0"/>
              <w:ind w:left="0" w:right="0"/>
              <w:jc w:val="center"/>
              <w:rPr>
                <w:rFonts w:hint="default" w:ascii="宋体" w:hAnsi="宋体" w:cs="Calibri"/>
                <w:sz w:val="24"/>
                <w:szCs w:val="24"/>
              </w:rPr>
            </w:pPr>
          </w:p>
          <w:p>
            <w:pPr>
              <w:spacing w:before="0" w:beforeAutospacing="0" w:after="0" w:afterAutospacing="0"/>
              <w:ind w:left="0" w:right="0"/>
              <w:rPr>
                <w:rFonts w:hint="default" w:ascii="宋体" w:hAnsi="宋体" w:cs="Calibri"/>
                <w:sz w:val="24"/>
                <w:szCs w:val="24"/>
              </w:rPr>
            </w:pPr>
          </w:p>
          <w:p>
            <w:pPr>
              <w:spacing w:before="0" w:beforeAutospacing="0" w:after="0" w:afterAutospacing="0"/>
              <w:ind w:left="0" w:right="0" w:firstLine="960" w:firstLineChars="400"/>
              <w:rPr>
                <w:rFonts w:hint="default" w:ascii="宋体" w:hAnsi="宋体" w:cs="Calibri"/>
                <w:sz w:val="24"/>
                <w:szCs w:val="24"/>
              </w:rPr>
            </w:pPr>
            <w:r>
              <w:rPr>
                <w:rFonts w:hint="eastAsia" w:ascii="宋体" w:hAnsi="宋体" w:cs="Calibri"/>
                <w:sz w:val="24"/>
                <w:szCs w:val="24"/>
              </w:rPr>
              <w:t>法定代表人身份证扫描件</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（本证件需直接扫描，不允许粘贴）</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正面</w:t>
            </w:r>
          </w:p>
        </w:tc>
        <w:tc>
          <w:tcPr>
            <w:tcW w:w="4814" w:type="dxa"/>
            <w:vAlign w:val="top"/>
          </w:tcPr>
          <w:p>
            <w:pPr>
              <w:spacing w:before="0" w:beforeAutospacing="0" w:after="0" w:afterAutospacing="0"/>
              <w:ind w:left="0" w:right="0"/>
              <w:jc w:val="center"/>
              <w:rPr>
                <w:rFonts w:hint="default" w:ascii="宋体" w:hAnsi="宋体" w:cs="Calibri"/>
                <w:sz w:val="24"/>
                <w:szCs w:val="24"/>
              </w:rPr>
            </w:pPr>
          </w:p>
          <w:p>
            <w:pPr>
              <w:spacing w:before="0" w:beforeAutospacing="0" w:after="0" w:afterAutospacing="0"/>
              <w:ind w:left="0" w:right="0"/>
              <w:rPr>
                <w:rFonts w:hint="default" w:ascii="宋体" w:hAnsi="宋体" w:cs="Calibri"/>
                <w:sz w:val="24"/>
                <w:szCs w:val="24"/>
              </w:rPr>
            </w:pPr>
          </w:p>
          <w:p>
            <w:pPr>
              <w:spacing w:before="0" w:beforeAutospacing="0" w:after="0" w:afterAutospacing="0"/>
              <w:ind w:left="0" w:right="0" w:firstLine="960" w:firstLineChars="400"/>
              <w:rPr>
                <w:rFonts w:hint="default" w:ascii="宋体" w:hAnsi="宋体" w:cs="Calibri"/>
                <w:sz w:val="24"/>
                <w:szCs w:val="24"/>
              </w:rPr>
            </w:pPr>
            <w:r>
              <w:rPr>
                <w:rFonts w:hint="eastAsia" w:ascii="宋体" w:hAnsi="宋体" w:cs="Calibri"/>
                <w:sz w:val="24"/>
                <w:szCs w:val="24"/>
              </w:rPr>
              <w:t>法定代表人身份证扫描件</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（本证件需直接扫描，不允许粘贴）</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spacing w:before="0" w:beforeAutospacing="0" w:after="0" w:afterAutospacing="0"/>
              <w:ind w:left="0" w:right="0"/>
              <w:jc w:val="center"/>
              <w:rPr>
                <w:rFonts w:hint="default" w:ascii="宋体" w:hAnsi="宋体" w:cs="Calibri"/>
                <w:sz w:val="24"/>
                <w:szCs w:val="24"/>
              </w:rPr>
            </w:pPr>
          </w:p>
          <w:p>
            <w:pPr>
              <w:spacing w:before="0" w:beforeAutospacing="0" w:after="0" w:afterAutospacing="0"/>
              <w:ind w:left="0" w:right="0"/>
              <w:rPr>
                <w:rFonts w:hint="default" w:ascii="宋体" w:hAnsi="宋体" w:cs="Calibri"/>
                <w:sz w:val="24"/>
                <w:szCs w:val="24"/>
              </w:rPr>
            </w:pPr>
          </w:p>
          <w:p>
            <w:pPr>
              <w:spacing w:before="0" w:beforeAutospacing="0" w:after="0" w:afterAutospacing="0"/>
              <w:ind w:left="0" w:right="0" w:firstLine="960" w:firstLineChars="400"/>
              <w:rPr>
                <w:rFonts w:hint="default" w:ascii="宋体" w:hAnsi="宋体" w:cs="Calibri"/>
                <w:sz w:val="24"/>
                <w:szCs w:val="24"/>
              </w:rPr>
            </w:pPr>
            <w:r>
              <w:rPr>
                <w:rFonts w:hint="eastAsia" w:ascii="宋体" w:hAnsi="宋体" w:cs="Calibri"/>
                <w:sz w:val="24"/>
                <w:szCs w:val="24"/>
              </w:rPr>
              <w:t>授权委托人身份证扫描件</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（本证件需直接扫描，不允许粘贴）</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正面</w:t>
            </w:r>
          </w:p>
        </w:tc>
        <w:tc>
          <w:tcPr>
            <w:tcW w:w="4814" w:type="dxa"/>
            <w:vAlign w:val="top"/>
          </w:tcPr>
          <w:p>
            <w:pPr>
              <w:spacing w:before="0" w:beforeAutospacing="0" w:after="0" w:afterAutospacing="0"/>
              <w:ind w:left="0" w:right="0"/>
              <w:jc w:val="center"/>
              <w:rPr>
                <w:rFonts w:hint="default" w:ascii="宋体" w:hAnsi="宋体" w:cs="Calibri"/>
                <w:sz w:val="24"/>
                <w:szCs w:val="24"/>
              </w:rPr>
            </w:pPr>
          </w:p>
          <w:p>
            <w:pPr>
              <w:spacing w:before="0" w:beforeAutospacing="0" w:after="0" w:afterAutospacing="0"/>
              <w:ind w:left="0" w:right="0"/>
              <w:rPr>
                <w:rFonts w:hint="default" w:ascii="宋体" w:hAnsi="宋体" w:cs="Calibri"/>
                <w:sz w:val="24"/>
                <w:szCs w:val="24"/>
              </w:rPr>
            </w:pPr>
          </w:p>
          <w:p>
            <w:pPr>
              <w:spacing w:before="0" w:beforeAutospacing="0" w:after="0" w:afterAutospacing="0"/>
              <w:ind w:left="0" w:right="0" w:firstLine="960" w:firstLineChars="400"/>
              <w:rPr>
                <w:rFonts w:hint="default" w:ascii="宋体" w:hAnsi="宋体" w:cs="Calibri"/>
                <w:sz w:val="24"/>
                <w:szCs w:val="24"/>
              </w:rPr>
            </w:pPr>
            <w:r>
              <w:rPr>
                <w:rFonts w:hint="eastAsia" w:ascii="宋体" w:hAnsi="宋体" w:cs="Calibri"/>
                <w:sz w:val="24"/>
                <w:szCs w:val="24"/>
              </w:rPr>
              <w:t>授权委托人身份证扫描件</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（本证件需直接扫描，不允许粘贴）</w:t>
            </w:r>
          </w:p>
          <w:p>
            <w:pPr>
              <w:spacing w:before="0" w:beforeAutospacing="0" w:after="0" w:afterAutospacing="0"/>
              <w:ind w:left="0" w:right="0"/>
              <w:jc w:val="center"/>
              <w:rPr>
                <w:rFonts w:hint="default" w:ascii="宋体" w:hAnsi="宋体" w:cs="Calibri"/>
                <w:sz w:val="24"/>
                <w:szCs w:val="24"/>
              </w:rPr>
            </w:pPr>
            <w:r>
              <w:rPr>
                <w:rFonts w:hint="eastAsia" w:ascii="宋体" w:hAnsi="宋体" w:cs="Calibri"/>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43"/>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24"/>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44"/>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45" w:name="_Toc491862100"/>
      <w:r>
        <w:rPr>
          <w:rFonts w:hint="eastAsia" w:hAnsi="宋体"/>
          <w:b/>
          <w:bCs/>
          <w:color w:val="000000"/>
          <w:sz w:val="24"/>
          <w:szCs w:val="24"/>
        </w:rPr>
        <w:t>格式十：</w:t>
      </w:r>
      <w:bookmarkEnd w:id="45"/>
    </w:p>
    <w:p>
      <w:pPr>
        <w:adjustRightInd w:val="0"/>
        <w:snapToGrid w:val="0"/>
        <w:spacing w:line="360" w:lineRule="auto"/>
        <w:ind w:firstLine="3012" w:firstLineChars="1250"/>
        <w:jc w:val="left"/>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rPr>
          <w:trHeight w:val="593" w:hRule="atLeast"/>
          <w:jc w:val="center"/>
        </w:trPr>
        <w:tc>
          <w:tcPr>
            <w:tcW w:w="570" w:type="dxa"/>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备注</w:t>
            </w:r>
          </w:p>
        </w:tc>
      </w:tr>
      <w:tr>
        <w:trPr>
          <w:trHeight w:val="593" w:hRule="atLeast"/>
          <w:jc w:val="center"/>
        </w:trPr>
        <w:tc>
          <w:tcPr>
            <w:tcW w:w="570"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r>
      <w:tr>
        <w:trPr>
          <w:trHeight w:val="593" w:hRule="atLeast"/>
          <w:jc w:val="center"/>
        </w:trPr>
        <w:tc>
          <w:tcPr>
            <w:tcW w:w="570"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r>
      <w:tr>
        <w:trPr>
          <w:trHeight w:val="593" w:hRule="atLeast"/>
          <w:jc w:val="center"/>
        </w:trPr>
        <w:tc>
          <w:tcPr>
            <w:tcW w:w="570"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r>
      <w:tr>
        <w:trPr>
          <w:trHeight w:val="593" w:hRule="atLeast"/>
          <w:jc w:val="center"/>
        </w:trPr>
        <w:tc>
          <w:tcPr>
            <w:tcW w:w="570"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r>
      <w:tr>
        <w:trPr>
          <w:trHeight w:val="593" w:hRule="atLeast"/>
          <w:jc w:val="center"/>
        </w:trPr>
        <w:tc>
          <w:tcPr>
            <w:tcW w:w="570"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before="0" w:beforeAutospacing="0" w:after="0" w:afterAutospacing="0" w:line="360" w:lineRule="auto"/>
              <w:ind w:left="-118" w:leftChars="-42" w:right="0"/>
              <w:jc w:val="center"/>
              <w:rPr>
                <w:rFonts w:hint="default"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r>
      <w:tr>
        <w:trPr>
          <w:trHeight w:val="593" w:hRule="atLeast"/>
          <w:jc w:val="center"/>
        </w:trPr>
        <w:tc>
          <w:tcPr>
            <w:tcW w:w="6901" w:type="dxa"/>
            <w:gridSpan w:val="6"/>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ascii="宋体" w:hAnsi="宋体"/>
          <w:b/>
          <w:bCs/>
          <w:color w:val="000000"/>
          <w:sz w:val="24"/>
          <w:szCs w:val="24"/>
        </w:rPr>
      </w:pPr>
      <w:r>
        <w:rPr>
          <w:rFonts w:hint="eastAsia" w:ascii="宋体" w:hAnsi="宋体"/>
          <w:b/>
          <w:bCs/>
          <w:color w:val="000000"/>
          <w:sz w:val="24"/>
          <w:szCs w:val="24"/>
        </w:rPr>
        <w:t>投标货物情况介绍表</w:t>
      </w:r>
    </w:p>
    <w:tbl>
      <w:tblPr>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rPr>
          <w:trHeight w:val="593" w:hRule="atLeast"/>
          <w:jc w:val="center"/>
        </w:trPr>
        <w:tc>
          <w:tcPr>
            <w:tcW w:w="667" w:type="dxa"/>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序号</w:t>
            </w:r>
          </w:p>
        </w:tc>
        <w:tc>
          <w:tcPr>
            <w:tcW w:w="1651" w:type="dxa"/>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货物名称</w:t>
            </w:r>
          </w:p>
        </w:tc>
        <w:tc>
          <w:tcPr>
            <w:tcW w:w="988"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品牌</w:t>
            </w:r>
          </w:p>
        </w:tc>
        <w:tc>
          <w:tcPr>
            <w:tcW w:w="1071"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型号</w:t>
            </w:r>
          </w:p>
        </w:tc>
        <w:tc>
          <w:tcPr>
            <w:tcW w:w="20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生产产地</w:t>
            </w:r>
          </w:p>
        </w:tc>
        <w:tc>
          <w:tcPr>
            <w:tcW w:w="1552" w:type="dxa"/>
            <w:tcBorders>
              <w:lef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备注</w:t>
            </w:r>
          </w:p>
        </w:tc>
      </w:tr>
      <w:tr>
        <w:trPr>
          <w:trHeight w:val="593" w:hRule="atLeast"/>
          <w:jc w:val="center"/>
        </w:trPr>
        <w:tc>
          <w:tcPr>
            <w:tcW w:w="667"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r>
              <w:rPr>
                <w:rFonts w:hint="eastAsia" w:ascii="宋体" w:hAnsi="宋体" w:cs="Calibri"/>
                <w:color w:val="000000"/>
                <w:sz w:val="24"/>
                <w:szCs w:val="24"/>
              </w:rPr>
              <w:t>1</w:t>
            </w:r>
          </w:p>
        </w:tc>
        <w:tc>
          <w:tcPr>
            <w:tcW w:w="1651"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p>
        </w:tc>
        <w:tc>
          <w:tcPr>
            <w:tcW w:w="988"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071"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20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639"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552"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r>
      <w:tr>
        <w:trPr>
          <w:trHeight w:val="593" w:hRule="atLeast"/>
          <w:jc w:val="center"/>
        </w:trPr>
        <w:tc>
          <w:tcPr>
            <w:tcW w:w="667"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r>
              <w:rPr>
                <w:rFonts w:hint="eastAsia" w:ascii="宋体" w:hAnsi="宋体" w:cs="Calibri"/>
                <w:color w:val="000000"/>
                <w:sz w:val="24"/>
                <w:szCs w:val="24"/>
              </w:rPr>
              <w:t>2</w:t>
            </w:r>
          </w:p>
        </w:tc>
        <w:tc>
          <w:tcPr>
            <w:tcW w:w="1651"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p>
        </w:tc>
        <w:tc>
          <w:tcPr>
            <w:tcW w:w="988"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071"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20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639"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552"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r>
      <w:tr>
        <w:trPr>
          <w:trHeight w:val="593" w:hRule="atLeast"/>
          <w:jc w:val="center"/>
        </w:trPr>
        <w:tc>
          <w:tcPr>
            <w:tcW w:w="667"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r>
              <w:rPr>
                <w:rFonts w:hint="eastAsia" w:ascii="宋体" w:hAnsi="宋体" w:cs="Calibri"/>
                <w:color w:val="000000"/>
                <w:sz w:val="24"/>
                <w:szCs w:val="24"/>
              </w:rPr>
              <w:t>3</w:t>
            </w:r>
          </w:p>
        </w:tc>
        <w:tc>
          <w:tcPr>
            <w:tcW w:w="1651"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p>
        </w:tc>
        <w:tc>
          <w:tcPr>
            <w:tcW w:w="988"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071"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20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639"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552"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r>
      <w:tr>
        <w:trPr>
          <w:trHeight w:val="593" w:hRule="atLeast"/>
          <w:jc w:val="center"/>
        </w:trPr>
        <w:tc>
          <w:tcPr>
            <w:tcW w:w="667"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r>
              <w:rPr>
                <w:rFonts w:hint="eastAsia" w:ascii="宋体" w:hAnsi="宋体" w:cs="Calibri"/>
                <w:color w:val="000000"/>
                <w:sz w:val="24"/>
                <w:szCs w:val="24"/>
              </w:rPr>
              <w:t>4</w:t>
            </w:r>
          </w:p>
        </w:tc>
        <w:tc>
          <w:tcPr>
            <w:tcW w:w="1651"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p>
        </w:tc>
        <w:tc>
          <w:tcPr>
            <w:tcW w:w="988"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071"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20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639"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552"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r>
      <w:tr>
        <w:trPr>
          <w:trHeight w:val="593" w:hRule="atLeast"/>
          <w:jc w:val="center"/>
        </w:trPr>
        <w:tc>
          <w:tcPr>
            <w:tcW w:w="667"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r>
              <w:rPr>
                <w:rFonts w:hint="eastAsia" w:ascii="宋体" w:hAnsi="宋体" w:cs="Calibri"/>
                <w:color w:val="000000"/>
                <w:sz w:val="24"/>
                <w:szCs w:val="24"/>
              </w:rPr>
              <w:t>…</w:t>
            </w:r>
          </w:p>
        </w:tc>
        <w:tc>
          <w:tcPr>
            <w:tcW w:w="1651" w:type="dxa"/>
            <w:vAlign w:val="center"/>
          </w:tcPr>
          <w:p>
            <w:pPr>
              <w:adjustRightInd w:val="0"/>
              <w:snapToGrid w:val="0"/>
              <w:spacing w:before="0" w:beforeAutospacing="0" w:after="0" w:afterAutospacing="0" w:line="360" w:lineRule="auto"/>
              <w:ind w:left="-118" w:leftChars="-42" w:right="0"/>
              <w:jc w:val="center"/>
              <w:rPr>
                <w:rFonts w:hint="default" w:ascii="宋体" w:hAnsi="宋体" w:cs="Calibri"/>
                <w:color w:val="000000"/>
                <w:sz w:val="24"/>
                <w:szCs w:val="24"/>
              </w:rPr>
            </w:pPr>
          </w:p>
        </w:tc>
        <w:tc>
          <w:tcPr>
            <w:tcW w:w="988" w:type="dxa"/>
            <w:tcBorders>
              <w:righ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071"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2060" w:type="dxa"/>
            <w:tcBorders>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639" w:type="dxa"/>
            <w:tcBorders>
              <w:left w:val="single" w:color="auto" w:sz="4" w:space="0"/>
              <w:right w:val="single" w:color="auto" w:sz="4" w:space="0"/>
            </w:tcBorders>
            <w:vAlign w:val="center"/>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c>
          <w:tcPr>
            <w:tcW w:w="1552" w:type="dxa"/>
            <w:tcBorders>
              <w:left w:val="single" w:color="auto" w:sz="4" w:space="0"/>
            </w:tcBorders>
            <w:vAlign w:val="top"/>
          </w:tcPr>
          <w:p>
            <w:pPr>
              <w:adjustRightInd w:val="0"/>
              <w:snapToGrid w:val="0"/>
              <w:spacing w:before="0" w:beforeAutospacing="0" w:after="0" w:afterAutospacing="0" w:line="360" w:lineRule="auto"/>
              <w:ind w:left="0" w:right="0"/>
              <w:jc w:val="center"/>
              <w:rPr>
                <w:rFonts w:hint="default" w:ascii="宋体" w:hAnsi="宋体" w:cs="Calibri"/>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rPr>
          <w:trHeight w:val="783" w:hRule="atLeast"/>
          <w:jc w:val="center"/>
        </w:trPr>
        <w:tc>
          <w:tcPr>
            <w:tcW w:w="983"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编号</w:t>
            </w:r>
          </w:p>
        </w:tc>
        <w:tc>
          <w:tcPr>
            <w:tcW w:w="1732"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招标文件要求技术参数、性能指标</w:t>
            </w:r>
          </w:p>
        </w:tc>
        <w:tc>
          <w:tcPr>
            <w:tcW w:w="1732"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投标人提供技术参数、性能指标</w:t>
            </w:r>
          </w:p>
        </w:tc>
        <w:tc>
          <w:tcPr>
            <w:tcW w:w="1732"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响应</w:t>
            </w:r>
          </w:p>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程度</w:t>
            </w:r>
          </w:p>
        </w:tc>
        <w:tc>
          <w:tcPr>
            <w:tcW w:w="2294"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佐证材料名称并标明页码</w:t>
            </w:r>
          </w:p>
        </w:tc>
        <w:tc>
          <w:tcPr>
            <w:tcW w:w="1155"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备注</w:t>
            </w:r>
          </w:p>
        </w:tc>
      </w:tr>
      <w:tr>
        <w:trPr>
          <w:trHeight w:val="535" w:hRule="atLeast"/>
          <w:jc w:val="center"/>
        </w:trPr>
        <w:tc>
          <w:tcPr>
            <w:tcW w:w="983"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1</w:t>
            </w: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2294" w:type="dxa"/>
            <w:vAlign w:val="center"/>
          </w:tcPr>
          <w:p>
            <w:pPr>
              <w:spacing w:before="0" w:beforeAutospacing="0" w:after="0" w:afterAutospacing="0" w:line="360" w:lineRule="auto"/>
              <w:ind w:left="2201" w:leftChars="786" w:right="0"/>
              <w:rPr>
                <w:rFonts w:hint="default" w:ascii="宋体" w:hAnsi="宋体" w:cs="Calibri"/>
                <w:color w:val="000000"/>
                <w:sz w:val="24"/>
                <w:szCs w:val="24"/>
              </w:rPr>
            </w:pPr>
          </w:p>
        </w:tc>
        <w:tc>
          <w:tcPr>
            <w:tcW w:w="1155" w:type="dxa"/>
            <w:vAlign w:val="top"/>
          </w:tcPr>
          <w:p>
            <w:pPr>
              <w:spacing w:before="0" w:beforeAutospacing="0" w:after="0" w:afterAutospacing="0" w:line="360" w:lineRule="auto"/>
              <w:ind w:left="2201" w:leftChars="786" w:right="0"/>
              <w:rPr>
                <w:rFonts w:hint="default" w:ascii="宋体" w:hAnsi="宋体" w:cs="Calibri"/>
                <w:color w:val="000000"/>
                <w:sz w:val="24"/>
                <w:szCs w:val="24"/>
              </w:rPr>
            </w:pPr>
          </w:p>
        </w:tc>
      </w:tr>
      <w:tr>
        <w:trPr>
          <w:trHeight w:val="571" w:hRule="atLeast"/>
          <w:jc w:val="center"/>
        </w:trPr>
        <w:tc>
          <w:tcPr>
            <w:tcW w:w="983"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2</w:t>
            </w: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2294"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155" w:type="dxa"/>
            <w:vAlign w:val="top"/>
          </w:tcPr>
          <w:p>
            <w:pPr>
              <w:spacing w:before="0" w:beforeAutospacing="0" w:after="0" w:afterAutospacing="0" w:line="360" w:lineRule="auto"/>
              <w:ind w:left="0" w:right="0"/>
              <w:rPr>
                <w:rFonts w:hint="default" w:ascii="宋体" w:hAnsi="宋体" w:cs="Calibri"/>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rPr>
          <w:trHeight w:val="783" w:hRule="atLeast"/>
          <w:jc w:val="center"/>
        </w:trPr>
        <w:tc>
          <w:tcPr>
            <w:tcW w:w="981"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编号</w:t>
            </w:r>
          </w:p>
        </w:tc>
        <w:tc>
          <w:tcPr>
            <w:tcW w:w="1732"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招标文件要求技术参数、性能指标</w:t>
            </w:r>
          </w:p>
        </w:tc>
        <w:tc>
          <w:tcPr>
            <w:tcW w:w="1732"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投标人提供技术参数、性能指标</w:t>
            </w:r>
          </w:p>
        </w:tc>
        <w:tc>
          <w:tcPr>
            <w:tcW w:w="1732"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响应</w:t>
            </w:r>
          </w:p>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程度</w:t>
            </w:r>
          </w:p>
        </w:tc>
        <w:tc>
          <w:tcPr>
            <w:tcW w:w="2296"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佐证材料名称并标明页码</w:t>
            </w:r>
          </w:p>
        </w:tc>
        <w:tc>
          <w:tcPr>
            <w:tcW w:w="1155"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备注</w:t>
            </w:r>
          </w:p>
        </w:tc>
      </w:tr>
      <w:tr>
        <w:trPr>
          <w:trHeight w:val="635" w:hRule="atLeast"/>
          <w:jc w:val="center"/>
        </w:trPr>
        <w:tc>
          <w:tcPr>
            <w:tcW w:w="981"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1</w:t>
            </w: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2296" w:type="dxa"/>
            <w:vAlign w:val="center"/>
          </w:tcPr>
          <w:p>
            <w:pPr>
              <w:spacing w:before="0" w:beforeAutospacing="0" w:after="0" w:afterAutospacing="0" w:line="360" w:lineRule="auto"/>
              <w:ind w:left="2201" w:leftChars="786" w:right="0"/>
              <w:rPr>
                <w:rFonts w:hint="default" w:ascii="宋体" w:hAnsi="宋体" w:cs="Calibri"/>
                <w:color w:val="000000"/>
                <w:sz w:val="24"/>
                <w:szCs w:val="24"/>
              </w:rPr>
            </w:pPr>
          </w:p>
        </w:tc>
        <w:tc>
          <w:tcPr>
            <w:tcW w:w="1155" w:type="dxa"/>
            <w:vAlign w:val="top"/>
          </w:tcPr>
          <w:p>
            <w:pPr>
              <w:spacing w:before="0" w:beforeAutospacing="0" w:after="0" w:afterAutospacing="0" w:line="360" w:lineRule="auto"/>
              <w:ind w:left="2201" w:leftChars="786" w:right="0"/>
              <w:rPr>
                <w:rFonts w:hint="default" w:ascii="宋体" w:hAnsi="宋体" w:cs="Calibri"/>
                <w:color w:val="000000"/>
                <w:sz w:val="24"/>
                <w:szCs w:val="24"/>
              </w:rPr>
            </w:pPr>
          </w:p>
        </w:tc>
      </w:tr>
      <w:tr>
        <w:trPr>
          <w:trHeight w:val="558" w:hRule="atLeast"/>
          <w:jc w:val="center"/>
        </w:trPr>
        <w:tc>
          <w:tcPr>
            <w:tcW w:w="981"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2</w:t>
            </w: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732"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2296" w:type="dxa"/>
            <w:vAlign w:val="center"/>
          </w:tcPr>
          <w:p>
            <w:pPr>
              <w:spacing w:before="0" w:beforeAutospacing="0" w:after="0" w:afterAutospacing="0" w:line="360" w:lineRule="auto"/>
              <w:ind w:left="0" w:right="0"/>
              <w:rPr>
                <w:rFonts w:hint="default" w:ascii="宋体" w:hAnsi="宋体" w:cs="Calibri"/>
                <w:color w:val="000000"/>
                <w:sz w:val="24"/>
                <w:szCs w:val="24"/>
              </w:rPr>
            </w:pPr>
          </w:p>
        </w:tc>
        <w:tc>
          <w:tcPr>
            <w:tcW w:w="1155" w:type="dxa"/>
            <w:vAlign w:val="top"/>
          </w:tcPr>
          <w:p>
            <w:pPr>
              <w:spacing w:before="0" w:beforeAutospacing="0" w:after="0" w:afterAutospacing="0" w:line="360" w:lineRule="auto"/>
              <w:ind w:left="0" w:right="0"/>
              <w:rPr>
                <w:rFonts w:hint="default" w:ascii="宋体" w:hAnsi="宋体" w:cs="Calibri"/>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6"/>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年内，投标人将继续提供免费维修服务，在此期间不收取维护费，如需更换零配件，只收取零配件的成本费。</w:t>
      </w:r>
    </w:p>
    <w:p>
      <w:pPr>
        <w:pStyle w:val="21"/>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小时内响应，</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46"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46"/>
      <w:r>
        <w:rPr>
          <w:rFonts w:hint="eastAsia" w:ascii="宋体" w:hAnsi="宋体" w:cs="Courier New"/>
          <w:color w:val="000000"/>
          <w:kern w:val="0"/>
          <w:sz w:val="24"/>
          <w:szCs w:val="24"/>
        </w:rPr>
        <w:t>。</w:t>
      </w:r>
    </w:p>
    <w:p>
      <w:pPr>
        <w:pStyle w:val="24"/>
        <w:spacing w:line="336" w:lineRule="auto"/>
        <w:ind w:firstLine="480" w:firstLineChars="200"/>
        <w:rPr>
          <w:rFonts w:hAnsi="宋体"/>
          <w:color w:val="000000"/>
          <w:sz w:val="24"/>
          <w:szCs w:val="24"/>
        </w:rPr>
      </w:pPr>
      <w:bookmarkStart w:id="47"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47"/>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W w:w="9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1883"/>
        <w:gridCol w:w="2130"/>
        <w:gridCol w:w="2040"/>
        <w:gridCol w:w="1528"/>
        <w:gridCol w:w="1215"/>
      </w:tblGrid>
      <w:tr>
        <w:trPr>
          <w:trHeight w:val="974"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序号</w:t>
            </w:r>
          </w:p>
        </w:tc>
        <w:tc>
          <w:tcPr>
            <w:tcW w:w="1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eastAsia" w:ascii="宋体" w:hAnsi="宋体" w:eastAsia="宋体" w:cs="Calibri"/>
                <w:color w:val="000000"/>
                <w:sz w:val="24"/>
                <w:szCs w:val="24"/>
                <w:lang w:eastAsia="zh-CN"/>
              </w:rPr>
            </w:pPr>
            <w:r>
              <w:rPr>
                <w:rFonts w:hint="eastAsia" w:ascii="宋体" w:hAnsi="宋体" w:cs="Calibri"/>
                <w:color w:val="000000"/>
                <w:sz w:val="24"/>
                <w:szCs w:val="24"/>
                <w:lang w:eastAsia="zh-CN"/>
              </w:rPr>
              <w:t>审查内容</w:t>
            </w:r>
          </w:p>
        </w:tc>
        <w:tc>
          <w:tcPr>
            <w:tcW w:w="21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招标文件商务</w:t>
            </w:r>
          </w:p>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要求的项目</w:t>
            </w:r>
          </w:p>
        </w:tc>
        <w:tc>
          <w:tcPr>
            <w:tcW w:w="20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投标人响应的</w:t>
            </w:r>
          </w:p>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商务项目</w:t>
            </w:r>
          </w:p>
        </w:tc>
        <w:tc>
          <w:tcPr>
            <w:tcW w:w="15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响应程度</w:t>
            </w:r>
          </w:p>
        </w:tc>
        <w:tc>
          <w:tcPr>
            <w:tcW w:w="12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备注</w:t>
            </w:r>
          </w:p>
        </w:tc>
      </w:tr>
      <w:tr>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1</w:t>
            </w:r>
          </w:p>
        </w:tc>
        <w:tc>
          <w:tcPr>
            <w:tcW w:w="1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cs="Calibri"/>
                <w:color w:val="000000"/>
                <w:sz w:val="24"/>
                <w:szCs w:val="24"/>
              </w:rPr>
              <w:t>交付使用时间</w:t>
            </w:r>
          </w:p>
        </w:tc>
        <w:tc>
          <w:tcPr>
            <w:tcW w:w="21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r>
      <w:tr>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2</w:t>
            </w:r>
          </w:p>
        </w:tc>
        <w:tc>
          <w:tcPr>
            <w:tcW w:w="1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cs="Calibri"/>
                <w:color w:val="000000"/>
                <w:sz w:val="24"/>
                <w:szCs w:val="24"/>
              </w:rPr>
              <w:t>交付使用地点</w:t>
            </w:r>
          </w:p>
        </w:tc>
        <w:tc>
          <w:tcPr>
            <w:tcW w:w="21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r>
      <w:tr>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3</w:t>
            </w:r>
          </w:p>
        </w:tc>
        <w:tc>
          <w:tcPr>
            <w:tcW w:w="1883" w:type="dxa"/>
            <w:tcBorders>
              <w:top w:val="single" w:color="auto" w:sz="4" w:space="0"/>
              <w:left w:val="single" w:color="auto" w:sz="4" w:space="0"/>
              <w:bottom w:val="single" w:color="auto" w:sz="4" w:space="0"/>
              <w:right w:val="single" w:color="auto" w:sz="4" w:space="0"/>
            </w:tcBorders>
            <w:vAlign w:val="center"/>
          </w:tcPr>
          <w:p>
            <w:pPr>
              <w:pStyle w:val="40"/>
              <w:spacing w:before="0" w:beforeAutospacing="0" w:after="0" w:afterAutospacing="0"/>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cs="Calibri"/>
                <w:sz w:val="24"/>
                <w:szCs w:val="24"/>
              </w:rPr>
              <w:t>投标有效期</w:t>
            </w:r>
          </w:p>
        </w:tc>
        <w:tc>
          <w:tcPr>
            <w:tcW w:w="2130" w:type="dxa"/>
            <w:tcBorders>
              <w:top w:val="single" w:color="auto" w:sz="4" w:space="0"/>
              <w:left w:val="single" w:color="auto" w:sz="4" w:space="0"/>
              <w:bottom w:val="single" w:color="auto" w:sz="4" w:space="0"/>
              <w:right w:val="single" w:color="auto" w:sz="4" w:space="0"/>
            </w:tcBorders>
            <w:vAlign w:val="center"/>
          </w:tcPr>
          <w:p>
            <w:pPr>
              <w:pStyle w:val="40"/>
              <w:spacing w:before="0" w:beforeAutospacing="0" w:after="0" w:afterAutospacing="0"/>
              <w:ind w:firstLine="0" w:firstLineChars="0"/>
              <w:jc w:val="center"/>
              <w:rPr>
                <w:rFonts w:hint="default" w:ascii="宋体" w:hAnsi="宋体" w:cs="Calibri"/>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40"/>
              <w:spacing w:before="0" w:beforeAutospacing="0" w:after="0" w:afterAutospacing="0"/>
              <w:ind w:firstLine="0" w:firstLineChars="0"/>
              <w:rPr>
                <w:rFonts w:hint="default" w:ascii="宋体" w:hAnsi="宋体" w:cs="Calibri"/>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r>
      <w:tr>
        <w:trPr>
          <w:trHeight w:val="15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4</w:t>
            </w:r>
          </w:p>
        </w:tc>
        <w:tc>
          <w:tcPr>
            <w:tcW w:w="1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cs="Calibri"/>
                <w:color w:val="000000"/>
                <w:sz w:val="24"/>
                <w:szCs w:val="24"/>
              </w:rPr>
              <w:t>质保期</w:t>
            </w:r>
          </w:p>
        </w:tc>
        <w:tc>
          <w:tcPr>
            <w:tcW w:w="21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r>
      <w:tr>
        <w:trPr>
          <w:trHeight w:val="29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5</w:t>
            </w:r>
          </w:p>
        </w:tc>
        <w:tc>
          <w:tcPr>
            <w:tcW w:w="188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cs="Calibri"/>
                <w:color w:val="000000"/>
                <w:sz w:val="24"/>
                <w:szCs w:val="24"/>
              </w:rPr>
              <w:t>付款方式</w:t>
            </w:r>
          </w:p>
        </w:tc>
        <w:tc>
          <w:tcPr>
            <w:tcW w:w="213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r>
      <w:tr>
        <w:trPr>
          <w:trHeight w:val="206" w:hRule="atLeast"/>
          <w:jc w:val="center"/>
        </w:trPr>
        <w:tc>
          <w:tcPr>
            <w:tcW w:w="918"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r>
              <w:rPr>
                <w:rFonts w:hint="eastAsia" w:ascii="宋体" w:hAnsi="宋体" w:cs="Calibri"/>
                <w:color w:val="000000"/>
                <w:sz w:val="24"/>
                <w:szCs w:val="24"/>
              </w:rPr>
              <w:t>6</w:t>
            </w:r>
          </w:p>
        </w:tc>
        <w:tc>
          <w:tcPr>
            <w:tcW w:w="1883"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Times New Roman"/>
                <w:color w:val="000000"/>
                <w:kern w:val="2"/>
                <w:sz w:val="24"/>
                <w:szCs w:val="24"/>
                <w:lang w:val="en-US" w:eastAsia="zh-CN" w:bidi="ar-SA"/>
              </w:rPr>
            </w:pPr>
            <w:r>
              <w:rPr>
                <w:rFonts w:hint="eastAsia" w:ascii="宋体" w:hAnsi="宋体" w:cs="Calibri"/>
                <w:color w:val="000000"/>
                <w:sz w:val="24"/>
                <w:szCs w:val="24"/>
              </w:rPr>
              <w:t>其他</w:t>
            </w:r>
          </w:p>
        </w:tc>
        <w:tc>
          <w:tcPr>
            <w:tcW w:w="2130"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0" w:right="0"/>
              <w:jc w:val="center"/>
              <w:rPr>
                <w:rFonts w:hint="default" w:ascii="宋体" w:hAnsi="宋体" w:cs="Calibri"/>
                <w:color w:val="000000"/>
                <w:sz w:val="24"/>
                <w:szCs w:val="24"/>
              </w:rPr>
            </w:pPr>
          </w:p>
        </w:tc>
        <w:tc>
          <w:tcPr>
            <w:tcW w:w="2040"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528"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c>
          <w:tcPr>
            <w:tcW w:w="1215" w:type="dxa"/>
            <w:tcBorders>
              <w:top w:val="single" w:color="auto" w:sz="4" w:space="0"/>
              <w:left w:val="single" w:color="auto" w:sz="4" w:space="0"/>
              <w:right w:val="single" w:color="auto" w:sz="4" w:space="0"/>
            </w:tcBorders>
            <w:vAlign w:val="center"/>
          </w:tcPr>
          <w:p>
            <w:pPr>
              <w:spacing w:before="0" w:beforeAutospacing="0" w:after="0" w:afterAutospacing="0" w:line="360" w:lineRule="auto"/>
              <w:ind w:left="57" w:right="57" w:firstLine="57"/>
              <w:jc w:val="center"/>
              <w:rPr>
                <w:rFonts w:hint="default" w:ascii="宋体" w:hAnsi="宋体" w:cs="Calibri"/>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rPr>
          <w:trHeight w:val="720" w:hRule="atLeast"/>
        </w:trPr>
        <w:tc>
          <w:tcPr>
            <w:tcW w:w="618"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序号</w:t>
            </w:r>
          </w:p>
        </w:tc>
        <w:tc>
          <w:tcPr>
            <w:tcW w:w="2057"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使用单位</w:t>
            </w:r>
          </w:p>
        </w:tc>
        <w:tc>
          <w:tcPr>
            <w:tcW w:w="3539"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业绩名称</w:t>
            </w:r>
          </w:p>
        </w:tc>
        <w:tc>
          <w:tcPr>
            <w:tcW w:w="1708"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合同总价</w:t>
            </w:r>
          </w:p>
        </w:tc>
        <w:tc>
          <w:tcPr>
            <w:tcW w:w="1706" w:type="dxa"/>
            <w:vAlign w:val="center"/>
          </w:tcPr>
          <w:p>
            <w:pPr>
              <w:spacing w:before="0" w:beforeAutospacing="0" w:after="0" w:afterAutospacing="0" w:line="360" w:lineRule="auto"/>
              <w:ind w:left="0" w:right="0"/>
              <w:jc w:val="center"/>
              <w:rPr>
                <w:rFonts w:hint="default" w:ascii="宋体" w:hAnsi="宋体" w:cs="Calibri"/>
                <w:color w:val="000000"/>
                <w:sz w:val="24"/>
                <w:szCs w:val="24"/>
              </w:rPr>
            </w:pPr>
            <w:r>
              <w:rPr>
                <w:rFonts w:hint="eastAsia" w:ascii="宋体" w:hAnsi="宋体" w:cs="Calibri"/>
                <w:color w:val="000000"/>
                <w:sz w:val="24"/>
                <w:szCs w:val="24"/>
              </w:rPr>
              <w:t>签订时间</w:t>
            </w:r>
          </w:p>
        </w:tc>
      </w:tr>
      <w:tr>
        <w:trPr>
          <w:trHeight w:val="204" w:hRule="atLeast"/>
        </w:trPr>
        <w:tc>
          <w:tcPr>
            <w:tcW w:w="61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r>
              <w:rPr>
                <w:rFonts w:hint="eastAsia" w:ascii="宋体" w:hAnsi="宋体" w:cs="Calibri"/>
                <w:color w:val="000000"/>
                <w:kern w:val="0"/>
                <w:sz w:val="24"/>
                <w:szCs w:val="24"/>
              </w:rPr>
              <w:t>1</w:t>
            </w:r>
          </w:p>
        </w:tc>
        <w:tc>
          <w:tcPr>
            <w:tcW w:w="2057" w:type="dxa"/>
            <w:vAlign w:val="top"/>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3539"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6"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r>
      <w:tr>
        <w:trPr>
          <w:trHeight w:val="204" w:hRule="atLeast"/>
        </w:trPr>
        <w:tc>
          <w:tcPr>
            <w:tcW w:w="61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r>
              <w:rPr>
                <w:rFonts w:hint="eastAsia" w:ascii="宋体" w:hAnsi="宋体" w:cs="Calibri"/>
                <w:color w:val="000000"/>
                <w:kern w:val="0"/>
                <w:sz w:val="24"/>
                <w:szCs w:val="24"/>
              </w:rPr>
              <w:t>2</w:t>
            </w:r>
          </w:p>
        </w:tc>
        <w:tc>
          <w:tcPr>
            <w:tcW w:w="2057" w:type="dxa"/>
            <w:vAlign w:val="top"/>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3539"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6"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r>
      <w:tr>
        <w:trPr>
          <w:trHeight w:val="204" w:hRule="atLeast"/>
        </w:trPr>
        <w:tc>
          <w:tcPr>
            <w:tcW w:w="61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r>
              <w:rPr>
                <w:rFonts w:hint="eastAsia" w:ascii="宋体" w:hAnsi="宋体" w:cs="Calibri"/>
                <w:color w:val="000000"/>
                <w:kern w:val="0"/>
                <w:sz w:val="24"/>
                <w:szCs w:val="24"/>
              </w:rPr>
              <w:t>3</w:t>
            </w:r>
          </w:p>
        </w:tc>
        <w:tc>
          <w:tcPr>
            <w:tcW w:w="2057" w:type="dxa"/>
            <w:vAlign w:val="top"/>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3539"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6"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r>
      <w:tr>
        <w:trPr>
          <w:trHeight w:val="204" w:hRule="atLeast"/>
        </w:trPr>
        <w:tc>
          <w:tcPr>
            <w:tcW w:w="61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r>
              <w:rPr>
                <w:rFonts w:hint="eastAsia" w:ascii="宋体" w:hAnsi="宋体" w:cs="Calibri"/>
                <w:color w:val="000000"/>
                <w:kern w:val="0"/>
                <w:sz w:val="24"/>
                <w:szCs w:val="24"/>
              </w:rPr>
              <w:t>4</w:t>
            </w:r>
          </w:p>
        </w:tc>
        <w:tc>
          <w:tcPr>
            <w:tcW w:w="2057" w:type="dxa"/>
            <w:vAlign w:val="top"/>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3539"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6"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r>
      <w:tr>
        <w:trPr>
          <w:trHeight w:val="204" w:hRule="atLeast"/>
        </w:trPr>
        <w:tc>
          <w:tcPr>
            <w:tcW w:w="61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r>
              <w:rPr>
                <w:rFonts w:hint="default" w:ascii="宋体" w:hAnsi="宋体" w:cs="Calibri"/>
                <w:color w:val="000000"/>
                <w:kern w:val="0"/>
                <w:sz w:val="24"/>
                <w:szCs w:val="24"/>
              </w:rPr>
              <w:t>…</w:t>
            </w:r>
          </w:p>
        </w:tc>
        <w:tc>
          <w:tcPr>
            <w:tcW w:w="2057" w:type="dxa"/>
            <w:vAlign w:val="top"/>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3539"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8"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c>
          <w:tcPr>
            <w:tcW w:w="1706" w:type="dxa"/>
            <w:vAlign w:val="center"/>
          </w:tcPr>
          <w:p>
            <w:pPr>
              <w:spacing w:before="0" w:beforeAutospacing="0" w:after="0" w:afterAutospacing="0" w:line="360" w:lineRule="auto"/>
              <w:ind w:left="0" w:right="0"/>
              <w:jc w:val="center"/>
              <w:rPr>
                <w:rFonts w:hint="default" w:ascii="宋体" w:hAnsi="宋体" w:cs="Calibri"/>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firstLine="360" w:firstLineChars="150"/>
              <w:rPr>
                <w:rFonts w:hint="default" w:ascii="宋体" w:hAnsi="宋体" w:cs="Calibri"/>
                <w:sz w:val="24"/>
                <w:szCs w:val="24"/>
              </w:rPr>
            </w:pPr>
            <w:r>
              <w:rPr>
                <w:rFonts w:hint="eastAsia" w:ascii="宋体" w:hAnsi="宋体" w:cs="Calibri"/>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rPr>
                <w:rFonts w:hint="default" w:ascii="宋体" w:hAnsi="宋体" w:cs="Calibri"/>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rPr>
                <w:rFonts w:hint="default" w:ascii="宋体" w:hAnsi="宋体" w:cs="Calibri"/>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rPr>
                <w:rFonts w:hint="default" w:ascii="宋体" w:hAnsi="宋体" w:cs="Calibri"/>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rPr>
                <w:rFonts w:hint="default" w:ascii="宋体" w:hAnsi="宋体" w:cs="Calibri"/>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r>
              <w:rPr>
                <w:rFonts w:hint="eastAsia" w:ascii="宋体" w:hAnsi="宋体" w:cs="Calibri"/>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center"/>
              <w:rPr>
                <w:rFonts w:hint="default" w:ascii="宋体" w:hAnsi="宋体" w:cs="Calibri"/>
                <w:sz w:val="24"/>
                <w:szCs w:val="24"/>
              </w:rPr>
            </w:pPr>
          </w:p>
        </w:tc>
      </w:tr>
      <w:tr>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jc w:val="left"/>
              <w:rPr>
                <w:rFonts w:hint="default" w:ascii="宋体" w:hAnsi="宋体" w:cs="Calibri"/>
                <w:sz w:val="24"/>
                <w:szCs w:val="24"/>
              </w:rPr>
            </w:pPr>
            <w:r>
              <w:rPr>
                <w:rFonts w:hint="eastAsia" w:ascii="宋体" w:hAnsi="宋体" w:cs="Calibri"/>
                <w:sz w:val="24"/>
                <w:szCs w:val="24"/>
              </w:rPr>
              <w:t>主营范围：</w:t>
            </w:r>
          </w:p>
        </w:tc>
      </w:tr>
      <w:tr>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before="0" w:beforeAutospacing="0" w:after="0" w:afterAutospacing="0" w:line="360" w:lineRule="auto"/>
              <w:ind w:left="0" w:right="0"/>
              <w:jc w:val="left"/>
              <w:rPr>
                <w:rFonts w:hint="default" w:ascii="宋体" w:hAnsi="宋体" w:cs="Calibri"/>
                <w:sz w:val="24"/>
                <w:szCs w:val="24"/>
              </w:rPr>
            </w:pPr>
            <w:r>
              <w:rPr>
                <w:rFonts w:hint="eastAsia" w:ascii="宋体" w:hAnsi="宋体" w:cs="Calibri"/>
                <w:sz w:val="24"/>
                <w:szCs w:val="24"/>
              </w:rPr>
              <w:t>企业资质：</w:t>
            </w:r>
          </w:p>
        </w:tc>
      </w:tr>
      <w:tr>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before="0" w:beforeAutospacing="0" w:after="0" w:afterAutospacing="0" w:line="360" w:lineRule="auto"/>
              <w:ind w:left="0" w:right="0"/>
              <w:rPr>
                <w:rFonts w:hint="default" w:ascii="宋体" w:hAnsi="宋体" w:cs="Calibri"/>
                <w:sz w:val="24"/>
                <w:szCs w:val="24"/>
              </w:rPr>
            </w:pPr>
            <w:r>
              <w:rPr>
                <w:rFonts w:hint="eastAsia" w:ascii="宋体" w:hAnsi="宋体" w:cs="Calibri"/>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cs="Calibri"/>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48" w:name="_Toc438655702"/>
      <w:bookmarkStart w:id="49" w:name="_Toc438714732"/>
      <w:bookmarkStart w:id="50" w:name="_Toc482026556"/>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48"/>
      <w:bookmarkEnd w:id="49"/>
      <w:bookmarkEnd w:id="50"/>
    </w:p>
    <w:p>
      <w:pPr>
        <w:autoSpaceDE w:val="0"/>
        <w:autoSpaceDN w:val="0"/>
        <w:spacing w:line="360" w:lineRule="auto"/>
        <w:jc w:val="center"/>
        <w:rPr>
          <w:rFonts w:ascii="宋体" w:hAnsi="宋体"/>
          <w:b/>
          <w:bCs/>
          <w:color w:val="000000"/>
          <w:sz w:val="24"/>
          <w:szCs w:val="24"/>
        </w:rPr>
      </w:pPr>
      <w:bookmarkStart w:id="51" w:name="_Toc482026557"/>
      <w:bookmarkStart w:id="52" w:name="_Toc438714733"/>
      <w:bookmarkStart w:id="53" w:name="_Toc438655703"/>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51"/>
      <w:bookmarkEnd w:id="52"/>
      <w:bookmarkEnd w:id="53"/>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7"/>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37"/>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rPr>
          <w:trHeight w:val="729" w:hRule="atLeast"/>
          <w:jc w:val="center"/>
        </w:trPr>
        <w:tc>
          <w:tcPr>
            <w:tcW w:w="1608" w:type="dxa"/>
            <w:vMerge w:val="restart"/>
            <w:vAlign w:val="center"/>
          </w:tcPr>
          <w:p>
            <w:pPr>
              <w:pStyle w:val="43"/>
              <w:tabs>
                <w:tab w:val="left" w:pos="1260"/>
              </w:tabs>
              <w:spacing w:before="156" w:beforeAutospacing="0" w:after="156" w:afterAutospacing="0"/>
              <w:ind w:left="0" w:right="0"/>
              <w:rPr>
                <w:rFonts w:hint="default" w:ascii="宋体" w:hAnsi="宋体" w:cs="宋体"/>
                <w:kern w:val="0"/>
                <w:sz w:val="24"/>
                <w:szCs w:val="20"/>
              </w:rPr>
            </w:pPr>
            <w:r>
              <w:rPr>
                <w:rFonts w:hint="eastAsia" w:ascii="宋体" w:hAnsi="宋体" w:cs="宋体"/>
                <w:kern w:val="0"/>
                <w:sz w:val="24"/>
                <w:szCs w:val="20"/>
              </w:rPr>
              <w:t>中小企业扶持政策</w:t>
            </w:r>
          </w:p>
          <w:p>
            <w:pPr>
              <w:pStyle w:val="43"/>
              <w:tabs>
                <w:tab w:val="left" w:pos="1260"/>
              </w:tabs>
              <w:spacing w:before="156" w:beforeAutospacing="0" w:after="156" w:afterAutospacing="0"/>
              <w:ind w:left="0" w:right="0" w:firstLine="480"/>
              <w:jc w:val="center"/>
              <w:rPr>
                <w:rFonts w:hint="default" w:ascii="宋体" w:hAnsi="宋体" w:cs="宋体"/>
                <w:kern w:val="0"/>
                <w:sz w:val="24"/>
                <w:szCs w:val="20"/>
              </w:rPr>
            </w:pPr>
          </w:p>
        </w:tc>
        <w:tc>
          <w:tcPr>
            <w:tcW w:w="7899" w:type="dxa"/>
            <w:gridSpan w:val="5"/>
            <w:vAlign w:val="center"/>
          </w:tcPr>
          <w:p>
            <w:pPr>
              <w:pStyle w:val="43"/>
              <w:tabs>
                <w:tab w:val="left" w:pos="1260"/>
              </w:tabs>
              <w:spacing w:before="40" w:beforeAutospacing="0" w:after="40" w:afterAutospacing="0" w:line="360" w:lineRule="auto"/>
              <w:ind w:left="0" w:right="0" w:firstLine="480"/>
              <w:rPr>
                <w:rFonts w:hint="default" w:ascii="宋体" w:hAnsi="宋体" w:cs="宋体"/>
                <w:kern w:val="0"/>
                <w:sz w:val="24"/>
                <w:szCs w:val="20"/>
              </w:rPr>
            </w:pPr>
            <w:r>
              <w:rPr>
                <w:rFonts w:hint="eastAsia" w:ascii="宋体" w:hAnsi="宋体" w:cs="宋体"/>
                <w:kern w:val="0"/>
                <w:sz w:val="24"/>
                <w:szCs w:val="20"/>
              </w:rPr>
              <w:t>如属所列情形的，请在括号内打“√”：</w:t>
            </w:r>
          </w:p>
          <w:p>
            <w:pPr>
              <w:pStyle w:val="43"/>
              <w:tabs>
                <w:tab w:val="left" w:pos="1260"/>
              </w:tabs>
              <w:spacing w:before="40" w:beforeAutospacing="0" w:after="40" w:afterAutospacing="0" w:line="360" w:lineRule="auto"/>
              <w:ind w:left="0" w:right="0"/>
              <w:rPr>
                <w:rFonts w:hint="default" w:ascii="宋体" w:hAnsi="宋体" w:cs="宋体"/>
                <w:kern w:val="0"/>
                <w:sz w:val="24"/>
                <w:szCs w:val="20"/>
              </w:rPr>
            </w:pPr>
            <w:r>
              <w:rPr>
                <w:rFonts w:hint="eastAsia" w:ascii="宋体" w:hAnsi="宋体" w:cs="宋体"/>
                <w:kern w:val="0"/>
                <w:sz w:val="24"/>
                <w:szCs w:val="20"/>
              </w:rPr>
              <w:t>（  ）小型、微型企业投标且提供本企业制造的产品。</w:t>
            </w:r>
          </w:p>
          <w:p>
            <w:pPr>
              <w:pStyle w:val="43"/>
              <w:tabs>
                <w:tab w:val="left" w:pos="1260"/>
              </w:tabs>
              <w:spacing w:before="40" w:beforeAutospacing="0" w:after="40" w:afterAutospacing="0" w:line="360" w:lineRule="auto"/>
              <w:ind w:left="0" w:right="0"/>
              <w:rPr>
                <w:rFonts w:hint="default" w:ascii="宋体" w:hAnsi="宋体" w:cs="宋体"/>
                <w:kern w:val="0"/>
                <w:sz w:val="24"/>
                <w:szCs w:val="20"/>
              </w:rPr>
            </w:pPr>
            <w:r>
              <w:rPr>
                <w:rFonts w:hint="eastAsia" w:ascii="宋体" w:hAnsi="宋体" w:cs="宋体"/>
                <w:kern w:val="0"/>
                <w:sz w:val="24"/>
                <w:szCs w:val="20"/>
              </w:rPr>
              <w:t>（  ）小微企业投标且提供其它小型、微型企业产品的，请填写下表内容：</w:t>
            </w:r>
          </w:p>
        </w:tc>
      </w:tr>
      <w:tr>
        <w:trPr>
          <w:trHeight w:val="729" w:hRule="atLeast"/>
          <w:jc w:val="center"/>
        </w:trPr>
        <w:tc>
          <w:tcPr>
            <w:tcW w:w="1608" w:type="dxa"/>
            <w:vMerge w:val="continue"/>
            <w:vAlign w:val="center"/>
          </w:tcPr>
          <w:p>
            <w:pPr>
              <w:pStyle w:val="43"/>
              <w:tabs>
                <w:tab w:val="left" w:pos="1260"/>
              </w:tabs>
              <w:spacing w:before="156" w:beforeAutospacing="0" w:after="156" w:afterAutospacing="0"/>
              <w:ind w:left="0" w:right="0" w:firstLine="480"/>
              <w:jc w:val="center"/>
              <w:rPr>
                <w:rFonts w:hint="default" w:ascii="宋体" w:hAnsi="宋体" w:cs="宋体"/>
                <w:kern w:val="0"/>
                <w:sz w:val="24"/>
                <w:szCs w:val="20"/>
              </w:rPr>
            </w:pPr>
          </w:p>
        </w:tc>
        <w:tc>
          <w:tcPr>
            <w:tcW w:w="1702" w:type="dxa"/>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eastAsia" w:ascii="宋体" w:hAnsi="宋体" w:cs="宋体"/>
                <w:kern w:val="0"/>
                <w:sz w:val="24"/>
                <w:szCs w:val="20"/>
              </w:rPr>
              <w:t>核心产品名称</w:t>
            </w:r>
          </w:p>
        </w:tc>
        <w:tc>
          <w:tcPr>
            <w:tcW w:w="1196" w:type="dxa"/>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eastAsia" w:ascii="宋体" w:hAnsi="宋体" w:cs="宋体"/>
                <w:kern w:val="0"/>
                <w:sz w:val="24"/>
                <w:szCs w:val="20"/>
              </w:rPr>
              <w:t>品牌型号</w:t>
            </w:r>
          </w:p>
        </w:tc>
        <w:tc>
          <w:tcPr>
            <w:tcW w:w="1356" w:type="dxa"/>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eastAsia" w:ascii="宋体" w:hAnsi="宋体" w:cs="宋体"/>
                <w:kern w:val="0"/>
                <w:sz w:val="24"/>
                <w:szCs w:val="20"/>
              </w:rPr>
              <w:t>制造商</w:t>
            </w:r>
          </w:p>
        </w:tc>
        <w:tc>
          <w:tcPr>
            <w:tcW w:w="1960" w:type="dxa"/>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eastAsia" w:ascii="宋体" w:hAnsi="宋体" w:cs="宋体"/>
                <w:kern w:val="0"/>
                <w:sz w:val="24"/>
                <w:szCs w:val="20"/>
              </w:rPr>
              <w:t>制造商企业类型</w:t>
            </w:r>
          </w:p>
        </w:tc>
        <w:tc>
          <w:tcPr>
            <w:tcW w:w="1685" w:type="dxa"/>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eastAsia" w:ascii="宋体" w:hAnsi="宋体" w:cs="宋体"/>
                <w:kern w:val="0"/>
                <w:sz w:val="24"/>
                <w:szCs w:val="20"/>
              </w:rPr>
              <w:t>金额（单价元）</w:t>
            </w:r>
          </w:p>
        </w:tc>
      </w:tr>
      <w:tr>
        <w:trPr>
          <w:trHeight w:val="729" w:hRule="atLeast"/>
          <w:jc w:val="center"/>
        </w:trPr>
        <w:tc>
          <w:tcPr>
            <w:tcW w:w="1608" w:type="dxa"/>
            <w:vMerge w:val="continue"/>
            <w:vAlign w:val="center"/>
          </w:tcPr>
          <w:p>
            <w:pPr>
              <w:pStyle w:val="43"/>
              <w:tabs>
                <w:tab w:val="left" w:pos="1260"/>
              </w:tabs>
              <w:spacing w:before="156" w:beforeAutospacing="0" w:after="156" w:afterAutospacing="0"/>
              <w:ind w:left="0" w:right="0" w:firstLine="480"/>
              <w:jc w:val="center"/>
              <w:rPr>
                <w:rFonts w:hint="default" w:ascii="宋体" w:hAnsi="宋体" w:cs="宋体"/>
                <w:kern w:val="0"/>
                <w:sz w:val="24"/>
                <w:szCs w:val="20"/>
              </w:rPr>
            </w:pPr>
          </w:p>
        </w:tc>
        <w:tc>
          <w:tcPr>
            <w:tcW w:w="1702"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196"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356"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960"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685"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r>
      <w:tr>
        <w:trPr>
          <w:trHeight w:val="729" w:hRule="atLeast"/>
          <w:jc w:val="center"/>
        </w:trPr>
        <w:tc>
          <w:tcPr>
            <w:tcW w:w="1608" w:type="dxa"/>
            <w:vMerge w:val="continue"/>
            <w:vAlign w:val="center"/>
          </w:tcPr>
          <w:p>
            <w:pPr>
              <w:pStyle w:val="43"/>
              <w:tabs>
                <w:tab w:val="left" w:pos="1260"/>
              </w:tabs>
              <w:spacing w:before="156" w:beforeAutospacing="0" w:after="156" w:afterAutospacing="0"/>
              <w:ind w:left="0" w:right="0" w:firstLine="480"/>
              <w:jc w:val="center"/>
              <w:rPr>
                <w:rFonts w:hint="default" w:ascii="宋体" w:hAnsi="宋体" w:cs="宋体"/>
                <w:kern w:val="0"/>
                <w:sz w:val="24"/>
                <w:szCs w:val="20"/>
              </w:rPr>
            </w:pPr>
          </w:p>
        </w:tc>
        <w:tc>
          <w:tcPr>
            <w:tcW w:w="1702"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196"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356"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960"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c>
          <w:tcPr>
            <w:tcW w:w="1685"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r>
      <w:tr>
        <w:trPr>
          <w:trHeight w:val="671" w:hRule="atLeast"/>
          <w:jc w:val="center"/>
        </w:trPr>
        <w:tc>
          <w:tcPr>
            <w:tcW w:w="1608" w:type="dxa"/>
            <w:vMerge w:val="continue"/>
            <w:vAlign w:val="center"/>
          </w:tcPr>
          <w:p>
            <w:pPr>
              <w:pStyle w:val="43"/>
              <w:tabs>
                <w:tab w:val="left" w:pos="1260"/>
              </w:tabs>
              <w:spacing w:before="156" w:beforeAutospacing="0" w:after="156" w:afterAutospacing="0"/>
              <w:ind w:left="0" w:right="0" w:firstLine="480"/>
              <w:jc w:val="center"/>
              <w:rPr>
                <w:rFonts w:hint="default" w:ascii="宋体" w:hAnsi="宋体" w:cs="宋体"/>
                <w:kern w:val="0"/>
                <w:sz w:val="24"/>
                <w:szCs w:val="20"/>
              </w:rPr>
            </w:pPr>
          </w:p>
        </w:tc>
        <w:tc>
          <w:tcPr>
            <w:tcW w:w="6214" w:type="dxa"/>
            <w:gridSpan w:val="4"/>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r>
              <w:rPr>
                <w:rFonts w:hint="eastAsia" w:ascii="宋体" w:hAnsi="宋体" w:cs="宋体"/>
                <w:kern w:val="0"/>
                <w:sz w:val="24"/>
                <w:szCs w:val="20"/>
              </w:rPr>
              <w:t>小型、微型企业产品金额合计</w:t>
            </w:r>
          </w:p>
        </w:tc>
        <w:tc>
          <w:tcPr>
            <w:tcW w:w="1685" w:type="dxa"/>
            <w:vAlign w:val="center"/>
          </w:tcPr>
          <w:p>
            <w:pPr>
              <w:pStyle w:val="43"/>
              <w:tabs>
                <w:tab w:val="left" w:pos="1260"/>
              </w:tabs>
              <w:spacing w:before="40" w:beforeAutospacing="0" w:after="40" w:afterAutospacing="0"/>
              <w:ind w:left="0" w:right="0" w:firstLine="480"/>
              <w:jc w:val="center"/>
              <w:rPr>
                <w:rFonts w:hint="default" w:ascii="宋体" w:hAnsi="宋体" w:cs="宋体"/>
                <w:kern w:val="0"/>
                <w:sz w:val="24"/>
                <w:szCs w:val="20"/>
              </w:rPr>
            </w:pPr>
          </w:p>
        </w:tc>
      </w:tr>
      <w:tr>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beforeAutospacing="0" w:after="156" w:afterAutospacing="0"/>
              <w:ind w:left="0" w:right="0"/>
              <w:rPr>
                <w:rFonts w:hint="default" w:ascii="宋体" w:hAnsi="宋体" w:cs="宋体"/>
                <w:kern w:val="0"/>
                <w:sz w:val="24"/>
                <w:szCs w:val="20"/>
              </w:rPr>
            </w:pPr>
            <w:r>
              <w:rPr>
                <w:rFonts w:hint="default" w:ascii="宋体" w:hAnsi="宋体" w:cs="宋体"/>
                <w:kern w:val="0"/>
                <w:sz w:val="24"/>
                <w:szCs w:val="20"/>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default" w:ascii="宋体" w:hAnsi="宋体" w:cs="宋体"/>
                <w:kern w:val="0"/>
                <w:sz w:val="24"/>
                <w:szCs w:val="20"/>
              </w:rPr>
              <w:t>（  ）我公司属于监狱企业，</w:t>
            </w:r>
            <w:r>
              <w:rPr>
                <w:rFonts w:hint="eastAsia" w:ascii="宋体" w:hAnsi="宋体" w:cs="宋体"/>
                <w:kern w:val="0"/>
                <w:sz w:val="24"/>
                <w:szCs w:val="20"/>
              </w:rPr>
              <w:t>并</w:t>
            </w:r>
            <w:r>
              <w:rPr>
                <w:rFonts w:hint="default" w:ascii="宋体" w:hAnsi="宋体" w:cs="宋体"/>
                <w:kern w:val="0"/>
                <w:sz w:val="24"/>
                <w:szCs w:val="20"/>
              </w:rPr>
              <w:t>提供由监狱管理局、戒毒管理局（含新疆生产建设兵团）出具的属于监狱企业的证明文件。</w:t>
            </w:r>
          </w:p>
        </w:tc>
      </w:tr>
      <w:tr>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beforeAutospacing="0" w:after="156" w:afterAutospacing="0"/>
              <w:ind w:left="0" w:right="0"/>
              <w:rPr>
                <w:rFonts w:hint="default" w:ascii="宋体" w:hAnsi="宋体" w:cs="宋体"/>
                <w:kern w:val="0"/>
                <w:sz w:val="24"/>
                <w:szCs w:val="20"/>
              </w:rPr>
            </w:pPr>
            <w:r>
              <w:rPr>
                <w:rFonts w:hint="eastAsia" w:ascii="宋体" w:hAnsi="宋体" w:cs="宋体"/>
                <w:kern w:val="0"/>
                <w:sz w:val="24"/>
                <w:szCs w:val="20"/>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beforeAutospacing="0" w:after="40" w:afterAutospacing="0"/>
              <w:ind w:left="0" w:right="0"/>
              <w:rPr>
                <w:rFonts w:hint="default" w:ascii="宋体" w:hAnsi="宋体" w:cs="宋体"/>
                <w:kern w:val="0"/>
                <w:sz w:val="24"/>
                <w:szCs w:val="20"/>
              </w:rPr>
            </w:pPr>
            <w:r>
              <w:rPr>
                <w:rFonts w:hint="default" w:ascii="宋体" w:hAnsi="宋体" w:cs="宋体"/>
                <w:kern w:val="0"/>
                <w:sz w:val="24"/>
                <w:szCs w:val="20"/>
              </w:rPr>
              <w:t>（  ）我公司属于</w:t>
            </w:r>
            <w:r>
              <w:rPr>
                <w:rFonts w:hint="eastAsia" w:ascii="宋体" w:hAnsi="宋体" w:cs="宋体"/>
                <w:kern w:val="0"/>
                <w:sz w:val="24"/>
                <w:szCs w:val="20"/>
              </w:rPr>
              <w:t>残疾人福利性单位</w:t>
            </w:r>
            <w:r>
              <w:rPr>
                <w:rFonts w:hint="default" w:ascii="宋体" w:hAnsi="宋体" w:cs="宋体"/>
                <w:kern w:val="0"/>
                <w:sz w:val="24"/>
                <w:szCs w:val="20"/>
              </w:rPr>
              <w:t>，</w:t>
            </w:r>
            <w:r>
              <w:rPr>
                <w:rFonts w:hint="eastAsia" w:ascii="宋体" w:hAnsi="宋体" w:cs="宋体"/>
                <w:kern w:val="0"/>
                <w:sz w:val="24"/>
                <w:szCs w:val="20"/>
              </w:rPr>
              <w:t>并</w:t>
            </w:r>
            <w:r>
              <w:rPr>
                <w:rFonts w:hint="default" w:ascii="宋体" w:hAnsi="宋体" w:cs="宋体"/>
                <w:kern w:val="0"/>
                <w:sz w:val="24"/>
                <w:szCs w:val="20"/>
              </w:rPr>
              <w:t>提供</w:t>
            </w:r>
            <w:r>
              <w:rPr>
                <w:rFonts w:hint="eastAsia" w:ascii="宋体" w:hAnsi="宋体" w:cs="宋体"/>
                <w:kern w:val="0"/>
                <w:sz w:val="24"/>
                <w:szCs w:val="20"/>
              </w:rPr>
              <w:t>残疾人福利性单位声明函</w:t>
            </w:r>
            <w:r>
              <w:rPr>
                <w:rFonts w:hint="default" w:ascii="宋体" w:hAnsi="宋体" w:cs="宋体"/>
                <w:kern w:val="0"/>
                <w:sz w:val="24"/>
                <w:szCs w:val="20"/>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54" w:name="OLE_LINK5"/>
      <w:bookmarkStart w:id="55" w:name="OLE_LINK2"/>
      <w:r>
        <w:rPr>
          <w:rFonts w:hint="eastAsia" w:ascii="宋体" w:hAnsi="宋体" w:cs="宋体"/>
          <w:kern w:val="0"/>
          <w:sz w:val="24"/>
          <w:szCs w:val="24"/>
        </w:rPr>
        <w:t>______（请填写：中型、小型、微型）企业</w:t>
      </w:r>
      <w:bookmarkEnd w:id="54"/>
      <w:bookmarkEnd w:id="5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四</w:t>
      </w:r>
      <w:r>
        <w:rPr>
          <w:rFonts w:hint="eastAsia" w:ascii="宋体" w:hAnsi="宋体"/>
          <w:b/>
          <w:bCs/>
          <w:color w:val="000000"/>
          <w:kern w:val="0"/>
          <w:sz w:val="24"/>
          <w:szCs w:val="24"/>
        </w:rPr>
        <w:t>：</w:t>
      </w:r>
      <w:r>
        <w:rPr>
          <w:rFonts w:ascii="宋体" w:hAnsi="宋体"/>
          <w:bCs/>
          <w:color w:val="000000"/>
          <w:kern w:val="0"/>
          <w:sz w:val="24"/>
          <w:szCs w:val="24"/>
        </w:rPr>
        <w:br/>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6"/>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56" w:name="_Toc497408664"/>
      <w:r>
        <w:rPr>
          <w:rFonts w:hint="eastAsia" w:ascii="宋体" w:hAnsi="宋体"/>
          <w:b/>
          <w:color w:val="000000"/>
          <w:sz w:val="24"/>
          <w:szCs w:val="24"/>
        </w:rPr>
        <w:t>温馨提示</w:t>
      </w:r>
      <w:bookmarkEnd w:id="56"/>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4" w:type="default"/>
      <w:footerReference r:id="rId5" w:type="default"/>
      <w:pgSz w:w="11906" w:h="16838"/>
      <w:pgMar w:top="737" w:right="1247" w:bottom="737" w:left="1247" w:header="851" w:footer="992" w:gutter="0"/>
      <w:pgNumType w:start="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7"/>
      <w:jc w:val="center"/>
    </w:pPr>
    <w:r>
      <w:fldChar w:fldCharType="begin"/>
    </w:r>
    <w:r>
      <w:instrText xml:space="preserve">PAGE   \* MERGEFORMAT</w:instrText>
    </w:r>
    <w:r>
      <w:fldChar w:fldCharType="separate"/>
    </w:r>
    <w:r>
      <w:rPr>
        <w:lang w:val="zh-CN"/>
      </w:rPr>
      <w:t>1</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2"/>
      <w:numFmt w:val="japaneseCounting"/>
      <w:lvlText w:val="第%1节"/>
      <w:lvlJc w:val="left"/>
      <w:pPr>
        <w:tabs>
          <w:tab w:val="left" w:pos="1674"/>
        </w:tabs>
        <w:ind w:left="1674" w:hanging="1125"/>
      </w:pPr>
      <w:rPr>
        <w:rFonts w:hint="default"/>
      </w:rPr>
    </w:lvl>
    <w:lvl w:ilvl="1" w:tentative="1">
      <w:start w:val="1"/>
      <w:numFmt w:val="japaneseCounting"/>
      <w:lvlText w:val="第%2章"/>
      <w:lvlJc w:val="left"/>
      <w:pPr>
        <w:tabs>
          <w:tab w:val="left" w:pos="3495"/>
        </w:tabs>
        <w:ind w:left="3495" w:hanging="1515"/>
      </w:pPr>
      <w:rPr>
        <w:rFonts w:hint="default"/>
      </w:rPr>
    </w:lvl>
    <w:lvl w:ilvl="2" w:tentative="1">
      <w:start w:val="1"/>
      <w:numFmt w:val="lowerRoman"/>
      <w:lvlText w:val="%3."/>
      <w:lvlJc w:val="right"/>
      <w:pPr>
        <w:tabs>
          <w:tab w:val="left" w:pos="1809"/>
        </w:tabs>
        <w:ind w:left="1809" w:hanging="420"/>
      </w:pPr>
    </w:lvl>
    <w:lvl w:ilvl="3" w:tentative="1">
      <w:start w:val="1"/>
      <w:numFmt w:val="decimal"/>
      <w:lvlText w:val="%4."/>
      <w:lvlJc w:val="left"/>
      <w:pPr>
        <w:tabs>
          <w:tab w:val="left" w:pos="2229"/>
        </w:tabs>
        <w:ind w:left="2229" w:hanging="420"/>
      </w:pPr>
    </w:lvl>
    <w:lvl w:ilvl="4" w:tentative="1">
      <w:start w:val="1"/>
      <w:numFmt w:val="lowerLetter"/>
      <w:pStyle w:val="11"/>
      <w:lvlText w:val="%5)"/>
      <w:lvlJc w:val="left"/>
      <w:pPr>
        <w:tabs>
          <w:tab w:val="left" w:pos="2649"/>
        </w:tabs>
        <w:ind w:left="2649" w:hanging="420"/>
      </w:pPr>
    </w:lvl>
    <w:lvl w:ilvl="5" w:tentative="1">
      <w:start w:val="1"/>
      <w:numFmt w:val="lowerRoman"/>
      <w:pStyle w:val="12"/>
      <w:lvlText w:val="%6."/>
      <w:lvlJc w:val="right"/>
      <w:pPr>
        <w:tabs>
          <w:tab w:val="left" w:pos="3069"/>
        </w:tabs>
        <w:ind w:left="3069" w:hanging="420"/>
      </w:pPr>
    </w:lvl>
    <w:lvl w:ilvl="6" w:tentative="1">
      <w:start w:val="1"/>
      <w:numFmt w:val="decimal"/>
      <w:pStyle w:val="13"/>
      <w:lvlText w:val="%7."/>
      <w:lvlJc w:val="left"/>
      <w:pPr>
        <w:tabs>
          <w:tab w:val="left" w:pos="3489"/>
        </w:tabs>
        <w:ind w:left="3489" w:hanging="420"/>
      </w:pPr>
    </w:lvl>
    <w:lvl w:ilvl="7" w:tentative="1">
      <w:start w:val="1"/>
      <w:numFmt w:val="lowerLetter"/>
      <w:pStyle w:val="14"/>
      <w:lvlText w:val="%8)"/>
      <w:lvlJc w:val="left"/>
      <w:pPr>
        <w:tabs>
          <w:tab w:val="left" w:pos="3909"/>
        </w:tabs>
        <w:ind w:left="3909" w:hanging="420"/>
      </w:pPr>
    </w:lvl>
    <w:lvl w:ilvl="8" w:tentative="1">
      <w:start w:val="1"/>
      <w:numFmt w:val="lowerRoman"/>
      <w:pStyle w:val="15"/>
      <w:lvlText w:val="%9."/>
      <w:lvlJc w:val="right"/>
      <w:pPr>
        <w:tabs>
          <w:tab w:val="left" w:pos="4329"/>
        </w:tabs>
        <w:ind w:left="4329" w:hanging="420"/>
      </w:pPr>
    </w:lvl>
  </w:abstractNum>
  <w:abstractNum w:abstractNumId="1460002827">
    <w:nsid w:val="5705E00B"/>
    <w:multiLevelType w:val="singleLevel"/>
    <w:tmpl w:val="5705E00B"/>
    <w:lvl w:ilvl="0" w:tentative="1">
      <w:start w:val="2"/>
      <w:numFmt w:val="decimal"/>
      <w:suff w:val="nothing"/>
      <w:lvlText w:val="%1．"/>
      <w:lvlJc w:val="left"/>
    </w:lvl>
  </w:abstractNum>
  <w:num w:numId="1">
    <w:abstractNumId w:val="10"/>
  </w:num>
  <w:num w:numId="2">
    <w:abstractNumId w:val="14600028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11">
    <w:name w:val="heading 5"/>
    <w:basedOn w:val="1"/>
    <w:next w:val="1"/>
    <w:link w:val="51"/>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12">
    <w:name w:val="heading 6"/>
    <w:basedOn w:val="1"/>
    <w:next w:val="1"/>
    <w:link w:val="52"/>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13">
    <w:name w:val="heading 7"/>
    <w:basedOn w:val="1"/>
    <w:next w:val="1"/>
    <w:link w:val="53"/>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14">
    <w:name w:val="heading 8"/>
    <w:basedOn w:val="1"/>
    <w:next w:val="1"/>
    <w:link w:val="54"/>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15">
    <w:name w:val="heading 9"/>
    <w:basedOn w:val="1"/>
    <w:next w:val="1"/>
    <w:link w:val="55"/>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0">
    <w:name w:val="Default Paragraph Font"/>
    <w:semiHidden/>
    <w:unhideWhenUsed/>
    <w:qFormat/>
    <w:uiPriority w:val="1"/>
  </w:style>
  <w:style w:type="paragraph" w:customStyle="1" w:styleId="2">
    <w:name w:val="Body Text 2"/>
    <w:basedOn w:val="1"/>
    <w:qFormat/>
    <w:uiPriority w:val="0"/>
    <w:pPr>
      <w:spacing w:line="480" w:lineRule="auto"/>
    </w:pPr>
  </w:style>
  <w:style w:type="character" w:customStyle="1" w:styleId="3">
    <w:name w:val="标题 1 Char"/>
    <w:link w:val="4"/>
    <w:semiHidden/>
    <w:qFormat/>
    <w:uiPriority w:val="0"/>
    <w:rPr>
      <w:rFonts w:ascii="Times New Roman" w:hAnsi="Times New Roman"/>
      <w:b/>
      <w:bCs/>
      <w:kern w:val="44"/>
      <w:sz w:val="36"/>
      <w:szCs w:val="44"/>
    </w:rPr>
  </w:style>
  <w:style w:type="paragraph" w:customStyle="1" w:styleId="4">
    <w:name w:val="标题 11"/>
    <w:basedOn w:val="1"/>
    <w:next w:val="1"/>
    <w:link w:val="3"/>
    <w:qFormat/>
    <w:uiPriority w:val="0"/>
    <w:pPr>
      <w:keepNext/>
      <w:keepLines/>
      <w:spacing w:before="340" w:after="330" w:line="576" w:lineRule="auto"/>
      <w:jc w:val="center"/>
      <w:outlineLvl w:val="0"/>
    </w:pPr>
    <w:rPr>
      <w:b/>
      <w:bCs/>
      <w:kern w:val="44"/>
      <w:sz w:val="36"/>
      <w:szCs w:val="44"/>
    </w:rPr>
  </w:style>
  <w:style w:type="character" w:customStyle="1" w:styleId="5">
    <w:name w:val="标题 2 Char"/>
    <w:link w:val="6"/>
    <w:semiHidden/>
    <w:qFormat/>
    <w:uiPriority w:val="0"/>
    <w:rPr>
      <w:rFonts w:ascii="Arial" w:hAnsi="Arial" w:eastAsia="黑体"/>
      <w:b/>
      <w:bCs/>
      <w:sz w:val="32"/>
      <w:szCs w:val="32"/>
    </w:rPr>
  </w:style>
  <w:style w:type="paragraph" w:customStyle="1" w:styleId="6">
    <w:name w:val="标题 21"/>
    <w:basedOn w:val="1"/>
    <w:next w:val="1"/>
    <w:link w:val="5"/>
    <w:qFormat/>
    <w:uiPriority w:val="0"/>
    <w:pPr>
      <w:keepNext/>
      <w:keepLines/>
      <w:spacing w:before="260" w:after="260" w:line="413" w:lineRule="auto"/>
      <w:outlineLvl w:val="1"/>
    </w:pPr>
    <w:rPr>
      <w:rFonts w:ascii="Arial" w:hAnsi="Arial" w:eastAsia="黑体"/>
      <w:b/>
      <w:bCs/>
      <w:sz w:val="32"/>
      <w:szCs w:val="32"/>
    </w:rPr>
  </w:style>
  <w:style w:type="character" w:customStyle="1" w:styleId="7">
    <w:name w:val="标题 3 Char"/>
    <w:link w:val="8"/>
    <w:semiHidden/>
    <w:qFormat/>
    <w:uiPriority w:val="0"/>
    <w:rPr>
      <w:rFonts w:ascii="Times New Roman" w:hAnsi="Times New Roman"/>
      <w:b/>
      <w:bCs/>
      <w:sz w:val="32"/>
      <w:szCs w:val="32"/>
    </w:rPr>
  </w:style>
  <w:style w:type="paragraph" w:customStyle="1" w:styleId="8">
    <w:name w:val="标题 31"/>
    <w:basedOn w:val="1"/>
    <w:next w:val="1"/>
    <w:link w:val="7"/>
    <w:qFormat/>
    <w:uiPriority w:val="0"/>
    <w:pPr>
      <w:keepNext/>
      <w:keepLines/>
      <w:spacing w:before="260" w:after="260" w:line="413" w:lineRule="auto"/>
      <w:outlineLvl w:val="2"/>
    </w:pPr>
    <w:rPr>
      <w:b/>
      <w:bCs/>
      <w:sz w:val="32"/>
      <w:szCs w:val="32"/>
    </w:rPr>
  </w:style>
  <w:style w:type="character" w:customStyle="1" w:styleId="9">
    <w:name w:val="标题 4 Char"/>
    <w:link w:val="10"/>
    <w:semiHidden/>
    <w:qFormat/>
    <w:uiPriority w:val="0"/>
    <w:rPr>
      <w:rFonts w:ascii="仿宋_GB2312" w:hAnsi="Times New Roman" w:eastAsia="仿宋_GB2312"/>
      <w:sz w:val="28"/>
      <w:szCs w:val="24"/>
    </w:rPr>
  </w:style>
  <w:style w:type="paragraph" w:customStyle="1" w:styleId="10">
    <w:name w:val="标题 41"/>
    <w:basedOn w:val="1"/>
    <w:next w:val="1"/>
    <w:link w:val="9"/>
    <w:qFormat/>
    <w:uiPriority w:val="0"/>
    <w:pPr>
      <w:keepNext/>
      <w:spacing w:line="440" w:lineRule="exact"/>
      <w:jc w:val="center"/>
      <w:outlineLvl w:val="3"/>
    </w:pPr>
    <w:rPr>
      <w:rFonts w:ascii="仿宋_GB2312" w:eastAsia="仿宋_GB2312"/>
      <w:szCs w:val="24"/>
    </w:rPr>
  </w:style>
  <w:style w:type="character" w:customStyle="1" w:styleId="16">
    <w:name w:val="正文文本 3 Char"/>
    <w:link w:val="17"/>
    <w:semiHidden/>
    <w:qFormat/>
    <w:uiPriority w:val="0"/>
    <w:rPr>
      <w:rFonts w:ascii="黑体" w:hAnsi="Arial" w:eastAsia="黑体"/>
      <w:b/>
      <w:sz w:val="28"/>
    </w:rPr>
  </w:style>
  <w:style w:type="paragraph" w:customStyle="1" w:styleId="17">
    <w:name w:val="正文文本 31"/>
    <w:basedOn w:val="1"/>
    <w:link w:val="16"/>
    <w:qFormat/>
    <w:uiPriority w:val="0"/>
    <w:rPr>
      <w:rFonts w:ascii="黑体" w:hAnsi="Arial" w:eastAsia="黑体"/>
      <w:b/>
    </w:rPr>
  </w:style>
  <w:style w:type="paragraph" w:styleId="18">
    <w:name w:val="Body Text"/>
    <w:basedOn w:val="1"/>
    <w:qFormat/>
    <w:uiPriority w:val="0"/>
    <w:rPr>
      <w:rFonts w:eastAsia="黑体" w:cs="Times New Roman"/>
      <w:b/>
      <w:bCs/>
      <w:spacing w:val="20"/>
      <w:kern w:val="52"/>
      <w:sz w:val="56"/>
    </w:rPr>
  </w:style>
  <w:style w:type="character" w:customStyle="1" w:styleId="19">
    <w:name w:val="正文文本缩进 Char"/>
    <w:basedOn w:val="20"/>
    <w:link w:val="21"/>
    <w:semiHidden/>
    <w:qFormat/>
    <w:uiPriority w:val="0"/>
    <w:rPr>
      <w:rFonts w:ascii="Times New Roman" w:hAnsi="Times New Roman"/>
      <w:kern w:val="2"/>
      <w:sz w:val="28"/>
    </w:rPr>
  </w:style>
  <w:style w:type="paragraph" w:customStyle="1" w:styleId="21">
    <w:name w:val="正文文本缩进1"/>
    <w:basedOn w:val="1"/>
    <w:link w:val="19"/>
    <w:qFormat/>
    <w:uiPriority w:val="0"/>
    <w:pPr>
      <w:spacing w:after="120"/>
      <w:ind w:left="420" w:leftChars="200"/>
    </w:pPr>
  </w:style>
  <w:style w:type="paragraph" w:styleId="22">
    <w:name w:val="toc 3"/>
    <w:basedOn w:val="1"/>
    <w:next w:val="1"/>
    <w:qFormat/>
    <w:uiPriority w:val="0"/>
    <w:pPr>
      <w:widowControl/>
      <w:spacing w:after="100" w:line="276" w:lineRule="auto"/>
      <w:ind w:left="440"/>
      <w:jc w:val="left"/>
    </w:pPr>
    <w:rPr>
      <w:rFonts w:ascii="Calibri" w:hAnsi="Calibri" w:cs="黑体"/>
      <w:kern w:val="0"/>
      <w:sz w:val="22"/>
      <w:szCs w:val="22"/>
    </w:rPr>
  </w:style>
  <w:style w:type="character" w:customStyle="1" w:styleId="23">
    <w:name w:val="纯文本 Char"/>
    <w:link w:val="24"/>
    <w:semiHidden/>
    <w:qFormat/>
    <w:uiPriority w:val="0"/>
    <w:rPr>
      <w:rFonts w:ascii="宋体" w:hAnsi="Courier New" w:cs="Courier New"/>
      <w:szCs w:val="21"/>
    </w:rPr>
  </w:style>
  <w:style w:type="paragraph" w:customStyle="1" w:styleId="24">
    <w:name w:val="纯文本1"/>
    <w:basedOn w:val="1"/>
    <w:link w:val="23"/>
    <w:qFormat/>
    <w:uiPriority w:val="0"/>
    <w:rPr>
      <w:rFonts w:ascii="宋体" w:hAnsi="Courier New" w:cs="Courier New"/>
      <w:szCs w:val="21"/>
    </w:rPr>
  </w:style>
  <w:style w:type="character" w:customStyle="1" w:styleId="25">
    <w:name w:val="批注框文本 Char"/>
    <w:basedOn w:val="20"/>
    <w:link w:val="26"/>
    <w:semiHidden/>
    <w:qFormat/>
    <w:uiPriority w:val="0"/>
    <w:rPr>
      <w:rFonts w:ascii="Times New Roman" w:hAnsi="Times New Roman"/>
      <w:kern w:val="2"/>
      <w:sz w:val="18"/>
      <w:szCs w:val="18"/>
    </w:rPr>
  </w:style>
  <w:style w:type="paragraph" w:customStyle="1" w:styleId="26">
    <w:name w:val="批注框文本1"/>
    <w:basedOn w:val="1"/>
    <w:link w:val="25"/>
    <w:qFormat/>
    <w:uiPriority w:val="0"/>
    <w:rPr>
      <w:sz w:val="18"/>
      <w:szCs w:val="18"/>
    </w:rPr>
  </w:style>
  <w:style w:type="paragraph" w:styleId="27">
    <w:name w:val="footer"/>
    <w:basedOn w:val="1"/>
    <w:link w:val="56"/>
    <w:qFormat/>
    <w:uiPriority w:val="0"/>
    <w:pPr>
      <w:tabs>
        <w:tab w:val="center" w:pos="4153"/>
        <w:tab w:val="right" w:pos="8306"/>
      </w:tabs>
      <w:snapToGrid w:val="0"/>
      <w:jc w:val="left"/>
    </w:pPr>
    <w:rPr>
      <w:sz w:val="18"/>
      <w:szCs w:val="18"/>
    </w:rPr>
  </w:style>
  <w:style w:type="paragraph" w:styleId="28">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Subtitle"/>
    <w:basedOn w:val="1"/>
    <w:next w:val="1"/>
    <w:link w:val="58"/>
    <w:qFormat/>
    <w:uiPriority w:val="0"/>
    <w:pPr>
      <w:spacing w:before="240" w:after="60" w:line="312" w:lineRule="auto"/>
      <w:jc w:val="center"/>
      <w:outlineLvl w:val="1"/>
    </w:pPr>
    <w:rPr>
      <w:rFonts w:ascii="Cambria" w:hAnsi="Cambria" w:eastAsia="方正楷体简体"/>
      <w:bCs/>
      <w:kern w:val="28"/>
      <w:szCs w:val="32"/>
    </w:rPr>
  </w:style>
  <w:style w:type="paragraph" w:styleId="31">
    <w:name w:val="toc 2"/>
    <w:basedOn w:val="1"/>
    <w:next w:val="1"/>
    <w:qFormat/>
    <w:uiPriority w:val="0"/>
    <w:pPr>
      <w:ind w:left="420" w:leftChars="200"/>
    </w:pPr>
    <w:rPr>
      <w:sz w:val="24"/>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59"/>
    <w:qFormat/>
    <w:uiPriority w:val="0"/>
    <w:pPr>
      <w:spacing w:before="240" w:after="60"/>
      <w:jc w:val="center"/>
      <w:outlineLvl w:val="0"/>
    </w:pPr>
    <w:rPr>
      <w:rFonts w:ascii="Cambria" w:hAnsi="Cambria" w:eastAsia="方正小标宋简体"/>
      <w:b/>
      <w:bCs/>
      <w:sz w:val="44"/>
      <w:szCs w:val="32"/>
    </w:rPr>
  </w:style>
  <w:style w:type="character" w:styleId="34">
    <w:name w:val="Strong"/>
    <w:qFormat/>
    <w:uiPriority w:val="0"/>
    <w:rPr>
      <w:b/>
    </w:rPr>
  </w:style>
  <w:style w:type="character" w:styleId="35">
    <w:name w:val="FollowedHyperlink"/>
    <w:basedOn w:val="20"/>
    <w:qFormat/>
    <w:uiPriority w:val="0"/>
    <w:rPr>
      <w:color w:val="333333"/>
      <w:u w:val="none"/>
    </w:rPr>
  </w:style>
  <w:style w:type="character" w:styleId="36">
    <w:name w:val="Emphasis"/>
    <w:qFormat/>
    <w:uiPriority w:val="0"/>
    <w:rPr>
      <w:rFonts w:hint="default" w:ascii="Times New Roman" w:hAnsi="Times New Roman" w:cs="Times New Roman"/>
    </w:rPr>
  </w:style>
  <w:style w:type="character" w:styleId="37">
    <w:name w:val="Hyperlink"/>
    <w:basedOn w:val="20"/>
    <w:qFormat/>
    <w:uiPriority w:val="0"/>
    <w:rPr>
      <w:color w:val="333333"/>
      <w:u w:val="none"/>
    </w:rPr>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无间隔1"/>
    <w:link w:val="60"/>
    <w:qFormat/>
    <w:uiPriority w:val="0"/>
    <w:rPr>
      <w:rFonts w:ascii="Calibri" w:hAnsi="Calibri" w:eastAsia="宋体" w:cs="Calibri"/>
      <w:sz w:val="22"/>
      <w:lang w:val="en-US" w:eastAsia="zh-CN" w:bidi="ar-SA"/>
    </w:rPr>
  </w:style>
  <w:style w:type="paragraph" w:customStyle="1" w:styleId="40">
    <w:name w:val="列出段落2"/>
    <w:basedOn w:val="1"/>
    <w:qFormat/>
    <w:uiPriority w:val="0"/>
    <w:pPr>
      <w:ind w:firstLine="420" w:firstLineChars="200"/>
    </w:pPr>
    <w:rPr>
      <w:szCs w:val="21"/>
    </w:rPr>
  </w:style>
  <w:style w:type="paragraph" w:customStyle="1" w:styleId="41">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3">
    <w:name w:val="正文_13"/>
    <w:qFormat/>
    <w:uiPriority w:val="0"/>
    <w:pPr>
      <w:widowControl w:val="0"/>
      <w:jc w:val="both"/>
    </w:pPr>
    <w:rPr>
      <w:rFonts w:ascii="Times New Roman" w:hAnsi="Times New Roman" w:eastAsia="宋体" w:cs="Calibri"/>
      <w:kern w:val="2"/>
      <w:sz w:val="21"/>
      <w:szCs w:val="24"/>
      <w:lang w:val="en-US" w:eastAsia="zh-CN" w:bidi="ar-SA"/>
    </w:rPr>
  </w:style>
  <w:style w:type="paragraph" w:customStyle="1" w:styleId="44">
    <w:name w:val="List Paragraph"/>
    <w:basedOn w:val="1"/>
    <w:qFormat/>
    <w:uiPriority w:val="34"/>
    <w:pPr>
      <w:ind w:firstLine="420" w:firstLineChars="200"/>
    </w:pPr>
  </w:style>
  <w:style w:type="paragraph" w:customStyle="1" w:styleId="45">
    <w:name w:val="正文_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46">
    <w:name w:val="普通(网站)_0"/>
    <w:basedOn w:val="45"/>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7">
    <w:name w:val="标题 2_0"/>
    <w:basedOn w:val="45"/>
    <w:next w:val="45"/>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48">
    <w:name w:val="段"/>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9">
    <w:name w:val="标题 3_0"/>
    <w:basedOn w:val="45"/>
    <w:next w:val="45"/>
    <w:unhideWhenUsed/>
    <w:qFormat/>
    <w:uiPriority w:val="9"/>
    <w:pPr>
      <w:keepNext/>
      <w:keepLines/>
      <w:spacing w:before="260" w:after="260" w:line="416" w:lineRule="auto"/>
      <w:outlineLvl w:val="2"/>
    </w:pPr>
    <w:rPr>
      <w:rFonts w:ascii="等线" w:hAnsi="等线" w:eastAsia="等线"/>
      <w:b/>
      <w:bCs/>
      <w:sz w:val="32"/>
      <w:szCs w:val="32"/>
    </w:rPr>
  </w:style>
  <w:style w:type="paragraph" w:customStyle="1" w:styleId="50">
    <w:name w:val="列出段落_0"/>
    <w:basedOn w:val="45"/>
    <w:qFormat/>
    <w:uiPriority w:val="34"/>
    <w:pPr>
      <w:ind w:firstLine="420" w:firstLineChars="200"/>
    </w:pPr>
    <w:rPr>
      <w:rFonts w:ascii="等线" w:hAnsi="等线" w:eastAsia="等线"/>
      <w:szCs w:val="21"/>
    </w:rPr>
  </w:style>
  <w:style w:type="character" w:customStyle="1" w:styleId="51">
    <w:name w:val="标题 5 Char Char"/>
    <w:link w:val="11"/>
    <w:uiPriority w:val="0"/>
    <w:rPr>
      <w:rFonts w:ascii="宋体" w:hAnsi="宋体"/>
      <w:b/>
      <w:kern w:val="21"/>
      <w:sz w:val="28"/>
      <w:lang w:eastAsia="ar-SA"/>
    </w:rPr>
  </w:style>
  <w:style w:type="character" w:customStyle="1" w:styleId="52">
    <w:name w:val="标题 6 Char Char"/>
    <w:link w:val="12"/>
    <w:uiPriority w:val="0"/>
    <w:rPr>
      <w:rFonts w:ascii="Arial" w:hAnsi="Arial" w:eastAsia="黑体"/>
      <w:b/>
      <w:kern w:val="21"/>
      <w:sz w:val="24"/>
      <w:lang w:eastAsia="ar-SA"/>
    </w:rPr>
  </w:style>
  <w:style w:type="character" w:customStyle="1" w:styleId="53">
    <w:name w:val="标题 7 Char Char"/>
    <w:link w:val="13"/>
    <w:uiPriority w:val="0"/>
    <w:rPr>
      <w:rFonts w:ascii="宋体" w:hAnsi="宋体"/>
      <w:b/>
      <w:kern w:val="21"/>
      <w:sz w:val="24"/>
      <w:lang w:eastAsia="ar-SA"/>
    </w:rPr>
  </w:style>
  <w:style w:type="character" w:customStyle="1" w:styleId="54">
    <w:name w:val="标题 8 Char Char"/>
    <w:link w:val="14"/>
    <w:uiPriority w:val="0"/>
    <w:rPr>
      <w:rFonts w:ascii="Arial" w:hAnsi="Arial" w:eastAsia="黑体"/>
      <w:kern w:val="21"/>
      <w:sz w:val="24"/>
      <w:lang w:eastAsia="ar-SA"/>
    </w:rPr>
  </w:style>
  <w:style w:type="character" w:customStyle="1" w:styleId="55">
    <w:name w:val="标题 9 Char Char"/>
    <w:link w:val="15"/>
    <w:uiPriority w:val="0"/>
    <w:rPr>
      <w:rFonts w:ascii="Arial" w:hAnsi="Arial" w:eastAsia="黑体"/>
      <w:kern w:val="21"/>
      <w:sz w:val="21"/>
      <w:lang w:eastAsia="ar-SA"/>
    </w:rPr>
  </w:style>
  <w:style w:type="character" w:customStyle="1" w:styleId="56">
    <w:name w:val="页脚 Char Char"/>
    <w:basedOn w:val="20"/>
    <w:link w:val="27"/>
    <w:uiPriority w:val="0"/>
    <w:rPr>
      <w:rFonts w:ascii="Times New Roman" w:hAnsi="Times New Roman"/>
      <w:kern w:val="2"/>
      <w:sz w:val="18"/>
      <w:szCs w:val="18"/>
    </w:rPr>
  </w:style>
  <w:style w:type="character" w:customStyle="1" w:styleId="57">
    <w:name w:val="页眉 Char Char"/>
    <w:basedOn w:val="20"/>
    <w:link w:val="28"/>
    <w:uiPriority w:val="0"/>
    <w:rPr>
      <w:rFonts w:ascii="Times New Roman" w:hAnsi="Times New Roman"/>
      <w:kern w:val="2"/>
      <w:sz w:val="18"/>
      <w:szCs w:val="18"/>
    </w:rPr>
  </w:style>
  <w:style w:type="character" w:customStyle="1" w:styleId="58">
    <w:name w:val="副标题 Char Char"/>
    <w:link w:val="30"/>
    <w:uiPriority w:val="0"/>
    <w:rPr>
      <w:rFonts w:ascii="Cambria" w:hAnsi="Cambria" w:eastAsia="方正楷体简体"/>
      <w:bCs/>
      <w:kern w:val="28"/>
      <w:szCs w:val="32"/>
    </w:rPr>
  </w:style>
  <w:style w:type="character" w:customStyle="1" w:styleId="59">
    <w:name w:val="标题 Char Char"/>
    <w:link w:val="33"/>
    <w:uiPriority w:val="0"/>
    <w:rPr>
      <w:rFonts w:ascii="Cambria" w:hAnsi="Cambria" w:eastAsia="方正小标宋简体"/>
      <w:b/>
      <w:bCs/>
      <w:sz w:val="44"/>
      <w:szCs w:val="32"/>
    </w:rPr>
  </w:style>
  <w:style w:type="character" w:customStyle="1" w:styleId="60">
    <w:name w:val="无间隔 Char"/>
    <w:link w:val="39"/>
    <w:semiHidden/>
    <w:qFormat/>
    <w:uiPriority w:val="0"/>
    <w:rPr>
      <w:sz w:val="22"/>
    </w:rPr>
  </w:style>
  <w:style w:type="character" w:customStyle="1" w:styleId="61">
    <w:name w:val="正文文本 3 Char1"/>
    <w:basedOn w:val="20"/>
    <w:qFormat/>
    <w:uiPriority w:val="0"/>
    <w:rPr>
      <w:rFonts w:ascii="Times New Roman" w:hAnsi="Times New Roman"/>
      <w:kern w:val="2"/>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4441</Words>
  <Characters>25320</Characters>
  <Lines>211</Lines>
  <Paragraphs>59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2019-06-06T07:50:00Z</dcterms:created>
  <dc:creator>Administrator</dc:creator>
  <cp:lastModifiedBy>lenovo3</cp:lastModifiedBy>
  <cp:lastPrinted>2019-06-06T07:50:00Z</cp:lastPrinted>
  <dcterms:modified xsi:type="dcterms:W3CDTF">2020-04-02T04:08:42Z</dcterms:modified>
  <dc:title>Administrator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